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Default Extension="jpeg" ContentType="image/jpeg"/>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200001pt;margin-top:51.059982pt;width:485pt;height:.1pt;mso-position-horizontal-relative:page;mso-position-vertical-relative:page;z-index:0" coordorigin="1104,1021" coordsize="9700,2">
            <v:shape style="position:absolute;left:1104;top:1021;width:9700;height:2" coordorigin="1104,1021" coordsize="9700,0" path="m1104,1021l10804,1021e" filled="false" stroked="true" strokeweight=".72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3"/>
          <w:szCs w:val="13"/>
        </w:rPr>
      </w:pPr>
    </w:p>
    <w:p>
      <w:pPr>
        <w:spacing w:line="870" w:lineRule="exact"/>
        <w:ind w:left="4842"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6"/>
          <w:sz w:val="20"/>
          <w:szCs w:val="20"/>
        </w:rPr>
        <w:drawing>
          <wp:inline distT="0" distB="0" distL="0" distR="0">
            <wp:extent cx="1411958" cy="552450"/>
            <wp:effectExtent l="0" t="0" r="0" b="0"/>
            <wp:docPr id="1" name="image2.png" descr=""/>
            <wp:cNvGraphicFramePr>
              <a:graphicFrameLocks noChangeAspect="1"/>
            </wp:cNvGraphicFramePr>
            <a:graphic>
              <a:graphicData uri="http://schemas.openxmlformats.org/drawingml/2006/picture">
                <pic:pic>
                  <pic:nvPicPr>
                    <pic:cNvPr id="2" name="image2.png"/>
                    <pic:cNvPicPr/>
                  </pic:nvPicPr>
                  <pic:blipFill>
                    <a:blip r:embed="rId7" cstate="print"/>
                    <a:stretch>
                      <a:fillRect/>
                    </a:stretch>
                  </pic:blipFill>
                  <pic:spPr>
                    <a:xfrm>
                      <a:off x="0" y="0"/>
                      <a:ext cx="1411958" cy="552450"/>
                    </a:xfrm>
                    <a:prstGeom prst="rect">
                      <a:avLst/>
                    </a:prstGeom>
                  </pic:spPr>
                </pic:pic>
              </a:graphicData>
            </a:graphic>
          </wp:inline>
        </w:drawing>
      </w:r>
      <w:r>
        <w:rPr>
          <w:rFonts w:ascii="Times New Roman" w:hAnsi="Times New Roman" w:cs="Times New Roman" w:eastAsia="Times New Roman" w:hint="default"/>
          <w:position w:val="-16"/>
          <w:sz w:val="20"/>
          <w:szCs w:val="20"/>
        </w:rPr>
      </w:r>
    </w:p>
    <w:p>
      <w:pPr>
        <w:spacing w:line="240" w:lineRule="auto" w:before="2"/>
        <w:rPr>
          <w:rFonts w:ascii="Times New Roman" w:hAnsi="Times New Roman" w:cs="Times New Roman" w:eastAsia="Times New Roman" w:hint="default"/>
          <w:sz w:val="13"/>
          <w:szCs w:val="13"/>
        </w:rPr>
      </w:pPr>
    </w:p>
    <w:p>
      <w:pPr>
        <w:spacing w:line="460" w:lineRule="exact" w:before="0"/>
        <w:ind w:left="4090" w:right="4090" w:firstLine="0"/>
        <w:jc w:val="center"/>
        <w:rPr>
          <w:rFonts w:ascii="宋体" w:hAnsi="宋体" w:cs="宋体" w:eastAsia="宋体" w:hint="default"/>
          <w:sz w:val="36"/>
          <w:szCs w:val="36"/>
        </w:rPr>
      </w:pPr>
      <w:r>
        <w:rPr>
          <w:rFonts w:ascii="宋体" w:hAnsi="宋体" w:cs="宋体" w:eastAsia="宋体" w:hint="default"/>
          <w:b/>
          <w:bCs/>
          <w:sz w:val="36"/>
          <w:szCs w:val="36"/>
        </w:rPr>
        <w:t>浩云科技股份有限公司</w:t>
      </w:r>
      <w:r>
        <w:rPr>
          <w:rFonts w:ascii="宋体" w:hAnsi="宋体" w:cs="宋体" w:eastAsia="宋体" w:hint="default"/>
          <w:sz w:val="36"/>
          <w:szCs w:val="36"/>
        </w:rPr>
      </w:r>
    </w:p>
    <w:p>
      <w:pPr>
        <w:spacing w:line="240" w:lineRule="auto" w:before="10"/>
        <w:rPr>
          <w:rFonts w:ascii="宋体" w:hAnsi="宋体" w:cs="宋体" w:eastAsia="宋体" w:hint="default"/>
          <w:b/>
          <w:bCs/>
          <w:sz w:val="30"/>
          <w:szCs w:val="30"/>
        </w:rPr>
      </w:pPr>
    </w:p>
    <w:p>
      <w:pPr>
        <w:spacing w:before="0"/>
        <w:ind w:left="4089" w:right="4090"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2017</w:t>
      </w:r>
      <w:r>
        <w:rPr>
          <w:rFonts w:ascii="Times New Roman" w:hAnsi="Times New Roman" w:cs="Times New Roman" w:eastAsia="Times New Roman" w:hint="default"/>
          <w:b/>
          <w:bCs/>
          <w:spacing w:val="-4"/>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4"/>
        <w:rPr>
          <w:rFonts w:ascii="宋体" w:hAnsi="宋体" w:cs="宋体" w:eastAsia="宋体" w:hint="default"/>
          <w:b/>
          <w:bCs/>
          <w:sz w:val="48"/>
          <w:szCs w:val="48"/>
        </w:rPr>
      </w:pPr>
    </w:p>
    <w:p>
      <w:pPr>
        <w:spacing w:before="0"/>
        <w:ind w:left="4090" w:right="4089"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2018</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2"/>
          <w:sz w:val="32"/>
          <w:szCs w:val="32"/>
        </w:rPr>
        <w:t> </w:t>
      </w:r>
      <w:r>
        <w:rPr>
          <w:rFonts w:ascii="Times New Roman" w:hAnsi="Times New Roman" w:cs="Times New Roman" w:eastAsia="Times New Roman" w:hint="default"/>
          <w:b/>
          <w:bCs/>
          <w:sz w:val="32"/>
          <w:szCs w:val="32"/>
        </w:rPr>
        <w:t>04</w:t>
      </w:r>
      <w:r>
        <w:rPr>
          <w:rFonts w:ascii="Times New Roman" w:hAnsi="Times New Roman" w:cs="Times New Roman" w:eastAsia="Times New Roman" w:hint="default"/>
          <w:b/>
          <w:bCs/>
          <w:spacing w:val="-2"/>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87" w:footer="640" w:top="1100" w:bottom="840" w:left="0" w:right="0"/>
        </w:sectPr>
      </w:pPr>
    </w:p>
    <w:p>
      <w:pPr>
        <w:spacing w:line="240" w:lineRule="auto" w:before="12"/>
        <w:rPr>
          <w:rFonts w:ascii="宋体" w:hAnsi="宋体" w:cs="宋体" w:eastAsia="宋体" w:hint="default"/>
          <w:b/>
          <w:bCs/>
          <w:sz w:val="2"/>
          <w:szCs w:val="2"/>
        </w:rPr>
      </w:pPr>
    </w:p>
    <w:p>
      <w:pPr>
        <w:spacing w:line="20" w:lineRule="exact"/>
        <w:ind w:left="109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5"/>
          <w:szCs w:val="15"/>
        </w:rPr>
      </w:pPr>
    </w:p>
    <w:p>
      <w:pPr>
        <w:pStyle w:val="Heading1"/>
        <w:spacing w:line="240" w:lineRule="auto"/>
        <w:ind w:left="3785" w:right="0"/>
        <w:jc w:val="left"/>
        <w:rPr>
          <w:b w:val="0"/>
          <w:bCs w:val="0"/>
        </w:rPr>
      </w:pPr>
      <w:bookmarkStart w:name="第一节 重要提示、目录和释义" w:id="1"/>
      <w:bookmarkEnd w:id="1"/>
      <w:r>
        <w:rPr>
          <w:b w:val="0"/>
          <w:bCs w:val="0"/>
        </w:rPr>
      </w:r>
      <w:r>
        <w:rPr/>
        <w:t>第一节</w:t>
      </w:r>
      <w:r>
        <w:rPr>
          <w:spacing w:val="-11"/>
        </w:rPr>
        <w:t> </w:t>
      </w:r>
      <w:r>
        <w:rPr/>
        <w:t>重要提示、目录和释义</w:t>
      </w:r>
      <w:r>
        <w:rPr>
          <w:b w:val="0"/>
          <w:bCs w:val="0"/>
        </w:rPr>
      </w:r>
    </w:p>
    <w:p>
      <w:pPr>
        <w:spacing w:line="240" w:lineRule="auto" w:before="0"/>
        <w:rPr>
          <w:rFonts w:ascii="宋体" w:hAnsi="宋体" w:cs="宋体" w:eastAsia="宋体" w:hint="default"/>
          <w:b/>
          <w:bCs/>
          <w:sz w:val="32"/>
          <w:szCs w:val="32"/>
        </w:rPr>
      </w:pPr>
    </w:p>
    <w:p>
      <w:pPr>
        <w:spacing w:line="408" w:lineRule="auto" w:before="211"/>
        <w:ind w:left="1134" w:right="1141" w:firstLine="562"/>
        <w:jc w:val="both"/>
        <w:rPr>
          <w:rFonts w:ascii="宋体" w:hAnsi="宋体" w:cs="宋体" w:eastAsia="宋体" w:hint="default"/>
          <w:sz w:val="28"/>
          <w:szCs w:val="28"/>
        </w:rPr>
      </w:pPr>
      <w:r>
        <w:rPr>
          <w:rFonts w:ascii="宋体" w:hAnsi="宋体" w:cs="宋体" w:eastAsia="宋体" w:hint="default"/>
          <w:b/>
          <w:bCs/>
          <w:spacing w:val="3"/>
          <w:w w:val="95"/>
          <w:sz w:val="28"/>
          <w:szCs w:val="28"/>
        </w:rPr>
        <w:t>公司董事会、监事会及董事、监事、高级管理人员保证年度报告内容的真</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实、准确、完整，不存在虚假记载、误导性陈述或重大遗漏，并承担个别和连</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z w:val="28"/>
          <w:szCs w:val="28"/>
        </w:rPr>
        <w:t>带的法律责任。</w:t>
      </w:r>
      <w:r>
        <w:rPr>
          <w:rFonts w:ascii="宋体" w:hAnsi="宋体" w:cs="宋体" w:eastAsia="宋体" w:hint="default"/>
          <w:sz w:val="28"/>
          <w:szCs w:val="28"/>
        </w:rPr>
      </w:r>
    </w:p>
    <w:p>
      <w:pPr>
        <w:spacing w:line="386" w:lineRule="auto" w:before="161"/>
        <w:ind w:left="1133" w:right="1132" w:firstLine="562"/>
        <w:jc w:val="both"/>
        <w:rPr>
          <w:rFonts w:ascii="宋体" w:hAnsi="宋体" w:cs="宋体" w:eastAsia="宋体" w:hint="default"/>
          <w:sz w:val="28"/>
          <w:szCs w:val="28"/>
        </w:rPr>
      </w:pPr>
      <w:r>
        <w:rPr>
          <w:rFonts w:ascii="宋体" w:hAnsi="宋体" w:cs="宋体" w:eastAsia="宋体" w:hint="default"/>
          <w:b/>
          <w:bCs/>
          <w:w w:val="95"/>
          <w:sz w:val="28"/>
          <w:szCs w:val="28"/>
        </w:rPr>
        <w:t>公司负责人雷洪文、主管会计工作负责人王汉晖及会计机构负责人</w:t>
      </w:r>
      <w:r>
        <w:rPr>
          <w:rFonts w:ascii="Times New Roman" w:hAnsi="Times New Roman" w:cs="Times New Roman" w:eastAsia="Times New Roman" w:hint="default"/>
          <w:b/>
          <w:bCs/>
          <w:w w:val="95"/>
          <w:sz w:val="28"/>
          <w:szCs w:val="28"/>
        </w:rPr>
        <w:t>(</w:t>
      </w:r>
      <w:r>
        <w:rPr>
          <w:rFonts w:ascii="宋体" w:hAnsi="宋体" w:cs="宋体" w:eastAsia="宋体" w:hint="default"/>
          <w:b/>
          <w:bCs/>
          <w:w w:val="95"/>
          <w:sz w:val="28"/>
          <w:szCs w:val="28"/>
        </w:rPr>
        <w:t>会计主</w:t>
      </w:r>
      <w:r>
        <w:rPr>
          <w:rFonts w:ascii="宋体" w:hAnsi="宋体" w:cs="宋体" w:eastAsia="宋体" w:hint="default"/>
          <w:b/>
          <w:bCs/>
          <w:spacing w:val="1"/>
          <w:w w:val="99"/>
          <w:sz w:val="28"/>
          <w:szCs w:val="28"/>
        </w:rPr>
        <w:t> </w:t>
      </w:r>
      <w:r>
        <w:rPr>
          <w:rFonts w:ascii="宋体" w:hAnsi="宋体" w:cs="宋体" w:eastAsia="宋体" w:hint="default"/>
          <w:b/>
          <w:bCs/>
          <w:sz w:val="28"/>
          <w:szCs w:val="28"/>
        </w:rPr>
        <w:t>管人员</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简玉琴声明：保证年度报告中财务报告的真实、准确、完整。</w:t>
      </w:r>
      <w:r>
        <w:rPr>
          <w:rFonts w:ascii="宋体" w:hAnsi="宋体" w:cs="宋体" w:eastAsia="宋体" w:hint="default"/>
          <w:sz w:val="28"/>
          <w:szCs w:val="28"/>
        </w:rPr>
      </w:r>
    </w:p>
    <w:p>
      <w:pPr>
        <w:spacing w:line="472" w:lineRule="auto" w:before="147"/>
        <w:ind w:left="1696" w:right="0" w:firstLine="0"/>
        <w:jc w:val="left"/>
        <w:rPr>
          <w:rFonts w:ascii="宋体" w:hAnsi="宋体" w:cs="宋体" w:eastAsia="宋体" w:hint="default"/>
          <w:sz w:val="28"/>
          <w:szCs w:val="28"/>
        </w:rPr>
      </w:pPr>
      <w:r>
        <w:rPr>
          <w:rFonts w:ascii="宋体" w:hAnsi="宋体" w:cs="宋体" w:eastAsia="宋体" w:hint="default"/>
          <w:b/>
          <w:bCs/>
          <w:sz w:val="28"/>
          <w:szCs w:val="28"/>
        </w:rPr>
        <w:t>所有董事均已出席了审议本报告的董事会会议。</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本报告中涉及的未来发展规划及事项的陈述，属于计划性事项，不构成公</w:t>
      </w:r>
      <w:r>
        <w:rPr>
          <w:rFonts w:ascii="宋体" w:hAnsi="宋体" w:cs="宋体" w:eastAsia="宋体" w:hint="default"/>
          <w:spacing w:val="3"/>
          <w:sz w:val="28"/>
          <w:szCs w:val="28"/>
        </w:rPr>
      </w:r>
    </w:p>
    <w:p>
      <w:pPr>
        <w:spacing w:line="386" w:lineRule="auto" w:before="0"/>
        <w:ind w:left="1133" w:right="1133" w:firstLine="0"/>
        <w:jc w:val="both"/>
        <w:rPr>
          <w:rFonts w:ascii="宋体" w:hAnsi="宋体" w:cs="宋体" w:eastAsia="宋体" w:hint="default"/>
          <w:sz w:val="28"/>
          <w:szCs w:val="28"/>
        </w:rPr>
      </w:pPr>
      <w:r>
        <w:rPr>
          <w:rFonts w:ascii="宋体" w:hAnsi="宋体" w:cs="宋体" w:eastAsia="宋体" w:hint="default"/>
          <w:b/>
          <w:bCs/>
          <w:spacing w:val="-1"/>
          <w:w w:val="95"/>
          <w:sz w:val="28"/>
          <w:szCs w:val="28"/>
        </w:rPr>
        <w:t>司对投资者的实质承诺，请投资者注意投资风险。公司在本报告第四节</w:t>
      </w:r>
      <w:r>
        <w:rPr>
          <w:rFonts w:ascii="Times New Roman" w:hAnsi="Times New Roman" w:cs="Times New Roman" w:eastAsia="Times New Roman" w:hint="default"/>
          <w:b/>
          <w:bCs/>
          <w:spacing w:val="-1"/>
          <w:w w:val="95"/>
          <w:sz w:val="28"/>
          <w:szCs w:val="28"/>
        </w:rPr>
        <w:t>“</w:t>
      </w:r>
      <w:r>
        <w:rPr>
          <w:rFonts w:ascii="宋体" w:hAnsi="宋体" w:cs="宋体" w:eastAsia="宋体" w:hint="default"/>
          <w:b/>
          <w:bCs/>
          <w:spacing w:val="-1"/>
          <w:w w:val="95"/>
          <w:sz w:val="28"/>
          <w:szCs w:val="28"/>
        </w:rPr>
        <w:t>经营情</w:t>
      </w:r>
      <w:r>
        <w:rPr>
          <w:rFonts w:ascii="宋体" w:hAnsi="宋体" w:cs="宋体" w:eastAsia="宋体" w:hint="default"/>
          <w:b/>
          <w:bCs/>
          <w:spacing w:val="34"/>
          <w:w w:val="95"/>
          <w:sz w:val="28"/>
          <w:szCs w:val="28"/>
        </w:rPr>
        <w:t> </w:t>
      </w:r>
      <w:r>
        <w:rPr>
          <w:rFonts w:ascii="宋体" w:hAnsi="宋体" w:cs="宋体" w:eastAsia="宋体" w:hint="default"/>
          <w:b/>
          <w:bCs/>
          <w:spacing w:val="7"/>
          <w:w w:val="95"/>
          <w:sz w:val="28"/>
          <w:szCs w:val="28"/>
        </w:rPr>
        <w:t>况讨论与分析</w:t>
      </w:r>
      <w:r>
        <w:rPr>
          <w:rFonts w:ascii="Times New Roman" w:hAnsi="Times New Roman" w:cs="Times New Roman" w:eastAsia="Times New Roman" w:hint="default"/>
          <w:b/>
          <w:bCs/>
          <w:spacing w:val="7"/>
          <w:w w:val="95"/>
          <w:sz w:val="28"/>
          <w:szCs w:val="28"/>
        </w:rPr>
        <w:t>”</w:t>
      </w:r>
      <w:r>
        <w:rPr>
          <w:rFonts w:ascii="宋体" w:hAnsi="宋体" w:cs="宋体" w:eastAsia="宋体" w:hint="default"/>
          <w:b/>
          <w:bCs/>
          <w:spacing w:val="7"/>
          <w:w w:val="95"/>
          <w:sz w:val="28"/>
          <w:szCs w:val="28"/>
        </w:rPr>
        <w:t>中公司未来发展的展望部分描述了公司未来经营中可能面临的</w:t>
      </w:r>
      <w:r>
        <w:rPr>
          <w:rFonts w:ascii="宋体" w:hAnsi="宋体" w:cs="宋体" w:eastAsia="宋体" w:hint="default"/>
          <w:b/>
          <w:bCs/>
          <w:spacing w:val="25"/>
          <w:w w:val="95"/>
          <w:sz w:val="28"/>
          <w:szCs w:val="28"/>
        </w:rPr>
        <w:t> </w:t>
      </w:r>
      <w:r>
        <w:rPr>
          <w:rFonts w:ascii="宋体" w:hAnsi="宋体" w:cs="宋体" w:eastAsia="宋体" w:hint="default"/>
          <w:b/>
          <w:bCs/>
          <w:spacing w:val="25"/>
          <w:w w:val="95"/>
          <w:sz w:val="28"/>
          <w:szCs w:val="28"/>
        </w:rPr>
      </w:r>
      <w:r>
        <w:rPr>
          <w:rFonts w:ascii="宋体" w:hAnsi="宋体" w:cs="宋体" w:eastAsia="宋体" w:hint="default"/>
          <w:b/>
          <w:bCs/>
          <w:sz w:val="28"/>
          <w:szCs w:val="28"/>
        </w:rPr>
        <w:t>风险以及</w:t>
      </w:r>
      <w:r>
        <w:rPr>
          <w:rFonts w:ascii="宋体" w:hAnsi="宋体" w:cs="宋体" w:eastAsia="宋体" w:hint="default"/>
          <w:b/>
          <w:bCs/>
          <w:spacing w:val="-82"/>
          <w:sz w:val="28"/>
          <w:szCs w:val="28"/>
        </w:rPr>
        <w:t> </w:t>
      </w:r>
      <w:r>
        <w:rPr>
          <w:rFonts w:ascii="Times New Roman" w:hAnsi="Times New Roman" w:cs="Times New Roman" w:eastAsia="Times New Roman" w:hint="default"/>
          <w:b/>
          <w:bCs/>
          <w:sz w:val="28"/>
          <w:szCs w:val="28"/>
        </w:rPr>
        <w:t>2018</w:t>
      </w:r>
      <w:r>
        <w:rPr>
          <w:rFonts w:ascii="Times New Roman" w:hAnsi="Times New Roman" w:cs="Times New Roman" w:eastAsia="Times New Roman" w:hint="default"/>
          <w:b/>
          <w:bCs/>
          <w:spacing w:val="-13"/>
          <w:sz w:val="28"/>
          <w:szCs w:val="28"/>
        </w:rPr>
        <w:t> </w:t>
      </w:r>
      <w:r>
        <w:rPr>
          <w:rFonts w:ascii="宋体" w:hAnsi="宋体" w:cs="宋体" w:eastAsia="宋体" w:hint="default"/>
          <w:b/>
          <w:bCs/>
          <w:sz w:val="28"/>
          <w:szCs w:val="28"/>
        </w:rPr>
        <w:t>年度主要经营计划，敬请广大投资者注意查阅。</w:t>
      </w:r>
      <w:r>
        <w:rPr>
          <w:rFonts w:ascii="宋体" w:hAnsi="宋体" w:cs="宋体" w:eastAsia="宋体" w:hint="default"/>
          <w:sz w:val="28"/>
          <w:szCs w:val="28"/>
        </w:rPr>
      </w:r>
    </w:p>
    <w:p>
      <w:pPr>
        <w:spacing w:line="446" w:lineRule="auto" w:before="148"/>
        <w:ind w:left="1695" w:right="0" w:hanging="141"/>
        <w:jc w:val="left"/>
        <w:rPr>
          <w:rFonts w:ascii="宋体" w:hAnsi="宋体" w:cs="宋体" w:eastAsia="宋体" w:hint="default"/>
          <w:sz w:val="28"/>
          <w:szCs w:val="28"/>
        </w:rPr>
      </w:pPr>
      <w:r>
        <w:rPr>
          <w:rFonts w:ascii="宋体" w:hAnsi="宋体" w:cs="宋体" w:eastAsia="宋体" w:hint="default"/>
          <w:b/>
          <w:bCs/>
          <w:sz w:val="28"/>
          <w:szCs w:val="28"/>
        </w:rPr>
        <w:t>（</w:t>
      </w:r>
      <w:r>
        <w:rPr>
          <w:rFonts w:ascii="Times New Roman" w:hAnsi="Times New Roman" w:cs="Times New Roman" w:eastAsia="Times New Roman" w:hint="default"/>
          <w:b/>
          <w:bCs/>
          <w:sz w:val="28"/>
          <w:szCs w:val="28"/>
        </w:rPr>
        <w:t>1</w:t>
      </w:r>
      <w:r>
        <w:rPr>
          <w:rFonts w:ascii="宋体" w:hAnsi="宋体" w:cs="宋体" w:eastAsia="宋体" w:hint="default"/>
          <w:b/>
          <w:bCs/>
          <w:sz w:val="28"/>
          <w:szCs w:val="28"/>
        </w:rPr>
        <w:t>）生产经营的季节性风险</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受客户结构、行业业务特点等因素的影响，公司营业收入存在各季度分布</w:t>
      </w:r>
      <w:r>
        <w:rPr>
          <w:rFonts w:ascii="宋体" w:hAnsi="宋体" w:cs="宋体" w:eastAsia="宋体" w:hint="default"/>
          <w:spacing w:val="3"/>
          <w:sz w:val="28"/>
          <w:szCs w:val="28"/>
        </w:rPr>
      </w:r>
    </w:p>
    <w:p>
      <w:pPr>
        <w:spacing w:line="408" w:lineRule="auto" w:before="16"/>
        <w:ind w:left="1133" w:right="1144" w:firstLine="0"/>
        <w:jc w:val="both"/>
        <w:rPr>
          <w:rFonts w:ascii="宋体" w:hAnsi="宋体" w:cs="宋体" w:eastAsia="宋体" w:hint="default"/>
          <w:sz w:val="28"/>
          <w:szCs w:val="28"/>
        </w:rPr>
      </w:pPr>
      <w:r>
        <w:rPr>
          <w:rFonts w:ascii="宋体" w:hAnsi="宋体" w:cs="宋体" w:eastAsia="宋体" w:hint="default"/>
          <w:b/>
          <w:bCs/>
          <w:spacing w:val="3"/>
          <w:w w:val="95"/>
          <w:sz w:val="28"/>
          <w:szCs w:val="28"/>
        </w:rPr>
        <w:t>不均衡、前低后高的特点，公司的经营业绩有明显的季节性波动，营业收入和</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pacing w:val="3"/>
          <w:w w:val="95"/>
          <w:sz w:val="28"/>
          <w:szCs w:val="28"/>
        </w:rPr>
        <w:t>利润主要集中于下半年实现。投资者不能简单地以公司季度或中期的财务数据</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z w:val="28"/>
          <w:szCs w:val="28"/>
        </w:rPr>
        <w:t>来推算全年的经营成果、财务状况及现金流量。</w:t>
      </w:r>
      <w:r>
        <w:rPr>
          <w:rFonts w:ascii="宋体" w:hAnsi="宋体" w:cs="宋体" w:eastAsia="宋体" w:hint="default"/>
          <w:sz w:val="28"/>
          <w:szCs w:val="28"/>
        </w:rPr>
      </w:r>
    </w:p>
    <w:p>
      <w:pPr>
        <w:spacing w:line="448" w:lineRule="auto" w:before="161"/>
        <w:ind w:left="1695" w:right="0" w:firstLine="0"/>
        <w:jc w:val="left"/>
        <w:rPr>
          <w:rFonts w:ascii="宋体" w:hAnsi="宋体" w:cs="宋体" w:eastAsia="宋体" w:hint="default"/>
          <w:sz w:val="28"/>
          <w:szCs w:val="28"/>
        </w:rPr>
      </w:pPr>
      <w:r>
        <w:rPr>
          <w:rFonts w:ascii="宋体" w:hAnsi="宋体" w:cs="宋体" w:eastAsia="宋体" w:hint="default"/>
          <w:b/>
          <w:bCs/>
          <w:sz w:val="28"/>
          <w:szCs w:val="28"/>
        </w:rPr>
        <w:t>（</w:t>
      </w:r>
      <w:r>
        <w:rPr>
          <w:rFonts w:ascii="Times New Roman" w:hAnsi="Times New Roman" w:cs="Times New Roman" w:eastAsia="Times New Roman" w:hint="default"/>
          <w:b/>
          <w:bCs/>
          <w:sz w:val="28"/>
          <w:szCs w:val="28"/>
        </w:rPr>
        <w:t>2</w:t>
      </w:r>
      <w:r>
        <w:rPr>
          <w:rFonts w:ascii="宋体" w:hAnsi="宋体" w:cs="宋体" w:eastAsia="宋体" w:hint="default"/>
          <w:b/>
          <w:bCs/>
          <w:sz w:val="28"/>
          <w:szCs w:val="28"/>
        </w:rPr>
        <w:t>）技术开发风险</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近年来安防行业技术进步和技术更新换代的速度越来越快，伴随云计算、</w:t>
      </w:r>
      <w:r>
        <w:rPr>
          <w:rFonts w:ascii="宋体" w:hAnsi="宋体" w:cs="宋体" w:eastAsia="宋体" w:hint="default"/>
          <w:spacing w:val="3"/>
          <w:sz w:val="28"/>
          <w:szCs w:val="28"/>
        </w:rPr>
      </w:r>
    </w:p>
    <w:p>
      <w:pPr>
        <w:spacing w:line="408" w:lineRule="auto" w:before="14"/>
        <w:ind w:left="1133" w:right="1144" w:firstLine="0"/>
        <w:jc w:val="both"/>
        <w:rPr>
          <w:rFonts w:ascii="宋体" w:hAnsi="宋体" w:cs="宋体" w:eastAsia="宋体" w:hint="default"/>
          <w:sz w:val="28"/>
          <w:szCs w:val="28"/>
        </w:rPr>
      </w:pPr>
      <w:r>
        <w:rPr>
          <w:rFonts w:ascii="宋体" w:hAnsi="宋体" w:cs="宋体" w:eastAsia="宋体" w:hint="default"/>
          <w:b/>
          <w:bCs/>
          <w:spacing w:val="3"/>
          <w:w w:val="95"/>
          <w:sz w:val="28"/>
          <w:szCs w:val="28"/>
        </w:rPr>
        <w:t>大数据、人工智能、物联网等各种创新技术与安防业务的发展融合，客户对安</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pacing w:val="3"/>
          <w:w w:val="95"/>
          <w:sz w:val="28"/>
          <w:szCs w:val="28"/>
        </w:rPr>
        <w:t>防产品的要求也趋于专业化和个性化，公司必须全面了解业内技术发展的最新</w:t>
      </w:r>
      <w:r>
        <w:rPr>
          <w:rFonts w:ascii="宋体" w:hAnsi="宋体" w:cs="宋体" w:eastAsia="宋体" w:hint="default"/>
          <w:spacing w:val="3"/>
          <w:sz w:val="28"/>
          <w:szCs w:val="28"/>
        </w:rPr>
      </w:r>
    </w:p>
    <w:p>
      <w:pPr>
        <w:spacing w:after="0" w:line="408" w:lineRule="auto"/>
        <w:jc w:val="both"/>
        <w:rPr>
          <w:rFonts w:ascii="宋体" w:hAnsi="宋体" w:cs="宋体" w:eastAsia="宋体" w:hint="default"/>
          <w:sz w:val="28"/>
          <w:szCs w:val="28"/>
        </w:rPr>
        <w:sectPr>
          <w:pgSz w:w="11910" w:h="16840"/>
          <w:pgMar w:header="787" w:footer="640" w:top="1100" w:bottom="840" w:left="0" w:right="0"/>
        </w:sectPr>
      </w:pPr>
    </w:p>
    <w:p>
      <w:pPr>
        <w:spacing w:line="240" w:lineRule="auto" w:before="12"/>
        <w:rPr>
          <w:rFonts w:ascii="宋体" w:hAnsi="宋体" w:cs="宋体" w:eastAsia="宋体" w:hint="default"/>
          <w:b/>
          <w:bCs/>
          <w:sz w:val="2"/>
          <w:szCs w:val="2"/>
        </w:rPr>
      </w:pPr>
    </w:p>
    <w:p>
      <w:pPr>
        <w:spacing w:line="20" w:lineRule="exact"/>
        <w:ind w:left="109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5"/>
        <w:rPr>
          <w:rFonts w:ascii="宋体" w:hAnsi="宋体" w:cs="宋体" w:eastAsia="宋体" w:hint="default"/>
          <w:b/>
          <w:bCs/>
          <w:sz w:val="26"/>
          <w:szCs w:val="26"/>
        </w:rPr>
      </w:pPr>
    </w:p>
    <w:p>
      <w:pPr>
        <w:spacing w:line="410" w:lineRule="auto" w:before="13"/>
        <w:ind w:left="1134" w:right="1144" w:firstLine="0"/>
        <w:jc w:val="both"/>
        <w:rPr>
          <w:rFonts w:ascii="宋体" w:hAnsi="宋体" w:cs="宋体" w:eastAsia="宋体" w:hint="default"/>
          <w:sz w:val="28"/>
          <w:szCs w:val="28"/>
        </w:rPr>
      </w:pPr>
      <w:r>
        <w:rPr>
          <w:rFonts w:ascii="宋体" w:hAnsi="宋体" w:cs="宋体" w:eastAsia="宋体" w:hint="default"/>
          <w:b/>
          <w:bCs/>
          <w:spacing w:val="3"/>
          <w:w w:val="95"/>
          <w:sz w:val="28"/>
          <w:szCs w:val="28"/>
        </w:rPr>
        <w:t>趋势，更好的满足客户不断升级的需求。如果公司的技术和产品研发方向偏离</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pacing w:val="3"/>
          <w:w w:val="95"/>
          <w:sz w:val="28"/>
          <w:szCs w:val="28"/>
        </w:rPr>
        <w:t>市场需求，或者研发时机掌握不对，产品化速度减缓，将可能存在产品不能在</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z w:val="28"/>
          <w:szCs w:val="28"/>
        </w:rPr>
        <w:t>新的环境下形成技术优势的风险。</w:t>
      </w:r>
      <w:r>
        <w:rPr>
          <w:rFonts w:ascii="宋体" w:hAnsi="宋体" w:cs="宋体" w:eastAsia="宋体" w:hint="default"/>
          <w:sz w:val="28"/>
          <w:szCs w:val="28"/>
        </w:rPr>
      </w:r>
    </w:p>
    <w:p>
      <w:pPr>
        <w:spacing w:line="448" w:lineRule="auto" w:before="158"/>
        <w:ind w:left="1695" w:right="0" w:firstLine="0"/>
        <w:jc w:val="left"/>
        <w:rPr>
          <w:rFonts w:ascii="宋体" w:hAnsi="宋体" w:cs="宋体" w:eastAsia="宋体" w:hint="default"/>
          <w:sz w:val="28"/>
          <w:szCs w:val="28"/>
        </w:rPr>
      </w:pPr>
      <w:r>
        <w:rPr>
          <w:rFonts w:ascii="宋体" w:hAnsi="宋体" w:cs="宋体" w:eastAsia="宋体" w:hint="default"/>
          <w:b/>
          <w:bCs/>
          <w:sz w:val="28"/>
          <w:szCs w:val="28"/>
        </w:rPr>
        <w:t>（</w:t>
      </w:r>
      <w:r>
        <w:rPr>
          <w:rFonts w:ascii="Times New Roman" w:hAnsi="Times New Roman" w:cs="Times New Roman" w:eastAsia="Times New Roman" w:hint="default"/>
          <w:b/>
          <w:bCs/>
          <w:sz w:val="28"/>
          <w:szCs w:val="28"/>
        </w:rPr>
        <w:t>3</w:t>
      </w:r>
      <w:r>
        <w:rPr>
          <w:rFonts w:ascii="宋体" w:hAnsi="宋体" w:cs="宋体" w:eastAsia="宋体" w:hint="default"/>
          <w:b/>
          <w:bCs/>
          <w:sz w:val="28"/>
          <w:szCs w:val="28"/>
        </w:rPr>
        <w:t>）管理风险</w:t>
      </w:r>
      <w:r>
        <w:rPr>
          <w:rFonts w:ascii="宋体" w:hAnsi="宋体" w:cs="宋体" w:eastAsia="宋体" w:hint="default"/>
          <w:b/>
          <w:bCs/>
          <w:spacing w:val="1"/>
          <w:w w:val="99"/>
          <w:sz w:val="28"/>
          <w:szCs w:val="28"/>
        </w:rPr>
        <w:t> </w:t>
      </w:r>
      <w:r>
        <w:rPr>
          <w:rFonts w:ascii="宋体" w:hAnsi="宋体" w:cs="宋体" w:eastAsia="宋体" w:hint="default"/>
          <w:b/>
          <w:bCs/>
          <w:spacing w:val="3"/>
          <w:w w:val="95"/>
          <w:sz w:val="28"/>
          <w:szCs w:val="28"/>
        </w:rPr>
        <w:t>随着公司规模和业务的不断扩张，公司控制或参股的企业数量随之增加，</w:t>
      </w:r>
      <w:r>
        <w:rPr>
          <w:rFonts w:ascii="宋体" w:hAnsi="宋体" w:cs="宋体" w:eastAsia="宋体" w:hint="default"/>
          <w:spacing w:val="3"/>
          <w:sz w:val="28"/>
          <w:szCs w:val="28"/>
        </w:rPr>
      </w:r>
    </w:p>
    <w:p>
      <w:pPr>
        <w:spacing w:line="408" w:lineRule="auto" w:before="14"/>
        <w:ind w:left="1133" w:right="1142" w:firstLine="0"/>
        <w:jc w:val="both"/>
        <w:rPr>
          <w:rFonts w:ascii="宋体" w:hAnsi="宋体" w:cs="宋体" w:eastAsia="宋体" w:hint="default"/>
          <w:sz w:val="28"/>
          <w:szCs w:val="28"/>
        </w:rPr>
      </w:pPr>
      <w:r>
        <w:rPr>
          <w:rFonts w:ascii="宋体" w:hAnsi="宋体" w:cs="宋体" w:eastAsia="宋体" w:hint="default"/>
          <w:b/>
          <w:bCs/>
          <w:spacing w:val="3"/>
          <w:w w:val="95"/>
          <w:sz w:val="28"/>
          <w:szCs w:val="28"/>
        </w:rPr>
        <w:t>业务范围也在金融安防的基础上逐步向其他领域延伸。若公司的研发管理、生</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pacing w:val="3"/>
          <w:w w:val="95"/>
          <w:sz w:val="28"/>
          <w:szCs w:val="28"/>
        </w:rPr>
        <w:t>产管理、销售管理、质量控制等不能适应公司规模扩张的要求，人才培养、组</w:t>
      </w:r>
      <w:r>
        <w:rPr>
          <w:rFonts w:ascii="宋体" w:hAnsi="宋体" w:cs="宋体" w:eastAsia="宋体" w:hint="default"/>
          <w:b/>
          <w:bCs/>
          <w:spacing w:val="25"/>
          <w:w w:val="95"/>
          <w:sz w:val="28"/>
          <w:szCs w:val="28"/>
        </w:rPr>
        <w:t> </w:t>
      </w:r>
      <w:r>
        <w:rPr>
          <w:rFonts w:ascii="宋体" w:hAnsi="宋体" w:cs="宋体" w:eastAsia="宋体" w:hint="default"/>
          <w:b/>
          <w:bCs/>
          <w:spacing w:val="25"/>
          <w:w w:val="95"/>
          <w:sz w:val="28"/>
          <w:szCs w:val="28"/>
        </w:rPr>
      </w:r>
      <w:r>
        <w:rPr>
          <w:rFonts w:ascii="宋体" w:hAnsi="宋体" w:cs="宋体" w:eastAsia="宋体" w:hint="default"/>
          <w:b/>
          <w:bCs/>
          <w:sz w:val="28"/>
          <w:szCs w:val="28"/>
        </w:rPr>
        <w:t>织模式和管理制度不能随之进一步健全和完善，将会引发相应的管理风险。</w:t>
      </w:r>
      <w:r>
        <w:rPr>
          <w:rFonts w:ascii="宋体" w:hAnsi="宋体" w:cs="宋体" w:eastAsia="宋体" w:hint="default"/>
          <w:sz w:val="28"/>
          <w:szCs w:val="28"/>
        </w:rPr>
      </w:r>
    </w:p>
    <w:p>
      <w:pPr>
        <w:spacing w:line="446" w:lineRule="auto" w:before="161"/>
        <w:ind w:left="1695" w:right="0" w:firstLine="0"/>
        <w:jc w:val="left"/>
        <w:rPr>
          <w:rFonts w:ascii="宋体" w:hAnsi="宋体" w:cs="宋体" w:eastAsia="宋体" w:hint="default"/>
          <w:sz w:val="28"/>
          <w:szCs w:val="28"/>
        </w:rPr>
      </w:pPr>
      <w:r>
        <w:rPr>
          <w:rFonts w:ascii="宋体" w:hAnsi="宋体" w:cs="宋体" w:eastAsia="宋体" w:hint="default"/>
          <w:b/>
          <w:bCs/>
          <w:sz w:val="28"/>
          <w:szCs w:val="28"/>
        </w:rPr>
        <w:t>（</w:t>
      </w:r>
      <w:r>
        <w:rPr>
          <w:rFonts w:ascii="Times New Roman" w:hAnsi="Times New Roman" w:cs="Times New Roman" w:eastAsia="Times New Roman" w:hint="default"/>
          <w:b/>
          <w:bCs/>
          <w:sz w:val="28"/>
          <w:szCs w:val="28"/>
        </w:rPr>
        <w:t>4</w:t>
      </w:r>
      <w:r>
        <w:rPr>
          <w:rFonts w:ascii="宋体" w:hAnsi="宋体" w:cs="宋体" w:eastAsia="宋体" w:hint="default"/>
          <w:b/>
          <w:bCs/>
          <w:sz w:val="28"/>
          <w:szCs w:val="28"/>
        </w:rPr>
        <w:t>）人力资源风险</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经过多年发展，公司已形成一支稳定、高效的员工队伍，为公司规范运作</w:t>
      </w:r>
      <w:r>
        <w:rPr>
          <w:rFonts w:ascii="宋体" w:hAnsi="宋体" w:cs="宋体" w:eastAsia="宋体" w:hint="default"/>
          <w:spacing w:val="3"/>
          <w:sz w:val="28"/>
          <w:szCs w:val="28"/>
        </w:rPr>
      </w:r>
    </w:p>
    <w:p>
      <w:pPr>
        <w:spacing w:line="408" w:lineRule="auto" w:before="17"/>
        <w:ind w:left="1133" w:right="1139" w:firstLine="0"/>
        <w:jc w:val="both"/>
        <w:rPr>
          <w:rFonts w:ascii="宋体" w:hAnsi="宋体" w:cs="宋体" w:eastAsia="宋体" w:hint="default"/>
          <w:sz w:val="28"/>
          <w:szCs w:val="28"/>
        </w:rPr>
      </w:pPr>
      <w:r>
        <w:rPr>
          <w:rFonts w:ascii="宋体" w:hAnsi="宋体" w:cs="宋体" w:eastAsia="宋体" w:hint="default"/>
          <w:b/>
          <w:bCs/>
          <w:spacing w:val="3"/>
          <w:w w:val="95"/>
          <w:sz w:val="28"/>
          <w:szCs w:val="28"/>
        </w:rPr>
        <w:t>奠定了可靠的人力资源基础。随着公司业务规模和领域的拓展需要更多的专业</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pacing w:val="3"/>
          <w:w w:val="95"/>
          <w:sz w:val="28"/>
          <w:szCs w:val="28"/>
        </w:rPr>
        <w:t>人才，这也成为公司可持续发展的关键因素。此外，公司也面临市场竞争加剧</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pacing w:val="3"/>
          <w:w w:val="95"/>
          <w:sz w:val="28"/>
          <w:szCs w:val="28"/>
        </w:rPr>
        <w:t>导致人力资源成本上升的问题。尽管公司已加大对紧缺人才的引进力度，加强</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pacing w:val="3"/>
          <w:w w:val="95"/>
          <w:sz w:val="28"/>
          <w:szCs w:val="28"/>
        </w:rPr>
        <w:t>现有人员在技术、管理等方面的培训，同时立足企业文化建设，增强企业凝聚</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pacing w:val="3"/>
          <w:w w:val="95"/>
          <w:sz w:val="28"/>
          <w:szCs w:val="28"/>
        </w:rPr>
        <w:t>力，但如果公司不能按照实际需要实现人才引进和培养，建立和完善人才激励</w:t>
      </w:r>
      <w:r>
        <w:rPr>
          <w:rFonts w:ascii="宋体" w:hAnsi="宋体" w:cs="宋体" w:eastAsia="宋体" w:hint="default"/>
          <w:b/>
          <w:bCs/>
          <w:spacing w:val="27"/>
          <w:w w:val="95"/>
          <w:sz w:val="28"/>
          <w:szCs w:val="28"/>
        </w:rPr>
        <w:t> </w:t>
      </w:r>
      <w:r>
        <w:rPr>
          <w:rFonts w:ascii="宋体" w:hAnsi="宋体" w:cs="宋体" w:eastAsia="宋体" w:hint="default"/>
          <w:b/>
          <w:bCs/>
          <w:spacing w:val="27"/>
          <w:w w:val="95"/>
          <w:sz w:val="28"/>
          <w:szCs w:val="28"/>
        </w:rPr>
      </w:r>
      <w:r>
        <w:rPr>
          <w:rFonts w:ascii="宋体" w:hAnsi="宋体" w:cs="宋体" w:eastAsia="宋体" w:hint="default"/>
          <w:b/>
          <w:bCs/>
          <w:sz w:val="28"/>
          <w:szCs w:val="28"/>
        </w:rPr>
        <w:t>机制，公司的生产经营和战略目标的实现可能会受到人力资源的制约。</w:t>
      </w:r>
      <w:r>
        <w:rPr>
          <w:rFonts w:ascii="宋体" w:hAnsi="宋体" w:cs="宋体" w:eastAsia="宋体" w:hint="default"/>
          <w:sz w:val="28"/>
          <w:szCs w:val="28"/>
        </w:rPr>
      </w:r>
    </w:p>
    <w:p>
      <w:pPr>
        <w:spacing w:before="161"/>
        <w:ind w:left="1695" w:right="0" w:firstLine="0"/>
        <w:jc w:val="left"/>
        <w:rPr>
          <w:rFonts w:ascii="宋体" w:hAnsi="宋体" w:cs="宋体" w:eastAsia="宋体" w:hint="default"/>
          <w:sz w:val="28"/>
          <w:szCs w:val="28"/>
        </w:rPr>
      </w:pPr>
      <w:r>
        <w:rPr>
          <w:rFonts w:ascii="宋体" w:hAnsi="宋体" w:cs="宋体" w:eastAsia="宋体" w:hint="default"/>
          <w:b/>
          <w:bCs/>
          <w:sz w:val="28"/>
          <w:szCs w:val="28"/>
        </w:rPr>
        <w:t>公司经本次董事会审议通过的利润分配预案为：以</w:t>
      </w:r>
      <w:r>
        <w:rPr>
          <w:rFonts w:ascii="宋体" w:hAnsi="宋体" w:cs="宋体" w:eastAsia="宋体" w:hint="default"/>
          <w:b/>
          <w:bCs/>
          <w:spacing w:val="-93"/>
          <w:sz w:val="28"/>
          <w:szCs w:val="28"/>
        </w:rPr>
        <w:t> </w:t>
      </w:r>
      <w:r>
        <w:rPr>
          <w:rFonts w:ascii="Times New Roman" w:hAnsi="Times New Roman" w:cs="Times New Roman" w:eastAsia="Times New Roman" w:hint="default"/>
          <w:b/>
          <w:bCs/>
          <w:sz w:val="28"/>
          <w:szCs w:val="28"/>
        </w:rPr>
        <w:t>218,370,659</w:t>
      </w:r>
      <w:r>
        <w:rPr>
          <w:rFonts w:ascii="Times New Roman" w:hAnsi="Times New Roman" w:cs="Times New Roman" w:eastAsia="Times New Roman" w:hint="default"/>
          <w:b/>
          <w:bCs/>
          <w:spacing w:val="-26"/>
          <w:sz w:val="28"/>
          <w:szCs w:val="28"/>
        </w:rPr>
        <w:t> </w:t>
      </w:r>
      <w:r>
        <w:rPr>
          <w:rFonts w:ascii="宋体" w:hAnsi="宋体" w:cs="宋体" w:eastAsia="宋体" w:hint="default"/>
          <w:b/>
          <w:bCs/>
          <w:spacing w:val="-6"/>
          <w:sz w:val="28"/>
          <w:szCs w:val="28"/>
        </w:rPr>
        <w:t>为基数，向</w:t>
      </w:r>
      <w:r>
        <w:rPr>
          <w:rFonts w:ascii="宋体" w:hAnsi="宋体" w:cs="宋体" w:eastAsia="宋体" w:hint="default"/>
          <w:spacing w:val="-6"/>
          <w:sz w:val="28"/>
          <w:szCs w:val="28"/>
        </w:rPr>
      </w:r>
    </w:p>
    <w:p>
      <w:pPr>
        <w:spacing w:before="236"/>
        <w:ind w:left="1133" w:right="0" w:firstLine="0"/>
        <w:jc w:val="both"/>
        <w:rPr>
          <w:rFonts w:ascii="宋体" w:hAnsi="宋体" w:cs="宋体" w:eastAsia="宋体" w:hint="default"/>
          <w:sz w:val="28"/>
          <w:szCs w:val="28"/>
        </w:rPr>
      </w:pPr>
      <w:r>
        <w:rPr>
          <w:rFonts w:ascii="宋体" w:hAnsi="宋体" w:cs="宋体" w:eastAsia="宋体" w:hint="default"/>
          <w:b/>
          <w:bCs/>
          <w:w w:val="99"/>
          <w:sz w:val="28"/>
          <w:szCs w:val="28"/>
        </w:rPr>
        <w:t>全体股</w:t>
      </w:r>
      <w:r>
        <w:rPr>
          <w:rFonts w:ascii="宋体" w:hAnsi="宋体" w:cs="宋体" w:eastAsia="宋体" w:hint="default"/>
          <w:b/>
          <w:bCs/>
          <w:spacing w:val="2"/>
          <w:w w:val="99"/>
          <w:sz w:val="28"/>
          <w:szCs w:val="28"/>
        </w:rPr>
        <w:t>东</w:t>
      </w:r>
      <w:r>
        <w:rPr>
          <w:rFonts w:ascii="宋体" w:hAnsi="宋体" w:cs="宋体" w:eastAsia="宋体" w:hint="default"/>
          <w:b/>
          <w:bCs/>
          <w:w w:val="99"/>
          <w:sz w:val="28"/>
          <w:szCs w:val="28"/>
        </w:rPr>
        <w:t>每</w:t>
      </w:r>
      <w:r>
        <w:rPr>
          <w:rFonts w:ascii="宋体" w:hAnsi="宋体" w:cs="宋体" w:eastAsia="宋体" w:hint="default"/>
          <w:b/>
          <w:bCs/>
          <w:spacing w:val="-68"/>
          <w:sz w:val="28"/>
          <w:szCs w:val="28"/>
        </w:rPr>
        <w:t> </w:t>
      </w:r>
      <w:r>
        <w:rPr>
          <w:rFonts w:ascii="Times New Roman" w:hAnsi="Times New Roman" w:cs="Times New Roman" w:eastAsia="Times New Roman" w:hint="default"/>
          <w:b/>
          <w:bCs/>
          <w:w w:val="99"/>
          <w:sz w:val="28"/>
          <w:szCs w:val="28"/>
        </w:rPr>
        <w:t>10</w:t>
      </w:r>
      <w:r>
        <w:rPr>
          <w:rFonts w:ascii="Times New Roman" w:hAnsi="Times New Roman" w:cs="Times New Roman" w:eastAsia="Times New Roman" w:hint="default"/>
          <w:b/>
          <w:bCs/>
          <w:spacing w:val="1"/>
          <w:sz w:val="28"/>
          <w:szCs w:val="28"/>
        </w:rPr>
        <w:t> </w:t>
      </w:r>
      <w:r>
        <w:rPr>
          <w:rFonts w:ascii="宋体" w:hAnsi="宋体" w:cs="宋体" w:eastAsia="宋体" w:hint="default"/>
          <w:b/>
          <w:bCs/>
          <w:w w:val="99"/>
          <w:sz w:val="28"/>
          <w:szCs w:val="28"/>
        </w:rPr>
        <w:t>股派发现</w:t>
      </w:r>
      <w:r>
        <w:rPr>
          <w:rFonts w:ascii="宋体" w:hAnsi="宋体" w:cs="宋体" w:eastAsia="宋体" w:hint="default"/>
          <w:b/>
          <w:bCs/>
          <w:spacing w:val="2"/>
          <w:w w:val="99"/>
          <w:sz w:val="28"/>
          <w:szCs w:val="28"/>
        </w:rPr>
        <w:t>金</w:t>
      </w:r>
      <w:r>
        <w:rPr>
          <w:rFonts w:ascii="宋体" w:hAnsi="宋体" w:cs="宋体" w:eastAsia="宋体" w:hint="default"/>
          <w:b/>
          <w:bCs/>
          <w:w w:val="99"/>
          <w:sz w:val="28"/>
          <w:szCs w:val="28"/>
        </w:rPr>
        <w:t>红利</w:t>
      </w:r>
      <w:r>
        <w:rPr>
          <w:rFonts w:ascii="宋体" w:hAnsi="宋体" w:cs="宋体" w:eastAsia="宋体" w:hint="default"/>
          <w:b/>
          <w:bCs/>
          <w:spacing w:val="-68"/>
          <w:sz w:val="28"/>
          <w:szCs w:val="28"/>
        </w:rPr>
        <w:t> </w:t>
      </w:r>
      <w:r>
        <w:rPr>
          <w:rFonts w:ascii="Times New Roman" w:hAnsi="Times New Roman" w:cs="Times New Roman" w:eastAsia="Times New Roman" w:hint="default"/>
          <w:b/>
          <w:bCs/>
          <w:w w:val="99"/>
          <w:sz w:val="28"/>
          <w:szCs w:val="28"/>
        </w:rPr>
        <w:t>1.02</w:t>
      </w:r>
      <w:r>
        <w:rPr>
          <w:rFonts w:ascii="Times New Roman" w:hAnsi="Times New Roman" w:cs="Times New Roman" w:eastAsia="Times New Roman" w:hint="default"/>
          <w:b/>
          <w:bCs/>
          <w:sz w:val="28"/>
          <w:szCs w:val="28"/>
        </w:rPr>
        <w:t> </w:t>
      </w:r>
      <w:r>
        <w:rPr>
          <w:rFonts w:ascii="宋体" w:hAnsi="宋体" w:cs="宋体" w:eastAsia="宋体" w:hint="default"/>
          <w:b/>
          <w:bCs/>
          <w:spacing w:val="-28"/>
          <w:w w:val="99"/>
          <w:sz w:val="28"/>
          <w:szCs w:val="28"/>
        </w:rPr>
        <w:t>元</w:t>
      </w:r>
      <w:r>
        <w:rPr>
          <w:rFonts w:ascii="宋体" w:hAnsi="宋体" w:cs="宋体" w:eastAsia="宋体" w:hint="default"/>
          <w:b/>
          <w:bCs/>
          <w:w w:val="99"/>
          <w:sz w:val="28"/>
          <w:szCs w:val="28"/>
        </w:rPr>
        <w:t>（含</w:t>
      </w:r>
      <w:r>
        <w:rPr>
          <w:rFonts w:ascii="宋体" w:hAnsi="宋体" w:cs="宋体" w:eastAsia="宋体" w:hint="default"/>
          <w:b/>
          <w:bCs/>
          <w:spacing w:val="2"/>
          <w:w w:val="99"/>
          <w:sz w:val="28"/>
          <w:szCs w:val="28"/>
        </w:rPr>
        <w:t>税</w:t>
      </w:r>
      <w:r>
        <w:rPr>
          <w:rFonts w:ascii="宋体" w:hAnsi="宋体" w:cs="宋体" w:eastAsia="宋体" w:hint="default"/>
          <w:b/>
          <w:bCs/>
          <w:spacing w:val="-140"/>
          <w:w w:val="99"/>
          <w:sz w:val="28"/>
          <w:szCs w:val="28"/>
        </w:rPr>
        <w:t>）</w:t>
      </w:r>
      <w:r>
        <w:rPr>
          <w:rFonts w:ascii="宋体" w:hAnsi="宋体" w:cs="宋体" w:eastAsia="宋体" w:hint="default"/>
          <w:b/>
          <w:bCs/>
          <w:spacing w:val="-28"/>
          <w:w w:val="99"/>
          <w:sz w:val="28"/>
          <w:szCs w:val="28"/>
        </w:rPr>
        <w:t>，</w:t>
      </w:r>
      <w:r>
        <w:rPr>
          <w:rFonts w:ascii="宋体" w:hAnsi="宋体" w:cs="宋体" w:eastAsia="宋体" w:hint="default"/>
          <w:b/>
          <w:bCs/>
          <w:w w:val="99"/>
          <w:sz w:val="28"/>
          <w:szCs w:val="28"/>
        </w:rPr>
        <w:t>送</w:t>
      </w:r>
      <w:r>
        <w:rPr>
          <w:rFonts w:ascii="宋体" w:hAnsi="宋体" w:cs="宋体" w:eastAsia="宋体" w:hint="default"/>
          <w:b/>
          <w:bCs/>
          <w:spacing w:val="2"/>
          <w:w w:val="99"/>
          <w:sz w:val="28"/>
          <w:szCs w:val="28"/>
        </w:rPr>
        <w:t>红</w:t>
      </w:r>
      <w:r>
        <w:rPr>
          <w:rFonts w:ascii="宋体" w:hAnsi="宋体" w:cs="宋体" w:eastAsia="宋体" w:hint="default"/>
          <w:b/>
          <w:bCs/>
          <w:w w:val="99"/>
          <w:sz w:val="28"/>
          <w:szCs w:val="28"/>
        </w:rPr>
        <w:t>股</w:t>
      </w:r>
      <w:r>
        <w:rPr>
          <w:rFonts w:ascii="宋体" w:hAnsi="宋体" w:cs="宋体" w:eastAsia="宋体" w:hint="default"/>
          <w:b/>
          <w:bCs/>
          <w:spacing w:val="-68"/>
          <w:sz w:val="28"/>
          <w:szCs w:val="28"/>
        </w:rPr>
        <w:t> </w:t>
      </w:r>
      <w:r>
        <w:rPr>
          <w:rFonts w:ascii="Times New Roman" w:hAnsi="Times New Roman" w:cs="Times New Roman" w:eastAsia="Times New Roman" w:hint="default"/>
          <w:b/>
          <w:bCs/>
          <w:w w:val="99"/>
          <w:sz w:val="28"/>
          <w:szCs w:val="28"/>
        </w:rPr>
        <w:t>0</w:t>
      </w:r>
      <w:r>
        <w:rPr>
          <w:rFonts w:ascii="Times New Roman" w:hAnsi="Times New Roman" w:cs="Times New Roman" w:eastAsia="Times New Roman" w:hint="default"/>
          <w:b/>
          <w:bCs/>
          <w:spacing w:val="-9"/>
          <w:sz w:val="28"/>
          <w:szCs w:val="28"/>
        </w:rPr>
        <w:t> </w:t>
      </w:r>
      <w:r>
        <w:rPr>
          <w:rFonts w:ascii="宋体" w:hAnsi="宋体" w:cs="宋体" w:eastAsia="宋体" w:hint="default"/>
          <w:b/>
          <w:bCs/>
          <w:spacing w:val="-28"/>
          <w:w w:val="99"/>
          <w:sz w:val="28"/>
          <w:szCs w:val="28"/>
        </w:rPr>
        <w:t>股</w:t>
      </w:r>
      <w:r>
        <w:rPr>
          <w:rFonts w:ascii="宋体" w:hAnsi="宋体" w:cs="宋体" w:eastAsia="宋体" w:hint="default"/>
          <w:b/>
          <w:bCs/>
          <w:w w:val="99"/>
          <w:sz w:val="28"/>
          <w:szCs w:val="28"/>
        </w:rPr>
        <w:t>（含税</w:t>
      </w:r>
      <w:r>
        <w:rPr>
          <w:rFonts w:ascii="宋体" w:hAnsi="宋体" w:cs="宋体" w:eastAsia="宋体" w:hint="default"/>
          <w:b/>
          <w:bCs/>
          <w:spacing w:val="-140"/>
          <w:w w:val="99"/>
          <w:sz w:val="28"/>
          <w:szCs w:val="28"/>
        </w:rPr>
        <w:t>）</w:t>
      </w:r>
      <w:r>
        <w:rPr>
          <w:rFonts w:ascii="宋体" w:hAnsi="宋体" w:cs="宋体" w:eastAsia="宋体" w:hint="default"/>
          <w:b/>
          <w:bCs/>
          <w:spacing w:val="-27"/>
          <w:w w:val="99"/>
          <w:sz w:val="28"/>
          <w:szCs w:val="28"/>
        </w:rPr>
        <w:t>，</w:t>
      </w:r>
      <w:r>
        <w:rPr>
          <w:rFonts w:ascii="宋体" w:hAnsi="宋体" w:cs="宋体" w:eastAsia="宋体" w:hint="default"/>
          <w:b/>
          <w:bCs/>
          <w:w w:val="99"/>
          <w:sz w:val="28"/>
          <w:szCs w:val="28"/>
        </w:rPr>
        <w:t>以资本公</w:t>
      </w:r>
      <w:r>
        <w:rPr>
          <w:rFonts w:ascii="宋体" w:hAnsi="宋体" w:cs="宋体" w:eastAsia="宋体" w:hint="default"/>
          <w:sz w:val="28"/>
          <w:szCs w:val="28"/>
        </w:rPr>
      </w:r>
    </w:p>
    <w:p>
      <w:pPr>
        <w:spacing w:before="237"/>
        <w:ind w:left="1133" w:right="0" w:firstLine="0"/>
        <w:jc w:val="both"/>
        <w:rPr>
          <w:rFonts w:ascii="宋体" w:hAnsi="宋体" w:cs="宋体" w:eastAsia="宋体" w:hint="default"/>
          <w:sz w:val="28"/>
          <w:szCs w:val="28"/>
        </w:rPr>
      </w:pPr>
      <w:r>
        <w:rPr>
          <w:rFonts w:ascii="宋体" w:hAnsi="宋体" w:cs="宋体" w:eastAsia="宋体" w:hint="default"/>
          <w:b/>
          <w:bCs/>
          <w:sz w:val="28"/>
          <w:szCs w:val="28"/>
        </w:rPr>
        <w:t>积金向全体股东每</w:t>
      </w:r>
      <w:r>
        <w:rPr>
          <w:rFonts w:ascii="宋体" w:hAnsi="宋体" w:cs="宋体" w:eastAsia="宋体" w:hint="default"/>
          <w:b/>
          <w:bCs/>
          <w:spacing w:val="-71"/>
          <w:sz w:val="28"/>
          <w:szCs w:val="28"/>
        </w:rPr>
        <w:t> </w:t>
      </w:r>
      <w:r>
        <w:rPr>
          <w:rFonts w:ascii="Times New Roman" w:hAnsi="Times New Roman" w:cs="Times New Roman" w:eastAsia="Times New Roman" w:hint="default"/>
          <w:b/>
          <w:bCs/>
          <w:sz w:val="28"/>
          <w:szCs w:val="28"/>
        </w:rPr>
        <w:t>10</w:t>
      </w:r>
      <w:r>
        <w:rPr>
          <w:rFonts w:ascii="Times New Roman" w:hAnsi="Times New Roman" w:cs="Times New Roman" w:eastAsia="Times New Roman" w:hint="default"/>
          <w:b/>
          <w:bCs/>
          <w:spacing w:val="-3"/>
          <w:sz w:val="28"/>
          <w:szCs w:val="28"/>
        </w:rPr>
        <w:t> </w:t>
      </w:r>
      <w:r>
        <w:rPr>
          <w:rFonts w:ascii="宋体" w:hAnsi="宋体" w:cs="宋体" w:eastAsia="宋体" w:hint="default"/>
          <w:b/>
          <w:bCs/>
          <w:sz w:val="28"/>
          <w:szCs w:val="28"/>
        </w:rPr>
        <w:t>股转增</w:t>
      </w:r>
      <w:r>
        <w:rPr>
          <w:rFonts w:ascii="宋体" w:hAnsi="宋体" w:cs="宋体" w:eastAsia="宋体" w:hint="default"/>
          <w:b/>
          <w:bCs/>
          <w:spacing w:val="-73"/>
          <w:sz w:val="28"/>
          <w:szCs w:val="28"/>
        </w:rPr>
        <w:t> </w:t>
      </w:r>
      <w:r>
        <w:rPr>
          <w:rFonts w:ascii="Times New Roman" w:hAnsi="Times New Roman" w:cs="Times New Roman" w:eastAsia="Times New Roman" w:hint="default"/>
          <w:b/>
          <w:bCs/>
          <w:sz w:val="28"/>
          <w:szCs w:val="28"/>
        </w:rPr>
        <w:t>8</w:t>
      </w:r>
      <w:r>
        <w:rPr>
          <w:rFonts w:ascii="Times New Roman" w:hAnsi="Times New Roman" w:cs="Times New Roman" w:eastAsia="Times New Roman" w:hint="default"/>
          <w:b/>
          <w:bCs/>
          <w:spacing w:val="-3"/>
          <w:sz w:val="28"/>
          <w:szCs w:val="28"/>
        </w:rPr>
        <w:t> </w:t>
      </w:r>
      <w:r>
        <w:rPr>
          <w:rFonts w:ascii="宋体" w:hAnsi="宋体" w:cs="宋体" w:eastAsia="宋体" w:hint="default"/>
          <w:b/>
          <w:bCs/>
          <w:sz w:val="28"/>
          <w:szCs w:val="28"/>
        </w:rPr>
        <w:t>股。</w:t>
      </w:r>
      <w:r>
        <w:rPr>
          <w:rFonts w:ascii="宋体" w:hAnsi="宋体" w:cs="宋体" w:eastAsia="宋体" w:hint="default"/>
          <w:sz w:val="28"/>
          <w:szCs w:val="28"/>
        </w:rPr>
      </w:r>
    </w:p>
    <w:p>
      <w:pPr>
        <w:spacing w:after="0"/>
        <w:jc w:val="both"/>
        <w:rPr>
          <w:rFonts w:ascii="宋体" w:hAnsi="宋体" w:cs="宋体" w:eastAsia="宋体" w:hint="default"/>
          <w:sz w:val="28"/>
          <w:szCs w:val="28"/>
        </w:rPr>
        <w:sectPr>
          <w:pgSz w:w="11910" w:h="16840"/>
          <w:pgMar w:header="787" w:footer="640" w:top="1100" w:bottom="840" w:left="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7"/>
          <w:szCs w:val="27"/>
        </w:rPr>
      </w:pPr>
    </w:p>
    <w:p>
      <w:pPr>
        <w:spacing w:line="460" w:lineRule="exact" w:before="0"/>
        <w:ind w:left="4090" w:right="4089"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1"/>
        <w:rPr>
          <w:rFonts w:ascii="宋体" w:hAnsi="宋体" w:cs="宋体" w:eastAsia="宋体" w:hint="default"/>
          <w:b/>
          <w:bCs/>
          <w:sz w:val="42"/>
          <w:szCs w:val="42"/>
        </w:rPr>
      </w:pPr>
    </w:p>
    <w:sdt>
      <w:sdtPr>
        <w:docPartObj>
          <w:docPartGallery w:val="Table of Contents"/>
          <w:docPartUnique/>
        </w:docPartObj>
      </w:sdtPr>
      <w:sdtEndPr/>
      <w:sdtContent>
        <w:p>
          <w:pPr>
            <w:pStyle w:val="TOC1"/>
            <w:tabs>
              <w:tab w:pos="10762" w:val="right" w:leader="dot"/>
            </w:tabs>
            <w:spacing w:line="240" w:lineRule="auto" w:before="0"/>
            <w:ind w:right="0"/>
            <w:jc w:val="left"/>
            <w:rPr>
              <w:rFonts w:ascii="Times New Roman" w:hAnsi="Times New Roman" w:cs="Times New Roman" w:eastAsia="Times New Roman" w:hint="default"/>
              <w:b w:val="0"/>
              <w:bCs w:val="0"/>
            </w:rPr>
          </w:pPr>
          <w:hyperlink w:history="true" w:anchor="_bookmark0">
            <w:r>
              <w:rPr/>
              <w:t>第一节</w:t>
            </w:r>
            <w:r>
              <w:rPr>
                <w:spacing w:val="-19"/>
              </w:rPr>
              <w:t> </w:t>
            </w:r>
            <w:r>
              <w:rPr/>
              <w:t>重要提示、目录和释义</w:t>
            </w:r>
            <w:r>
              <w:rPr>
                <w:rFonts w:ascii="Times New Roman" w:hAnsi="Times New Roman" w:cs="Times New Roman" w:eastAsia="Times New Roman" w:hint="default"/>
              </w:rPr>
              <w:tab/>
              <w:t>6</w:t>
            </w:r>
            <w:r>
              <w:rPr>
                <w:rFonts w:ascii="Times New Roman" w:hAnsi="Times New Roman" w:cs="Times New Roman" w:eastAsia="Times New Roman" w:hint="default"/>
                <w:b w:val="0"/>
                <w:bCs w:val="0"/>
              </w:rPr>
            </w:r>
          </w:hyperlink>
        </w:p>
        <w:p>
          <w:pPr>
            <w:pStyle w:val="TOC1"/>
            <w:tabs>
              <w:tab w:pos="10762" w:val="right" w:leader="dot"/>
            </w:tabs>
            <w:spacing w:line="240" w:lineRule="auto"/>
            <w:ind w:right="0"/>
            <w:jc w:val="left"/>
            <w:rPr>
              <w:rFonts w:ascii="Times New Roman" w:hAnsi="Times New Roman" w:cs="Times New Roman" w:eastAsia="Times New Roman" w:hint="default"/>
              <w:b w:val="0"/>
              <w:bCs w:val="0"/>
            </w:rPr>
          </w:pPr>
          <w:hyperlink w:history="true" w:anchor="_bookmark1">
            <w:r>
              <w:rPr/>
              <w:t>第二节</w:t>
            </w:r>
            <w:r>
              <w:rPr>
                <w:spacing w:val="-19"/>
              </w:rPr>
              <w:t> </w:t>
            </w:r>
            <w:r>
              <w:rPr/>
              <w:t>公司简介和主要财务指标</w:t>
            </w:r>
            <w:r>
              <w:rPr>
                <w:rFonts w:ascii="Times New Roman" w:hAnsi="Times New Roman" w:cs="Times New Roman" w:eastAsia="Times New Roman" w:hint="default"/>
              </w:rPr>
              <w:tab/>
              <w:t>10</w:t>
            </w:r>
            <w:r>
              <w:rPr>
                <w:rFonts w:ascii="Times New Roman" w:hAnsi="Times New Roman" w:cs="Times New Roman" w:eastAsia="Times New Roman" w:hint="default"/>
                <w:b w:val="0"/>
                <w:bCs w:val="0"/>
              </w:rPr>
            </w:r>
          </w:hyperlink>
        </w:p>
        <w:p>
          <w:pPr>
            <w:pStyle w:val="TOC1"/>
            <w:tabs>
              <w:tab w:pos="10762" w:val="right" w:leader="dot"/>
            </w:tabs>
            <w:spacing w:line="240" w:lineRule="auto"/>
            <w:ind w:right="0"/>
            <w:jc w:val="left"/>
            <w:rPr>
              <w:rFonts w:ascii="Times New Roman" w:hAnsi="Times New Roman" w:cs="Times New Roman" w:eastAsia="Times New Roman" w:hint="default"/>
              <w:b w:val="0"/>
              <w:bCs w:val="0"/>
            </w:rPr>
          </w:pPr>
          <w:hyperlink w:history="true" w:anchor="_bookmark2">
            <w:r>
              <w:rPr/>
              <w:t>第三节</w:t>
            </w:r>
            <w:r>
              <w:rPr>
                <w:spacing w:val="-19"/>
              </w:rPr>
              <w:t> </w:t>
            </w:r>
            <w:r>
              <w:rPr/>
              <w:t>公司业务概要</w:t>
            </w:r>
            <w:r>
              <w:rPr>
                <w:rFonts w:ascii="Times New Roman" w:hAnsi="Times New Roman" w:cs="Times New Roman" w:eastAsia="Times New Roman" w:hint="default"/>
              </w:rPr>
              <w:tab/>
              <w:t>14</w:t>
            </w:r>
            <w:r>
              <w:rPr>
                <w:rFonts w:ascii="Times New Roman" w:hAnsi="Times New Roman" w:cs="Times New Roman" w:eastAsia="Times New Roman" w:hint="default"/>
                <w:b w:val="0"/>
                <w:bCs w:val="0"/>
              </w:rPr>
            </w:r>
          </w:hyperlink>
        </w:p>
        <w:p>
          <w:pPr>
            <w:pStyle w:val="TOC1"/>
            <w:tabs>
              <w:tab w:pos="10762" w:val="right" w:leader="dot"/>
            </w:tabs>
            <w:spacing w:line="240" w:lineRule="auto"/>
            <w:ind w:right="0"/>
            <w:jc w:val="left"/>
            <w:rPr>
              <w:rFonts w:ascii="Times New Roman" w:hAnsi="Times New Roman" w:cs="Times New Roman" w:eastAsia="Times New Roman" w:hint="default"/>
              <w:b w:val="0"/>
              <w:bCs w:val="0"/>
            </w:rPr>
          </w:pPr>
          <w:hyperlink w:history="true" w:anchor="_bookmark3">
            <w:r>
              <w:rPr/>
              <w:t>第四节</w:t>
            </w:r>
            <w:r>
              <w:rPr>
                <w:spacing w:val="-19"/>
              </w:rPr>
              <w:t> </w:t>
            </w:r>
            <w:r>
              <w:rPr/>
              <w:t>经营情况讨论与分析</w:t>
            </w:r>
            <w:r>
              <w:rPr>
                <w:rFonts w:ascii="Times New Roman" w:hAnsi="Times New Roman" w:cs="Times New Roman" w:eastAsia="Times New Roman" w:hint="default"/>
              </w:rPr>
              <w:tab/>
              <w:t>32</w:t>
            </w:r>
            <w:r>
              <w:rPr>
                <w:rFonts w:ascii="Times New Roman" w:hAnsi="Times New Roman" w:cs="Times New Roman" w:eastAsia="Times New Roman" w:hint="default"/>
                <w:b w:val="0"/>
                <w:bCs w:val="0"/>
              </w:rPr>
            </w:r>
          </w:hyperlink>
        </w:p>
        <w:p>
          <w:pPr>
            <w:pStyle w:val="TOC1"/>
            <w:tabs>
              <w:tab w:pos="10762" w:val="right" w:leader="dot"/>
            </w:tabs>
            <w:spacing w:line="240" w:lineRule="auto"/>
            <w:ind w:right="0"/>
            <w:jc w:val="left"/>
            <w:rPr>
              <w:rFonts w:ascii="Times New Roman" w:hAnsi="Times New Roman" w:cs="Times New Roman" w:eastAsia="Times New Roman" w:hint="default"/>
              <w:b w:val="0"/>
              <w:bCs w:val="0"/>
            </w:rPr>
          </w:pPr>
          <w:hyperlink w:history="true" w:anchor="_bookmark4">
            <w:r>
              <w:rPr/>
              <w:t>第五节</w:t>
            </w:r>
            <w:r>
              <w:rPr>
                <w:spacing w:val="-19"/>
              </w:rPr>
              <w:t> </w:t>
            </w:r>
            <w:r>
              <w:rPr/>
              <w:t>重要事项</w:t>
            </w:r>
            <w:r>
              <w:rPr>
                <w:rFonts w:ascii="Times New Roman" w:hAnsi="Times New Roman" w:cs="Times New Roman" w:eastAsia="Times New Roman" w:hint="default"/>
              </w:rPr>
              <w:tab/>
              <w:t>78</w:t>
            </w:r>
            <w:r>
              <w:rPr>
                <w:rFonts w:ascii="Times New Roman" w:hAnsi="Times New Roman" w:cs="Times New Roman" w:eastAsia="Times New Roman" w:hint="default"/>
                <w:b w:val="0"/>
                <w:bCs w:val="0"/>
              </w:rPr>
            </w:r>
          </w:hyperlink>
        </w:p>
        <w:p>
          <w:pPr>
            <w:pStyle w:val="TOC1"/>
            <w:tabs>
              <w:tab w:pos="10762" w:val="right" w:leader="dot"/>
            </w:tabs>
            <w:spacing w:line="240" w:lineRule="auto"/>
            <w:ind w:right="0"/>
            <w:jc w:val="left"/>
            <w:rPr>
              <w:rFonts w:ascii="Times New Roman" w:hAnsi="Times New Roman" w:cs="Times New Roman" w:eastAsia="Times New Roman" w:hint="default"/>
              <w:b w:val="0"/>
              <w:bCs w:val="0"/>
            </w:rPr>
          </w:pPr>
          <w:hyperlink w:history="true" w:anchor="_bookmark5">
            <w:r>
              <w:rPr/>
              <w:t>第六节</w:t>
            </w:r>
            <w:r>
              <w:rPr>
                <w:spacing w:val="-19"/>
              </w:rPr>
              <w:t> </w:t>
            </w:r>
            <w:r>
              <w:rPr/>
              <w:t>股份变动及股东情况</w:t>
            </w:r>
            <w:r>
              <w:rPr>
                <w:rFonts w:ascii="Times New Roman" w:hAnsi="Times New Roman" w:cs="Times New Roman" w:eastAsia="Times New Roman" w:hint="default"/>
              </w:rPr>
              <w:tab/>
              <w:t>87</w:t>
            </w:r>
            <w:r>
              <w:rPr>
                <w:rFonts w:ascii="Times New Roman" w:hAnsi="Times New Roman" w:cs="Times New Roman" w:eastAsia="Times New Roman" w:hint="default"/>
                <w:b w:val="0"/>
                <w:bCs w:val="0"/>
              </w:rPr>
            </w:r>
          </w:hyperlink>
        </w:p>
        <w:p>
          <w:pPr>
            <w:pStyle w:val="TOC1"/>
            <w:tabs>
              <w:tab w:pos="10762" w:val="right" w:leader="dot"/>
            </w:tabs>
            <w:spacing w:line="240" w:lineRule="auto"/>
            <w:ind w:right="0"/>
            <w:jc w:val="left"/>
            <w:rPr>
              <w:rFonts w:ascii="Times New Roman" w:hAnsi="Times New Roman" w:cs="Times New Roman" w:eastAsia="Times New Roman" w:hint="default"/>
              <w:b w:val="0"/>
              <w:bCs w:val="0"/>
            </w:rPr>
          </w:pPr>
          <w:hyperlink w:history="true" w:anchor="_bookmark5">
            <w:r>
              <w:rPr/>
              <w:t>第七节</w:t>
            </w:r>
            <w:r>
              <w:rPr>
                <w:spacing w:val="-19"/>
              </w:rPr>
              <w:t> </w:t>
            </w:r>
            <w:r>
              <w:rPr/>
              <w:t>优先股相关情况</w:t>
            </w:r>
            <w:r>
              <w:rPr>
                <w:rFonts w:ascii="Times New Roman" w:hAnsi="Times New Roman" w:cs="Times New Roman" w:eastAsia="Times New Roman" w:hint="default"/>
              </w:rPr>
              <w:tab/>
              <w:t>87</w:t>
            </w:r>
            <w:r>
              <w:rPr>
                <w:rFonts w:ascii="Times New Roman" w:hAnsi="Times New Roman" w:cs="Times New Roman" w:eastAsia="Times New Roman" w:hint="default"/>
                <w:b w:val="0"/>
                <w:bCs w:val="0"/>
              </w:rPr>
            </w:r>
          </w:hyperlink>
        </w:p>
        <w:p>
          <w:pPr>
            <w:pStyle w:val="TOC1"/>
            <w:tabs>
              <w:tab w:pos="10762" w:val="right" w:leader="dot"/>
            </w:tabs>
            <w:spacing w:line="240" w:lineRule="auto" w:before="160"/>
            <w:ind w:right="0"/>
            <w:jc w:val="left"/>
            <w:rPr>
              <w:rFonts w:ascii="Times New Roman" w:hAnsi="Times New Roman" w:cs="Times New Roman" w:eastAsia="Times New Roman" w:hint="default"/>
              <w:b w:val="0"/>
              <w:bCs w:val="0"/>
            </w:rPr>
          </w:pPr>
          <w:hyperlink w:history="true" w:anchor="_bookmark6">
            <w:r>
              <w:rPr/>
              <w:t>第八节</w:t>
            </w:r>
            <w:r>
              <w:rPr>
                <w:spacing w:val="-19"/>
              </w:rPr>
              <w:t> </w:t>
            </w:r>
            <w:r>
              <w:rPr/>
              <w:t>董事、监事、高级管理人员和员工情况</w:t>
            </w:r>
            <w:r>
              <w:rPr>
                <w:rFonts w:ascii="Times New Roman" w:hAnsi="Times New Roman" w:cs="Times New Roman" w:eastAsia="Times New Roman" w:hint="default"/>
              </w:rPr>
              <w:tab/>
              <w:t>88</w:t>
            </w:r>
            <w:r>
              <w:rPr>
                <w:rFonts w:ascii="Times New Roman" w:hAnsi="Times New Roman" w:cs="Times New Roman" w:eastAsia="Times New Roman" w:hint="default"/>
                <w:b w:val="0"/>
                <w:bCs w:val="0"/>
              </w:rPr>
            </w:r>
          </w:hyperlink>
        </w:p>
        <w:p>
          <w:pPr>
            <w:pStyle w:val="TOC1"/>
            <w:tabs>
              <w:tab w:pos="10762" w:val="right" w:leader="dot"/>
            </w:tabs>
            <w:spacing w:line="240" w:lineRule="auto"/>
            <w:ind w:right="0"/>
            <w:jc w:val="left"/>
            <w:rPr>
              <w:rFonts w:ascii="Times New Roman" w:hAnsi="Times New Roman" w:cs="Times New Roman" w:eastAsia="Times New Roman" w:hint="default"/>
              <w:b w:val="0"/>
              <w:bCs w:val="0"/>
            </w:rPr>
          </w:pPr>
          <w:hyperlink w:history="true" w:anchor="_bookmark7">
            <w:r>
              <w:rPr/>
              <w:t>第九节</w:t>
            </w:r>
            <w:r>
              <w:rPr>
                <w:spacing w:val="-19"/>
              </w:rPr>
              <w:t> </w:t>
            </w:r>
            <w:r>
              <w:rPr/>
              <w:t>公司治理</w:t>
            </w:r>
            <w:r>
              <w:rPr>
                <w:rFonts w:ascii="Times New Roman" w:hAnsi="Times New Roman" w:cs="Times New Roman" w:eastAsia="Times New Roman" w:hint="default"/>
              </w:rPr>
              <w:tab/>
              <w:t>96</w:t>
            </w:r>
            <w:r>
              <w:rPr>
                <w:rFonts w:ascii="Times New Roman" w:hAnsi="Times New Roman" w:cs="Times New Roman" w:eastAsia="Times New Roman" w:hint="default"/>
                <w:b w:val="0"/>
                <w:bCs w:val="0"/>
              </w:rPr>
            </w:r>
          </w:hyperlink>
        </w:p>
        <w:p>
          <w:pPr>
            <w:pStyle w:val="TOC1"/>
            <w:tabs>
              <w:tab w:pos="10762" w:val="right" w:leader="dot"/>
            </w:tabs>
            <w:spacing w:line="240" w:lineRule="auto"/>
            <w:ind w:right="0"/>
            <w:jc w:val="left"/>
            <w:rPr>
              <w:rFonts w:ascii="Times New Roman" w:hAnsi="Times New Roman" w:cs="Times New Roman" w:eastAsia="Times New Roman" w:hint="default"/>
              <w:b w:val="0"/>
              <w:bCs w:val="0"/>
            </w:rPr>
          </w:pPr>
          <w:hyperlink w:history="true" w:anchor="_bookmark8">
            <w:r>
              <w:rPr/>
              <w:t>第十节</w:t>
            </w:r>
            <w:r>
              <w:rPr>
                <w:spacing w:val="-19"/>
              </w:rPr>
              <w:t> </w:t>
            </w:r>
            <w:r>
              <w:rPr/>
              <w:t>公司债券相关情况</w:t>
            </w:r>
            <w:r>
              <w:rPr>
                <w:rFonts w:ascii="Times New Roman" w:hAnsi="Times New Roman" w:cs="Times New Roman" w:eastAsia="Times New Roman" w:hint="default"/>
              </w:rPr>
              <w:tab/>
              <w:t>103</w:t>
            </w:r>
            <w:r>
              <w:rPr>
                <w:rFonts w:ascii="Times New Roman" w:hAnsi="Times New Roman" w:cs="Times New Roman" w:eastAsia="Times New Roman" w:hint="default"/>
                <w:b w:val="0"/>
                <w:bCs w:val="0"/>
              </w:rPr>
            </w:r>
          </w:hyperlink>
        </w:p>
        <w:p>
          <w:pPr>
            <w:pStyle w:val="TOC1"/>
            <w:tabs>
              <w:tab w:pos="10762" w:val="right" w:leader="dot"/>
            </w:tabs>
            <w:spacing w:line="240" w:lineRule="auto"/>
            <w:ind w:right="0"/>
            <w:jc w:val="left"/>
            <w:rPr>
              <w:rFonts w:ascii="Times New Roman" w:hAnsi="Times New Roman" w:cs="Times New Roman" w:eastAsia="Times New Roman" w:hint="default"/>
              <w:b w:val="0"/>
              <w:bCs w:val="0"/>
            </w:rPr>
          </w:pPr>
          <w:hyperlink w:history="true" w:anchor="_bookmark9">
            <w:r>
              <w:rPr/>
              <w:t>第十一节</w:t>
            </w:r>
            <w:r>
              <w:rPr>
                <w:spacing w:val="-19"/>
              </w:rPr>
              <w:t> </w:t>
            </w:r>
            <w:r>
              <w:rPr/>
              <w:t>财务报告</w:t>
            </w:r>
            <w:r>
              <w:rPr>
                <w:rFonts w:ascii="Times New Roman" w:hAnsi="Times New Roman" w:cs="Times New Roman" w:eastAsia="Times New Roman" w:hint="default"/>
              </w:rPr>
              <w:tab/>
              <w:t>104</w:t>
            </w:r>
            <w:r>
              <w:rPr>
                <w:rFonts w:ascii="Times New Roman" w:hAnsi="Times New Roman" w:cs="Times New Roman" w:eastAsia="Times New Roman" w:hint="default"/>
                <w:b w:val="0"/>
                <w:bCs w:val="0"/>
              </w:rPr>
            </w:r>
          </w:hyperlink>
        </w:p>
        <w:p>
          <w:pPr>
            <w:pStyle w:val="TOC1"/>
            <w:tabs>
              <w:tab w:pos="10762" w:val="right" w:leader="dot"/>
            </w:tabs>
            <w:spacing w:line="240" w:lineRule="auto"/>
            <w:ind w:right="0"/>
            <w:jc w:val="left"/>
            <w:rPr>
              <w:rFonts w:ascii="Times New Roman" w:hAnsi="Times New Roman" w:cs="Times New Roman" w:eastAsia="Times New Roman" w:hint="default"/>
              <w:b w:val="0"/>
              <w:bCs w:val="0"/>
            </w:rPr>
          </w:pPr>
          <w:hyperlink w:history="true" w:anchor="_bookmark10">
            <w:r>
              <w:rPr/>
              <w:t>第十二节</w:t>
            </w:r>
            <w:r>
              <w:rPr>
                <w:spacing w:val="-20"/>
              </w:rPr>
              <w:t> </w:t>
            </w:r>
            <w:r>
              <w:rPr/>
              <w:t>备查文件目录</w:t>
            </w:r>
            <w:r>
              <w:rPr>
                <w:rFonts w:ascii="Times New Roman" w:hAnsi="Times New Roman" w:cs="Times New Roman" w:eastAsia="Times New Roman" w:hint="default"/>
              </w:rPr>
              <w:tab/>
              <w:t>209</w:t>
            </w:r>
            <w:r>
              <w:rPr>
                <w:rFonts w:ascii="Times New Roman" w:hAnsi="Times New Roman" w:cs="Times New Roman" w:eastAsia="Times New Roman" w:hint="default"/>
                <w:b w:val="0"/>
                <w:bCs w:val="0"/>
              </w:rPr>
            </w:r>
          </w:hyperlink>
        </w:p>
      </w:sdtContent>
    </w:sdt>
    <w:p>
      <w:pPr>
        <w:spacing w:after="0" w:line="240" w:lineRule="auto"/>
        <w:jc w:val="left"/>
        <w:rPr>
          <w:rFonts w:ascii="Times New Roman" w:hAnsi="Times New Roman" w:cs="Times New Roman" w:eastAsia="Times New Roman" w:hint="default"/>
        </w:rPr>
        <w:sectPr>
          <w:footerReference w:type="default" r:id="rId8"/>
          <w:pgSz w:w="11910" w:h="16840"/>
          <w:pgMar w:footer="640" w:header="787" w:top="1100" w:bottom="840" w:left="0" w:right="0"/>
        </w:sectPr>
      </w:pPr>
    </w:p>
    <w:p>
      <w:pPr>
        <w:spacing w:before="905"/>
        <w:ind w:left="4090" w:right="4089"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3536"/>
        <w:gridCol w:w="598"/>
        <w:gridCol w:w="5436"/>
      </w:tblGrid>
      <w:tr>
        <w:trPr>
          <w:trHeight w:val="402" w:hRule="exact"/>
        </w:trPr>
        <w:tc>
          <w:tcPr>
            <w:tcW w:w="3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浩云科技、公司、本公司</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浩云科技股份有限公司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浩云设备</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广州市浩云安防设备有限公司，本公司全资子公司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苏瑞科技</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广州市苏瑞计算机科技有限公司，本公司全资子公司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浩云物联</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重庆浩云公共安全物联网技术有限公司，本公司全资子公司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西藏浩云</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西藏浩云创业投资有限公司，本公司全资子公司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浩立威</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武汉浩立威保安服务有限公司，本公司全资子公司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润安科技</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深圳市润安科技发展有限公司，本公司控股子公司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浩昀宏</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广州浩昀宏信息技术有限公司，本公司控股子公司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浩耘元鸿</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广州市浩耘元鸿信息技术有限公司，本公司控股子公司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久视智能</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湖南久视智能科技有限公司，苏瑞科技控股子公司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碧天投资</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广州市碧天投资咨询有限公司，本公司之股东</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常森投资</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广州市常森投资咨询有限责任公司，本公司之股东</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银监会</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中国银行业监督管理委员会</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中国证监会</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深交所</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股东大会</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浩云科技股份有限公司股东大会</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董事会</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浩云科技股份有限公司董事会</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监事会</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浩云科技股份有限公司监事会</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《公司法》</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《中华人民共和国公司法》</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《证券法》</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《中华人民共和国证券法》</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《公司章程》</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本公司的《公司章程》</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上年同期</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元、万元</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人民币元、人民币万元</w:t>
            </w:r>
          </w:p>
        </w:tc>
      </w:tr>
    </w:tbl>
    <w:p>
      <w:pPr>
        <w:spacing w:after="0" w:line="240" w:lineRule="auto"/>
        <w:jc w:val="left"/>
        <w:rPr>
          <w:rFonts w:ascii="宋体" w:hAnsi="宋体" w:cs="宋体" w:eastAsia="宋体" w:hint="default"/>
          <w:sz w:val="18"/>
          <w:szCs w:val="18"/>
        </w:rPr>
        <w:sectPr>
          <w:pgSz w:w="11910" w:h="16840"/>
          <w:pgMar w:header="787" w:footer="640" w:top="1100" w:bottom="840" w:left="0" w:right="0"/>
        </w:sectPr>
      </w:pPr>
    </w:p>
    <w:p>
      <w:pPr>
        <w:spacing w:line="240" w:lineRule="auto" w:before="0"/>
        <w:rPr>
          <w:rFonts w:ascii="宋体" w:hAnsi="宋体" w:cs="宋体" w:eastAsia="宋体" w:hint="default"/>
          <w:b/>
          <w:bCs/>
          <w:sz w:val="20"/>
          <w:szCs w:val="20"/>
        </w:rPr>
      </w:pPr>
      <w:r>
        <w:rPr/>
        <w:pict>
          <v:group style="position:absolute;margin-left:172.339996pt;margin-top:260.359985pt;width:361.5pt;height:19.650pt;mso-position-horizontal-relative:page;mso-position-vertical-relative:page;z-index:-1171408" coordorigin="3447,5207" coordsize="7230,393">
            <v:shape style="position:absolute;left:3447;top:5207;width:7230;height:393" coordorigin="3447,5207" coordsize="7230,393" path="m3447,5600l10676,5600,10676,5207,3447,5207,3447,5600xe" filled="true" fillcolor="#ffffff" stroked="false">
              <v:path arrowok="t"/>
              <v:fill type="solid"/>
            </v:shape>
            <w10:wrap type="none"/>
          </v:group>
        </w:pict>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1"/>
        <w:spacing w:line="240" w:lineRule="auto"/>
        <w:ind w:left="3624" w:right="0"/>
        <w:jc w:val="left"/>
        <w:rPr>
          <w:b w:val="0"/>
          <w:bCs w:val="0"/>
        </w:rPr>
      </w:pPr>
      <w:bookmarkStart w:name="第二节 公司简介和主要财务指标" w:id="2"/>
      <w:bookmarkEnd w:id="2"/>
      <w:r>
        <w:rPr>
          <w:b w:val="0"/>
          <w:bCs w:val="0"/>
        </w:rPr>
      </w:r>
      <w:bookmarkStart w:name="_bookmark0" w:id="3"/>
      <w:bookmarkEnd w:id="3"/>
      <w:r>
        <w:rPr>
          <w:b w:val="0"/>
          <w:bCs w:val="0"/>
        </w:rPr>
      </w:r>
      <w:r>
        <w:rPr/>
        <w:t>第二节</w:t>
      </w:r>
      <w:r>
        <w:rPr>
          <w:spacing w:val="-9"/>
        </w:rPr>
        <w:t> </w:t>
      </w:r>
      <w:r>
        <w:rPr/>
        <w:t>公司简介和主要财务指标</w:t>
      </w:r>
      <w:r>
        <w:rPr>
          <w:b w:val="0"/>
          <w:bCs w:val="0"/>
        </w:rPr>
      </w: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22"/>
          <w:szCs w:val="22"/>
        </w:rPr>
      </w:pPr>
    </w:p>
    <w:p>
      <w:pPr>
        <w:pStyle w:val="Heading2"/>
        <w:spacing w:line="240" w:lineRule="auto" w:before="26"/>
        <w:ind w:right="0"/>
        <w:jc w:val="left"/>
        <w:rPr>
          <w:b w:val="0"/>
          <w:bCs w:val="0"/>
        </w:rPr>
      </w:pPr>
      <w:bookmarkStart w:name="一、公司信息" w:id="4"/>
      <w:bookmarkEnd w:id="4"/>
      <w:r>
        <w:rPr>
          <w:b w:val="0"/>
          <w:bCs w:val="0"/>
        </w:rPr>
      </w:r>
      <w:r>
        <w:rPr/>
        <w:t>一、公司信息</w:t>
      </w:r>
      <w:r>
        <w:rPr>
          <w:b w:val="0"/>
          <w:bCs w:val="0"/>
        </w:rPr>
      </w: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1"/>
          <w:szCs w:val="11"/>
        </w:rPr>
      </w:pPr>
    </w:p>
    <w:tbl>
      <w:tblPr>
        <w:tblW w:w="0" w:type="auto"/>
        <w:jc w:val="left"/>
        <w:tblInd w:w="1129" w:type="dxa"/>
        <w:tblLayout w:type="fixed"/>
        <w:tblCellMar>
          <w:top w:w="0" w:type="dxa"/>
          <w:left w:w="0" w:type="dxa"/>
          <w:bottom w:w="0" w:type="dxa"/>
          <w:right w:w="0" w:type="dxa"/>
        </w:tblCellMar>
        <w:tblLook w:val="01E0"/>
      </w:tblPr>
      <w:tblGrid>
        <w:gridCol w:w="2273"/>
        <w:gridCol w:w="2965"/>
        <w:gridCol w:w="2145"/>
        <w:gridCol w:w="2188"/>
      </w:tblGrid>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6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浩云科技</w:t>
            </w:r>
          </w:p>
        </w:tc>
        <w:tc>
          <w:tcPr>
            <w:tcW w:w="2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8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300448</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浩云科技股份有限公司</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浩云科技</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Haoyun Technologies</w:t>
            </w:r>
            <w:r>
              <w:rPr>
                <w:rFonts w:ascii="Times New Roman"/>
                <w:spacing w:val="-21"/>
                <w:sz w:val="18"/>
              </w:rPr>
              <w:t> </w:t>
            </w:r>
            <w:r>
              <w:rPr>
                <w:rFonts w:ascii="Times New Roman"/>
                <w:sz w:val="18"/>
              </w:rPr>
              <w:t>Co.,Ltd.</w:t>
            </w:r>
          </w:p>
        </w:tc>
      </w:tr>
      <w:tr>
        <w:trPr>
          <w:trHeight w:val="402" w:hRule="exact"/>
        </w:trPr>
        <w:tc>
          <w:tcPr>
            <w:tcW w:w="2273"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1"/>
              <w:ind w:left="22" w:right="-58"/>
              <w:jc w:val="left"/>
              <w:rPr>
                <w:rFonts w:ascii="宋体" w:hAnsi="宋体" w:cs="宋体" w:eastAsia="宋体" w:hint="default"/>
                <w:sz w:val="18"/>
                <w:szCs w:val="18"/>
              </w:rPr>
            </w:pPr>
            <w:r>
              <w:rPr>
                <w:rFonts w:ascii="宋体" w:hAnsi="宋体" w:cs="宋体" w:eastAsia="宋体" w:hint="default"/>
                <w:spacing w:val="-5"/>
                <w:sz w:val="18"/>
                <w:szCs w:val="18"/>
              </w:rPr>
              <w:t>公司的外文名称缩写（如有）</w:t>
            </w:r>
            <w:r>
              <w:rPr>
                <w:rFonts w:ascii="宋体" w:hAnsi="宋体" w:cs="宋体" w:eastAsia="宋体" w:hint="default"/>
                <w:sz w:val="18"/>
                <w:szCs w:val="18"/>
              </w:rPr>
            </w:r>
          </w:p>
        </w:tc>
        <w:tc>
          <w:tcPr>
            <w:tcW w:w="7297" w:type="dxa"/>
            <w:gridSpan w:val="3"/>
            <w:tcBorders>
              <w:top w:val="single" w:sz="4" w:space="0" w:color="000000"/>
              <w:left w:val="single" w:sz="23" w:space="0" w:color="FFFFFF"/>
              <w:bottom w:val="single" w:sz="4" w:space="0" w:color="000000"/>
              <w:right w:val="single" w:sz="4" w:space="0" w:color="000000"/>
            </w:tcBorders>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Haoyun</w:t>
            </w:r>
            <w:r>
              <w:rPr>
                <w:rFonts w:ascii="Times New Roman"/>
                <w:spacing w:val="-20"/>
                <w:sz w:val="18"/>
              </w:rPr>
              <w:t> </w:t>
            </w:r>
            <w:r>
              <w:rPr>
                <w:rFonts w:ascii="Times New Roman"/>
                <w:sz w:val="18"/>
              </w:rPr>
              <w:t>Technologies</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雷洪文</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广州市番禺区东环街番禺大道北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555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号天安总部中心</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号楼</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房</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511400</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广州市番禺区东环街番禺大道北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555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号天安总部中心</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号楼</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房</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511400</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公司国际互联网网址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hyperlink r:id="rId9">
              <w:r>
                <w:rPr>
                  <w:rFonts w:ascii="Times New Roman"/>
                  <w:sz w:val="18"/>
                </w:rPr>
                <w:t>http://www.haoyuntech.com</w:t>
              </w:r>
            </w:hyperlink>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hyperlink r:id="rId10">
              <w:r>
                <w:rPr>
                  <w:rFonts w:ascii="Times New Roman"/>
                  <w:sz w:val="18"/>
                </w:rPr>
                <w:t>zqb@haoyuntech.com</w:t>
              </w:r>
            </w:hyperlink>
          </w:p>
        </w:tc>
      </w:tr>
    </w:tbl>
    <w:p>
      <w:pPr>
        <w:spacing w:line="240" w:lineRule="auto" w:before="0"/>
        <w:rPr>
          <w:rFonts w:ascii="宋体" w:hAnsi="宋体" w:cs="宋体" w:eastAsia="宋体" w:hint="default"/>
          <w:b/>
          <w:bCs/>
          <w:sz w:val="24"/>
          <w:szCs w:val="24"/>
        </w:rPr>
      </w:pPr>
    </w:p>
    <w:p>
      <w:pPr>
        <w:pStyle w:val="Heading2"/>
        <w:spacing w:line="240" w:lineRule="auto" w:before="26"/>
        <w:ind w:left="1134" w:right="0"/>
        <w:jc w:val="left"/>
        <w:rPr>
          <w:b w:val="0"/>
          <w:bCs w:val="0"/>
        </w:rPr>
      </w:pPr>
      <w:bookmarkStart w:name="二、联系人和联系方式" w:id="5"/>
      <w:bookmarkEnd w:id="5"/>
      <w:r>
        <w:rPr>
          <w:b w:val="0"/>
          <w:bCs w:val="0"/>
        </w:rPr>
      </w:r>
      <w:r>
        <w:rPr/>
        <w:t>二、联系人和联系方式</w:t>
      </w:r>
      <w:r>
        <w:rPr>
          <w:b w:val="0"/>
          <w:bCs w:val="0"/>
        </w:rPr>
      </w: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1"/>
          <w:szCs w:val="11"/>
        </w:rPr>
      </w:pPr>
    </w:p>
    <w:tbl>
      <w:tblPr>
        <w:tblW w:w="0" w:type="auto"/>
        <w:jc w:val="left"/>
        <w:tblInd w:w="1140" w:type="dxa"/>
        <w:tblLayout w:type="fixed"/>
        <w:tblCellMar>
          <w:top w:w="0" w:type="dxa"/>
          <w:left w:w="0" w:type="dxa"/>
          <w:bottom w:w="0" w:type="dxa"/>
          <w:right w:w="0" w:type="dxa"/>
        </w:tblCellMar>
        <w:tblLook w:val="01E0"/>
      </w:tblPr>
      <w:tblGrid>
        <w:gridCol w:w="3179"/>
        <w:gridCol w:w="3190"/>
        <w:gridCol w:w="3190"/>
      </w:tblGrid>
      <w:tr>
        <w:trPr>
          <w:trHeight w:val="402"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50"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2"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10" w:right="0"/>
              <w:jc w:val="left"/>
              <w:rPr>
                <w:rFonts w:ascii="宋体" w:hAnsi="宋体" w:cs="宋体" w:eastAsia="宋体" w:hint="default"/>
                <w:sz w:val="18"/>
                <w:szCs w:val="18"/>
              </w:rPr>
            </w:pPr>
            <w:r>
              <w:rPr>
                <w:rFonts w:ascii="宋体" w:hAnsi="宋体" w:cs="宋体" w:eastAsia="宋体" w:hint="default"/>
                <w:sz w:val="18"/>
                <w:szCs w:val="18"/>
              </w:rPr>
              <w:t>陈翩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彭燕君</w:t>
            </w:r>
          </w:p>
        </w:tc>
      </w:tr>
      <w:tr>
        <w:trPr>
          <w:trHeight w:val="162" w:hRule="exact"/>
        </w:trPr>
        <w:tc>
          <w:tcPr>
            <w:tcW w:w="3179"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0" w:type="dxa"/>
            <w:vMerge w:val="restart"/>
            <w:tcBorders>
              <w:top w:val="single" w:sz="4" w:space="0" w:color="000000"/>
              <w:left w:val="single" w:sz="9" w:space="0" w:color="D2D2D2"/>
              <w:right w:val="single" w:sz="4" w:space="0" w:color="000000"/>
            </w:tcBorders>
          </w:tcPr>
          <w:p>
            <w:pPr>
              <w:pStyle w:val="TableParagraph"/>
              <w:spacing w:line="240" w:lineRule="auto" w:before="52"/>
              <w:ind w:left="16" w:right="0"/>
              <w:jc w:val="left"/>
              <w:rPr>
                <w:rFonts w:ascii="宋体" w:hAnsi="宋体" w:cs="宋体" w:eastAsia="宋体" w:hint="default"/>
                <w:sz w:val="18"/>
                <w:szCs w:val="18"/>
              </w:rPr>
            </w:pPr>
            <w:r>
              <w:rPr>
                <w:rFonts w:ascii="宋体" w:hAnsi="宋体" w:cs="宋体" w:eastAsia="宋体" w:hint="default"/>
                <w:sz w:val="18"/>
                <w:szCs w:val="18"/>
              </w:rPr>
              <w:t>广州市番禺区东环街番禺大道北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555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p>
            <w:pPr>
              <w:pStyle w:val="TableParagraph"/>
              <w:spacing w:line="240" w:lineRule="auto" w:before="63"/>
              <w:ind w:left="16" w:right="0"/>
              <w:jc w:val="left"/>
              <w:rPr>
                <w:rFonts w:ascii="宋体" w:hAnsi="宋体" w:cs="宋体" w:eastAsia="宋体" w:hint="default"/>
                <w:sz w:val="18"/>
                <w:szCs w:val="18"/>
              </w:rPr>
            </w:pPr>
            <w:r>
              <w:rPr>
                <w:rFonts w:ascii="宋体" w:hAnsi="宋体" w:cs="宋体" w:eastAsia="宋体" w:hint="default"/>
                <w:sz w:val="18"/>
                <w:szCs w:val="18"/>
              </w:rPr>
              <w:t>天安总部中心</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号楼</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房</w:t>
            </w:r>
          </w:p>
        </w:tc>
        <w:tc>
          <w:tcPr>
            <w:tcW w:w="3190" w:type="dxa"/>
            <w:vMerge w:val="restart"/>
            <w:tcBorders>
              <w:top w:val="single" w:sz="4" w:space="0" w:color="000000"/>
              <w:left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广州市番禺区东环街番禺大道北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555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天安总部中心</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号楼</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房</w:t>
            </w:r>
          </w:p>
        </w:tc>
      </w:tr>
      <w:tr>
        <w:trPr>
          <w:trHeight w:val="391" w:hRule="exact"/>
        </w:trPr>
        <w:tc>
          <w:tcPr>
            <w:tcW w:w="317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190" w:type="dxa"/>
            <w:vMerge/>
            <w:tcBorders>
              <w:left w:val="single" w:sz="9" w:space="0" w:color="D2D2D2"/>
              <w:right w:val="single" w:sz="4" w:space="0" w:color="000000"/>
            </w:tcBorders>
          </w:tcPr>
          <w:p>
            <w:pPr/>
          </w:p>
        </w:tc>
        <w:tc>
          <w:tcPr>
            <w:tcW w:w="3190" w:type="dxa"/>
            <w:vMerge/>
            <w:tcBorders>
              <w:left w:val="single" w:sz="4" w:space="0" w:color="000000"/>
              <w:right w:val="single" w:sz="4" w:space="0" w:color="000000"/>
            </w:tcBorders>
          </w:tcPr>
          <w:p>
            <w:pPr/>
          </w:p>
        </w:tc>
      </w:tr>
      <w:tr>
        <w:trPr>
          <w:trHeight w:val="161" w:hRule="exact"/>
        </w:trPr>
        <w:tc>
          <w:tcPr>
            <w:tcW w:w="3179"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0" w:type="dxa"/>
            <w:vMerge/>
            <w:tcBorders>
              <w:left w:val="single" w:sz="9" w:space="0" w:color="D2D2D2"/>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2"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10" w:right="0"/>
              <w:jc w:val="left"/>
              <w:rPr>
                <w:rFonts w:ascii="Times New Roman" w:hAnsi="Times New Roman" w:cs="Times New Roman" w:eastAsia="Times New Roman" w:hint="default"/>
                <w:sz w:val="18"/>
                <w:szCs w:val="18"/>
              </w:rPr>
            </w:pPr>
            <w:r>
              <w:rPr>
                <w:rFonts w:ascii="Times New Roman"/>
                <w:sz w:val="18"/>
              </w:rPr>
              <w:t>020-34831515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020-34831515</w:t>
            </w:r>
          </w:p>
        </w:tc>
      </w:tr>
      <w:tr>
        <w:trPr>
          <w:trHeight w:val="402"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10" w:right="0"/>
              <w:jc w:val="left"/>
              <w:rPr>
                <w:rFonts w:ascii="Times New Roman" w:hAnsi="Times New Roman" w:cs="Times New Roman" w:eastAsia="Times New Roman" w:hint="default"/>
                <w:sz w:val="18"/>
                <w:szCs w:val="18"/>
              </w:rPr>
            </w:pPr>
            <w:r>
              <w:rPr>
                <w:rFonts w:ascii="Times New Roman"/>
                <w:sz w:val="18"/>
              </w:rPr>
              <w:t>020-34831415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020-34831415</w:t>
            </w:r>
          </w:p>
        </w:tc>
      </w:tr>
      <w:tr>
        <w:trPr>
          <w:trHeight w:val="403"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10" w:right="0"/>
              <w:jc w:val="left"/>
              <w:rPr>
                <w:rFonts w:ascii="Times New Roman" w:hAnsi="Times New Roman" w:cs="Times New Roman" w:eastAsia="Times New Roman" w:hint="default"/>
                <w:sz w:val="18"/>
                <w:szCs w:val="18"/>
              </w:rPr>
            </w:pPr>
            <w:hyperlink r:id="rId10">
              <w:r>
                <w:rPr>
                  <w:rFonts w:ascii="Times New Roman"/>
                  <w:sz w:val="18"/>
                </w:rPr>
                <w:t>zqb@haoyuntech.com</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hyperlink r:id="rId10">
              <w:r>
                <w:rPr>
                  <w:rFonts w:ascii="Times New Roman"/>
                  <w:sz w:val="18"/>
                </w:rPr>
                <w:t>zqb@haoyuntech.com</w:t>
              </w:r>
            </w:hyperlink>
          </w:p>
        </w:tc>
      </w:tr>
    </w:tbl>
    <w:p>
      <w:pPr>
        <w:spacing w:line="240" w:lineRule="auto" w:before="0"/>
        <w:rPr>
          <w:rFonts w:ascii="宋体" w:hAnsi="宋体" w:cs="宋体" w:eastAsia="宋体" w:hint="default"/>
          <w:b/>
          <w:bCs/>
          <w:sz w:val="24"/>
          <w:szCs w:val="24"/>
        </w:rPr>
      </w:pPr>
    </w:p>
    <w:p>
      <w:pPr>
        <w:pStyle w:val="Heading2"/>
        <w:spacing w:line="240" w:lineRule="auto" w:before="26"/>
        <w:ind w:left="1134" w:right="0"/>
        <w:jc w:val="left"/>
        <w:rPr>
          <w:b w:val="0"/>
          <w:bCs w:val="0"/>
        </w:rPr>
      </w:pPr>
      <w:bookmarkStart w:name="三、信息披露及备置地点" w:id="6"/>
      <w:bookmarkEnd w:id="6"/>
      <w:r>
        <w:rPr>
          <w:b w:val="0"/>
          <w:bCs w:val="0"/>
        </w:rPr>
      </w:r>
      <w:r>
        <w:rPr/>
        <w:t>三、信息披露及备置地点</w:t>
      </w:r>
      <w:r>
        <w:rPr>
          <w:b w:val="0"/>
          <w:bCs w:val="0"/>
        </w:rPr>
      </w: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1"/>
          <w:szCs w:val="11"/>
        </w:rPr>
      </w:pPr>
    </w:p>
    <w:tbl>
      <w:tblPr>
        <w:tblW w:w="0" w:type="auto"/>
        <w:jc w:val="left"/>
        <w:tblInd w:w="1129" w:type="dxa"/>
        <w:tblLayout w:type="fixed"/>
        <w:tblCellMar>
          <w:top w:w="0" w:type="dxa"/>
          <w:left w:w="0" w:type="dxa"/>
          <w:bottom w:w="0" w:type="dxa"/>
          <w:right w:w="0" w:type="dxa"/>
        </w:tblCellMar>
        <w:tblLook w:val="01E0"/>
      </w:tblPr>
      <w:tblGrid>
        <w:gridCol w:w="3993"/>
        <w:gridCol w:w="5576"/>
      </w:tblGrid>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90"/>
                <w:sz w:val="18"/>
                <w:szCs w:val="18"/>
              </w:rPr>
              <w:t>》、</w:t>
            </w:r>
            <w:r>
              <w:rPr>
                <w:rFonts w:ascii="宋体" w:hAnsi="宋体" w:cs="宋体" w:eastAsia="宋体" w:hint="default"/>
                <w:sz w:val="18"/>
                <w:szCs w:val="18"/>
              </w:rPr>
              <w:t>《中国证券报</w:t>
            </w:r>
            <w:r>
              <w:rPr>
                <w:rFonts w:ascii="宋体" w:hAnsi="宋体" w:cs="宋体" w:eastAsia="宋体" w:hint="default"/>
                <w:spacing w:val="-90"/>
                <w:sz w:val="18"/>
                <w:szCs w:val="18"/>
              </w:rPr>
              <w:t>》、</w:t>
            </w:r>
            <w:r>
              <w:rPr>
                <w:rFonts w:ascii="宋体" w:hAnsi="宋体" w:cs="宋体" w:eastAsia="宋体" w:hint="default"/>
                <w:sz w:val="18"/>
                <w:szCs w:val="18"/>
              </w:rPr>
              <w:t>《证券日报</w:t>
            </w:r>
            <w:r>
              <w:rPr>
                <w:rFonts w:ascii="宋体" w:hAnsi="宋体" w:cs="宋体" w:eastAsia="宋体" w:hint="default"/>
                <w:spacing w:val="-90"/>
                <w:sz w:val="18"/>
                <w:szCs w:val="18"/>
              </w:rPr>
              <w:t>》、</w:t>
            </w:r>
            <w:r>
              <w:rPr>
                <w:rFonts w:ascii="宋体" w:hAnsi="宋体" w:cs="宋体" w:eastAsia="宋体" w:hint="default"/>
                <w:sz w:val="18"/>
                <w:szCs w:val="18"/>
              </w:rPr>
              <w:t>《上海证券报》</w:t>
            </w:r>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r>
              <w:rPr>
                <w:rFonts w:ascii="Times New Roman" w:hAnsi="Times New Roman" w:cs="Times New Roman" w:eastAsia="Times New Roman" w:hint="default"/>
                <w:sz w:val="18"/>
                <w:szCs w:val="18"/>
              </w:rPr>
              <w:t>(http://www.cninfo.com.cn)</w:t>
            </w:r>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深圳证券交易所、浩云科技股份有限公司董事会办公室</w:t>
            </w:r>
          </w:p>
        </w:tc>
      </w:tr>
    </w:tbl>
    <w:p>
      <w:pPr>
        <w:spacing w:after="0" w:line="240" w:lineRule="auto"/>
        <w:jc w:val="left"/>
        <w:rPr>
          <w:rFonts w:ascii="宋体" w:hAnsi="宋体" w:cs="宋体" w:eastAsia="宋体" w:hint="default"/>
          <w:sz w:val="18"/>
          <w:szCs w:val="18"/>
        </w:rPr>
        <w:sectPr>
          <w:pgSz w:w="11910" w:h="16840"/>
          <w:pgMar w:header="787" w:footer="640" w:top="1100" w:bottom="840" w:left="0" w:right="0"/>
        </w:sectPr>
      </w:pPr>
    </w:p>
    <w:p>
      <w:pPr>
        <w:spacing w:line="240" w:lineRule="auto" w:before="6"/>
        <w:rPr>
          <w:rFonts w:ascii="宋体" w:hAnsi="宋体" w:cs="宋体" w:eastAsia="宋体" w:hint="default"/>
          <w:b/>
          <w:bCs/>
          <w:sz w:val="26"/>
          <w:szCs w:val="26"/>
        </w:rPr>
      </w:pPr>
    </w:p>
    <w:p>
      <w:pPr>
        <w:pStyle w:val="Heading2"/>
        <w:spacing w:line="240" w:lineRule="auto" w:before="26"/>
        <w:ind w:left="1134" w:right="0"/>
        <w:jc w:val="left"/>
        <w:rPr>
          <w:b w:val="0"/>
          <w:bCs w:val="0"/>
        </w:rPr>
      </w:pPr>
      <w:bookmarkStart w:name="四、其他有关资料" w:id="7"/>
      <w:bookmarkEnd w:id="7"/>
      <w:r>
        <w:rPr>
          <w:b w:val="0"/>
          <w:bCs w:val="0"/>
        </w:rPr>
      </w:r>
      <w:r>
        <w:rPr/>
        <w:t>四、其他有关资料</w:t>
      </w:r>
      <w:r>
        <w:rPr>
          <w:b w:val="0"/>
          <w:bCs w:val="0"/>
        </w:rPr>
      </w:r>
    </w:p>
    <w:p>
      <w:pPr>
        <w:spacing w:line="240" w:lineRule="auto" w:before="0"/>
        <w:rPr>
          <w:rFonts w:ascii="宋体" w:hAnsi="宋体" w:cs="宋体" w:eastAsia="宋体" w:hint="default"/>
          <w:b/>
          <w:bCs/>
          <w:sz w:val="24"/>
          <w:szCs w:val="24"/>
        </w:rPr>
      </w:pPr>
    </w:p>
    <w:p>
      <w:pPr>
        <w:pStyle w:val="BodyText"/>
        <w:spacing w:line="240" w:lineRule="auto" w:before="189"/>
        <w:ind w:left="1133" w:right="0"/>
        <w:jc w:val="left"/>
      </w:pPr>
      <w:r>
        <w:rPr/>
        <w:t>公司聘请的会计师事务所</w:t>
      </w:r>
    </w:p>
    <w:p>
      <w:pPr>
        <w:spacing w:line="240" w:lineRule="auto" w:before="12"/>
        <w:rPr>
          <w:rFonts w:ascii="宋体" w:hAnsi="宋体" w:cs="宋体" w:eastAsia="宋体" w:hint="default"/>
          <w:sz w:val="13"/>
          <w:szCs w:val="13"/>
        </w:rPr>
      </w:pPr>
    </w:p>
    <w:tbl>
      <w:tblPr>
        <w:tblW w:w="0" w:type="auto"/>
        <w:jc w:val="left"/>
        <w:tblInd w:w="1129" w:type="dxa"/>
        <w:tblLayout w:type="fixed"/>
        <w:tblCellMar>
          <w:top w:w="0" w:type="dxa"/>
          <w:left w:w="0" w:type="dxa"/>
          <w:bottom w:w="0" w:type="dxa"/>
          <w:right w:w="0" w:type="dxa"/>
        </w:tblCellMar>
        <w:tblLook w:val="01E0"/>
      </w:tblPr>
      <w:tblGrid>
        <w:gridCol w:w="2662"/>
        <w:gridCol w:w="6907"/>
      </w:tblGrid>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天健会计师事务所（特殊普通合伙）</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浙江省杭州市西湖区西溪路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p>
        </w:tc>
      </w:tr>
      <w:tr>
        <w:trPr>
          <w:trHeight w:val="403"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禤文欣、卢玲玉</w:t>
            </w:r>
          </w:p>
        </w:tc>
      </w:tr>
    </w:tbl>
    <w:p>
      <w:pPr>
        <w:spacing w:line="240" w:lineRule="auto" w:before="6"/>
        <w:rPr>
          <w:rFonts w:ascii="宋体" w:hAnsi="宋体" w:cs="宋体" w:eastAsia="宋体" w:hint="default"/>
          <w:sz w:val="6"/>
          <w:szCs w:val="6"/>
        </w:rPr>
      </w:pPr>
    </w:p>
    <w:p>
      <w:pPr>
        <w:pStyle w:val="BodyText"/>
        <w:spacing w:line="240" w:lineRule="auto" w:before="44"/>
        <w:ind w:right="0"/>
        <w:jc w:val="left"/>
      </w:pPr>
      <w:r>
        <w:rPr/>
        <w:t>公司聘请的报告期内履行持续督导职责的保荐机构</w:t>
      </w:r>
    </w:p>
    <w:p>
      <w:pPr>
        <w:spacing w:line="240" w:lineRule="auto" w:before="10"/>
        <w:rPr>
          <w:rFonts w:ascii="宋体" w:hAnsi="宋体" w:cs="宋体" w:eastAsia="宋体" w:hint="default"/>
          <w:sz w:val="20"/>
          <w:szCs w:val="20"/>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保荐机构名称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1" w:right="0"/>
              <w:jc w:val="left"/>
              <w:rPr>
                <w:rFonts w:ascii="宋体" w:hAnsi="宋体" w:cs="宋体" w:eastAsia="宋体" w:hint="default"/>
                <w:sz w:val="18"/>
                <w:szCs w:val="18"/>
              </w:rPr>
            </w:pPr>
            <w:r>
              <w:rPr>
                <w:rFonts w:ascii="宋体" w:hAnsi="宋体" w:cs="宋体" w:eastAsia="宋体" w:hint="default"/>
                <w:sz w:val="18"/>
                <w:szCs w:val="18"/>
              </w:rPr>
              <w:t>保荐机构办公地址</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0" w:right="0"/>
              <w:jc w:val="left"/>
              <w:rPr>
                <w:rFonts w:ascii="宋体" w:hAnsi="宋体" w:cs="宋体" w:eastAsia="宋体" w:hint="default"/>
                <w:sz w:val="18"/>
                <w:szCs w:val="18"/>
              </w:rPr>
            </w:pPr>
            <w:r>
              <w:rPr>
                <w:rFonts w:ascii="宋体" w:hAnsi="宋体" w:cs="宋体" w:eastAsia="宋体" w:hint="default"/>
                <w:sz w:val="18"/>
                <w:szCs w:val="18"/>
              </w:rPr>
              <w:t>保荐代表人姓名</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招商证券股份有限公司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97"/>
              <w:jc w:val="left"/>
              <w:rPr>
                <w:rFonts w:ascii="宋体" w:hAnsi="宋体" w:cs="宋体" w:eastAsia="宋体" w:hint="default"/>
                <w:sz w:val="18"/>
                <w:szCs w:val="18"/>
              </w:rPr>
            </w:pPr>
            <w:r>
              <w:rPr>
                <w:rFonts w:ascii="宋体" w:hAnsi="宋体" w:cs="宋体" w:eastAsia="宋体" w:hint="default"/>
                <w:sz w:val="18"/>
                <w:szCs w:val="18"/>
              </w:rPr>
              <w:t>深圳市福田区益田路江苏大 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 </w:t>
            </w:r>
            <w:r>
              <w:rPr>
                <w:rFonts w:ascii="宋体" w:hAnsi="宋体" w:cs="宋体" w:eastAsia="宋体" w:hint="default"/>
                <w:sz w:val="18"/>
                <w:szCs w:val="18"/>
              </w:rPr>
              <w:t>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38-45 </w:t>
            </w:r>
            <w:r>
              <w:rPr>
                <w:rFonts w:ascii="宋体" w:hAnsi="宋体" w:cs="宋体" w:eastAsia="宋体" w:hint="default"/>
                <w:sz w:val="18"/>
                <w:szCs w:val="18"/>
              </w:rPr>
              <w:t>楼</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肖雁、张健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spacing w:line="240" w:lineRule="auto" w:before="6"/>
        <w:rPr>
          <w:rFonts w:ascii="宋体" w:hAnsi="宋体" w:cs="宋体" w:eastAsia="宋体" w:hint="default"/>
          <w:sz w:val="6"/>
          <w:szCs w:val="6"/>
        </w:rPr>
      </w:pPr>
    </w:p>
    <w:p>
      <w:pPr>
        <w:pStyle w:val="BodyText"/>
        <w:spacing w:line="240" w:lineRule="auto" w:before="44"/>
        <w:ind w:right="0"/>
        <w:jc w:val="left"/>
      </w:pPr>
      <w:r>
        <w:rPr/>
        <w:t>公司聘请的报告期内履行持续督导职责的财务顾问</w:t>
      </w:r>
    </w:p>
    <w:p>
      <w:pPr>
        <w:spacing w:line="240" w:lineRule="auto" w:before="12"/>
        <w:rPr>
          <w:rFonts w:ascii="宋体" w:hAnsi="宋体" w:cs="宋体" w:eastAsia="宋体" w:hint="default"/>
          <w:sz w:val="20"/>
          <w:szCs w:val="20"/>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7"/>
          <w:szCs w:val="17"/>
        </w:rPr>
      </w:pPr>
    </w:p>
    <w:p>
      <w:pPr>
        <w:pStyle w:val="Heading2"/>
        <w:spacing w:line="240" w:lineRule="auto"/>
        <w:ind w:right="0"/>
        <w:jc w:val="left"/>
        <w:rPr>
          <w:b w:val="0"/>
          <w:bCs w:val="0"/>
        </w:rPr>
      </w:pPr>
      <w:bookmarkStart w:name="五、主要会计数据和财务指标" w:id="8"/>
      <w:bookmarkEnd w:id="8"/>
      <w:r>
        <w:rPr>
          <w:b w:val="0"/>
          <w:bCs w:val="0"/>
        </w:rPr>
      </w:r>
      <w:r>
        <w:rPr/>
        <w:t>五、主要会计数据和财务指标</w:t>
      </w:r>
      <w:r>
        <w:rPr>
          <w:b w:val="0"/>
          <w:bCs w:val="0"/>
        </w:rPr>
      </w:r>
    </w:p>
    <w:p>
      <w:pPr>
        <w:spacing w:line="240" w:lineRule="auto" w:before="0"/>
        <w:rPr>
          <w:rFonts w:ascii="宋体" w:hAnsi="宋体" w:cs="宋体" w:eastAsia="宋体" w:hint="default"/>
          <w:b/>
          <w:bCs/>
          <w:sz w:val="24"/>
          <w:szCs w:val="24"/>
        </w:rPr>
      </w:pPr>
    </w:p>
    <w:p>
      <w:pPr>
        <w:pStyle w:val="BodyText"/>
        <w:spacing w:line="240" w:lineRule="auto" w:before="190"/>
        <w:ind w:left="1133" w:right="0"/>
        <w:jc w:val="left"/>
      </w:pPr>
      <w:r>
        <w:rPr/>
        <w:t>公司是否需追溯调整或重述以前年度会计数据</w:t>
      </w:r>
    </w:p>
    <w:p>
      <w:pPr>
        <w:spacing w:line="240" w:lineRule="auto" w:before="10"/>
        <w:rPr>
          <w:rFonts w:ascii="宋体" w:hAnsi="宋体" w:cs="宋体" w:eastAsia="宋体" w:hint="default"/>
          <w:sz w:val="20"/>
          <w:szCs w:val="20"/>
        </w:rPr>
      </w:pPr>
    </w:p>
    <w:p>
      <w:pPr>
        <w:pStyle w:val="BodyText"/>
        <w:spacing w:line="240" w:lineRule="auto"/>
        <w:ind w:left="1133"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2"/>
        <w:rPr>
          <w:rFonts w:ascii="宋体" w:hAnsi="宋体" w:cs="宋体" w:eastAsia="宋体" w:hint="default"/>
          <w:sz w:val="12"/>
          <w:szCs w:val="12"/>
        </w:rPr>
      </w:pPr>
    </w:p>
    <w:tbl>
      <w:tblPr>
        <w:tblW w:w="0" w:type="auto"/>
        <w:jc w:val="left"/>
        <w:tblInd w:w="1140" w:type="dxa"/>
        <w:tblLayout w:type="fixed"/>
        <w:tblCellMar>
          <w:top w:w="0" w:type="dxa"/>
          <w:left w:w="0" w:type="dxa"/>
          <w:bottom w:w="0" w:type="dxa"/>
          <w:right w:w="0" w:type="dxa"/>
        </w:tblCellMar>
        <w:tblLook w:val="01E0"/>
      </w:tblPr>
      <w:tblGrid>
        <w:gridCol w:w="2598"/>
        <w:gridCol w:w="1751"/>
        <w:gridCol w:w="1736"/>
        <w:gridCol w:w="1738"/>
        <w:gridCol w:w="1735"/>
      </w:tblGrid>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2"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7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569,795,019.21</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544,953,859.79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4.56%</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465,691,390.41</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111,185,107.71</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87,160,102.19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27.56%</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65,883,942.02</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55"/>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105,797,801.10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79,566,214.52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32.97%</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63,754,572.99</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112,525,666.19</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55,135,232.72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104.09%</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25,678,995.07</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0.54</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0.44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22.73%</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0.36</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0.54</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0.43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25.58%</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0.36</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12.77%</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13.97%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-1.20%</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14.44%</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53"/>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资产总额（元）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1,349,383,995.85</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898,647,769.09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50.16%</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679,969,533.81</w:t>
            </w:r>
          </w:p>
        </w:tc>
      </w:tr>
      <w:tr>
        <w:trPr>
          <w:trHeight w:val="715"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1,131,411,645.45</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674,448,463.72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67.75%</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581,914,707.97</w:t>
            </w:r>
          </w:p>
        </w:tc>
      </w:tr>
    </w:tbl>
    <w:p>
      <w:pPr>
        <w:spacing w:after="0" w:line="240" w:lineRule="auto"/>
        <w:jc w:val="right"/>
        <w:rPr>
          <w:rFonts w:ascii="Times New Roman" w:hAnsi="Times New Roman" w:cs="Times New Roman" w:eastAsia="Times New Roman" w:hint="default"/>
          <w:sz w:val="18"/>
          <w:szCs w:val="18"/>
        </w:rPr>
        <w:sectPr>
          <w:footerReference w:type="default" r:id="rId11"/>
          <w:pgSz w:w="11910" w:h="16840"/>
          <w:pgMar w:footer="640" w:header="787" w:top="1100" w:bottom="840" w:left="0" w:right="0"/>
        </w:sectPr>
      </w:pPr>
    </w:p>
    <w:p>
      <w:pPr>
        <w:spacing w:line="240" w:lineRule="auto" w:before="8"/>
        <w:rPr>
          <w:rFonts w:ascii="宋体" w:hAnsi="宋体" w:cs="宋体" w:eastAsia="宋体" w:hint="default"/>
          <w:sz w:val="20"/>
          <w:szCs w:val="20"/>
        </w:rPr>
      </w:pPr>
    </w:p>
    <w:p>
      <w:pPr>
        <w:pStyle w:val="Heading2"/>
        <w:spacing w:line="240" w:lineRule="auto" w:before="26"/>
        <w:ind w:left="1134" w:right="0"/>
        <w:jc w:val="left"/>
        <w:rPr>
          <w:b w:val="0"/>
          <w:bCs w:val="0"/>
        </w:rPr>
      </w:pPr>
      <w:bookmarkStart w:name="六、分季度主要财务指标" w:id="9"/>
      <w:bookmarkEnd w:id="9"/>
      <w:r>
        <w:rPr>
          <w:b w:val="0"/>
          <w:bCs w:val="0"/>
        </w:rPr>
      </w:r>
      <w:r>
        <w:rPr/>
        <w:t>六、分季度主要财务指标</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2598"/>
        <w:gridCol w:w="1752"/>
        <w:gridCol w:w="1739"/>
        <w:gridCol w:w="1740"/>
        <w:gridCol w:w="1729"/>
      </w:tblGrid>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15"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3"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5"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70,332,593.85</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119,681,215.61</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103,115,052.56</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276,666,157.19</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-16,073,412.61</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23,331,958.23</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7,453,364.81</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96,473,197.28</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55"/>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-16,702,546.15</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22,044,147.31</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6,652,771.41</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93,803,428.53</w:t>
            </w:r>
          </w:p>
        </w:tc>
      </w:tr>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-75,411,072.45</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-7,059,477.78</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-12,449,292.59</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207,445,509.01</w:t>
            </w:r>
          </w:p>
        </w:tc>
      </w:tr>
    </w:tbl>
    <w:p>
      <w:pPr>
        <w:spacing w:line="240" w:lineRule="auto" w:before="6"/>
        <w:rPr>
          <w:rFonts w:ascii="宋体" w:hAnsi="宋体" w:cs="宋体" w:eastAsia="宋体" w:hint="default"/>
          <w:sz w:val="6"/>
          <w:szCs w:val="6"/>
        </w:rPr>
      </w:pPr>
    </w:p>
    <w:p>
      <w:pPr>
        <w:pStyle w:val="BodyText"/>
        <w:spacing w:line="240" w:lineRule="auto" w:before="44"/>
        <w:ind w:right="0"/>
        <w:jc w:val="left"/>
      </w:pPr>
      <w:r>
        <w:rPr/>
        <w:t>上述财务指标或其加总数是否与公司已披露季度报告、半年度报告相关财务指标存在重大差异</w:t>
      </w:r>
    </w:p>
    <w:p>
      <w:pPr>
        <w:spacing w:line="240" w:lineRule="auto" w:before="10"/>
        <w:rPr>
          <w:rFonts w:ascii="宋体" w:hAnsi="宋体" w:cs="宋体" w:eastAsia="宋体" w:hint="default"/>
          <w:sz w:val="20"/>
          <w:szCs w:val="20"/>
        </w:rPr>
      </w:pPr>
    </w:p>
    <w:p>
      <w:pPr>
        <w:pStyle w:val="BodyText"/>
        <w:spacing w:line="240" w:lineRule="auto"/>
        <w:ind w:left="1133"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7"/>
          <w:szCs w:val="17"/>
        </w:rPr>
      </w:pPr>
    </w:p>
    <w:p>
      <w:pPr>
        <w:pStyle w:val="Heading2"/>
        <w:spacing w:line="240" w:lineRule="auto"/>
        <w:ind w:right="0"/>
        <w:jc w:val="left"/>
        <w:rPr>
          <w:b w:val="0"/>
          <w:bCs w:val="0"/>
        </w:rPr>
      </w:pPr>
      <w:bookmarkStart w:name="七、境内外会计准则下会计数据差异" w:id="10"/>
      <w:bookmarkEnd w:id="10"/>
      <w:r>
        <w:rPr>
          <w:b w:val="0"/>
          <w:bCs w:val="0"/>
        </w:rPr>
      </w:r>
      <w:r>
        <w:rPr/>
        <w:t>七、境内外会计准则下会计数据差异</w:t>
      </w:r>
      <w:r>
        <w:rPr>
          <w:b w:val="0"/>
          <w:bCs w:val="0"/>
        </w:rPr>
      </w:r>
    </w:p>
    <w:p>
      <w:pPr>
        <w:spacing w:line="240" w:lineRule="auto" w:before="0"/>
        <w:rPr>
          <w:rFonts w:ascii="宋体" w:hAnsi="宋体" w:cs="宋体" w:eastAsia="宋体" w:hint="default"/>
          <w:b/>
          <w:bCs/>
          <w:sz w:val="24"/>
          <w:szCs w:val="24"/>
        </w:rPr>
      </w:pPr>
    </w:p>
    <w:p>
      <w:pPr>
        <w:pStyle w:val="Heading3"/>
        <w:spacing w:line="240" w:lineRule="auto" w:before="161"/>
        <w:ind w:left="1133" w:right="0"/>
        <w:jc w:val="left"/>
        <w:rPr>
          <w:b w:val="0"/>
          <w:bCs w:val="0"/>
        </w:rPr>
      </w:pPr>
      <w:bookmarkStart w:name="1、同时按照国际会计准则与按照中国会计准则披露的财务报告中净利润和净资产差异情况" w:id="11"/>
      <w:bookmarkEnd w:id="11"/>
      <w:r>
        <w:rPr>
          <w:b w:val="0"/>
          <w:bCs w:val="0"/>
        </w:rPr>
      </w: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pStyle w:val="BodyText"/>
        <w:spacing w:line="489" w:lineRule="auto"/>
        <w:ind w:left="1133" w:right="13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公司报告期不存在按照国际会计准则与按照中国会计准则披露的财务报告中净利润和净资产差异情况。</w:t>
      </w:r>
    </w:p>
    <w:p>
      <w:pPr>
        <w:spacing w:line="240" w:lineRule="auto" w:before="5"/>
        <w:rPr>
          <w:rFonts w:ascii="宋体" w:hAnsi="宋体" w:cs="宋体" w:eastAsia="宋体" w:hint="default"/>
          <w:sz w:val="24"/>
          <w:szCs w:val="24"/>
        </w:rPr>
      </w:pPr>
    </w:p>
    <w:p>
      <w:pPr>
        <w:pStyle w:val="Heading3"/>
        <w:spacing w:line="240" w:lineRule="auto"/>
        <w:ind w:left="1133" w:right="0"/>
        <w:jc w:val="left"/>
        <w:rPr>
          <w:b w:val="0"/>
          <w:bCs w:val="0"/>
        </w:rPr>
      </w:pPr>
      <w:bookmarkStart w:name="2、同时按照境外会计准则与按照中国会计准则披露的财务报告中净利润和净资产差异情况" w:id="12"/>
      <w:bookmarkEnd w:id="12"/>
      <w:r>
        <w:rPr>
          <w:b w:val="0"/>
          <w:bCs w:val="0"/>
        </w:rPr>
      </w: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pStyle w:val="BodyText"/>
        <w:spacing w:line="489" w:lineRule="auto"/>
        <w:ind w:left="1133" w:right="26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公司报告期不存在按照境外会计准则与按照中国会计准则披露的财务报告中净利润和净资产差异情况。</w:t>
      </w:r>
    </w:p>
    <w:p>
      <w:pPr>
        <w:spacing w:line="240" w:lineRule="auto" w:before="8"/>
        <w:rPr>
          <w:rFonts w:ascii="宋体" w:hAnsi="宋体" w:cs="宋体" w:eastAsia="宋体" w:hint="default"/>
          <w:sz w:val="22"/>
          <w:szCs w:val="22"/>
        </w:rPr>
      </w:pPr>
    </w:p>
    <w:p>
      <w:pPr>
        <w:pStyle w:val="Heading2"/>
        <w:spacing w:line="240" w:lineRule="auto"/>
        <w:ind w:right="0"/>
        <w:jc w:val="left"/>
        <w:rPr>
          <w:b w:val="0"/>
          <w:bCs w:val="0"/>
        </w:rPr>
      </w:pPr>
      <w:bookmarkStart w:name="八、非经常性损益项目及金额" w:id="13"/>
      <w:bookmarkEnd w:id="13"/>
      <w:r>
        <w:rPr>
          <w:b w:val="0"/>
          <w:bCs w:val="0"/>
        </w:rPr>
      </w:r>
      <w:r>
        <w:rPr/>
        <w:t>八、非经常性损益项目及金额</w:t>
      </w:r>
      <w:r>
        <w:rPr>
          <w:b w:val="0"/>
          <w:bCs w:val="0"/>
        </w:rPr>
      </w:r>
    </w:p>
    <w:p>
      <w:pPr>
        <w:spacing w:line="240" w:lineRule="auto" w:before="0"/>
        <w:rPr>
          <w:rFonts w:ascii="宋体" w:hAnsi="宋体" w:cs="宋体" w:eastAsia="宋体" w:hint="default"/>
          <w:b/>
          <w:bCs/>
          <w:sz w:val="24"/>
          <w:szCs w:val="24"/>
        </w:rPr>
      </w:pPr>
    </w:p>
    <w:p>
      <w:pPr>
        <w:pStyle w:val="BodyText"/>
        <w:spacing w:line="240" w:lineRule="auto" w:before="189"/>
        <w:ind w:left="113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5"/>
        <w:rPr>
          <w:rFonts w:ascii="宋体" w:hAnsi="宋体" w:cs="宋体" w:eastAsia="宋体" w:hint="default"/>
          <w:sz w:val="10"/>
          <w:szCs w:val="10"/>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3273"/>
        <w:gridCol w:w="1532"/>
        <w:gridCol w:w="1520"/>
        <w:gridCol w:w="1522"/>
        <w:gridCol w:w="1710"/>
      </w:tblGrid>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4"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0"/>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-18,400.37</w:t>
            </w:r>
            <w:r>
              <w:rPr>
                <w:rFonts w:ascii="Times New Roman"/>
                <w:sz w:val="18"/>
              </w:rPr>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-40,561.28</w:t>
            </w:r>
            <w:r>
              <w:rPr>
                <w:rFonts w:ascii="Times New Roman"/>
                <w:sz w:val="18"/>
              </w:rPr>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-44,431.73</w:t>
            </w:r>
            <w:r>
              <w:rPr>
                <w:rFonts w:ascii="Times New Roman"/>
                <w:sz w:val="18"/>
              </w:rPr>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6,486,230.09</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8,732,631.65</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2,606,203.43</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276,977.05</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764,964.47</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54,302.07</w:t>
            </w:r>
          </w:p>
        </w:tc>
        <w:tc>
          <w:tcPr>
            <w:tcW w:w="171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87" w:footer="640" w:top="1100" w:bottom="840" w:left="0" w:right="0"/>
        </w:sectPr>
      </w:pPr>
    </w:p>
    <w:p>
      <w:pPr>
        <w:spacing w:line="240" w:lineRule="auto" w:before="5"/>
        <w:rPr>
          <w:rFonts w:ascii="宋体" w:hAnsi="宋体" w:cs="宋体" w:eastAsia="宋体" w:hint="default"/>
          <w:sz w:val="25"/>
          <w:szCs w:val="25"/>
        </w:rPr>
      </w:pPr>
    </w:p>
    <w:tbl>
      <w:tblPr>
        <w:tblW w:w="0" w:type="auto"/>
        <w:jc w:val="left"/>
        <w:tblInd w:w="1129" w:type="dxa"/>
        <w:tblLayout w:type="fixed"/>
        <w:tblCellMar>
          <w:top w:w="0" w:type="dxa"/>
          <w:left w:w="0" w:type="dxa"/>
          <w:bottom w:w="0" w:type="dxa"/>
          <w:right w:w="0" w:type="dxa"/>
        </w:tblCellMar>
        <w:tblLook w:val="01E0"/>
      </w:tblPr>
      <w:tblGrid>
        <w:gridCol w:w="3297"/>
        <w:gridCol w:w="1520"/>
        <w:gridCol w:w="1520"/>
        <w:gridCol w:w="1522"/>
        <w:gridCol w:w="1710"/>
      </w:tblGrid>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705,677.70</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系理财产品收益</w:t>
            </w: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773,060.84</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1,386,269.26</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486,704.74</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1,290,117.02</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476,877.91</w:t>
            </w: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5,387,306.61</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7,593,887.67</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2,129,369.03</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6"/>
        <w:rPr>
          <w:rFonts w:ascii="宋体" w:hAnsi="宋体" w:cs="宋体" w:eastAsia="宋体" w:hint="default"/>
          <w:sz w:val="6"/>
          <w:szCs w:val="6"/>
        </w:rPr>
      </w:pPr>
    </w:p>
    <w:p>
      <w:pPr>
        <w:pStyle w:val="BodyText"/>
        <w:spacing w:line="240" w:lineRule="auto" w:before="44"/>
        <w:ind w:right="0"/>
        <w:jc w:val="left"/>
      </w:pPr>
      <w:r>
        <w:rPr>
          <w:spacing w:val="-3"/>
        </w:rPr>
        <w:t>对公司根据《公开发行证券的公司信息披露解释性公告第</w:t>
      </w:r>
      <w:r>
        <w:rPr>
          <w:spacing w:val="-39"/>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spacing w:line="240" w:lineRule="auto" w:before="9"/>
        <w:rPr>
          <w:rFonts w:ascii="宋体" w:hAnsi="宋体" w:cs="宋体" w:eastAsia="宋体" w:hint="default"/>
          <w:sz w:val="16"/>
          <w:szCs w:val="16"/>
        </w:rPr>
      </w:pPr>
    </w:p>
    <w:p>
      <w:pPr>
        <w:pStyle w:val="BodyText"/>
        <w:spacing w:line="451" w:lineRule="auto"/>
        <w:ind w:right="1118"/>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11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19"/>
          <w:szCs w:val="19"/>
        </w:rPr>
      </w:pPr>
    </w:p>
    <w:p>
      <w:pPr>
        <w:pStyle w:val="BodyText"/>
        <w:spacing w:line="451" w:lineRule="auto"/>
        <w:ind w:left="1133" w:right="1116"/>
        <w:jc w:val="left"/>
      </w:pPr>
      <w:r>
        <w:rPr/>
        <w:t>公司报告期不存在将根据《公开发行证券的公司信息披露解释性公告第</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spacing w:val="-3"/>
        </w:rPr>
        <w:t>号</w:t>
      </w:r>
      <w:r>
        <w:rPr>
          <w:rFonts w:ascii="Times New Roman" w:hAnsi="Times New Roman" w:cs="Times New Roman" w:eastAsia="Times New Roman" w:hint="default"/>
          <w:spacing w:val="-3"/>
        </w:rPr>
        <w:t>——</w:t>
      </w:r>
      <w:r>
        <w:rPr>
          <w:spacing w:val="-3"/>
        </w:rPr>
        <w:t>非经常性损益》定义、列举的非经常性损益</w:t>
      </w:r>
      <w:r>
        <w:rPr/>
        <w:t> 项目界定为经常性损益的项目的情形。</w:t>
      </w:r>
    </w:p>
    <w:p>
      <w:pPr>
        <w:spacing w:after="0" w:line="451" w:lineRule="auto"/>
        <w:jc w:val="left"/>
        <w:sectPr>
          <w:footerReference w:type="default" r:id="rId12"/>
          <w:pgSz w:w="11910" w:h="16840"/>
          <w:pgMar w:footer="640" w:header="787" w:top="1100" w:bottom="84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7"/>
          <w:szCs w:val="17"/>
        </w:rPr>
      </w:pPr>
    </w:p>
    <w:p>
      <w:pPr>
        <w:pStyle w:val="Heading1"/>
        <w:spacing w:line="240" w:lineRule="auto"/>
        <w:ind w:right="4090"/>
        <w:jc w:val="center"/>
        <w:rPr>
          <w:b w:val="0"/>
          <w:bCs w:val="0"/>
        </w:rPr>
      </w:pPr>
      <w:bookmarkStart w:name="第三节 公司业务概要" w:id="14"/>
      <w:bookmarkEnd w:id="14"/>
      <w:r>
        <w:rPr>
          <w:b w:val="0"/>
          <w:bCs w:val="0"/>
        </w:rPr>
      </w:r>
      <w:bookmarkStart w:name="_bookmark1" w:id="15"/>
      <w:bookmarkEnd w:id="15"/>
      <w:r>
        <w:rPr>
          <w:b w:val="0"/>
          <w:bCs w:val="0"/>
        </w:rPr>
      </w:r>
      <w:r>
        <w:rPr/>
        <w:t>第三节</w:t>
      </w:r>
      <w:r>
        <w:rPr>
          <w:spacing w:val="-7"/>
        </w:rPr>
        <w:t> </w:t>
      </w:r>
      <w:r>
        <w:rPr/>
        <w:t>公司业务概要</w:t>
      </w:r>
      <w:r>
        <w:rPr>
          <w:b w:val="0"/>
          <w:bCs w:val="0"/>
        </w:rPr>
      </w:r>
    </w:p>
    <w:p>
      <w:pPr>
        <w:spacing w:line="240" w:lineRule="auto" w:before="10"/>
        <w:rPr>
          <w:rFonts w:ascii="宋体" w:hAnsi="宋体" w:cs="宋体" w:eastAsia="宋体" w:hint="default"/>
          <w:b/>
          <w:bCs/>
          <w:sz w:val="44"/>
          <w:szCs w:val="44"/>
        </w:rPr>
      </w:pPr>
    </w:p>
    <w:p>
      <w:pPr>
        <w:pStyle w:val="Heading2"/>
        <w:spacing w:line="240" w:lineRule="auto"/>
        <w:ind w:left="1134" w:right="0"/>
        <w:jc w:val="left"/>
        <w:rPr>
          <w:b w:val="0"/>
          <w:bCs w:val="0"/>
        </w:rPr>
      </w:pPr>
      <w:bookmarkStart w:name="一、报告期内公司从事的主要业务" w:id="16"/>
      <w:bookmarkEnd w:id="16"/>
      <w:r>
        <w:rPr>
          <w:b w:val="0"/>
          <w:bCs w:val="0"/>
        </w:rPr>
      </w:r>
      <w:r>
        <w:rPr/>
        <w:t>一、报告期内公司从事的主要业务</w:t>
      </w:r>
      <w:r>
        <w:rPr>
          <w:b w:val="0"/>
          <w:bCs w:val="0"/>
        </w:rPr>
      </w:r>
    </w:p>
    <w:p>
      <w:pPr>
        <w:spacing w:line="240" w:lineRule="auto" w:before="0"/>
        <w:rPr>
          <w:rFonts w:ascii="宋体" w:hAnsi="宋体" w:cs="宋体" w:eastAsia="宋体" w:hint="default"/>
          <w:b/>
          <w:bCs/>
          <w:sz w:val="24"/>
          <w:szCs w:val="24"/>
        </w:rPr>
      </w:pPr>
    </w:p>
    <w:p>
      <w:pPr>
        <w:pStyle w:val="BodyText"/>
        <w:spacing w:line="516" w:lineRule="auto" w:before="189"/>
        <w:ind w:right="7692"/>
        <w:jc w:val="left"/>
      </w:pPr>
      <w:r>
        <w:rPr/>
        <w:t>公司是否需要遵守特殊行业的披露要求 否</w:t>
      </w:r>
    </w:p>
    <w:p>
      <w:pPr>
        <w:pStyle w:val="BodyText"/>
        <w:spacing w:line="463" w:lineRule="auto" w:before="65"/>
        <w:ind w:left="1133" w:right="1132" w:firstLine="290"/>
        <w:jc w:val="both"/>
      </w:pPr>
      <w:r>
        <w:rPr>
          <w:spacing w:val="-1"/>
        </w:rPr>
        <w:t>报告期内，公司从事的主要业务仍为金融、司法以及平安城市这三个领域的业务。其中，金融、司法和平安城市的业务</w:t>
      </w:r>
      <w:r>
        <w:rPr/>
        <w:t> </w:t>
      </w:r>
      <w:r>
        <w:rPr>
          <w:spacing w:val="-4"/>
        </w:rPr>
        <w:t>分别为公司创造</w:t>
      </w:r>
      <w:r>
        <w:rPr>
          <w:rFonts w:ascii="Times New Roman" w:hAnsi="Times New Roman" w:cs="Times New Roman" w:eastAsia="Times New Roman" w:hint="default"/>
          <w:spacing w:val="-4"/>
        </w:rPr>
        <w:t>44,590.61</w:t>
      </w:r>
      <w:r>
        <w:rPr>
          <w:spacing w:val="-4"/>
        </w:rPr>
        <w:t>万元、</w:t>
      </w:r>
      <w:r>
        <w:rPr>
          <w:rFonts w:ascii="Times New Roman" w:hAnsi="Times New Roman" w:cs="Times New Roman" w:eastAsia="Times New Roman" w:hint="default"/>
          <w:spacing w:val="-4"/>
        </w:rPr>
        <w:t>3,521.01</w:t>
      </w:r>
      <w:r>
        <w:rPr>
          <w:spacing w:val="-4"/>
        </w:rPr>
        <w:t>万元以及</w:t>
      </w:r>
      <w:r>
        <w:rPr>
          <w:rFonts w:ascii="Times New Roman" w:hAnsi="Times New Roman" w:cs="Times New Roman" w:eastAsia="Times New Roman" w:hint="default"/>
          <w:spacing w:val="-4"/>
        </w:rPr>
        <w:t>4,223.46</w:t>
      </w:r>
      <w:r>
        <w:rPr>
          <w:spacing w:val="-4"/>
        </w:rPr>
        <w:t>万元的收入。作为国内金融安防行业领先企业之一，公司业绩在</w:t>
      </w:r>
      <w:r>
        <w:rPr>
          <w:rFonts w:ascii="Times New Roman" w:hAnsi="Times New Roman" w:cs="Times New Roman" w:eastAsia="Times New Roman" w:hint="default"/>
          <w:spacing w:val="-4"/>
        </w:rPr>
        <w:t>2017</w:t>
      </w:r>
      <w:r>
        <w:rPr>
          <w:rFonts w:ascii="Times New Roman" w:hAnsi="Times New Roman" w:cs="Times New Roman" w:eastAsia="Times New Roman" w:hint="default"/>
          <w:spacing w:val="-30"/>
        </w:rPr>
        <w:t> </w:t>
      </w:r>
      <w:r>
        <w:rPr/>
        <w:t>年继续保持稳步增长。</w:t>
      </w:r>
    </w:p>
    <w:p>
      <w:pPr>
        <w:pStyle w:val="BodyText"/>
        <w:spacing w:line="477" w:lineRule="auto" w:before="65"/>
        <w:ind w:left="1133" w:right="1131" w:firstLine="290"/>
        <w:jc w:val="both"/>
      </w:pPr>
      <w:r>
        <w:rPr>
          <w:spacing w:val="-1"/>
        </w:rPr>
        <w:t>在金融领域，公司主要为银行客户提供营业网点视音频系统、出入口控制系统、自助银行智能安防系统等系统的项目集</w:t>
      </w:r>
      <w:r>
        <w:rPr/>
        <w:t> </w:t>
      </w:r>
      <w:r>
        <w:rPr>
          <w:spacing w:val="-2"/>
        </w:rPr>
        <w:t>成服务和运维服务以及软硬件产品，如智慧物联管理平台、全方位智能感知产品以及智能视频设备、出入口控制设备、智能</w:t>
      </w:r>
      <w:r>
        <w:rPr>
          <w:spacing w:val="-66"/>
        </w:rPr>
        <w:t> </w:t>
      </w:r>
      <w:r>
        <w:rPr>
          <w:spacing w:val="-66"/>
        </w:rPr>
      </w:r>
      <w:r>
        <w:rPr/>
        <w:t>语音设备等研发、生产和销售服务。</w:t>
      </w:r>
    </w:p>
    <w:p>
      <w:pPr>
        <w:pStyle w:val="BodyText"/>
        <w:spacing w:line="477" w:lineRule="auto" w:before="54"/>
        <w:ind w:left="1133" w:right="1133" w:firstLine="290"/>
        <w:jc w:val="both"/>
      </w:pPr>
      <w:r>
        <w:rPr>
          <w:spacing w:val="-1"/>
        </w:rPr>
        <w:t>在司法领域，公司主要为客户提供智慧监狱业务大数据平台、监狱人员实时定位管理系统、社区矫正人员定位跟踪管理</w:t>
      </w:r>
      <w:r>
        <w:rPr/>
        <w:t> 系统、监狱狱政管理系统、视音频监控系统、出入口控制系统以及监仓对讲系统等服务。</w:t>
      </w:r>
    </w:p>
    <w:p>
      <w:pPr>
        <w:pStyle w:val="BodyText"/>
        <w:spacing w:line="477" w:lineRule="auto" w:before="54"/>
        <w:ind w:left="1133" w:right="1133" w:firstLine="290"/>
        <w:jc w:val="both"/>
      </w:pPr>
      <w:r>
        <w:rPr>
          <w:spacing w:val="-1"/>
        </w:rPr>
        <w:t>在平安城市领域，公司主要为客户提供视频监控智慧大数据运营服务、城市监控系统、智能终端以及智慧城市安全综合</w:t>
      </w:r>
      <w:r>
        <w:rPr/>
        <w:t> 管理平台等产品及服务。</w:t>
      </w:r>
    </w:p>
    <w:p>
      <w:pPr>
        <w:pStyle w:val="BodyText"/>
        <w:spacing w:line="240" w:lineRule="auto" w:before="54"/>
        <w:ind w:left="1424" w:right="0"/>
        <w:jc w:val="left"/>
      </w:pPr>
      <w:r>
        <w:rPr/>
        <w:t>报告期内公司所处行业的发展情况，请详见第四节经营情况讨论与分析</w:t>
      </w:r>
      <w:r>
        <w:rPr>
          <w:rFonts w:ascii="Times New Roman" w:hAnsi="Times New Roman" w:cs="Times New Roman" w:eastAsia="Times New Roman" w:hint="default"/>
        </w:rPr>
        <w:t>/</w:t>
      </w:r>
      <w:r>
        <w:rPr/>
        <w:t>九、公司未来发展的展望。</w:t>
      </w: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7"/>
          <w:szCs w:val="17"/>
        </w:rPr>
      </w:pPr>
    </w:p>
    <w:p>
      <w:pPr>
        <w:pStyle w:val="Heading2"/>
        <w:spacing w:line="240" w:lineRule="auto"/>
        <w:ind w:right="0"/>
        <w:jc w:val="left"/>
        <w:rPr>
          <w:b w:val="0"/>
          <w:bCs w:val="0"/>
        </w:rPr>
      </w:pPr>
      <w:bookmarkStart w:name="二、主要资产重大变化情况" w:id="17"/>
      <w:bookmarkEnd w:id="17"/>
      <w:r>
        <w:rPr>
          <w:b w:val="0"/>
          <w:bCs w:val="0"/>
        </w:rPr>
      </w:r>
      <w:r>
        <w:rPr/>
        <w:t>二、主要资产重大变化情况</w:t>
      </w:r>
      <w:r>
        <w:rPr>
          <w:b w:val="0"/>
          <w:bCs w:val="0"/>
        </w:rPr>
      </w:r>
    </w:p>
    <w:p>
      <w:pPr>
        <w:spacing w:line="240" w:lineRule="auto" w:before="0"/>
        <w:rPr>
          <w:rFonts w:ascii="宋体" w:hAnsi="宋体" w:cs="宋体" w:eastAsia="宋体" w:hint="default"/>
          <w:b/>
          <w:bCs/>
          <w:sz w:val="24"/>
          <w:szCs w:val="24"/>
        </w:rPr>
      </w:pPr>
    </w:p>
    <w:p>
      <w:pPr>
        <w:pStyle w:val="Heading3"/>
        <w:spacing w:line="240" w:lineRule="auto" w:before="163"/>
        <w:ind w:left="1133" w:right="0"/>
        <w:jc w:val="left"/>
        <w:rPr>
          <w:b w:val="0"/>
          <w:bCs w:val="0"/>
        </w:rPr>
      </w:pPr>
      <w:bookmarkStart w:name="1、主要资产重大变化情况" w:id="18"/>
      <w:bookmarkEnd w:id="18"/>
      <w:r>
        <w:rPr>
          <w:b w:val="0"/>
          <w:bCs w:val="0"/>
        </w:rPr>
      </w:r>
      <w:r>
        <w:rPr>
          <w:rFonts w:ascii="Times New Roman" w:hAnsi="Times New Roman" w:cs="Times New Roman" w:eastAsia="Times New Roman" w:hint="default"/>
        </w:rPr>
        <w:t>1</w:t>
      </w:r>
      <w:r>
        <w:rPr/>
        <w:t>、主要资产重大变化情况</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p>
      <w:pPr>
        <w:pStyle w:val="BodyText"/>
        <w:spacing w:line="240" w:lineRule="auto"/>
        <w:ind w:left="0" w:right="1140"/>
        <w:jc w:val="right"/>
      </w:pPr>
      <w:r>
        <w:rPr/>
        <w:pict>
          <v:shape style="position:absolute;margin-left:56.459999pt;margin-top:-108.168282pt;width:479.2pt;height:179.5pt;mso-position-horizontal-relative:page;mso-position-vertical-relative:paragraph;z-index:11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052"/>
                    <w:gridCol w:w="6517"/>
                  </w:tblGrid>
                  <w:tr>
                    <w:trPr>
                      <w:trHeight w:val="186" w:hRule="exact"/>
                    </w:trPr>
                    <w:tc>
                      <w:tcPr>
                        <w:tcW w:w="3052" w:type="dxa"/>
                        <w:tcBorders>
                          <w:top w:val="single" w:sz="4" w:space="0" w:color="000000"/>
                          <w:left w:val="single" w:sz="4" w:space="0" w:color="000000"/>
                          <w:bottom w:val="nil" w:sz="6" w:space="0" w:color="auto"/>
                          <w:right w:val="single" w:sz="4" w:space="0" w:color="000000"/>
                        </w:tcBorders>
                        <w:shd w:val="clear" w:color="auto" w:fill="D2D2D2"/>
                      </w:tcPr>
                      <w:p>
                        <w:pPr/>
                      </w:p>
                    </w:tc>
                    <w:tc>
                      <w:tcPr>
                        <w:tcW w:w="651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305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651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185" w:hRule="exact"/>
                    </w:trPr>
                    <w:tc>
                      <w:tcPr>
                        <w:tcW w:w="3052" w:type="dxa"/>
                        <w:tcBorders>
                          <w:top w:val="nil" w:sz="6" w:space="0" w:color="auto"/>
                          <w:left w:val="single" w:sz="4" w:space="0" w:color="000000"/>
                          <w:bottom w:val="single" w:sz="4" w:space="0" w:color="000000"/>
                          <w:right w:val="single" w:sz="4" w:space="0" w:color="000000"/>
                        </w:tcBorders>
                        <w:shd w:val="clear" w:color="auto" w:fill="D2D2D2"/>
                      </w:tcPr>
                      <w:p>
                        <w:pPr/>
                      </w:p>
                    </w:tc>
                    <w:tc>
                      <w:tcPr>
                        <w:tcW w:w="651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30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股权资产</w:t>
                        </w:r>
                      </w:p>
                    </w:tc>
                    <w:tc>
                      <w:tcPr>
                        <w:tcW w:w="65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10"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r>
                    <w:trPr>
                      <w:trHeight w:val="474" w:hRule="exact"/>
                    </w:trPr>
                    <w:tc>
                      <w:tcPr>
                        <w:tcW w:w="3052" w:type="dxa"/>
                        <w:tcBorders>
                          <w:top w:val="single" w:sz="4" w:space="0" w:color="000000"/>
                          <w:left w:val="single" w:sz="4" w:space="0" w:color="000000"/>
                          <w:bottom w:val="nil" w:sz="6" w:space="0" w:color="auto"/>
                          <w:right w:val="single" w:sz="4" w:space="0" w:color="000000"/>
                        </w:tcBorders>
                        <w:shd w:val="clear" w:color="auto" w:fill="D2D2D2"/>
                      </w:tcPr>
                      <w:p>
                        <w:pPr/>
                      </w:p>
                    </w:tc>
                    <w:tc>
                      <w:tcPr>
                        <w:tcW w:w="6517" w:type="dxa"/>
                        <w:vMerge w:val="restart"/>
                        <w:tcBorders>
                          <w:top w:val="single" w:sz="4" w:space="0" w:color="000000"/>
                          <w:left w:val="single" w:sz="9" w:space="0" w:color="D2D2D2"/>
                          <w:right w:val="single" w:sz="4" w:space="0" w:color="000000"/>
                        </w:tcBorders>
                      </w:tcPr>
                      <w:p>
                        <w:pPr>
                          <w:pStyle w:val="TableParagraph"/>
                          <w:spacing w:line="240" w:lineRule="auto" w:before="52"/>
                          <w:ind w:left="16" w:right="0"/>
                          <w:jc w:val="both"/>
                          <w:rPr>
                            <w:rFonts w:ascii="宋体" w:hAnsi="宋体" w:cs="宋体" w:eastAsia="宋体" w:hint="default"/>
                            <w:sz w:val="18"/>
                            <w:szCs w:val="18"/>
                          </w:rPr>
                        </w:pPr>
                        <w:r>
                          <w:rPr>
                            <w:rFonts w:ascii="宋体" w:hAnsi="宋体" w:cs="宋体" w:eastAsia="宋体" w:hint="default"/>
                            <w:sz w:val="18"/>
                            <w:szCs w:val="18"/>
                          </w:rPr>
                          <w:t>固定资产</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年年末余额为</w:t>
                        </w:r>
                        <w:r>
                          <w:rPr>
                            <w:rFonts w:ascii="宋体" w:hAnsi="宋体" w:cs="宋体" w:eastAsia="宋体" w:hint="default"/>
                            <w:spacing w:val="-11"/>
                            <w:sz w:val="18"/>
                            <w:szCs w:val="18"/>
                          </w:rPr>
                          <w:t> </w:t>
                        </w:r>
                        <w:r>
                          <w:rPr>
                            <w:rFonts w:ascii="Times New Roman" w:hAnsi="Times New Roman" w:cs="Times New Roman" w:eastAsia="Times New Roman" w:hint="default"/>
                            <w:sz w:val="18"/>
                            <w:szCs w:val="18"/>
                          </w:rPr>
                          <w:t>303,393,574.35</w:t>
                        </w:r>
                        <w:r>
                          <w:rPr>
                            <w:rFonts w:ascii="Times New Roman" w:hAnsi="Times New Roman" w:cs="Times New Roman" w:eastAsia="Times New Roman" w:hint="default"/>
                            <w:spacing w:val="33"/>
                            <w:sz w:val="18"/>
                            <w:szCs w:val="18"/>
                          </w:rPr>
                          <w:t> </w:t>
                        </w:r>
                        <w:r>
                          <w:rPr>
                            <w:rFonts w:ascii="宋体" w:hAnsi="宋体" w:cs="宋体" w:eastAsia="宋体" w:hint="default"/>
                            <w:sz w:val="18"/>
                            <w:szCs w:val="18"/>
                          </w:rPr>
                          <w:t>元，占总资产比重为</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22.48%</w:t>
                        </w:r>
                        <w:r>
                          <w:rPr>
                            <w:rFonts w:ascii="宋体" w:hAnsi="宋体" w:cs="宋体" w:eastAsia="宋体" w:hint="default"/>
                            <w:sz w:val="18"/>
                            <w:szCs w:val="18"/>
                          </w:rPr>
                          <w:t>，比年初</w:t>
                        </w:r>
                      </w:p>
                      <w:p>
                        <w:pPr>
                          <w:pStyle w:val="TableParagraph"/>
                          <w:spacing w:line="309" w:lineRule="auto" w:before="61"/>
                          <w:ind w:left="16" w:right="21"/>
                          <w:jc w:val="both"/>
                          <w:rPr>
                            <w:rFonts w:ascii="宋体" w:hAnsi="宋体" w:cs="宋体" w:eastAsia="宋体" w:hint="default"/>
                            <w:sz w:val="18"/>
                            <w:szCs w:val="18"/>
                          </w:rPr>
                        </w:pPr>
                        <w:r>
                          <w:rPr>
                            <w:rFonts w:ascii="宋体" w:hAnsi="宋体" w:cs="宋体" w:eastAsia="宋体" w:hint="default"/>
                            <w:sz w:val="18"/>
                            <w:szCs w:val="18"/>
                          </w:rPr>
                          <w:t>增长 </w:t>
                        </w:r>
                        <w:r>
                          <w:rPr>
                            <w:rFonts w:ascii="Times New Roman" w:hAnsi="Times New Roman" w:cs="Times New Roman" w:eastAsia="Times New Roman" w:hint="default"/>
                            <w:sz w:val="18"/>
                            <w:szCs w:val="18"/>
                          </w:rPr>
                          <w:t>240.25%</w:t>
                        </w:r>
                        <w:r>
                          <w:rPr>
                            <w:rFonts w:ascii="Times New Roman" w:hAnsi="Times New Roman" w:cs="Times New Roman" w:eastAsia="Times New Roman" w:hint="default"/>
                            <w:spacing w:val="7"/>
                            <w:sz w:val="18"/>
                            <w:szCs w:val="18"/>
                          </w:rPr>
                          <w:t> </w:t>
                        </w:r>
                        <w:r>
                          <w:rPr>
                            <w:rFonts w:ascii="宋体" w:hAnsi="宋体" w:cs="宋体" w:eastAsia="宋体" w:hint="default"/>
                            <w:spacing w:val="-3"/>
                            <w:sz w:val="18"/>
                            <w:szCs w:val="18"/>
                          </w:rPr>
                          <w:t>，主要系报告期购入固定资产增加，公司新办公楼装修完工结转至固</w:t>
                        </w:r>
                        <w:r>
                          <w:rPr>
                            <w:rFonts w:ascii="宋体" w:hAnsi="宋体" w:cs="宋体" w:eastAsia="宋体" w:hint="default"/>
                            <w:sz w:val="18"/>
                            <w:szCs w:val="18"/>
                          </w:rPr>
                          <w:t> </w:t>
                        </w:r>
                        <w:r>
                          <w:rPr>
                            <w:rFonts w:ascii="宋体" w:hAnsi="宋体" w:cs="宋体" w:eastAsia="宋体" w:hint="default"/>
                            <w:spacing w:val="-1"/>
                            <w:sz w:val="18"/>
                            <w:szCs w:val="18"/>
                          </w:rPr>
                          <w:t>定资产，以及子公司重庆浩云公共安全物联网技术有限公司实施渝北区公共安全视</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4"/>
                            <w:sz w:val="18"/>
                            <w:szCs w:val="18"/>
                          </w:rPr>
                          <w:t>频监控工程服务（智慧天网）合同在建各网点的在建工程完工结转至固定资产所致</w:t>
                        </w:r>
                      </w:p>
                    </w:tc>
                  </w:tr>
                  <w:tr>
                    <w:trPr>
                      <w:trHeight w:val="391" w:hRule="exact"/>
                    </w:trPr>
                    <w:tc>
                      <w:tcPr>
                        <w:tcW w:w="305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6517" w:type="dxa"/>
                        <w:vMerge/>
                        <w:tcBorders>
                          <w:left w:val="single" w:sz="9" w:space="0" w:color="D2D2D2"/>
                          <w:right w:val="single" w:sz="4" w:space="0" w:color="000000"/>
                        </w:tcBorders>
                      </w:tcPr>
                      <w:p>
                        <w:pPr/>
                      </w:p>
                    </w:tc>
                  </w:tr>
                  <w:tr>
                    <w:trPr>
                      <w:trHeight w:val="473" w:hRule="exact"/>
                    </w:trPr>
                    <w:tc>
                      <w:tcPr>
                        <w:tcW w:w="3052" w:type="dxa"/>
                        <w:tcBorders>
                          <w:top w:val="nil" w:sz="6" w:space="0" w:color="auto"/>
                          <w:left w:val="single" w:sz="4" w:space="0" w:color="000000"/>
                          <w:bottom w:val="single" w:sz="4" w:space="0" w:color="000000"/>
                          <w:right w:val="single" w:sz="4" w:space="0" w:color="000000"/>
                        </w:tcBorders>
                        <w:shd w:val="clear" w:color="auto" w:fill="D2D2D2"/>
                      </w:tcPr>
                      <w:p>
                        <w:pPr/>
                      </w:p>
                    </w:tc>
                    <w:tc>
                      <w:tcPr>
                        <w:tcW w:w="6517" w:type="dxa"/>
                        <w:vMerge/>
                        <w:tcBorders>
                          <w:left w:val="single" w:sz="9" w:space="0" w:color="D2D2D2"/>
                          <w:bottom w:val="single" w:sz="4" w:space="0" w:color="000000"/>
                          <w:right w:val="single" w:sz="4" w:space="0" w:color="000000"/>
                        </w:tcBorders>
                      </w:tcPr>
                      <w:p>
                        <w:pPr/>
                      </w:p>
                    </w:tc>
                  </w:tr>
                  <w:tr>
                    <w:trPr>
                      <w:trHeight w:val="402" w:hRule="exact"/>
                    </w:trPr>
                    <w:tc>
                      <w:tcPr>
                        <w:tcW w:w="30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65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10"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r>
                    <w:trPr>
                      <w:trHeight w:val="142" w:hRule="exact"/>
                    </w:trPr>
                    <w:tc>
                      <w:tcPr>
                        <w:tcW w:w="3052" w:type="dxa"/>
                        <w:tcBorders>
                          <w:top w:val="single" w:sz="4" w:space="0" w:color="000000"/>
                          <w:left w:val="single" w:sz="4" w:space="0" w:color="000000"/>
                          <w:bottom w:val="nil" w:sz="6" w:space="0" w:color="auto"/>
                          <w:right w:val="single" w:sz="4" w:space="0" w:color="000000"/>
                        </w:tcBorders>
                        <w:shd w:val="clear" w:color="auto" w:fill="D2D2D2"/>
                      </w:tcPr>
                      <w:p>
                        <w:pPr/>
                      </w:p>
                    </w:tc>
                    <w:tc>
                      <w:tcPr>
                        <w:tcW w:w="6517" w:type="dxa"/>
                        <w:vMerge w:val="restart"/>
                        <w:tcBorders>
                          <w:top w:val="single" w:sz="4" w:space="0" w:color="000000"/>
                          <w:left w:val="single" w:sz="13" w:space="0" w:color="D2D2D2"/>
                          <w:right w:val="single" w:sz="4" w:space="0" w:color="000000"/>
                        </w:tcBorders>
                      </w:tcPr>
                      <w:p>
                        <w:pPr>
                          <w:pStyle w:val="TableParagraph"/>
                          <w:spacing w:line="240" w:lineRule="auto" w:before="52"/>
                          <w:ind w:left="10" w:right="0"/>
                          <w:jc w:val="left"/>
                          <w:rPr>
                            <w:rFonts w:ascii="宋体" w:hAnsi="宋体" w:cs="宋体" w:eastAsia="宋体" w:hint="default"/>
                            <w:sz w:val="18"/>
                            <w:szCs w:val="18"/>
                          </w:rPr>
                        </w:pPr>
                        <w:r>
                          <w:rPr>
                            <w:rFonts w:ascii="宋体" w:hAnsi="宋体" w:cs="宋体" w:eastAsia="宋体" w:hint="default"/>
                            <w:sz w:val="18"/>
                            <w:szCs w:val="18"/>
                          </w:rPr>
                          <w:t>在建工程</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年年末余额为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11,581,142.66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元，占总资产比重为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0.86%</w:t>
                        </w:r>
                        <w:r>
                          <w:rPr>
                            <w:rFonts w:ascii="宋体" w:hAnsi="宋体" w:cs="宋体" w:eastAsia="宋体" w:hint="default"/>
                            <w:sz w:val="18"/>
                            <w:szCs w:val="18"/>
                          </w:rPr>
                          <w:t>，比年初下</w:t>
                        </w:r>
                      </w:p>
                      <w:p>
                        <w:pPr>
                          <w:pStyle w:val="TableParagraph"/>
                          <w:spacing w:line="240" w:lineRule="auto" w:before="61"/>
                          <w:ind w:left="10" w:right="0"/>
                          <w:jc w:val="left"/>
                          <w:rPr>
                            <w:rFonts w:ascii="宋体" w:hAnsi="宋体" w:cs="宋体" w:eastAsia="宋体" w:hint="default"/>
                            <w:sz w:val="18"/>
                            <w:szCs w:val="18"/>
                          </w:rPr>
                        </w:pPr>
                        <w:r>
                          <w:rPr>
                            <w:rFonts w:ascii="宋体" w:hAnsi="宋体" w:cs="宋体" w:eastAsia="宋体" w:hint="default"/>
                            <w:sz w:val="18"/>
                            <w:szCs w:val="18"/>
                          </w:rPr>
                          <w:t>降 </w:t>
                        </w:r>
                        <w:r>
                          <w:rPr>
                            <w:rFonts w:ascii="Times New Roman" w:hAnsi="Times New Roman" w:cs="Times New Roman" w:eastAsia="Times New Roman" w:hint="default"/>
                            <w:sz w:val="18"/>
                            <w:szCs w:val="18"/>
                          </w:rPr>
                          <w:t>90.54%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，主要系公司新办公楼装修完工结转至固定资产，以及子公司重庆浩云</w:t>
                        </w:r>
                      </w:p>
                    </w:tc>
                  </w:tr>
                  <w:tr>
                    <w:trPr>
                      <w:trHeight w:val="392" w:hRule="exact"/>
                    </w:trPr>
                    <w:tc>
                      <w:tcPr>
                        <w:tcW w:w="305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6517" w:type="dxa"/>
                        <w:vMerge/>
                        <w:tcBorders>
                          <w:left w:val="single" w:sz="13" w:space="0" w:color="D2D2D2"/>
                          <w:right w:val="single" w:sz="4" w:space="0" w:color="000000"/>
                        </w:tcBorders>
                      </w:tcPr>
                      <w:p>
                        <w:pPr/>
                      </w:p>
                    </w:tc>
                  </w:tr>
                  <w:tr>
                    <w:trPr>
                      <w:trHeight w:val="140" w:hRule="exact"/>
                    </w:trPr>
                    <w:tc>
                      <w:tcPr>
                        <w:tcW w:w="3052" w:type="dxa"/>
                        <w:tcBorders>
                          <w:top w:val="nil" w:sz="6" w:space="0" w:color="auto"/>
                          <w:left w:val="single" w:sz="4" w:space="0" w:color="000000"/>
                          <w:bottom w:val="single" w:sz="4" w:space="0" w:color="000000"/>
                          <w:right w:val="single" w:sz="4" w:space="0" w:color="000000"/>
                        </w:tcBorders>
                        <w:shd w:val="clear" w:color="auto" w:fill="D2D2D2"/>
                      </w:tcPr>
                      <w:p>
                        <w:pPr/>
                      </w:p>
                    </w:tc>
                    <w:tc>
                      <w:tcPr>
                        <w:tcW w:w="6517" w:type="dxa"/>
                        <w:vMerge/>
                        <w:tcBorders>
                          <w:left w:val="single" w:sz="13" w:space="0" w:color="D2D2D2"/>
                          <w:bottom w:val="single" w:sz="4" w:space="0" w:color="000000"/>
                          <w:right w:val="single" w:sz="4" w:space="0" w:color="000000"/>
                        </w:tcBorders>
                      </w:tcPr>
                      <w:p>
                        <w:pPr/>
                      </w:p>
                    </w:tc>
                  </w:tr>
                </w:tbl>
                <w:p>
                  <w:pPr/>
                </w:p>
              </w:txbxContent>
            </v:textbox>
            <w10:wrap type="none"/>
          </v:shape>
        </w:pict>
      </w:r>
      <w:r>
        <w:rPr/>
        <w:t>。</w:t>
      </w:r>
    </w:p>
    <w:p>
      <w:pPr>
        <w:spacing w:after="0" w:line="240" w:lineRule="auto"/>
        <w:jc w:val="right"/>
        <w:sectPr>
          <w:pgSz w:w="11910" w:h="16840"/>
          <w:pgMar w:header="787" w:footer="640" w:top="1100" w:bottom="840" w:left="0" w:right="0"/>
        </w:sectPr>
      </w:pPr>
    </w:p>
    <w:p>
      <w:pPr>
        <w:spacing w:line="240" w:lineRule="auto" w:before="5"/>
        <w:rPr>
          <w:rFonts w:ascii="宋体" w:hAnsi="宋体" w:cs="宋体" w:eastAsia="宋体" w:hint="default"/>
          <w:sz w:val="25"/>
          <w:szCs w:val="25"/>
        </w:rPr>
      </w:pPr>
    </w:p>
    <w:tbl>
      <w:tblPr>
        <w:tblW w:w="0" w:type="auto"/>
        <w:jc w:val="left"/>
        <w:tblInd w:w="1129" w:type="dxa"/>
        <w:tblLayout w:type="fixed"/>
        <w:tblCellMar>
          <w:top w:w="0" w:type="dxa"/>
          <w:left w:w="0" w:type="dxa"/>
          <w:bottom w:w="0" w:type="dxa"/>
          <w:right w:w="0" w:type="dxa"/>
        </w:tblCellMar>
        <w:tblLook w:val="01E0"/>
      </w:tblPr>
      <w:tblGrid>
        <w:gridCol w:w="3052"/>
        <w:gridCol w:w="6517"/>
      </w:tblGrid>
      <w:tr>
        <w:trPr>
          <w:trHeight w:val="674" w:hRule="exact"/>
        </w:trPr>
        <w:tc>
          <w:tcPr>
            <w:tcW w:w="305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2"/>
              <w:jc w:val="left"/>
              <w:rPr>
                <w:rFonts w:ascii="宋体" w:hAnsi="宋体" w:cs="宋体" w:eastAsia="宋体" w:hint="default"/>
                <w:sz w:val="18"/>
                <w:szCs w:val="18"/>
              </w:rPr>
            </w:pPr>
            <w:r>
              <w:rPr>
                <w:rFonts w:ascii="宋体" w:hAnsi="宋体" w:cs="宋体" w:eastAsia="宋体" w:hint="default"/>
                <w:sz w:val="18"/>
                <w:szCs w:val="18"/>
              </w:rPr>
              <w:t>公共安全物联网技术有限公司实施渝北区公共安全视频监控工程服务（智慧天网） 合同在建各网点的在建工程完工结转至固定资产所致。</w:t>
            </w:r>
          </w:p>
        </w:tc>
      </w:tr>
      <w:tr>
        <w:trPr>
          <w:trHeight w:val="1026"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0"/>
              <w:jc w:val="both"/>
              <w:rPr>
                <w:rFonts w:ascii="宋体" w:hAnsi="宋体" w:cs="宋体" w:eastAsia="宋体" w:hint="default"/>
                <w:sz w:val="18"/>
                <w:szCs w:val="18"/>
              </w:rPr>
            </w:pPr>
            <w:r>
              <w:rPr>
                <w:rFonts w:ascii="宋体" w:hAnsi="宋体" w:cs="宋体" w:eastAsia="宋体" w:hint="default"/>
                <w:sz w:val="18"/>
                <w:szCs w:val="18"/>
              </w:rPr>
              <w:t>货币资金</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年年末余额为</w:t>
            </w:r>
            <w:r>
              <w:rPr>
                <w:rFonts w:ascii="宋体" w:hAnsi="宋体" w:cs="宋体" w:eastAsia="宋体" w:hint="default"/>
                <w:spacing w:val="-11"/>
                <w:sz w:val="18"/>
                <w:szCs w:val="18"/>
              </w:rPr>
              <w:t> </w:t>
            </w:r>
            <w:r>
              <w:rPr>
                <w:rFonts w:ascii="Times New Roman" w:hAnsi="Times New Roman" w:cs="Times New Roman" w:eastAsia="Times New Roman" w:hint="default"/>
                <w:sz w:val="18"/>
                <w:szCs w:val="18"/>
              </w:rPr>
              <w:t>407,539,964.62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元，占总资产比重为</w:t>
            </w:r>
            <w:r>
              <w:rPr>
                <w:rFonts w:ascii="宋体" w:hAnsi="宋体" w:cs="宋体" w:eastAsia="宋体" w:hint="default"/>
                <w:spacing w:val="-11"/>
                <w:sz w:val="18"/>
                <w:szCs w:val="18"/>
              </w:rPr>
              <w:t> </w:t>
            </w:r>
            <w:r>
              <w:rPr>
                <w:rFonts w:ascii="Times New Roman" w:hAnsi="Times New Roman" w:cs="Times New Roman" w:eastAsia="Times New Roman" w:hint="default"/>
                <w:sz w:val="18"/>
                <w:szCs w:val="18"/>
              </w:rPr>
              <w:t>30.20%</w:t>
            </w:r>
            <w:r>
              <w:rPr>
                <w:rFonts w:ascii="宋体" w:hAnsi="宋体" w:cs="宋体" w:eastAsia="宋体" w:hint="default"/>
                <w:sz w:val="18"/>
                <w:szCs w:val="18"/>
              </w:rPr>
              <w:t>，比年初 增长</w:t>
            </w:r>
            <w:r>
              <w:rPr>
                <w:rFonts w:ascii="宋体" w:hAnsi="宋体" w:cs="宋体" w:eastAsia="宋体" w:hint="default"/>
                <w:spacing w:val="-24"/>
                <w:sz w:val="18"/>
                <w:szCs w:val="18"/>
              </w:rPr>
              <w:t> </w:t>
            </w:r>
            <w:r>
              <w:rPr>
                <w:rFonts w:ascii="Times New Roman" w:hAnsi="Times New Roman" w:cs="Times New Roman" w:eastAsia="Times New Roman" w:hint="default"/>
                <w:spacing w:val="-3"/>
                <w:sz w:val="18"/>
                <w:szCs w:val="18"/>
              </w:rPr>
              <w:t>52.92%</w:t>
            </w:r>
            <w:r>
              <w:rPr>
                <w:rFonts w:ascii="宋体" w:hAnsi="宋体" w:cs="宋体" w:eastAsia="宋体" w:hint="default"/>
                <w:spacing w:val="-3"/>
                <w:sz w:val="18"/>
                <w:szCs w:val="18"/>
              </w:rPr>
              <w:t>，主要系报告期销售回款较上年增长及公司非公开发行股票收到募集资</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金所致。</w:t>
            </w:r>
          </w:p>
        </w:tc>
      </w:tr>
      <w:tr>
        <w:trPr>
          <w:trHeight w:val="714"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预付款项</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年年末余额为</w:t>
            </w:r>
            <w:r>
              <w:rPr>
                <w:rFonts w:ascii="宋体" w:hAnsi="宋体" w:cs="宋体" w:eastAsia="宋体" w:hint="default"/>
                <w:spacing w:val="-10"/>
                <w:sz w:val="18"/>
                <w:szCs w:val="18"/>
              </w:rPr>
              <w:t> </w:t>
            </w:r>
            <w:r>
              <w:rPr>
                <w:rFonts w:ascii="Times New Roman" w:hAnsi="Times New Roman" w:cs="Times New Roman" w:eastAsia="Times New Roman" w:hint="default"/>
                <w:sz w:val="18"/>
                <w:szCs w:val="18"/>
              </w:rPr>
              <w:t>25,782,352.46</w:t>
            </w:r>
            <w:r>
              <w:rPr>
                <w:rFonts w:ascii="Times New Roman" w:hAnsi="Times New Roman" w:cs="Times New Roman" w:eastAsia="Times New Roman" w:hint="default"/>
                <w:spacing w:val="34"/>
                <w:sz w:val="18"/>
                <w:szCs w:val="18"/>
              </w:rPr>
              <w:t> </w:t>
            </w:r>
            <w:r>
              <w:rPr>
                <w:rFonts w:ascii="宋体" w:hAnsi="宋体" w:cs="宋体" w:eastAsia="宋体" w:hint="default"/>
                <w:sz w:val="18"/>
                <w:szCs w:val="18"/>
              </w:rPr>
              <w:t>元，占总资产比重为</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1.91%</w:t>
            </w:r>
            <w:r>
              <w:rPr>
                <w:rFonts w:ascii="宋体" w:hAnsi="宋体" w:cs="宋体" w:eastAsia="宋体" w:hint="default"/>
                <w:sz w:val="18"/>
                <w:szCs w:val="18"/>
              </w:rPr>
              <w:t>，比年初增 长</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98.22%</w:t>
            </w:r>
            <w:r>
              <w:rPr>
                <w:rFonts w:ascii="宋体" w:hAnsi="宋体" w:cs="宋体" w:eastAsia="宋体" w:hint="default"/>
                <w:sz w:val="18"/>
                <w:szCs w:val="18"/>
              </w:rPr>
              <w:t>，主要系预付供应商货款增加所致。</w:t>
            </w:r>
          </w:p>
        </w:tc>
      </w:tr>
      <w:tr>
        <w:trPr>
          <w:trHeight w:val="714"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应收利息</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年年末余额为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705,143.84</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元，占总资产比重为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0.05%</w:t>
            </w:r>
            <w:r>
              <w:rPr>
                <w:rFonts w:ascii="宋体" w:hAnsi="宋体" w:cs="宋体" w:eastAsia="宋体" w:hint="default"/>
                <w:sz w:val="18"/>
                <w:szCs w:val="18"/>
              </w:rPr>
              <w:t>，比年初增长 </w:t>
            </w:r>
            <w:r>
              <w:rPr>
                <w:rFonts w:ascii="Times New Roman" w:hAnsi="Times New Roman" w:cs="Times New Roman" w:eastAsia="Times New Roman" w:hint="default"/>
                <w:sz w:val="18"/>
                <w:szCs w:val="18"/>
              </w:rPr>
              <w:t>100.00%</w:t>
            </w:r>
            <w:r>
              <w:rPr>
                <w:rFonts w:ascii="宋体" w:hAnsi="宋体" w:cs="宋体" w:eastAsia="宋体" w:hint="default"/>
                <w:sz w:val="18"/>
                <w:szCs w:val="18"/>
              </w:rPr>
              <w:t>，主要系应收银行理财产品利息所致。</w:t>
            </w:r>
          </w:p>
        </w:tc>
      </w:tr>
      <w:tr>
        <w:trPr>
          <w:trHeight w:val="714"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其他应收款</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年年末余额为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16,406,027.22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元，占总资产比重为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1.22%</w:t>
            </w:r>
            <w:r>
              <w:rPr>
                <w:rFonts w:ascii="宋体" w:hAnsi="宋体" w:cs="宋体" w:eastAsia="宋体" w:hint="default"/>
                <w:sz w:val="18"/>
                <w:szCs w:val="18"/>
              </w:rPr>
              <w:t>，比年初 增长</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42.39%</w:t>
            </w:r>
            <w:r>
              <w:rPr>
                <w:rFonts w:ascii="宋体" w:hAnsi="宋体" w:cs="宋体" w:eastAsia="宋体" w:hint="default"/>
                <w:sz w:val="18"/>
                <w:szCs w:val="18"/>
              </w:rPr>
              <w:t>，主要系应收投标保证金增加所致。</w:t>
            </w:r>
          </w:p>
        </w:tc>
      </w:tr>
      <w:tr>
        <w:trPr>
          <w:trHeight w:val="714"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121"/>
              <w:jc w:val="left"/>
              <w:rPr>
                <w:rFonts w:ascii="宋体" w:hAnsi="宋体" w:cs="宋体" w:eastAsia="宋体" w:hint="default"/>
                <w:sz w:val="18"/>
                <w:szCs w:val="18"/>
              </w:rPr>
            </w:pPr>
            <w:r>
              <w:rPr>
                <w:rFonts w:ascii="宋体" w:hAnsi="宋体" w:cs="宋体" w:eastAsia="宋体" w:hint="default"/>
                <w:sz w:val="18"/>
                <w:szCs w:val="18"/>
              </w:rPr>
              <w:t>存货</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年年末余额为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134,551,792.21</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元，占总资产比重为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9.97%</w:t>
            </w:r>
            <w:r>
              <w:rPr>
                <w:rFonts w:ascii="宋体" w:hAnsi="宋体" w:cs="宋体" w:eastAsia="宋体" w:hint="default"/>
                <w:sz w:val="18"/>
                <w:szCs w:val="18"/>
              </w:rPr>
              <w:t>，比年初增长 </w:t>
            </w:r>
            <w:r>
              <w:rPr>
                <w:rFonts w:ascii="Times New Roman" w:hAnsi="Times New Roman" w:cs="Times New Roman" w:eastAsia="Times New Roman" w:hint="default"/>
                <w:sz w:val="18"/>
                <w:szCs w:val="18"/>
              </w:rPr>
              <w:t>40.02%</w:t>
            </w:r>
            <w:r>
              <w:rPr>
                <w:rFonts w:ascii="宋体" w:hAnsi="宋体" w:cs="宋体" w:eastAsia="宋体" w:hint="default"/>
                <w:sz w:val="18"/>
                <w:szCs w:val="18"/>
              </w:rPr>
              <w:t>，主要系公司正在进行的工程项目增加，备货相应增加所致。</w:t>
            </w:r>
          </w:p>
        </w:tc>
      </w:tr>
      <w:tr>
        <w:trPr>
          <w:trHeight w:val="1026"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其他流动资产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年年末余额为 </w:t>
            </w:r>
            <w:r>
              <w:rPr>
                <w:rFonts w:ascii="Times New Roman" w:hAnsi="Times New Roman" w:cs="Times New Roman" w:eastAsia="Times New Roman" w:hint="default"/>
                <w:sz w:val="18"/>
                <w:szCs w:val="18"/>
              </w:rPr>
              <w:t>87,858,396.76  </w:t>
            </w:r>
            <w:r>
              <w:rPr>
                <w:rFonts w:ascii="宋体" w:hAnsi="宋体" w:cs="宋体" w:eastAsia="宋体" w:hint="default"/>
                <w:spacing w:val="-5"/>
                <w:sz w:val="18"/>
                <w:szCs w:val="18"/>
              </w:rPr>
              <w:t>元，占总资产比重为</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6.51%</w:t>
            </w:r>
            <w:r>
              <w:rPr>
                <w:rFonts w:ascii="宋体" w:hAnsi="宋体" w:cs="宋体" w:eastAsia="宋体" w:hint="default"/>
                <w:spacing w:val="-5"/>
                <w:sz w:val="18"/>
                <w:szCs w:val="18"/>
              </w:rPr>
              <w:t>，比年</w:t>
            </w:r>
          </w:p>
          <w:p>
            <w:pPr>
              <w:pStyle w:val="TableParagraph"/>
              <w:spacing w:line="302" w:lineRule="auto" w:before="61"/>
              <w:ind w:left="22" w:right="123"/>
              <w:jc w:val="left"/>
              <w:rPr>
                <w:rFonts w:ascii="宋体" w:hAnsi="宋体" w:cs="宋体" w:eastAsia="宋体" w:hint="default"/>
                <w:sz w:val="18"/>
                <w:szCs w:val="18"/>
              </w:rPr>
            </w:pPr>
            <w:r>
              <w:rPr>
                <w:rFonts w:ascii="宋体" w:hAnsi="宋体" w:cs="宋体" w:eastAsia="宋体" w:hint="default"/>
                <w:sz w:val="18"/>
                <w:szCs w:val="18"/>
              </w:rPr>
              <w:t>初增长 </w:t>
            </w:r>
            <w:r>
              <w:rPr>
                <w:rFonts w:ascii="Times New Roman" w:hAnsi="Times New Roman" w:cs="Times New Roman" w:eastAsia="Times New Roman" w:hint="default"/>
                <w:sz w:val="18"/>
                <w:szCs w:val="18"/>
              </w:rPr>
              <w:t>876.72%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，主要系报告期公司购买了银行理财产品及待抵扣增值税增加所 致。</w:t>
            </w:r>
          </w:p>
        </w:tc>
      </w:tr>
      <w:tr>
        <w:trPr>
          <w:trHeight w:val="1338"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可供出售金融资产</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年年末余额为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10,000,000.00 </w:t>
            </w:r>
            <w:r>
              <w:rPr>
                <w:rFonts w:ascii="宋体" w:hAnsi="宋体" w:cs="宋体" w:eastAsia="宋体" w:hint="default"/>
                <w:sz w:val="18"/>
                <w:szCs w:val="18"/>
              </w:rPr>
              <w:t>元，占总资产比重为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0.74%</w:t>
            </w:r>
            <w:r>
              <w:rPr>
                <w:rFonts w:ascii="宋体" w:hAnsi="宋体" w:cs="宋体" w:eastAsia="宋体" w:hint="default"/>
                <w:sz w:val="18"/>
                <w:szCs w:val="18"/>
              </w:rPr>
              <w:t>， 比年初增长</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100.00%</w:t>
            </w:r>
            <w:r>
              <w:rPr>
                <w:rFonts w:ascii="Times New Roman" w:hAnsi="Times New Roman" w:cs="Times New Roman" w:eastAsia="Times New Roman" w:hint="default"/>
                <w:spacing w:val="4"/>
                <w:sz w:val="18"/>
                <w:szCs w:val="18"/>
              </w:rPr>
              <w:t> </w:t>
            </w:r>
            <w:r>
              <w:rPr>
                <w:rFonts w:ascii="宋体" w:hAnsi="宋体" w:cs="宋体" w:eastAsia="宋体" w:hint="default"/>
                <w:spacing w:val="-4"/>
                <w:sz w:val="18"/>
                <w:szCs w:val="18"/>
              </w:rPr>
              <w:t>，主要系报告期公司投资广州民营投资股份有限公司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 及子公司西藏浩云创业投资有限公司投资设立股权投资基金</w:t>
            </w:r>
            <w:r>
              <w:rPr>
                <w:rFonts w:ascii="Times New Roman" w:hAnsi="Times New Roman" w:cs="Times New Roman" w:eastAsia="Times New Roman" w:hint="default"/>
                <w:sz w:val="18"/>
                <w:szCs w:val="18"/>
              </w:rPr>
              <w:t>“</w:t>
            </w:r>
            <w:r>
              <w:rPr>
                <w:rFonts w:ascii="宋体" w:hAnsi="宋体" w:cs="宋体" w:eastAsia="宋体" w:hint="default"/>
                <w:sz w:val="18"/>
                <w:szCs w:val="18"/>
              </w:rPr>
              <w:t>广州云智科技创业投 资合伙企业（有限合伙）</w:t>
            </w:r>
            <w:r>
              <w:rPr>
                <w:rFonts w:ascii="Times New Roman" w:hAnsi="Times New Roman" w:cs="Times New Roman" w:eastAsia="Times New Roman" w:hint="default"/>
                <w:sz w:val="18"/>
                <w:szCs w:val="18"/>
              </w:rPr>
              <w:t>”900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万元所致。</w:t>
            </w:r>
          </w:p>
        </w:tc>
      </w:tr>
      <w:tr>
        <w:trPr>
          <w:trHeight w:val="1026"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投资性房地产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年年末余额为 </w:t>
            </w:r>
            <w:r>
              <w:rPr>
                <w:rFonts w:ascii="Times New Roman" w:hAnsi="Times New Roman" w:cs="Times New Roman" w:eastAsia="Times New Roman" w:hint="default"/>
                <w:sz w:val="18"/>
                <w:szCs w:val="18"/>
              </w:rPr>
              <w:t>33,037,709.14 </w:t>
            </w:r>
            <w:r>
              <w:rPr>
                <w:rFonts w:ascii="宋体" w:hAnsi="宋体" w:cs="宋体" w:eastAsia="宋体" w:hint="default"/>
                <w:sz w:val="18"/>
                <w:szCs w:val="18"/>
              </w:rPr>
              <w:t>元，占总资产比重为</w:t>
            </w:r>
            <w:r>
              <w:rPr>
                <w:rFonts w:ascii="宋体" w:hAnsi="宋体" w:cs="宋体" w:eastAsia="宋体" w:hint="default"/>
                <w:spacing w:val="-62"/>
                <w:sz w:val="18"/>
                <w:szCs w:val="18"/>
              </w:rPr>
              <w:t> </w:t>
            </w:r>
            <w:r>
              <w:rPr>
                <w:rFonts w:ascii="Times New Roman" w:hAnsi="Times New Roman" w:cs="Times New Roman" w:eastAsia="Times New Roman" w:hint="default"/>
                <w:spacing w:val="-3"/>
                <w:sz w:val="18"/>
                <w:szCs w:val="18"/>
              </w:rPr>
              <w:t>2.45%</w:t>
            </w:r>
            <w:r>
              <w:rPr>
                <w:rFonts w:ascii="宋体" w:hAnsi="宋体" w:cs="宋体" w:eastAsia="宋体" w:hint="default"/>
                <w:spacing w:val="-3"/>
                <w:sz w:val="18"/>
                <w:szCs w:val="18"/>
              </w:rPr>
              <w:t>，比年</w:t>
            </w:r>
          </w:p>
          <w:p>
            <w:pPr>
              <w:pStyle w:val="TableParagraph"/>
              <w:spacing w:line="302" w:lineRule="auto" w:before="61"/>
              <w:ind w:left="22" w:right="21"/>
              <w:jc w:val="left"/>
              <w:rPr>
                <w:rFonts w:ascii="宋体" w:hAnsi="宋体" w:cs="宋体" w:eastAsia="宋体" w:hint="default"/>
                <w:sz w:val="18"/>
                <w:szCs w:val="18"/>
              </w:rPr>
            </w:pPr>
            <w:r>
              <w:rPr>
                <w:rFonts w:ascii="宋体" w:hAnsi="宋体" w:cs="宋体" w:eastAsia="宋体" w:hint="default"/>
                <w:sz w:val="18"/>
                <w:szCs w:val="18"/>
              </w:rPr>
              <w:t>初增长 </w:t>
            </w:r>
            <w:r>
              <w:rPr>
                <w:rFonts w:ascii="Times New Roman" w:hAnsi="Times New Roman" w:cs="Times New Roman" w:eastAsia="Times New Roman" w:hint="default"/>
                <w:sz w:val="18"/>
                <w:szCs w:val="18"/>
              </w:rPr>
              <w:t>100.00%</w:t>
            </w:r>
            <w:r>
              <w:rPr>
                <w:rFonts w:ascii="Times New Roman" w:hAnsi="Times New Roman" w:cs="Times New Roman" w:eastAsia="Times New Roman" w:hint="default"/>
                <w:spacing w:val="5"/>
                <w:sz w:val="18"/>
                <w:szCs w:val="18"/>
              </w:rPr>
              <w:t> </w:t>
            </w:r>
            <w:r>
              <w:rPr>
                <w:rFonts w:ascii="宋体" w:hAnsi="宋体" w:cs="宋体" w:eastAsia="宋体" w:hint="default"/>
                <w:spacing w:val="-3"/>
                <w:sz w:val="18"/>
                <w:szCs w:val="18"/>
              </w:rPr>
              <w:t>，主要系报告期公司将自有房产用于出租，将出租的房产价值转入</w:t>
            </w:r>
            <w:r>
              <w:rPr>
                <w:rFonts w:ascii="宋体" w:hAnsi="宋体" w:cs="宋体" w:eastAsia="宋体" w:hint="default"/>
                <w:sz w:val="18"/>
                <w:szCs w:val="18"/>
              </w:rPr>
              <w:t> 投资性房地产列报。</w:t>
            </w:r>
          </w:p>
        </w:tc>
      </w:tr>
      <w:tr>
        <w:trPr>
          <w:trHeight w:val="1026"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0"/>
              <w:jc w:val="both"/>
              <w:rPr>
                <w:rFonts w:ascii="宋体" w:hAnsi="宋体" w:cs="宋体" w:eastAsia="宋体" w:hint="default"/>
                <w:sz w:val="18"/>
                <w:szCs w:val="18"/>
              </w:rPr>
            </w:pPr>
            <w:r>
              <w:rPr>
                <w:rFonts w:ascii="宋体" w:hAnsi="宋体" w:cs="宋体" w:eastAsia="宋体" w:hint="default"/>
                <w:sz w:val="18"/>
                <w:szCs w:val="18"/>
              </w:rPr>
              <w:t>其他非流动资产</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年年末余额为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1,470,152.50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元，占总资产比重</w:t>
            </w:r>
            <w:r>
              <w:rPr>
                <w:rFonts w:ascii="宋体" w:hAnsi="宋体" w:cs="宋体" w:eastAsia="宋体" w:hint="default"/>
                <w:spacing w:val="-48"/>
                <w:sz w:val="18"/>
                <w:szCs w:val="18"/>
              </w:rPr>
              <w:t> </w:t>
            </w:r>
            <w:r>
              <w:rPr>
                <w:rFonts w:ascii="Times New Roman" w:hAnsi="Times New Roman" w:cs="Times New Roman" w:eastAsia="Times New Roman" w:hint="default"/>
                <w:spacing w:val="-3"/>
                <w:sz w:val="18"/>
                <w:szCs w:val="18"/>
              </w:rPr>
              <w:t>0.11%</w:t>
            </w:r>
            <w:r>
              <w:rPr>
                <w:rFonts w:ascii="宋体" w:hAnsi="宋体" w:cs="宋体" w:eastAsia="宋体" w:hint="default"/>
                <w:spacing w:val="-3"/>
                <w:sz w:val="18"/>
                <w:szCs w:val="18"/>
              </w:rPr>
              <w:t>，比年初</w:t>
            </w:r>
            <w:r>
              <w:rPr>
                <w:rFonts w:ascii="宋体" w:hAnsi="宋体" w:cs="宋体" w:eastAsia="宋体" w:hint="default"/>
                <w:sz w:val="18"/>
                <w:szCs w:val="18"/>
              </w:rPr>
              <w:t> 增长</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252.55%</w:t>
            </w:r>
            <w:r>
              <w:rPr>
                <w:rFonts w:ascii="宋体" w:hAnsi="宋体" w:cs="宋体" w:eastAsia="宋体" w:hint="default"/>
                <w:sz w:val="18"/>
                <w:szCs w:val="18"/>
              </w:rPr>
              <w:t>，主要系公司预付的购车款增加及子公司深圳市润安科技发展有限公 司预付软件款所致。</w:t>
            </w:r>
          </w:p>
        </w:tc>
      </w:tr>
    </w:tbl>
    <w:p>
      <w:pPr>
        <w:spacing w:line="240" w:lineRule="auto" w:before="1"/>
        <w:rPr>
          <w:rFonts w:ascii="宋体" w:hAnsi="宋体" w:cs="宋体" w:eastAsia="宋体" w:hint="default"/>
          <w:sz w:val="25"/>
          <w:szCs w:val="25"/>
        </w:rPr>
      </w:pPr>
    </w:p>
    <w:p>
      <w:pPr>
        <w:pStyle w:val="Heading3"/>
        <w:spacing w:line="240" w:lineRule="auto" w:before="35"/>
        <w:ind w:right="0"/>
        <w:jc w:val="left"/>
        <w:rPr>
          <w:b w:val="0"/>
          <w:bCs w:val="0"/>
        </w:rPr>
      </w:pPr>
      <w:bookmarkStart w:name="2、主要境外资产情况" w:id="19"/>
      <w:bookmarkEnd w:id="19"/>
      <w:r>
        <w:rPr>
          <w:b w:val="0"/>
          <w:bCs w:val="0"/>
        </w:rPr>
      </w:r>
      <w:r>
        <w:rPr>
          <w:rFonts w:ascii="Times New Roman" w:hAnsi="Times New Roman" w:cs="Times New Roman" w:eastAsia="Times New Roman" w:hint="default"/>
        </w:rPr>
        <w:t>2</w:t>
      </w:r>
      <w:r>
        <w:rPr/>
        <w:t>、主要境外资产情况</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7"/>
          <w:szCs w:val="17"/>
        </w:rPr>
      </w:pPr>
    </w:p>
    <w:p>
      <w:pPr>
        <w:pStyle w:val="Heading2"/>
        <w:spacing w:line="240" w:lineRule="auto"/>
        <w:ind w:right="0"/>
        <w:jc w:val="left"/>
        <w:rPr>
          <w:b w:val="0"/>
          <w:bCs w:val="0"/>
        </w:rPr>
      </w:pPr>
      <w:bookmarkStart w:name="三、核心竞争力分析" w:id="20"/>
      <w:bookmarkEnd w:id="20"/>
      <w:r>
        <w:rPr>
          <w:b w:val="0"/>
          <w:bCs w:val="0"/>
        </w:rPr>
      </w:r>
      <w:r>
        <w:rPr/>
        <w:t>三、核心竞争力分析</w:t>
      </w:r>
      <w:r>
        <w:rPr>
          <w:b w:val="0"/>
          <w:bCs w:val="0"/>
        </w:rPr>
      </w:r>
    </w:p>
    <w:p>
      <w:pPr>
        <w:spacing w:line="240" w:lineRule="auto" w:before="0"/>
        <w:rPr>
          <w:rFonts w:ascii="宋体" w:hAnsi="宋体" w:cs="宋体" w:eastAsia="宋体" w:hint="default"/>
          <w:b/>
          <w:bCs/>
          <w:sz w:val="24"/>
          <w:szCs w:val="24"/>
        </w:rPr>
      </w:pPr>
    </w:p>
    <w:p>
      <w:pPr>
        <w:pStyle w:val="BodyText"/>
        <w:spacing w:line="516" w:lineRule="auto" w:before="189"/>
        <w:ind w:left="1133" w:right="7693"/>
        <w:jc w:val="left"/>
      </w:pPr>
      <w:r>
        <w:rPr/>
        <w:t>公司是否需要遵守特殊行业的披露要求 否</w:t>
      </w:r>
    </w:p>
    <w:p>
      <w:pPr>
        <w:pStyle w:val="Heading3"/>
        <w:spacing w:line="240" w:lineRule="auto" w:before="40"/>
        <w:ind w:left="1498" w:right="0"/>
        <w:jc w:val="left"/>
        <w:rPr>
          <w:b w:val="0"/>
          <w:bCs w:val="0"/>
        </w:rPr>
      </w:pPr>
      <w:r>
        <w:rPr>
          <w:rFonts w:ascii="Times New Roman" w:hAnsi="Times New Roman" w:cs="Times New Roman" w:eastAsia="Times New Roman" w:hint="default"/>
        </w:rPr>
        <w:t>1</w:t>
      </w:r>
      <w:r>
        <w:rPr/>
        <w:t>、技术与研发优势</w:t>
      </w:r>
      <w:r>
        <w:rPr>
          <w:b w:val="0"/>
          <w:bCs w:val="0"/>
        </w:rPr>
      </w:r>
    </w:p>
    <w:p>
      <w:pPr>
        <w:spacing w:line="240" w:lineRule="auto" w:before="6"/>
        <w:rPr>
          <w:rFonts w:ascii="宋体" w:hAnsi="宋体" w:cs="宋体" w:eastAsia="宋体" w:hint="default"/>
          <w:b/>
          <w:bCs/>
          <w:sz w:val="15"/>
          <w:szCs w:val="15"/>
        </w:rPr>
      </w:pPr>
    </w:p>
    <w:p>
      <w:pPr>
        <w:pStyle w:val="BodyText"/>
        <w:spacing w:line="451" w:lineRule="auto"/>
        <w:ind w:right="0" w:firstLine="290"/>
        <w:jc w:val="left"/>
      </w:pPr>
      <w:r>
        <w:rPr>
          <w:spacing w:val="-1"/>
        </w:rPr>
        <w:t>公司自</w:t>
      </w:r>
      <w:r>
        <w:rPr>
          <w:rFonts w:ascii="Times New Roman" w:hAnsi="Times New Roman" w:cs="Times New Roman" w:eastAsia="Times New Roman" w:hint="default"/>
          <w:spacing w:val="-1"/>
        </w:rPr>
        <w:t>2001</w:t>
      </w:r>
      <w:r>
        <w:rPr>
          <w:spacing w:val="-1"/>
        </w:rPr>
        <w:t>年成立以来一直致力于金融安防软硬件技术的研究与开发，通过自主研发，形成了一系列业界领先的核心技</w:t>
      </w:r>
      <w:r>
        <w:rPr/>
        <w:t> </w:t>
      </w:r>
      <w:r>
        <w:rPr>
          <w:spacing w:val="-2"/>
        </w:rPr>
        <w:t>术，基本覆盖了金融安防行业的主要技术领域。与此同时，公司紧跟国内外行业的发展趋势，结合公司的战略推进和研究方</w:t>
      </w:r>
    </w:p>
    <w:p>
      <w:pPr>
        <w:spacing w:after="0" w:line="451" w:lineRule="auto"/>
        <w:jc w:val="left"/>
        <w:sectPr>
          <w:pgSz w:w="11910" w:h="16840"/>
          <w:pgMar w:header="787" w:footer="640" w:top="1100" w:bottom="840" w:left="0" w:right="0"/>
        </w:sectPr>
      </w:pPr>
    </w:p>
    <w:p>
      <w:pPr>
        <w:spacing w:line="240" w:lineRule="auto" w:before="10"/>
        <w:rPr>
          <w:rFonts w:ascii="宋体" w:hAnsi="宋体" w:cs="宋体" w:eastAsia="宋体" w:hint="default"/>
          <w:sz w:val="28"/>
          <w:szCs w:val="28"/>
        </w:rPr>
      </w:pPr>
    </w:p>
    <w:p>
      <w:pPr>
        <w:pStyle w:val="BodyText"/>
        <w:spacing w:line="465" w:lineRule="auto" w:before="44"/>
        <w:ind w:left="1133" w:right="0"/>
        <w:jc w:val="left"/>
      </w:pPr>
      <w:r>
        <w:rPr/>
        <w:t>向，持续加大研发投入，集中精力打造基于工业</w:t>
      </w:r>
      <w:r>
        <w:rPr>
          <w:rFonts w:ascii="Times New Roman" w:hAnsi="Times New Roman" w:cs="Times New Roman" w:eastAsia="Times New Roman" w:hint="default"/>
        </w:rPr>
        <w:t>4.0</w:t>
      </w:r>
      <w:r>
        <w:rPr/>
        <w:t>思想并糅合了平台工具技术、人工智能技术以及大数据技术的智慧物联 </w:t>
      </w:r>
      <w:r>
        <w:rPr>
          <w:spacing w:val="-4"/>
        </w:rPr>
        <w:t>管理平台，其核心优势在于轻开发甚至无开发、柔性定制、敏捷生产、迅速实施且快速实现，能为客户提供更尖端、更柔性、</w:t>
      </w:r>
      <w:r>
        <w:rPr>
          <w:spacing w:val="-44"/>
        </w:rPr>
        <w:t> </w:t>
      </w:r>
      <w:r>
        <w:rPr>
          <w:spacing w:val="-44"/>
        </w:rPr>
      </w:r>
      <w:r>
        <w:rPr>
          <w:spacing w:val="-2"/>
        </w:rPr>
        <w:t>全面物联、智慧管理的综合服务。同时，公司凭借着报告期内新设立的孙公司即湖南久视智能科技有限公司这个平台，结合</w:t>
      </w:r>
      <w:r>
        <w:rPr>
          <w:spacing w:val="-66"/>
        </w:rPr>
        <w:t> </w:t>
      </w:r>
      <w:r>
        <w:rPr>
          <w:spacing w:val="-66"/>
        </w:rPr>
      </w:r>
      <w:r>
        <w:rPr>
          <w:spacing w:val="-2"/>
        </w:rPr>
        <w:t>国防科技大学、汕头大学博士科研团队，从事深度学习等人工智能算法研究，开展人员多场景检测、异常人脸识别、人体姿</w:t>
      </w:r>
      <w:r>
        <w:rPr>
          <w:spacing w:val="-66"/>
        </w:rPr>
        <w:t> </w:t>
      </w:r>
      <w:r>
        <w:rPr>
          <w:spacing w:val="-66"/>
        </w:rPr>
      </w:r>
      <w:r>
        <w:rPr/>
        <w:t>态识别、</w:t>
      </w:r>
      <w:r>
        <w:rPr>
          <w:rFonts w:ascii="Times New Roman" w:hAnsi="Times New Roman" w:cs="Times New Roman" w:eastAsia="Times New Roman" w:hint="default"/>
        </w:rPr>
        <w:t>3D</w:t>
      </w:r>
      <w:r>
        <w:rPr/>
        <w:t>行为分析、车辆视频结构化等尖端计算视觉技术研发以及物联网操控类语音语义专项技术攻关，不断增强公司 的技术优势并进而提升公司产品及服务质量，同时也为公司向相关行业和领域拓展延伸做了技术沉淀。</w:t>
      </w:r>
    </w:p>
    <w:p>
      <w:pPr>
        <w:pStyle w:val="Heading3"/>
        <w:spacing w:line="240" w:lineRule="auto" w:before="38"/>
        <w:ind w:left="1527" w:right="0"/>
        <w:jc w:val="left"/>
        <w:rPr>
          <w:b w:val="0"/>
          <w:bCs w:val="0"/>
        </w:rPr>
      </w:pPr>
      <w:r>
        <w:rPr>
          <w:rFonts w:ascii="Times New Roman" w:hAnsi="Times New Roman" w:cs="Times New Roman" w:eastAsia="Times New Roman" w:hint="default"/>
        </w:rPr>
        <w:t>2</w:t>
      </w:r>
      <w:r>
        <w:rPr/>
        <w:t>、整体解决方案能力优势</w:t>
      </w:r>
      <w:r>
        <w:rPr>
          <w:b w:val="0"/>
          <w:bCs w:val="0"/>
        </w:rPr>
      </w:r>
    </w:p>
    <w:p>
      <w:pPr>
        <w:spacing w:line="240" w:lineRule="auto" w:before="6"/>
        <w:rPr>
          <w:rFonts w:ascii="宋体" w:hAnsi="宋体" w:cs="宋体" w:eastAsia="宋体" w:hint="default"/>
          <w:b/>
          <w:bCs/>
          <w:sz w:val="15"/>
          <w:szCs w:val="15"/>
        </w:rPr>
      </w:pPr>
    </w:p>
    <w:p>
      <w:pPr>
        <w:pStyle w:val="BodyText"/>
        <w:spacing w:line="477" w:lineRule="auto"/>
        <w:ind w:left="1133" w:right="1033" w:firstLine="290"/>
        <w:jc w:val="left"/>
      </w:pPr>
      <w:r>
        <w:rPr/>
        <w:t>公司凭借定制化的软硬件产品线、持续的技术创新和集成能力、丰富的项目实施和运维经验，实现了全产业链纵向一体 化，为客户提供金融安防系统的业务咨询、方案设计、产品定制、系统集成、工程实施、运维服务等综合的整体解决方案， </w:t>
      </w:r>
      <w:r>
        <w:rPr>
          <w:spacing w:val="-2"/>
        </w:rPr>
        <w:t>确保公司传统主营业务的持续稳步增长。与此同时，公司亦积极推进物联网在各行业应用生态体系的构建工作，凭借多年深</w:t>
      </w:r>
      <w:r>
        <w:rPr>
          <w:spacing w:val="-66"/>
        </w:rPr>
        <w:t> </w:t>
      </w:r>
      <w:r>
        <w:rPr>
          <w:spacing w:val="-66"/>
        </w:rPr>
      </w:r>
      <w:r>
        <w:rPr/>
        <w:t>耕于金融安防领域多年的市场和经验技术积累，通过业务开拓、合作、并购等方式将公司业务拓展至智慧司法、平安城市、 智能交通、智慧教育、智慧水利等其他行业的智慧与安全领域，向客户提供了更全面、更智慧的整体解决方案。</w:t>
      </w:r>
    </w:p>
    <w:p>
      <w:pPr>
        <w:pStyle w:val="Heading3"/>
        <w:spacing w:line="240" w:lineRule="auto" w:before="29"/>
        <w:ind w:left="1556" w:right="0"/>
        <w:jc w:val="left"/>
        <w:rPr>
          <w:b w:val="0"/>
          <w:bCs w:val="0"/>
        </w:rPr>
      </w:pPr>
      <w:r>
        <w:rPr>
          <w:rFonts w:ascii="Times New Roman" w:hAnsi="Times New Roman" w:cs="Times New Roman" w:eastAsia="Times New Roman" w:hint="default"/>
        </w:rPr>
        <w:t>3</w:t>
      </w:r>
      <w:r>
        <w:rPr/>
        <w:t>、行业经验及品牌优势</w:t>
      </w:r>
      <w:r>
        <w:rPr>
          <w:b w:val="0"/>
          <w:bCs w:val="0"/>
        </w:rPr>
      </w:r>
    </w:p>
    <w:p>
      <w:pPr>
        <w:spacing w:line="240" w:lineRule="auto" w:before="6"/>
        <w:rPr>
          <w:rFonts w:ascii="宋体" w:hAnsi="宋体" w:cs="宋体" w:eastAsia="宋体" w:hint="default"/>
          <w:b/>
          <w:bCs/>
          <w:sz w:val="15"/>
          <w:szCs w:val="15"/>
        </w:rPr>
      </w:pPr>
    </w:p>
    <w:p>
      <w:pPr>
        <w:pStyle w:val="BodyText"/>
        <w:spacing w:line="472" w:lineRule="auto"/>
        <w:ind w:left="1133" w:right="1033" w:firstLine="290"/>
        <w:jc w:val="left"/>
      </w:pPr>
      <w:r>
        <w:rPr/>
        <w:t>公司专注金融安防领域十余年，熟悉金融机构的风险对象、风险环节及其管理流程，深入了解客户的安防需求，能够紧 </w:t>
      </w:r>
      <w:r>
        <w:rPr>
          <w:spacing w:val="-2"/>
        </w:rPr>
        <w:t>密结合产品的研发、技术更新与金融风险对象、风险环节及其管理流程进行有针对性的技术研究和产品开发。经过长期的市</w:t>
      </w:r>
      <w:r>
        <w:rPr>
          <w:spacing w:val="-66"/>
        </w:rPr>
        <w:t> </w:t>
      </w:r>
      <w:r>
        <w:rPr>
          <w:spacing w:val="-66"/>
        </w:rPr>
      </w:r>
      <w:r>
        <w:rPr/>
        <w:t>场开拓，</w:t>
      </w:r>
      <w:r>
        <w:rPr>
          <w:rFonts w:ascii="Times New Roman" w:hAnsi="Times New Roman" w:cs="Times New Roman" w:eastAsia="Times New Roman" w:hint="default"/>
        </w:rPr>
        <w:t>“TeleSky”</w:t>
      </w:r>
      <w:r>
        <w:rPr/>
        <w:t>和</w:t>
      </w:r>
      <w:r>
        <w:rPr>
          <w:rFonts w:ascii="Times New Roman" w:hAnsi="Times New Roman" w:cs="Times New Roman" w:eastAsia="Times New Roman" w:hint="default"/>
        </w:rPr>
        <w:t>“</w:t>
      </w:r>
      <w:r>
        <w:rPr/>
        <w:t>浩云</w:t>
      </w:r>
      <w:r>
        <w:rPr>
          <w:rFonts w:ascii="Times New Roman" w:hAnsi="Times New Roman" w:cs="Times New Roman" w:eastAsia="Times New Roman" w:hint="default"/>
        </w:rPr>
        <w:t>”</w:t>
      </w:r>
      <w:r>
        <w:rPr/>
        <w:t>品牌培育了众多客户，公司业务区域覆盖全国</w:t>
      </w:r>
      <w:r>
        <w:rPr>
          <w:rFonts w:ascii="Times New Roman" w:hAnsi="Times New Roman" w:cs="Times New Roman" w:eastAsia="Times New Roman" w:hint="default"/>
        </w:rPr>
        <w:t>30</w:t>
      </w:r>
      <w:r>
        <w:rPr/>
        <w:t>多个省级地区，服务对象已超过</w:t>
      </w:r>
      <w:r>
        <w:rPr>
          <w:rFonts w:ascii="Times New Roman" w:hAnsi="Times New Roman" w:cs="Times New Roman" w:eastAsia="Times New Roman" w:hint="default"/>
        </w:rPr>
        <w:t>400</w:t>
      </w:r>
      <w:r>
        <w:rPr/>
        <w:t>多个独立法 </w:t>
      </w:r>
      <w:r>
        <w:rPr>
          <w:spacing w:val="-2"/>
        </w:rPr>
        <w:t>人金融机构。同时，公司的前述行业经验及品牌优势助力公司业务从传统金融安防领域顺利拓展至智慧司法、平安城市、智</w:t>
      </w:r>
      <w:r>
        <w:rPr>
          <w:spacing w:val="-65"/>
        </w:rPr>
        <w:t> </w:t>
      </w:r>
      <w:r>
        <w:rPr>
          <w:spacing w:val="-65"/>
        </w:rPr>
      </w:r>
      <w:r>
        <w:rPr/>
        <w:t>能交通、智慧教育、智慧水利等其他行业的智慧与安全领域，并随着公司在其他行业的智慧及安全领域项目的落地和完成， 公司的行业经验和品牌优势必将得到进一步强化。</w:t>
      </w:r>
    </w:p>
    <w:p>
      <w:pPr>
        <w:pStyle w:val="Heading3"/>
        <w:spacing w:line="240" w:lineRule="auto" w:before="32"/>
        <w:ind w:left="1556" w:right="0"/>
        <w:jc w:val="left"/>
        <w:rPr>
          <w:b w:val="0"/>
          <w:bCs w:val="0"/>
        </w:rPr>
      </w:pPr>
      <w:r>
        <w:rPr>
          <w:rFonts w:ascii="Times New Roman" w:hAnsi="Times New Roman" w:cs="Times New Roman" w:eastAsia="Times New Roman" w:hint="default"/>
        </w:rPr>
        <w:t>4</w:t>
      </w:r>
      <w:r>
        <w:rPr/>
        <w:t>、综合资质优势</w:t>
      </w:r>
      <w:r>
        <w:rPr>
          <w:b w:val="0"/>
          <w:bCs w:val="0"/>
        </w:rPr>
      </w:r>
    </w:p>
    <w:p>
      <w:pPr>
        <w:spacing w:line="240" w:lineRule="auto" w:before="6"/>
        <w:rPr>
          <w:rFonts w:ascii="宋体" w:hAnsi="宋体" w:cs="宋体" w:eastAsia="宋体" w:hint="default"/>
          <w:b/>
          <w:bCs/>
          <w:sz w:val="15"/>
          <w:szCs w:val="15"/>
        </w:rPr>
      </w:pPr>
    </w:p>
    <w:p>
      <w:pPr>
        <w:pStyle w:val="BodyText"/>
        <w:spacing w:line="465" w:lineRule="auto"/>
        <w:ind w:left="1133" w:right="0" w:firstLine="290"/>
        <w:jc w:val="left"/>
      </w:pPr>
      <w:r>
        <w:rPr/>
        <w:t>公司凭借长期积累的行业技术优势及综合服务能力，先后取得了广东省安全技术防范系统设计</w:t>
      </w:r>
      <w:r>
        <w:rPr>
          <w:rFonts w:ascii="Times New Roman" w:hAnsi="Times New Roman" w:cs="Times New Roman" w:eastAsia="Times New Roman" w:hint="default"/>
        </w:rPr>
        <w:t>/</w:t>
      </w:r>
      <w:r>
        <w:rPr/>
        <w:t>施工</w:t>
      </w:r>
      <w:r>
        <w:rPr>
          <w:rFonts w:ascii="Times New Roman" w:hAnsi="Times New Roman" w:cs="Times New Roman" w:eastAsia="Times New Roman" w:hint="default"/>
        </w:rPr>
        <w:t>/</w:t>
      </w:r>
      <w:r>
        <w:rPr/>
        <w:t>维修资格证壹级证 </w:t>
      </w:r>
      <w:r>
        <w:rPr>
          <w:spacing w:val="-4"/>
        </w:rPr>
        <w:t>书（该证书是广东省公安厅颁发，适用全国）、安防工程企业设计施工维护能力壹级证书、涉密信息系统集成甲级资质证书、</w:t>
      </w:r>
      <w:r>
        <w:rPr>
          <w:spacing w:val="-44"/>
        </w:rPr>
        <w:t> </w:t>
      </w:r>
      <w:r>
        <w:rPr>
          <w:spacing w:val="-44"/>
        </w:rPr>
      </w:r>
      <w:r>
        <w:rPr>
          <w:spacing w:val="-2"/>
        </w:rPr>
        <w:t>保安服务许可证、信息系统集成及服务资质贰级证书、电子与智能化工程专业承包贰级证书、建筑智能化系统设计专项乙级</w:t>
      </w:r>
      <w:r>
        <w:rPr>
          <w:spacing w:val="-65"/>
        </w:rPr>
        <w:t> </w:t>
      </w:r>
      <w:r>
        <w:rPr>
          <w:spacing w:val="-65"/>
        </w:rPr>
      </w:r>
      <w:r>
        <w:rPr/>
        <w:t>证书、安全生产许可证、</w:t>
      </w:r>
      <w:r>
        <w:rPr>
          <w:rFonts w:ascii="Times New Roman" w:hAnsi="Times New Roman" w:cs="Times New Roman" w:eastAsia="Times New Roman" w:hint="default"/>
        </w:rPr>
        <w:t>CMMI3</w:t>
      </w:r>
      <w:r>
        <w:rPr/>
        <w:t>级评估认证证书、</w:t>
      </w:r>
      <w:r>
        <w:rPr>
          <w:rFonts w:ascii="Times New Roman" w:hAnsi="Times New Roman" w:cs="Times New Roman" w:eastAsia="Times New Roman" w:hint="default"/>
        </w:rPr>
        <w:t>IT</w:t>
      </w:r>
      <w:r>
        <w:rPr/>
        <w:t>服务管理体系认证证书、信息安全管理体系认证证书、质量管理体系</w:t>
      </w:r>
      <w:r>
        <w:rPr>
          <w:w w:val="99"/>
        </w:rPr>
        <w:t> </w:t>
      </w:r>
      <w:r>
        <w:rPr>
          <w:spacing w:val="-2"/>
        </w:rPr>
        <w:t>认证证书、环境管理体系认证证书、职业健康安全管理体系认证证书等企业资质。公司所取得的以上等级证书已满足公司目</w:t>
      </w:r>
      <w:r>
        <w:rPr>
          <w:spacing w:val="-67"/>
        </w:rPr>
        <w:t> </w:t>
      </w:r>
      <w:r>
        <w:rPr>
          <w:spacing w:val="-67"/>
        </w:rPr>
      </w:r>
      <w:r>
        <w:rPr/>
        <w:t>前业务领域对业内企业的资质要求，成为业内资质较齐全的企业之一。</w:t>
      </w:r>
    </w:p>
    <w:p>
      <w:pPr>
        <w:pStyle w:val="Heading3"/>
        <w:spacing w:line="240" w:lineRule="auto" w:before="38"/>
        <w:ind w:left="1556" w:right="0"/>
        <w:jc w:val="left"/>
        <w:rPr>
          <w:b w:val="0"/>
          <w:bCs w:val="0"/>
        </w:rPr>
      </w:pPr>
      <w:r>
        <w:rPr>
          <w:rFonts w:ascii="Times New Roman" w:hAnsi="Times New Roman" w:cs="Times New Roman" w:eastAsia="Times New Roman" w:hint="default"/>
        </w:rPr>
        <w:t>5</w:t>
      </w:r>
      <w:r>
        <w:rPr/>
        <w:t>、营销及服务网络优势</w:t>
      </w:r>
      <w:r>
        <w:rPr>
          <w:b w:val="0"/>
          <w:bCs w:val="0"/>
        </w:rPr>
      </w:r>
    </w:p>
    <w:p>
      <w:pPr>
        <w:spacing w:line="240" w:lineRule="auto" w:before="7"/>
        <w:rPr>
          <w:rFonts w:ascii="宋体" w:hAnsi="宋体" w:cs="宋体" w:eastAsia="宋体" w:hint="default"/>
          <w:b/>
          <w:bCs/>
          <w:sz w:val="15"/>
          <w:szCs w:val="15"/>
        </w:rPr>
      </w:pPr>
    </w:p>
    <w:p>
      <w:pPr>
        <w:pStyle w:val="BodyText"/>
        <w:spacing w:line="477" w:lineRule="auto"/>
        <w:ind w:left="1133" w:right="0" w:firstLine="362"/>
        <w:jc w:val="left"/>
      </w:pPr>
      <w:r>
        <w:rPr>
          <w:spacing w:val="-2"/>
        </w:rPr>
        <w:t>公司立足广东，构建以总部为核心，辐射全国，不断扩充全国服务及营运网点，优化终端服务功能。目前公司已在全国</w:t>
      </w:r>
      <w:r>
        <w:rPr/>
        <w:t> </w:t>
      </w:r>
      <w:r>
        <w:rPr>
          <w:spacing w:val="-2"/>
        </w:rPr>
        <w:t>设立了</w:t>
      </w:r>
      <w:r>
        <w:rPr>
          <w:rFonts w:ascii="Times New Roman" w:hAnsi="Times New Roman" w:cs="Times New Roman" w:eastAsia="Times New Roman" w:hint="default"/>
          <w:spacing w:val="-2"/>
        </w:rPr>
        <w:t>30</w:t>
      </w:r>
      <w:r>
        <w:rPr>
          <w:spacing w:val="-2"/>
        </w:rPr>
        <w:t>家分公司，拥有一支营销能力较强的市场开拓队伍和服务意识强烈的客户服务队伍，贴近客户群体，能及时响应客</w:t>
      </w:r>
    </w:p>
    <w:p>
      <w:pPr>
        <w:spacing w:after="0" w:line="477" w:lineRule="auto"/>
        <w:jc w:val="left"/>
        <w:sectPr>
          <w:footerReference w:type="default" r:id="rId13"/>
          <w:pgSz w:w="11910" w:h="16840"/>
          <w:pgMar w:footer="1515" w:header="787" w:top="1100" w:bottom="1700" w:left="0" w:right="0"/>
        </w:sectPr>
      </w:pPr>
    </w:p>
    <w:p>
      <w:pPr>
        <w:spacing w:line="240" w:lineRule="auto" w:before="10"/>
        <w:rPr>
          <w:rFonts w:ascii="宋体" w:hAnsi="宋体" w:cs="宋体" w:eastAsia="宋体" w:hint="default"/>
          <w:sz w:val="28"/>
          <w:szCs w:val="28"/>
        </w:rPr>
      </w:pPr>
    </w:p>
    <w:p>
      <w:pPr>
        <w:pStyle w:val="BodyText"/>
        <w:spacing w:line="451" w:lineRule="auto" w:before="44"/>
        <w:ind w:left="1133" w:right="0"/>
        <w:jc w:val="left"/>
      </w:pPr>
      <w:r>
        <w:rPr>
          <w:spacing w:val="-2"/>
        </w:rPr>
        <w:t>资金投资项目</w:t>
      </w:r>
      <w:r>
        <w:rPr>
          <w:rFonts w:ascii="Times New Roman" w:hAnsi="Times New Roman" w:cs="Times New Roman" w:eastAsia="Times New Roman" w:hint="default"/>
          <w:spacing w:val="-2"/>
        </w:rPr>
        <w:t>“</w:t>
      </w:r>
      <w:r>
        <w:rPr>
          <w:spacing w:val="-2"/>
        </w:rPr>
        <w:t>营销及服务网络升级技术改造项目</w:t>
      </w:r>
      <w:r>
        <w:rPr>
          <w:rFonts w:ascii="Times New Roman" w:hAnsi="Times New Roman" w:cs="Times New Roman" w:eastAsia="Times New Roman" w:hint="default"/>
          <w:spacing w:val="-2"/>
        </w:rPr>
        <w:t>”</w:t>
      </w:r>
      <w:r>
        <w:rPr>
          <w:spacing w:val="-2"/>
        </w:rPr>
        <w:t>的建设完工，以及公司先后在重庆、西藏和武汉等地设立全资子公司，公</w:t>
      </w:r>
      <w:r>
        <w:rPr>
          <w:spacing w:val="-43"/>
        </w:rPr>
        <w:t> </w:t>
      </w:r>
      <w:r>
        <w:rPr>
          <w:spacing w:val="-43"/>
        </w:rPr>
      </w:r>
      <w:r>
        <w:rPr/>
        <w:t>司已基本实现在各地与客户</w:t>
      </w:r>
      <w:r>
        <w:rPr>
          <w:rFonts w:ascii="Times New Roman" w:hAnsi="Times New Roman" w:cs="Times New Roman" w:eastAsia="Times New Roman" w:hint="default"/>
        </w:rPr>
        <w:t>“</w:t>
      </w:r>
      <w:r>
        <w:rPr/>
        <w:t>零距离</w:t>
      </w:r>
      <w:r>
        <w:rPr>
          <w:rFonts w:ascii="Times New Roman" w:hAnsi="Times New Roman" w:cs="Times New Roman" w:eastAsia="Times New Roman" w:hint="default"/>
        </w:rPr>
        <w:t>”</w:t>
      </w:r>
      <w:r>
        <w:rPr/>
        <w:t>体验金融系统智能安防新技术应用的目标。</w:t>
      </w:r>
    </w:p>
    <w:p>
      <w:pPr>
        <w:spacing w:after="0" w:line="451" w:lineRule="auto"/>
        <w:jc w:val="left"/>
        <w:sectPr>
          <w:footerReference w:type="default" r:id="rId14"/>
          <w:pgSz w:w="11910" w:h="16840"/>
          <w:pgMar w:footer="640" w:header="787" w:top="1100" w:bottom="84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0"/>
          <w:szCs w:val="20"/>
        </w:rPr>
      </w:pPr>
    </w:p>
    <w:p>
      <w:pPr>
        <w:pStyle w:val="Heading1"/>
        <w:spacing w:line="240" w:lineRule="auto"/>
        <w:ind w:left="3946" w:right="0"/>
        <w:jc w:val="left"/>
        <w:rPr>
          <w:b w:val="0"/>
          <w:bCs w:val="0"/>
        </w:rPr>
      </w:pPr>
      <w:bookmarkStart w:name="第四节 经营情况讨论与分析" w:id="21"/>
      <w:bookmarkEnd w:id="21"/>
      <w:r>
        <w:rPr>
          <w:b w:val="0"/>
          <w:bCs w:val="0"/>
        </w:rPr>
      </w:r>
      <w:bookmarkStart w:name="_bookmark2" w:id="22"/>
      <w:bookmarkEnd w:id="22"/>
      <w:r>
        <w:rPr>
          <w:b w:val="0"/>
          <w:bCs w:val="0"/>
        </w:rPr>
      </w:r>
      <w:r>
        <w:rPr/>
        <w:t>第四节</w:t>
      </w:r>
      <w:r>
        <w:rPr>
          <w:spacing w:val="-10"/>
        </w:rPr>
        <w:t> </w:t>
      </w:r>
      <w:r>
        <w:rPr/>
        <w:t>经营情况讨论与分析</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概述" w:id="23"/>
      <w:bookmarkEnd w:id="23"/>
      <w:r>
        <w:rPr>
          <w:b w:val="0"/>
          <w:bCs w:val="0"/>
        </w:rPr>
      </w:r>
      <w:r>
        <w:rPr/>
        <w:t>一、概述</w:t>
      </w:r>
      <w:r>
        <w:rPr>
          <w:b w:val="0"/>
          <w:bCs w:val="0"/>
        </w:rPr>
      </w:r>
    </w:p>
    <w:p>
      <w:pPr>
        <w:spacing w:line="240" w:lineRule="auto" w:before="7"/>
        <w:rPr>
          <w:rFonts w:ascii="宋体" w:hAnsi="宋体" w:cs="宋体" w:eastAsia="宋体" w:hint="default"/>
          <w:b/>
          <w:bCs/>
          <w:sz w:val="32"/>
          <w:szCs w:val="32"/>
        </w:rPr>
      </w:pPr>
    </w:p>
    <w:p>
      <w:pPr>
        <w:pStyle w:val="BodyText"/>
        <w:spacing w:line="470" w:lineRule="auto"/>
        <w:ind w:left="1133" w:right="1131" w:firstLine="290"/>
        <w:jc w:val="both"/>
      </w:pPr>
      <w:r>
        <w:rPr>
          <w:spacing w:val="-1"/>
        </w:rPr>
        <w:t>报告期内，公司贯彻管理层年初制定的成为智慧和安全新世界的构筑者的发展战略，在管理层的统一部署下，抓住全球</w:t>
      </w:r>
      <w:r>
        <w:rPr/>
        <w:t> </w:t>
      </w:r>
      <w:r>
        <w:rPr>
          <w:spacing w:val="-2"/>
        </w:rPr>
        <w:t>反恐、治安形势严峻给安防产业带来的巨大发展机遇，凭借丰富的行业经验、广泛的客户资源以及深厚的技术实力，通过优</w:t>
      </w:r>
      <w:r>
        <w:rPr>
          <w:spacing w:val="-66"/>
        </w:rPr>
        <w:t> </w:t>
      </w:r>
      <w:r>
        <w:rPr>
          <w:spacing w:val="-66"/>
        </w:rPr>
      </w:r>
      <w:r>
        <w:rPr>
          <w:spacing w:val="-2"/>
        </w:rPr>
        <w:t>化管理、强化成本和风险控制、增加利润增长点等各项措施，公司整体运营效率得到有效提升，归属于母公司所有者的净利</w:t>
      </w:r>
      <w:r>
        <w:rPr>
          <w:spacing w:val="-66"/>
        </w:rPr>
        <w:t> </w:t>
      </w:r>
      <w:r>
        <w:rPr>
          <w:spacing w:val="-66"/>
        </w:rPr>
      </w:r>
      <w:r>
        <w:rPr/>
        <w:t>润较上年同期增长</w:t>
      </w:r>
      <w:r>
        <w:rPr>
          <w:rFonts w:ascii="Times New Roman" w:hAnsi="Times New Roman" w:cs="Times New Roman" w:eastAsia="Times New Roman" w:hint="default"/>
        </w:rPr>
        <w:t>27.56%</w:t>
      </w:r>
      <w:r>
        <w:rPr/>
        <w:t>，净利润率由上年同期的</w:t>
      </w:r>
      <w:r>
        <w:rPr>
          <w:rFonts w:ascii="Times New Roman" w:hAnsi="Times New Roman" w:cs="Times New Roman" w:eastAsia="Times New Roman" w:hint="default"/>
        </w:rPr>
        <w:t>15.99%</w:t>
      </w:r>
      <w:r>
        <w:rPr/>
        <w:t>提升到</w:t>
      </w:r>
      <w:r>
        <w:rPr>
          <w:rFonts w:ascii="Times New Roman" w:hAnsi="Times New Roman" w:cs="Times New Roman" w:eastAsia="Times New Roman" w:hint="default"/>
        </w:rPr>
        <w:t>19.51%</w:t>
      </w:r>
      <w:r>
        <w:rPr/>
        <w:t>。公司高度重视技术研发，持续加大研发投入，在 云计算、大数据、深度学习等方面深入开展技术研究和实践，提升了公司的核心竞争力。</w:t>
      </w:r>
    </w:p>
    <w:p>
      <w:pPr>
        <w:pStyle w:val="BodyText"/>
        <w:spacing w:line="240" w:lineRule="auto" w:before="59"/>
        <w:ind w:left="1424" w:right="0"/>
        <w:jc w:val="left"/>
      </w:pPr>
      <w:r>
        <w:rPr>
          <w:rFonts w:ascii="Times New Roman" w:hAnsi="Times New Roman" w:cs="Times New Roman" w:eastAsia="Times New Roman" w:hint="default"/>
        </w:rPr>
        <w:t>2017</w:t>
      </w:r>
      <w:r>
        <w:rPr/>
        <w:t>年度公司实现营业总收入为</w:t>
      </w:r>
      <w:r>
        <w:rPr>
          <w:rFonts w:ascii="Times New Roman" w:hAnsi="Times New Roman" w:cs="Times New Roman" w:eastAsia="Times New Roman" w:hint="default"/>
        </w:rPr>
        <w:t>56,979.50</w:t>
      </w:r>
      <w:r>
        <w:rPr/>
        <w:t>万元，较上年同期增长</w:t>
      </w:r>
      <w:r>
        <w:rPr>
          <w:rFonts w:ascii="Times New Roman" w:hAnsi="Times New Roman" w:cs="Times New Roman" w:eastAsia="Times New Roman" w:hint="default"/>
        </w:rPr>
        <w:t>4.56%</w:t>
      </w:r>
      <w:r>
        <w:rPr/>
        <w:t>；营业利润为</w:t>
      </w:r>
      <w:r>
        <w:rPr>
          <w:rFonts w:ascii="Times New Roman" w:hAnsi="Times New Roman" w:cs="Times New Roman" w:eastAsia="Times New Roman" w:hint="default"/>
        </w:rPr>
        <w:t>13,386.57</w:t>
      </w:r>
      <w:r>
        <w:rPr/>
        <w:t>万元，较上年同期增长</w:t>
      </w:r>
    </w:p>
    <w:p>
      <w:pPr>
        <w:spacing w:line="240" w:lineRule="auto" w:before="9"/>
        <w:rPr>
          <w:rFonts w:ascii="宋体" w:hAnsi="宋体" w:cs="宋体" w:eastAsia="宋体" w:hint="default"/>
          <w:sz w:val="16"/>
          <w:szCs w:val="16"/>
        </w:rPr>
      </w:pPr>
    </w:p>
    <w:p>
      <w:pPr>
        <w:pStyle w:val="BodyText"/>
        <w:spacing w:line="463" w:lineRule="auto"/>
        <w:ind w:left="1133" w:right="1118"/>
        <w:jc w:val="left"/>
      </w:pPr>
      <w:r>
        <w:rPr>
          <w:rFonts w:ascii="Times New Roman" w:hAnsi="Times New Roman" w:cs="Times New Roman" w:eastAsia="Times New Roman" w:hint="default"/>
        </w:rPr>
        <w:t>44.48%</w:t>
      </w:r>
      <w:r>
        <w:rPr/>
        <w:t>；归属于母公司所有者的净利润为</w:t>
      </w:r>
      <w:r>
        <w:rPr>
          <w:rFonts w:ascii="Times New Roman" w:hAnsi="Times New Roman" w:cs="Times New Roman" w:eastAsia="Times New Roman" w:hint="default"/>
        </w:rPr>
        <w:t>11,118.51</w:t>
      </w:r>
      <w:r>
        <w:rPr/>
        <w:t>万元，较上年同期增长</w:t>
      </w:r>
      <w:r>
        <w:rPr>
          <w:rFonts w:ascii="Times New Roman" w:hAnsi="Times New Roman" w:cs="Times New Roman" w:eastAsia="Times New Roman" w:hint="default"/>
        </w:rPr>
        <w:t>27.56%</w:t>
      </w:r>
      <w:r>
        <w:rPr/>
        <w:t>，主要系公司主营业务收入仍继续保持平 </w:t>
      </w:r>
      <w:r>
        <w:rPr>
          <w:spacing w:val="-2"/>
        </w:rPr>
        <w:t>稳增长；同时，子公司重庆浩云公共安全物联网技术有限公司中标的渝北区公共安全视频监控工程服务采购（智慧天网）项</w:t>
      </w:r>
      <w:r>
        <w:rPr>
          <w:spacing w:val="-66"/>
        </w:rPr>
        <w:t> </w:t>
      </w:r>
      <w:r>
        <w:rPr>
          <w:spacing w:val="-66"/>
        </w:rPr>
      </w:r>
      <w:r>
        <w:rPr/>
        <w:t>目于 </w:t>
      </w:r>
      <w:r>
        <w:rPr>
          <w:rFonts w:ascii="Times New Roman" w:hAnsi="Times New Roman" w:cs="Times New Roman" w:eastAsia="Times New Roman" w:hint="default"/>
        </w:rPr>
        <w:t>2017</w:t>
      </w:r>
      <w:r>
        <w:rPr>
          <w:rFonts w:ascii="Times New Roman" w:hAnsi="Times New Roman" w:cs="Times New Roman" w:eastAsia="Times New Roman" w:hint="default"/>
          <w:spacing w:val="8"/>
        </w:rPr>
        <w:t> </w:t>
      </w:r>
      <w:r>
        <w:rPr/>
        <w:t>年全部完成并投入使用，保证了公司营业收入和净利润的稳步增长。</w:t>
      </w:r>
    </w:p>
    <w:p>
      <w:pPr>
        <w:pStyle w:val="BodyText"/>
        <w:spacing w:line="451" w:lineRule="auto" w:before="33"/>
        <w:ind w:left="1133" w:right="1130" w:firstLine="290"/>
        <w:jc w:val="both"/>
      </w:pPr>
      <w:r>
        <w:rPr>
          <w:spacing w:val="-5"/>
        </w:rPr>
        <w:t>报告期内，销售费用为</w:t>
      </w:r>
      <w:r>
        <w:rPr>
          <w:rFonts w:ascii="Times New Roman" w:hAnsi="Times New Roman" w:cs="Times New Roman" w:eastAsia="Times New Roman" w:hint="default"/>
          <w:spacing w:val="-5"/>
        </w:rPr>
        <w:t>5,318.86</w:t>
      </w:r>
      <w:r>
        <w:rPr>
          <w:spacing w:val="-5"/>
        </w:rPr>
        <w:t>万元，较上年同期增长</w:t>
      </w:r>
      <w:r>
        <w:rPr>
          <w:rFonts w:ascii="Times New Roman" w:hAnsi="Times New Roman" w:cs="Times New Roman" w:eastAsia="Times New Roman" w:hint="default"/>
          <w:spacing w:val="-5"/>
        </w:rPr>
        <w:t>9.89%</w:t>
      </w:r>
      <w:r>
        <w:rPr>
          <w:spacing w:val="-5"/>
        </w:rPr>
        <w:t>，主要系公司业务增长、差旅费增加所致；管理费用为</w:t>
      </w:r>
      <w:r>
        <w:rPr>
          <w:rFonts w:ascii="Times New Roman" w:hAnsi="Times New Roman" w:cs="Times New Roman" w:eastAsia="Times New Roman" w:hint="default"/>
          <w:spacing w:val="-5"/>
        </w:rPr>
        <w:t>9,417.18</w:t>
      </w:r>
      <w:r>
        <w:rPr>
          <w:rFonts w:ascii="Times New Roman" w:hAnsi="Times New Roman" w:cs="Times New Roman" w:eastAsia="Times New Roman" w:hint="default"/>
        </w:rPr>
        <w:t> </w:t>
      </w:r>
      <w:r>
        <w:rPr>
          <w:spacing w:val="-2"/>
        </w:rPr>
        <w:t>万元，较上年同期增长</w:t>
      </w:r>
      <w:r>
        <w:rPr>
          <w:rFonts w:ascii="Times New Roman" w:hAnsi="Times New Roman" w:cs="Times New Roman" w:eastAsia="Times New Roman" w:hint="default"/>
          <w:spacing w:val="-2"/>
        </w:rPr>
        <w:t>1.43%</w:t>
      </w:r>
      <w:r>
        <w:rPr>
          <w:spacing w:val="-2"/>
        </w:rPr>
        <w:t>，主要系职工薪酬、折旧费增加所致；财务费用为</w:t>
      </w:r>
      <w:r>
        <w:rPr>
          <w:rFonts w:ascii="Times New Roman" w:hAnsi="Times New Roman" w:cs="Times New Roman" w:eastAsia="Times New Roman" w:hint="default"/>
          <w:spacing w:val="-2"/>
        </w:rPr>
        <w:t>182.30</w:t>
      </w:r>
      <w:r>
        <w:rPr>
          <w:spacing w:val="-2"/>
        </w:rPr>
        <w:t>万元，较上年同期增长</w:t>
      </w:r>
      <w:r>
        <w:rPr>
          <w:rFonts w:ascii="Times New Roman" w:hAnsi="Times New Roman" w:cs="Times New Roman" w:eastAsia="Times New Roman" w:hint="default"/>
          <w:spacing w:val="-2"/>
        </w:rPr>
        <w:t>964.11%</w:t>
      </w:r>
      <w:r>
        <w:rPr>
          <w:spacing w:val="-2"/>
        </w:rPr>
        <w:t>，主要</w:t>
      </w:r>
      <w:r>
        <w:rPr>
          <w:spacing w:val="-34"/>
        </w:rPr>
        <w:t> </w:t>
      </w:r>
      <w:r>
        <w:rPr>
          <w:spacing w:val="-34"/>
        </w:rPr>
      </w:r>
      <w:r>
        <w:rPr/>
        <w:t>系银行借款增加，利息支出增加所致。</w:t>
      </w:r>
    </w:p>
    <w:p>
      <w:pPr>
        <w:pStyle w:val="BodyText"/>
        <w:spacing w:line="456" w:lineRule="auto" w:before="74"/>
        <w:ind w:right="1042" w:firstLine="290"/>
        <w:jc w:val="left"/>
      </w:pPr>
      <w:r>
        <w:rPr>
          <w:spacing w:val="-1"/>
        </w:rPr>
        <w:t>报告期内，经营活动产生的现金流量净额为</w:t>
      </w:r>
      <w:r>
        <w:rPr>
          <w:rFonts w:ascii="Times New Roman" w:hAnsi="Times New Roman" w:cs="Times New Roman" w:eastAsia="Times New Roman" w:hint="default"/>
          <w:spacing w:val="-1"/>
        </w:rPr>
        <w:t>11,252.57</w:t>
      </w:r>
      <w:r>
        <w:rPr>
          <w:spacing w:val="-1"/>
        </w:rPr>
        <w:t>万元，较上年同期增长</w:t>
      </w:r>
      <w:r>
        <w:rPr>
          <w:rFonts w:ascii="Times New Roman" w:hAnsi="Times New Roman" w:cs="Times New Roman" w:eastAsia="Times New Roman" w:hint="default"/>
          <w:spacing w:val="-1"/>
        </w:rPr>
        <w:t>104.09%</w:t>
      </w:r>
      <w:r>
        <w:rPr>
          <w:spacing w:val="-1"/>
        </w:rPr>
        <w:t>，主要系公司报告期业务规模扩展，</w:t>
      </w:r>
      <w:r>
        <w:rPr/>
        <w:t> 公司加大催款力度，销售回款较上年增长；投资活动产生的现金流量净额为</w:t>
      </w:r>
      <w:r>
        <w:rPr>
          <w:rFonts w:ascii="Times New Roman" w:hAnsi="Times New Roman" w:cs="Times New Roman" w:eastAsia="Times New Roman" w:hint="default"/>
        </w:rPr>
        <w:t>-29,923.21</w:t>
      </w:r>
      <w:r>
        <w:rPr/>
        <w:t>万元，较上年同期下降</w:t>
      </w:r>
      <w:r>
        <w:rPr>
          <w:rFonts w:ascii="Times New Roman" w:hAnsi="Times New Roman" w:cs="Times New Roman" w:eastAsia="Times New Roman" w:hint="default"/>
        </w:rPr>
        <w:t>45.91%</w:t>
      </w:r>
      <w:r>
        <w:rPr/>
        <w:t>，主要 </w:t>
      </w:r>
      <w:r>
        <w:rPr>
          <w:spacing w:val="-2"/>
        </w:rPr>
        <w:t>系报告期支付新办公楼部分房款及装修费用，支付润安科技投资款，公司及控股子公司润安科技购买理财产品，子公司浩云</w:t>
      </w:r>
      <w:r>
        <w:rPr>
          <w:spacing w:val="-66"/>
        </w:rPr>
        <w:t> </w:t>
      </w:r>
      <w:r>
        <w:rPr>
          <w:spacing w:val="-66"/>
        </w:rPr>
      </w:r>
      <w:r>
        <w:rPr/>
        <w:t>物联在建各网点所致；筹资活动产生的现金流量净额为</w:t>
      </w:r>
      <w:r>
        <w:rPr>
          <w:rFonts w:ascii="Times New Roman" w:hAnsi="Times New Roman" w:cs="Times New Roman" w:eastAsia="Times New Roman" w:hint="default"/>
        </w:rPr>
        <w:t>33,107.76</w:t>
      </w:r>
      <w:r>
        <w:rPr/>
        <w:t>万元，较上年同期增长</w:t>
      </w:r>
      <w:r>
        <w:rPr>
          <w:rFonts w:ascii="Times New Roman" w:hAnsi="Times New Roman" w:cs="Times New Roman" w:eastAsia="Times New Roman" w:hint="default"/>
        </w:rPr>
        <w:t>5,132.59%</w:t>
      </w:r>
      <w:r>
        <w:rPr/>
        <w:t>，主要系报告期公司非公 开发行股票收到募集资金以及银行借款较上年同期增加所致。</w:t>
      </w:r>
    </w:p>
    <w:p>
      <w:pPr>
        <w:pStyle w:val="BodyText"/>
        <w:spacing w:line="477" w:lineRule="auto" w:before="70"/>
        <w:ind w:right="1122" w:firstLine="290"/>
        <w:jc w:val="both"/>
      </w:pPr>
      <w:r>
        <w:rPr/>
        <w:t>公司管理层紧密围绕着公司的总体经营思路和年初制定的年度工作计划，贯彻执行董事会的战略部署，结合公司优势， 积极开展各项工作。报告期内，公司总体经营情况如下：</w:t>
      </w:r>
    </w:p>
    <w:p>
      <w:pPr>
        <w:pStyle w:val="BodyText"/>
        <w:spacing w:line="465" w:lineRule="auto" w:before="54"/>
        <w:ind w:left="1133" w:right="1108" w:firstLine="290"/>
        <w:jc w:val="both"/>
      </w:pPr>
      <w:r>
        <w:rPr>
          <w:spacing w:val="-1"/>
        </w:rPr>
        <w:t>产品和技术研发方面，</w:t>
      </w:r>
      <w:r>
        <w:rPr>
          <w:rFonts w:ascii="Times New Roman" w:hAnsi="Times New Roman" w:cs="Times New Roman" w:eastAsia="Times New Roman" w:hint="default"/>
          <w:spacing w:val="-1"/>
        </w:rPr>
        <w:t>2017</w:t>
      </w:r>
      <w:r>
        <w:rPr>
          <w:spacing w:val="-1"/>
        </w:rPr>
        <w:t>年全年公司研发投入金额</w:t>
      </w:r>
      <w:r>
        <w:rPr>
          <w:rFonts w:ascii="Times New Roman" w:hAnsi="Times New Roman" w:cs="Times New Roman" w:eastAsia="Times New Roman" w:hint="default"/>
          <w:spacing w:val="-1"/>
        </w:rPr>
        <w:t>4,709.82</w:t>
      </w:r>
      <w:r>
        <w:rPr>
          <w:spacing w:val="-1"/>
        </w:rPr>
        <w:t>万元，占公司营业总收入的</w:t>
      </w:r>
      <w:r>
        <w:rPr>
          <w:rFonts w:ascii="Times New Roman" w:hAnsi="Times New Roman" w:cs="Times New Roman" w:eastAsia="Times New Roman" w:hint="default"/>
          <w:spacing w:val="-1"/>
        </w:rPr>
        <w:t>8.27%</w:t>
      </w:r>
      <w:r>
        <w:rPr>
          <w:spacing w:val="-1"/>
        </w:rPr>
        <w:t>。报告期内，公司贴近、</w:t>
      </w:r>
      <w:r>
        <w:rPr/>
        <w:t> </w:t>
      </w:r>
      <w:r>
        <w:rPr>
          <w:spacing w:val="-2"/>
        </w:rPr>
        <w:t>满足和引导客户的深层次需求，结合用户对资产管理、人员管理、数据管理、流程管理和风控管理等物联化、智慧管理化需</w:t>
      </w:r>
      <w:r>
        <w:rPr>
          <w:spacing w:val="-66"/>
        </w:rPr>
        <w:t> </w:t>
      </w:r>
      <w:r>
        <w:rPr>
          <w:spacing w:val="-66"/>
        </w:rPr>
      </w:r>
      <w:r>
        <w:rPr>
          <w:spacing w:val="-2"/>
        </w:rPr>
        <w:t>求，在原有智能银行安全综合管理平台的基础上开发了适用于多行业智能物联管理需求的智慧物联管理平台；同时，紧跟全</w:t>
      </w:r>
      <w:r>
        <w:rPr>
          <w:spacing w:val="-66"/>
        </w:rPr>
        <w:t> </w:t>
      </w:r>
      <w:r>
        <w:rPr>
          <w:spacing w:val="-66"/>
        </w:rPr>
      </w:r>
      <w:r>
        <w:rPr>
          <w:spacing w:val="-2"/>
        </w:rPr>
        <w:t>球技术热点，加强对大数据、云计算和以深度学习为代表的人工智能技术方面进行研究；</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11</w:t>
      </w:r>
      <w:r>
        <w:rPr>
          <w:spacing w:val="-2"/>
        </w:rPr>
        <w:t>月，公司成立控股孙公司</w:t>
      </w:r>
      <w:r>
        <w:rPr>
          <w:spacing w:val="-59"/>
        </w:rPr>
        <w:t> </w:t>
      </w:r>
      <w:r>
        <w:rPr>
          <w:spacing w:val="-59"/>
        </w:rPr>
      </w:r>
      <w:r>
        <w:rPr>
          <w:spacing w:val="-2"/>
        </w:rPr>
        <w:t>湖南久视智能科技有限公司，以久视智能为平台，结合国防科技大学、汕头大学博士科研团队，从事深度学习等人工智能算</w:t>
      </w:r>
      <w:r>
        <w:rPr>
          <w:spacing w:val="-66"/>
        </w:rPr>
        <w:t> </w:t>
      </w:r>
      <w:r>
        <w:rPr>
          <w:spacing w:val="-66"/>
        </w:rPr>
      </w:r>
      <w:r>
        <w:rPr/>
        <w:t>法研究，开展人员多场景检测、异常人脸识别、人体姿态识别、</w:t>
      </w:r>
      <w:r>
        <w:rPr>
          <w:rFonts w:ascii="Times New Roman" w:hAnsi="Times New Roman" w:cs="Times New Roman" w:eastAsia="Times New Roman" w:hint="default"/>
        </w:rPr>
        <w:t>3D</w:t>
      </w:r>
      <w:r>
        <w:rPr/>
        <w:t>行为分析、车辆视频结构化等尖端计算视觉技术研发以</w:t>
      </w:r>
    </w:p>
    <w:p>
      <w:pPr>
        <w:spacing w:after="0" w:line="465" w:lineRule="auto"/>
        <w:jc w:val="both"/>
        <w:sectPr>
          <w:pgSz w:w="11910" w:h="16840"/>
          <w:pgMar w:header="787" w:footer="640" w:top="1100" w:bottom="840" w:left="0" w:right="0"/>
        </w:sectPr>
      </w:pPr>
    </w:p>
    <w:p>
      <w:pPr>
        <w:spacing w:line="240" w:lineRule="auto" w:before="10"/>
        <w:rPr>
          <w:rFonts w:ascii="宋体" w:hAnsi="宋体" w:cs="宋体" w:eastAsia="宋体" w:hint="default"/>
          <w:sz w:val="28"/>
          <w:szCs w:val="28"/>
        </w:rPr>
      </w:pPr>
    </w:p>
    <w:p>
      <w:pPr>
        <w:pStyle w:val="BodyText"/>
        <w:spacing w:line="477" w:lineRule="auto" w:before="44"/>
        <w:ind w:left="1424" w:right="1122" w:hanging="291"/>
        <w:jc w:val="left"/>
      </w:pPr>
      <w:r>
        <w:rPr/>
        <w:t>及物联网操控类语音语义专项技术攻关。新技术的研究与运用扩充和完善了各产品线，提高了相关产品的综合竞争力。 业务发展及营销网络建设方面，</w:t>
      </w:r>
      <w:r>
        <w:rPr>
          <w:rFonts w:ascii="Times New Roman" w:hAnsi="Times New Roman" w:cs="Times New Roman" w:eastAsia="Times New Roman" w:hint="default"/>
        </w:rPr>
        <w:t>2017</w:t>
      </w:r>
      <w:r>
        <w:rPr/>
        <w:t>年公司坚持贯彻</w:t>
      </w:r>
      <w:r>
        <w:rPr>
          <w:rFonts w:ascii="Times New Roman" w:hAnsi="Times New Roman" w:cs="Times New Roman" w:eastAsia="Times New Roman" w:hint="default"/>
        </w:rPr>
        <w:t>“</w:t>
      </w:r>
      <w:r>
        <w:rPr/>
        <w:t>继续巩固客户安防需求、大力挖掘客户深层次需求</w:t>
      </w:r>
      <w:r>
        <w:rPr>
          <w:rFonts w:ascii="Times New Roman" w:hAnsi="Times New Roman" w:cs="Times New Roman" w:eastAsia="Times New Roman" w:hint="default"/>
        </w:rPr>
        <w:t>”</w:t>
      </w:r>
      <w:r>
        <w:rPr/>
        <w:t>的销售策略。</w:t>
      </w:r>
    </w:p>
    <w:p>
      <w:pPr>
        <w:pStyle w:val="BodyText"/>
        <w:spacing w:line="463" w:lineRule="auto" w:before="21"/>
        <w:ind w:left="1133" w:right="1130"/>
        <w:jc w:val="both"/>
      </w:pPr>
      <w:r>
        <w:rPr>
          <w:spacing w:val="-2"/>
        </w:rPr>
        <w:t>业务发展布局上，一方面公司继续扩展传统的金融安防市场，另一方面公司也积极深化、拓展物联网技术在智慧金融、智慧</w:t>
      </w:r>
      <w:r>
        <w:rPr>
          <w:spacing w:val="-66"/>
        </w:rPr>
        <w:t> </w:t>
      </w:r>
      <w:r>
        <w:rPr>
          <w:spacing w:val="-66"/>
        </w:rPr>
      </w:r>
      <w:r>
        <w:rPr/>
        <w:t>城市、智慧司法、智慧水利、智慧口岸、智能交通、智慧教育等细分行业的应用；</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9</w:t>
      </w:r>
      <w:r>
        <w:rPr/>
        <w:t>月，公司设立全资子公司武汉浩 </w:t>
      </w:r>
      <w:r>
        <w:rPr>
          <w:spacing w:val="-2"/>
        </w:rPr>
        <w:t>立威保安服务有限公司，同年，浩立威取得</w:t>
      </w:r>
      <w:r>
        <w:rPr>
          <w:rFonts w:ascii="Times New Roman" w:hAnsi="Times New Roman" w:cs="Times New Roman" w:eastAsia="Times New Roman" w:hint="default"/>
          <w:spacing w:val="-2"/>
        </w:rPr>
        <w:t>“</w:t>
      </w:r>
      <w:r>
        <w:rPr>
          <w:spacing w:val="-2"/>
        </w:rPr>
        <w:t>保安服务许可证</w:t>
      </w:r>
      <w:r>
        <w:rPr>
          <w:rFonts w:ascii="Times New Roman" w:hAnsi="Times New Roman" w:cs="Times New Roman" w:eastAsia="Times New Roman" w:hint="default"/>
          <w:spacing w:val="-2"/>
        </w:rPr>
        <w:t>”</w:t>
      </w:r>
      <w:r>
        <w:rPr>
          <w:spacing w:val="-2"/>
        </w:rPr>
        <w:t>，为公司全面推进物联网智慧运营服务提供了资质条件与合作</w:t>
      </w:r>
      <w:r>
        <w:rPr>
          <w:spacing w:val="-45"/>
        </w:rPr>
        <w:t> </w:t>
      </w:r>
      <w:r>
        <w:rPr>
          <w:spacing w:val="-45"/>
        </w:rPr>
      </w:r>
      <w:r>
        <w:rPr>
          <w:spacing w:val="-2"/>
        </w:rPr>
        <w:t>平台。销售布局上，公司成立六大业务区，旨在继续发力做大市场，实现以客户为中心的服务宗旨，充分发挥集团化运营优</w:t>
      </w:r>
      <w:r>
        <w:rPr>
          <w:spacing w:val="-66"/>
        </w:rPr>
        <w:t> </w:t>
      </w:r>
      <w:r>
        <w:rPr>
          <w:spacing w:val="-66"/>
        </w:rPr>
      </w:r>
      <w:r>
        <w:rPr>
          <w:spacing w:val="-2"/>
        </w:rPr>
        <w:t>势。报告期内，华北、西北大区的业务保持增长势头，西南区更是成绩显著，为公司业绩的稳步增长做出了较大的贡献。为</w:t>
      </w:r>
      <w:r>
        <w:rPr>
          <w:spacing w:val="-68"/>
        </w:rPr>
        <w:t> </w:t>
      </w:r>
      <w:r>
        <w:rPr>
          <w:spacing w:val="-68"/>
        </w:rPr>
      </w:r>
      <w:r>
        <w:rPr>
          <w:spacing w:val="-2"/>
        </w:rPr>
        <w:t>了更好地服务客户，公司已在全国范围内成立了</w:t>
      </w:r>
      <w:r>
        <w:rPr>
          <w:rFonts w:ascii="Times New Roman" w:hAnsi="Times New Roman" w:cs="Times New Roman" w:eastAsia="Times New Roman" w:hint="default"/>
          <w:spacing w:val="-2"/>
        </w:rPr>
        <w:t>30</w:t>
      </w:r>
      <w:r>
        <w:rPr>
          <w:spacing w:val="-2"/>
        </w:rPr>
        <w:t>个分公司，公司业务范围基本覆盖了全国。同时，随着公司首发募集资金</w:t>
      </w:r>
      <w:r>
        <w:rPr>
          <w:spacing w:val="-64"/>
        </w:rPr>
        <w:t> </w:t>
      </w:r>
      <w:r>
        <w:rPr>
          <w:spacing w:val="-64"/>
        </w:rPr>
      </w:r>
      <w:r>
        <w:rPr>
          <w:spacing w:val="-2"/>
        </w:rPr>
        <w:t>投资项目</w:t>
      </w:r>
      <w:r>
        <w:rPr>
          <w:rFonts w:ascii="Times New Roman" w:hAnsi="Times New Roman" w:cs="Times New Roman" w:eastAsia="Times New Roman" w:hint="default"/>
          <w:spacing w:val="-2"/>
        </w:rPr>
        <w:t>“</w:t>
      </w:r>
      <w:r>
        <w:rPr>
          <w:spacing w:val="-2"/>
        </w:rPr>
        <w:t>营销及服务网络升级技术改造项目</w:t>
      </w:r>
      <w:r>
        <w:rPr>
          <w:rFonts w:ascii="Times New Roman" w:hAnsi="Times New Roman" w:cs="Times New Roman" w:eastAsia="Times New Roman" w:hint="default"/>
          <w:spacing w:val="-2"/>
        </w:rPr>
        <w:t>”</w:t>
      </w:r>
      <w:r>
        <w:rPr>
          <w:spacing w:val="-2"/>
        </w:rPr>
        <w:t>的建设完工，公司在全国范围内的营销服务体系得到完善，营销服务网络实现</w:t>
      </w:r>
      <w:r>
        <w:rPr>
          <w:spacing w:val="-44"/>
        </w:rPr>
        <w:t> </w:t>
      </w:r>
      <w:r>
        <w:rPr>
          <w:spacing w:val="-44"/>
        </w:rPr>
      </w:r>
      <w:r>
        <w:rPr/>
        <w:t>了全面升级，公司销售、服务能力得到了进一步提高。</w:t>
      </w:r>
    </w:p>
    <w:p>
      <w:pPr>
        <w:pStyle w:val="BodyText"/>
        <w:spacing w:line="468" w:lineRule="auto" w:before="65"/>
        <w:ind w:left="1133" w:right="1129" w:firstLine="290"/>
        <w:jc w:val="both"/>
      </w:pPr>
      <w:r>
        <w:rPr>
          <w:spacing w:val="-1"/>
        </w:rPr>
        <w:t>资本市场方面，公司积极利用上市公司的有利地位，借助资本市场提供的工具和手段稳步实施发展战略。报告期内，公</w:t>
      </w:r>
      <w:r>
        <w:rPr/>
        <w:t> 司已顺利完成非公开发行股票再融资事项，以</w:t>
      </w:r>
      <w:r>
        <w:rPr>
          <w:rFonts w:ascii="Times New Roman" w:hAnsi="Times New Roman" w:cs="Times New Roman" w:eastAsia="Times New Roman" w:hint="default"/>
        </w:rPr>
        <w:t>21.98</w:t>
      </w:r>
      <w:r>
        <w:rPr/>
        <w:t>元</w:t>
      </w:r>
      <w:r>
        <w:rPr>
          <w:rFonts w:ascii="Times New Roman" w:hAnsi="Times New Roman" w:cs="Times New Roman" w:eastAsia="Times New Roman" w:hint="default"/>
        </w:rPr>
        <w:t>/</w:t>
      </w:r>
      <w:r>
        <w:rPr/>
        <w:t>股的价格发行</w:t>
      </w:r>
      <w:r>
        <w:rPr>
          <w:rFonts w:ascii="Times New Roman" w:hAnsi="Times New Roman" w:cs="Times New Roman" w:eastAsia="Times New Roman" w:hint="default"/>
        </w:rPr>
        <w:t>15,945,368</w:t>
      </w:r>
      <w:r>
        <w:rPr/>
        <w:t>股，募集配套资金总额为</w:t>
      </w:r>
      <w:r>
        <w:rPr>
          <w:rFonts w:ascii="Times New Roman" w:hAnsi="Times New Roman" w:cs="Times New Roman" w:eastAsia="Times New Roman" w:hint="default"/>
        </w:rPr>
        <w:t>350,479,188.64</w:t>
      </w:r>
      <w:r>
        <w:rPr/>
        <w:t>元。 </w:t>
      </w:r>
      <w:r>
        <w:rPr>
          <w:spacing w:val="-2"/>
        </w:rPr>
        <w:t>本次非公开发行所募资金将用于视频图像信息大数据及深度智能分析、综合安保社会化运营平台及公共安全智能终端和监狱</w:t>
      </w:r>
      <w:r>
        <w:rPr>
          <w:spacing w:val="-64"/>
        </w:rPr>
        <w:t> </w:t>
      </w:r>
      <w:r>
        <w:rPr>
          <w:spacing w:val="-64"/>
        </w:rPr>
      </w:r>
      <w:r>
        <w:rPr>
          <w:spacing w:val="-2"/>
        </w:rPr>
        <w:t>大数据信息综合管理平台三个项目，募投项目的开展有利于公司抓住大数据产业快速发展的市场机遇，深化公司新战略的实</w:t>
      </w:r>
      <w:r>
        <w:rPr>
          <w:spacing w:val="-64"/>
        </w:rPr>
        <w:t> </w:t>
      </w:r>
      <w:r>
        <w:rPr>
          <w:spacing w:val="-64"/>
        </w:rPr>
      </w:r>
      <w:r>
        <w:rPr>
          <w:spacing w:val="-2"/>
        </w:rPr>
        <w:t>施与落地，逐步完善公司在业务和创新等方面的布局。此外，</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10</w:t>
      </w:r>
      <w:r>
        <w:rPr>
          <w:spacing w:val="-2"/>
        </w:rPr>
        <w:t>月，公司全资子公司西藏浩云与深圳琢石投资有限公</w:t>
      </w:r>
      <w:r>
        <w:rPr>
          <w:spacing w:val="-59"/>
        </w:rPr>
        <w:t> </w:t>
      </w:r>
      <w:r>
        <w:rPr>
          <w:spacing w:val="-59"/>
        </w:rPr>
      </w:r>
      <w:r>
        <w:rPr>
          <w:spacing w:val="-2"/>
        </w:rPr>
        <w:t>司、广州云信科技创业投资合伙企业（有限合伙）共同设立股权投资基金广州云智科技创业投资合伙企业（有限合伙），用</w:t>
      </w:r>
      <w:r>
        <w:rPr>
          <w:spacing w:val="-66"/>
        </w:rPr>
        <w:t> </w:t>
      </w:r>
      <w:r>
        <w:rPr>
          <w:spacing w:val="-66"/>
        </w:rPr>
      </w:r>
      <w:r>
        <w:rPr/>
        <w:t>于孵化物联网及相关人工智能、大数据、云计算等方向创新型企业，挖掘前瞻性技术及优质资产，助力公司战略的推进。</w:t>
      </w:r>
    </w:p>
    <w:p>
      <w:pPr>
        <w:pStyle w:val="BodyText"/>
        <w:spacing w:line="470" w:lineRule="auto" w:before="61"/>
        <w:ind w:left="1133" w:right="0" w:firstLine="290"/>
        <w:jc w:val="left"/>
      </w:pPr>
      <w:r>
        <w:rPr/>
        <w:t>组织建设和人才体系建设方面，公司进一步优化管理体制，持续完善治理结构，提升公司治理水平；加强内部风险控制 </w:t>
      </w:r>
      <w:r>
        <w:rPr>
          <w:spacing w:val="-2"/>
        </w:rPr>
        <w:t>建设，提高防范风险的意识并逐步落实防范机制。公司坚持和深化扁平化的组织管理模式，精简管理层次，引进先进的管理</w:t>
      </w:r>
      <w:r>
        <w:rPr>
          <w:spacing w:val="-66"/>
        </w:rPr>
        <w:t> </w:t>
      </w:r>
      <w:r>
        <w:rPr>
          <w:spacing w:val="-66"/>
        </w:rPr>
      </w:r>
      <w:r>
        <w:rPr>
          <w:spacing w:val="-2"/>
        </w:rPr>
        <w:t>体系，提高科学管理的水平。报告期内，为提升公司管理团队和核心骨干的凝聚力和创造力，吸引和保留优秀的管理人才和</w:t>
      </w:r>
      <w:r>
        <w:rPr>
          <w:spacing w:val="-66"/>
        </w:rPr>
        <w:t> </w:t>
      </w:r>
      <w:r>
        <w:rPr>
          <w:spacing w:val="-66"/>
        </w:rPr>
      </w:r>
      <w:r>
        <w:rPr>
          <w:spacing w:val="-2"/>
        </w:rPr>
        <w:t>核心员工，为公司的持续快速发展注入新的动力，公司于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6</w:t>
      </w:r>
      <w:r>
        <w:rPr>
          <w:spacing w:val="-2"/>
        </w:rPr>
        <w:t>月实施完成第二期股权激励计划预留部分股票的授予工作，</w:t>
      </w:r>
      <w:r>
        <w:rPr>
          <w:spacing w:val="-58"/>
        </w:rPr>
        <w:t> </w:t>
      </w:r>
      <w:r>
        <w:rPr/>
        <w:t>搭建员工与公司共同发展的平台，促进公司建立高素质、多层次人才体系，健全激励机制和约束机制。</w:t>
      </w:r>
    </w:p>
    <w:p>
      <w:pPr>
        <w:spacing w:line="240" w:lineRule="auto" w:before="10"/>
        <w:rPr>
          <w:rFonts w:ascii="宋体" w:hAnsi="宋体" w:cs="宋体" w:eastAsia="宋体" w:hint="default"/>
          <w:sz w:val="23"/>
          <w:szCs w:val="23"/>
        </w:rPr>
      </w:pPr>
    </w:p>
    <w:p>
      <w:pPr>
        <w:pStyle w:val="Heading2"/>
        <w:spacing w:line="240" w:lineRule="auto"/>
        <w:ind w:right="0"/>
        <w:jc w:val="both"/>
        <w:rPr>
          <w:b w:val="0"/>
          <w:bCs w:val="0"/>
        </w:rPr>
      </w:pPr>
      <w:bookmarkStart w:name="二、主营业务分析" w:id="24"/>
      <w:bookmarkEnd w:id="24"/>
      <w:r>
        <w:rPr>
          <w:b w:val="0"/>
          <w:bCs w:val="0"/>
        </w:rPr>
      </w:r>
      <w:r>
        <w:rPr/>
        <w:t>二、主营业务分析</w:t>
      </w:r>
      <w:r>
        <w:rPr>
          <w:b w:val="0"/>
          <w:bCs w:val="0"/>
        </w:rPr>
      </w:r>
    </w:p>
    <w:p>
      <w:pPr>
        <w:spacing w:line="240" w:lineRule="auto" w:before="0"/>
        <w:rPr>
          <w:rFonts w:ascii="宋体" w:hAnsi="宋体" w:cs="宋体" w:eastAsia="宋体" w:hint="default"/>
          <w:b/>
          <w:bCs/>
          <w:sz w:val="24"/>
          <w:szCs w:val="24"/>
        </w:rPr>
      </w:pPr>
    </w:p>
    <w:p>
      <w:pPr>
        <w:pStyle w:val="Heading3"/>
        <w:spacing w:line="240" w:lineRule="auto" w:before="163"/>
        <w:ind w:left="1133" w:right="0"/>
        <w:jc w:val="both"/>
        <w:rPr>
          <w:b w:val="0"/>
          <w:bCs w:val="0"/>
        </w:rPr>
      </w:pPr>
      <w:bookmarkStart w:name="1、概述" w:id="25"/>
      <w:bookmarkEnd w:id="25"/>
      <w:r>
        <w:rPr>
          <w:b w:val="0"/>
          <w:bCs w:val="0"/>
        </w:rPr>
      </w:r>
      <w:r>
        <w:rPr>
          <w:rFonts w:ascii="Times New Roman" w:hAnsi="Times New Roman" w:cs="Times New Roman" w:eastAsia="Times New Roman" w:hint="default"/>
        </w:rPr>
        <w:t>1</w:t>
      </w:r>
      <w:r>
        <w:rPr/>
        <w:t>、概述</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pStyle w:val="BodyText"/>
        <w:spacing w:line="240" w:lineRule="auto"/>
        <w:ind w:left="1133" w:right="0"/>
        <w:jc w:val="both"/>
      </w:pPr>
      <w:r>
        <w:rPr/>
        <w:t>参见</w:t>
      </w:r>
      <w:r>
        <w:rPr>
          <w:rFonts w:ascii="Times New Roman" w:hAnsi="Times New Roman" w:cs="Times New Roman" w:eastAsia="Times New Roman" w:hint="default"/>
        </w:rPr>
        <w:t>“</w:t>
      </w:r>
      <w:r>
        <w:rPr/>
        <w:t>经营情况讨论与分析</w:t>
      </w:r>
      <w:r>
        <w:rPr>
          <w:rFonts w:ascii="Times New Roman" w:hAnsi="Times New Roman" w:cs="Times New Roman" w:eastAsia="Times New Roman" w:hint="default"/>
        </w:rPr>
        <w:t>”</w:t>
      </w:r>
      <w:r>
        <w:rPr/>
        <w:t>中的</w:t>
      </w:r>
      <w:r>
        <w:rPr>
          <w:rFonts w:ascii="Times New Roman" w:hAnsi="Times New Roman" w:cs="Times New Roman" w:eastAsia="Times New Roman" w:hint="default"/>
        </w:rPr>
        <w:t>“</w:t>
      </w:r>
      <w:r>
        <w:rPr/>
        <w:t>一、概述</w:t>
      </w:r>
      <w:r>
        <w:rPr>
          <w:rFonts w:ascii="Times New Roman" w:hAnsi="Times New Roman" w:cs="Times New Roman" w:eastAsia="Times New Roman" w:hint="default"/>
        </w:rPr>
        <w:t>”</w:t>
      </w:r>
      <w:r>
        <w:rPr/>
        <w:t>相关内容。</w:t>
      </w:r>
    </w:p>
    <w:p>
      <w:pPr>
        <w:spacing w:after="0" w:line="240" w:lineRule="auto"/>
        <w:jc w:val="both"/>
        <w:sectPr>
          <w:pgSz w:w="11910" w:h="16840"/>
          <w:pgMar w:header="787" w:footer="640" w:top="1100" w:bottom="840" w:left="0" w:right="0"/>
        </w:sectPr>
      </w:pPr>
    </w:p>
    <w:p>
      <w:pPr>
        <w:spacing w:line="240" w:lineRule="auto" w:before="7"/>
        <w:rPr>
          <w:rFonts w:ascii="宋体" w:hAnsi="宋体" w:cs="宋体" w:eastAsia="宋体" w:hint="default"/>
          <w:sz w:val="27"/>
          <w:szCs w:val="27"/>
        </w:rPr>
      </w:pPr>
    </w:p>
    <w:p>
      <w:pPr>
        <w:pStyle w:val="Heading3"/>
        <w:spacing w:line="240" w:lineRule="auto" w:before="35"/>
        <w:ind w:right="0"/>
        <w:jc w:val="left"/>
        <w:rPr>
          <w:b w:val="0"/>
          <w:bCs w:val="0"/>
        </w:rPr>
      </w:pPr>
      <w:bookmarkStart w:name="2、收入与成本" w:id="26"/>
      <w:bookmarkEnd w:id="26"/>
      <w:r>
        <w:rPr>
          <w:b w:val="0"/>
          <w:bCs w:val="0"/>
        </w:rPr>
      </w:r>
      <w:r>
        <w:rPr>
          <w:rFonts w:ascii="Times New Roman" w:hAnsi="Times New Roman" w:cs="Times New Roman" w:eastAsia="Times New Roman" w:hint="default"/>
        </w:rPr>
        <w:t>2</w:t>
      </w:r>
      <w:r>
        <w:rPr/>
        <w:t>、收入与成本</w:t>
      </w:r>
      <w:r>
        <w:rPr>
          <w:b w:val="0"/>
          <w:bCs w:val="0"/>
        </w:rPr>
      </w:r>
    </w:p>
    <w:p>
      <w:pPr>
        <w:spacing w:line="240" w:lineRule="auto" w:before="0"/>
        <w:rPr>
          <w:rFonts w:ascii="宋体" w:hAnsi="宋体" w:cs="宋体" w:eastAsia="宋体" w:hint="default"/>
          <w:b/>
          <w:bCs/>
          <w:sz w:val="22"/>
          <w:szCs w:val="22"/>
        </w:rPr>
      </w:pPr>
    </w:p>
    <w:p>
      <w:pPr>
        <w:pStyle w:val="Heading3"/>
        <w:spacing w:line="240" w:lineRule="auto" w:before="189"/>
        <w:ind w:right="0"/>
        <w:jc w:val="left"/>
        <w:rPr>
          <w:b w:val="0"/>
          <w:bCs w:val="0"/>
        </w:rPr>
      </w:pPr>
      <w:bookmarkStart w:name="（1）营业收入构成" w:id="27"/>
      <w:bookmarkEnd w:id="27"/>
      <w:r>
        <w:rPr>
          <w:b w:val="0"/>
          <w:bCs w:val="0"/>
        </w:rPr>
      </w:r>
      <w:r>
        <w:rPr/>
        <w:t>（</w:t>
      </w:r>
      <w:r>
        <w:rPr>
          <w:rFonts w:ascii="Times New Roman" w:hAnsi="Times New Roman" w:cs="Times New Roman" w:eastAsia="Times New Roman" w:hint="default"/>
        </w:rPr>
        <w:t>1</w:t>
      </w:r>
      <w:r>
        <w:rPr/>
        <w:t>）营业收入构成</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pStyle w:val="BodyText"/>
        <w:spacing w:line="516" w:lineRule="auto"/>
        <w:ind w:right="6972"/>
        <w:jc w:val="left"/>
      </w:pPr>
      <w:r>
        <w:rPr/>
        <w:t>公司是否需要遵守光伏产业链相关业的披露要求 否</w:t>
      </w:r>
    </w:p>
    <w:p>
      <w:pPr>
        <w:pStyle w:val="BodyText"/>
        <w:spacing w:line="489" w:lineRule="auto" w:before="66"/>
        <w:ind w:left="1133" w:right="1394"/>
        <w:jc w:val="left"/>
      </w:pPr>
      <w:r>
        <w:rPr/>
        <w:t>公司是否需遵守《深圳证券交易所创业板行业信息披露指引第</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上市公司从事广播电影电视业务》的披露要求： 否</w:t>
      </w:r>
    </w:p>
    <w:p>
      <w:pPr>
        <w:pStyle w:val="BodyText"/>
        <w:spacing w:line="489" w:lineRule="auto" w:before="85"/>
        <w:ind w:left="1133" w:right="1574"/>
        <w:jc w:val="left"/>
      </w:pPr>
      <w:r>
        <w:rPr/>
        <w:t>公司是否需遵守《深圳证券交易所创业板行业信息披露指引第</w:t>
      </w:r>
      <w:r>
        <w:rPr>
          <w:spacing w:val="-45"/>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上市公司从事互联网游戏业务》的披露要求： 否</w:t>
      </w:r>
    </w:p>
    <w:p>
      <w:pPr>
        <w:pStyle w:val="BodyText"/>
        <w:spacing w:line="489" w:lineRule="auto" w:before="85"/>
        <w:ind w:left="1133" w:right="1136"/>
        <w:jc w:val="left"/>
      </w:pPr>
      <w:r>
        <w:rPr/>
        <w:t>公司是否需遵守《深圳证券交易所创业板行业信息披露指引第</w:t>
      </w:r>
      <w:r>
        <w:rPr>
          <w:spacing w:val="-45"/>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w:t>
      </w:r>
      <w:r>
        <w:rPr>
          <w:spacing w:val="-46"/>
        </w:rPr>
        <w:t> </w:t>
      </w:r>
      <w:r>
        <w:rPr>
          <w:rFonts w:ascii="Times New Roman" w:hAnsi="Times New Roman" w:cs="Times New Roman" w:eastAsia="Times New Roman" w:hint="default"/>
        </w:rPr>
        <w:t>LED</w:t>
      </w:r>
      <w:r>
        <w:rPr>
          <w:rFonts w:ascii="Times New Roman" w:hAnsi="Times New Roman" w:cs="Times New Roman" w:eastAsia="Times New Roman" w:hint="default"/>
          <w:spacing w:val="-1"/>
        </w:rPr>
        <w:t> </w:t>
      </w:r>
      <w:r>
        <w:rPr/>
        <w:t>产业链相关业务》的披露要求： 否</w:t>
      </w:r>
    </w:p>
    <w:p>
      <w:pPr>
        <w:pStyle w:val="BodyText"/>
        <w:spacing w:line="489" w:lineRule="auto" w:before="86"/>
        <w:ind w:left="1133" w:right="1664"/>
        <w:jc w:val="left"/>
      </w:pPr>
      <w:r>
        <w:rPr/>
        <w:t>公司是否需遵守《深圳证券交易所创业板行业信息披露指引第</w:t>
      </w:r>
      <w:r>
        <w:rPr>
          <w:spacing w:val="-45"/>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上市公司从事医疗器械业务》的披露要求： 否</w:t>
      </w:r>
    </w:p>
    <w:p>
      <w:pPr>
        <w:pStyle w:val="BodyText"/>
        <w:spacing w:line="240" w:lineRule="auto" w:before="85"/>
        <w:ind w:right="0"/>
        <w:jc w:val="left"/>
      </w:pPr>
      <w:r>
        <w:rPr/>
        <w:t>营业收入整体情况</w:t>
      </w:r>
    </w:p>
    <w:p>
      <w:pPr>
        <w:spacing w:line="240" w:lineRule="auto" w:before="12"/>
        <w:rPr>
          <w:rFonts w:ascii="宋体" w:hAnsi="宋体" w:cs="宋体" w:eastAsia="宋体" w:hint="default"/>
          <w:sz w:val="20"/>
          <w:szCs w:val="20"/>
        </w:rPr>
      </w:pPr>
    </w:p>
    <w:p>
      <w:pPr>
        <w:pStyle w:val="BodyText"/>
        <w:spacing w:line="240" w:lineRule="auto"/>
        <w:ind w:left="0" w:right="1130"/>
        <w:jc w:val="right"/>
      </w:pPr>
      <w:r>
        <w:rPr/>
        <w:t>单位：元</w:t>
      </w:r>
    </w:p>
    <w:p>
      <w:pPr>
        <w:spacing w:line="240" w:lineRule="auto" w:before="12"/>
        <w:rPr>
          <w:rFonts w:ascii="宋体" w:hAnsi="宋体" w:cs="宋体" w:eastAsia="宋体" w:hint="default"/>
          <w:sz w:val="13"/>
          <w:szCs w:val="13"/>
        </w:rPr>
      </w:pPr>
    </w:p>
    <w:tbl>
      <w:tblPr>
        <w:tblW w:w="0" w:type="auto"/>
        <w:jc w:val="left"/>
        <w:tblInd w:w="1129" w:type="dxa"/>
        <w:tblLayout w:type="fixed"/>
        <w:tblCellMar>
          <w:top w:w="0" w:type="dxa"/>
          <w:left w:w="0" w:type="dxa"/>
          <w:bottom w:w="0" w:type="dxa"/>
          <w:right w:w="0" w:type="dxa"/>
        </w:tblCellMar>
        <w:tblLook w:val="01E0"/>
      </w:tblPr>
      <w:tblGrid>
        <w:gridCol w:w="1599"/>
        <w:gridCol w:w="1594"/>
        <w:gridCol w:w="1592"/>
        <w:gridCol w:w="1597"/>
        <w:gridCol w:w="1588"/>
        <w:gridCol w:w="1598"/>
      </w:tblGrid>
      <w:tr>
        <w:trPr>
          <w:trHeight w:val="206" w:hRule="exact"/>
        </w:trPr>
        <w:tc>
          <w:tcPr>
            <w:tcW w:w="1599" w:type="dxa"/>
            <w:tcBorders>
              <w:top w:val="single" w:sz="4" w:space="0" w:color="000000"/>
              <w:left w:val="single" w:sz="4" w:space="0" w:color="000000"/>
              <w:bottom w:val="nil" w:sz="6" w:space="0" w:color="auto"/>
              <w:right w:val="single" w:sz="4" w:space="0" w:color="000000"/>
            </w:tcBorders>
            <w:shd w:val="clear" w:color="auto" w:fill="D2D2D2"/>
          </w:tcPr>
          <w:p>
            <w:pPr/>
          </w:p>
        </w:tc>
        <w:tc>
          <w:tcPr>
            <w:tcW w:w="318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8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1" w:hRule="exact"/>
        </w:trPr>
        <w:tc>
          <w:tcPr>
            <w:tcW w:w="1599" w:type="dxa"/>
            <w:vMerge w:val="restart"/>
            <w:tcBorders>
              <w:top w:val="nil" w:sz="6" w:space="0" w:color="auto"/>
              <w:left w:val="single" w:sz="4" w:space="0" w:color="000000"/>
              <w:right w:val="single" w:sz="4" w:space="0" w:color="000000"/>
            </w:tcBorders>
            <w:shd w:val="clear" w:color="auto" w:fill="D2D2D2"/>
          </w:tcPr>
          <w:p>
            <w:pPr/>
          </w:p>
        </w:tc>
        <w:tc>
          <w:tcPr>
            <w:tcW w:w="3186" w:type="dxa"/>
            <w:gridSpan w:val="2"/>
            <w:vMerge/>
            <w:tcBorders>
              <w:left w:val="single" w:sz="4" w:space="0" w:color="000000"/>
              <w:bottom w:val="single" w:sz="4" w:space="0" w:color="000000"/>
              <w:right w:val="single" w:sz="4" w:space="0" w:color="000000"/>
            </w:tcBorders>
            <w:shd w:val="clear" w:color="auto" w:fill="D2D2D2"/>
          </w:tcPr>
          <w:p>
            <w:pPr/>
          </w:p>
        </w:tc>
        <w:tc>
          <w:tcPr>
            <w:tcW w:w="3185" w:type="dxa"/>
            <w:gridSpan w:val="2"/>
            <w:vMerge/>
            <w:tcBorders>
              <w:left w:val="single" w:sz="4" w:space="0" w:color="000000"/>
              <w:bottom w:val="single" w:sz="4" w:space="0" w:color="000000"/>
              <w:right w:val="single" w:sz="4" w:space="0" w:color="000000"/>
            </w:tcBorders>
            <w:shd w:val="clear" w:color="auto" w:fill="D2D2D2"/>
          </w:tcPr>
          <w:p>
            <w:pPr/>
          </w:p>
        </w:tc>
        <w:tc>
          <w:tcPr>
            <w:tcW w:w="15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436"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200" w:hRule="exact"/>
        </w:trPr>
        <w:tc>
          <w:tcPr>
            <w:tcW w:w="1599" w:type="dxa"/>
            <w:vMerge/>
            <w:tcBorders>
              <w:left w:val="single" w:sz="4" w:space="0" w:color="000000"/>
              <w:bottom w:val="nil" w:sz="6" w:space="0" w:color="auto"/>
              <w:right w:val="single" w:sz="4" w:space="0" w:color="000000"/>
            </w:tcBorders>
            <w:shd w:val="clear" w:color="auto" w:fill="D2D2D2"/>
          </w:tcPr>
          <w:p>
            <w:pP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3"/>
              <w:jc w:val="center"/>
              <w:rPr>
                <w:rFonts w:ascii="宋体" w:hAnsi="宋体" w:cs="宋体" w:eastAsia="宋体" w:hint="default"/>
                <w:sz w:val="18"/>
                <w:szCs w:val="18"/>
              </w:rPr>
            </w:pPr>
            <w:r>
              <w:rPr>
                <w:rFonts w:ascii="宋体" w:hAnsi="宋体" w:cs="宋体" w:eastAsia="宋体" w:hint="default"/>
                <w:sz w:val="18"/>
                <w:szCs w:val="18"/>
              </w:rPr>
              <w:t>金额</w:t>
            </w:r>
          </w:p>
        </w:tc>
        <w:tc>
          <w:tcPr>
            <w:tcW w:w="15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60"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59"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8"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599"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2" w:type="dxa"/>
            <w:vMerge/>
            <w:tcBorders>
              <w:left w:val="single" w:sz="4" w:space="0" w:color="000000"/>
              <w:bottom w:val="single" w:sz="4" w:space="0" w:color="000000"/>
              <w:right w:val="single" w:sz="4" w:space="0" w:color="000000"/>
            </w:tcBorders>
            <w:shd w:val="clear" w:color="auto" w:fill="D2D2D2"/>
          </w:tcPr>
          <w:p>
            <w:pPr/>
          </w:p>
        </w:tc>
        <w:tc>
          <w:tcPr>
            <w:tcW w:w="1597" w:type="dxa"/>
            <w:vMerge/>
            <w:tcBorders>
              <w:left w:val="single" w:sz="4" w:space="0" w:color="000000"/>
              <w:bottom w:val="single" w:sz="4" w:space="0" w:color="000000"/>
              <w:right w:val="single" w:sz="4" w:space="0" w:color="000000"/>
            </w:tcBorders>
            <w:shd w:val="clear" w:color="auto" w:fill="D2D2D2"/>
          </w:tcPr>
          <w:p>
            <w:pPr/>
          </w:p>
        </w:tc>
        <w:tc>
          <w:tcPr>
            <w:tcW w:w="1588" w:type="dxa"/>
            <w:vMerge/>
            <w:tcBorders>
              <w:left w:val="single" w:sz="4" w:space="0" w:color="000000"/>
              <w:bottom w:val="single" w:sz="4" w:space="0" w:color="000000"/>
              <w:right w:val="single" w:sz="4" w:space="0" w:color="000000"/>
            </w:tcBorders>
            <w:shd w:val="clear" w:color="auto" w:fill="D2D2D2"/>
          </w:tcPr>
          <w:p>
            <w:pPr/>
          </w:p>
        </w:tc>
        <w:tc>
          <w:tcPr>
            <w:tcW w:w="159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7" w:hRule="exact"/>
        </w:trPr>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594"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569,795,019.21</w:t>
            </w:r>
          </w:p>
        </w:tc>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597"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544,953,859.79</w:t>
            </w:r>
          </w:p>
        </w:tc>
        <w:tc>
          <w:tcPr>
            <w:tcW w:w="15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5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4.56%</w:t>
            </w:r>
          </w:p>
        </w:tc>
      </w:tr>
      <w:tr>
        <w:trPr>
          <w:trHeight w:val="397"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金融行业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445,906,102.04</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78.26%</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431,240,887.84</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79.13%</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3.40%</w:t>
            </w:r>
          </w:p>
        </w:tc>
      </w:tr>
      <w:tr>
        <w:trPr>
          <w:trHeight w:val="402"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司法行业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35,210,112.44</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6.18%</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22,110,872.12</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4.06%</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59.24%</w:t>
            </w:r>
          </w:p>
        </w:tc>
      </w:tr>
      <w:tr>
        <w:trPr>
          <w:trHeight w:val="402"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平安城市行业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42,234,644.37</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7.41%</w:t>
            </w:r>
          </w:p>
        </w:tc>
        <w:tc>
          <w:tcPr>
            <w:tcW w:w="1597" w:type="dxa"/>
            <w:tcBorders>
              <w:top w:val="single" w:sz="4" w:space="0" w:color="000000"/>
              <w:left w:val="single" w:sz="4" w:space="0" w:color="000000"/>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single" w:sz="4" w:space="0" w:color="000000"/>
            </w:tcBorders>
          </w:tcPr>
          <w:p>
            <w:pPr/>
          </w:p>
        </w:tc>
        <w:tc>
          <w:tcPr>
            <w:tcW w:w="15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其他行业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46,444,160.36</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8.15%</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91,602,099.83</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16.81%</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-49.30%</w:t>
            </w:r>
          </w:p>
        </w:tc>
      </w:tr>
      <w:tr>
        <w:trPr>
          <w:trHeight w:val="402"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安防系统</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381,309,642.47</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66.92%</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436,710,077.58</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80.14%</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-12.69%</w:t>
            </w:r>
          </w:p>
        </w:tc>
      </w:tr>
      <w:tr>
        <w:trPr>
          <w:trHeight w:val="402"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安防设备</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144,906,491.53</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25.43%</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108,243,782.21</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19.86%</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33.87%</w:t>
            </w:r>
          </w:p>
        </w:tc>
      </w:tr>
      <w:tr>
        <w:trPr>
          <w:trHeight w:val="402"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平安城市运营服务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42,234,644.37</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7.41%</w:t>
            </w:r>
          </w:p>
        </w:tc>
        <w:tc>
          <w:tcPr>
            <w:tcW w:w="1597" w:type="dxa"/>
            <w:tcBorders>
              <w:top w:val="single" w:sz="4" w:space="0" w:color="000000"/>
              <w:left w:val="single" w:sz="4" w:space="0" w:color="000000"/>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single" w:sz="4" w:space="0" w:color="000000"/>
            </w:tcBorders>
          </w:tcPr>
          <w:p>
            <w:pPr/>
          </w:p>
        </w:tc>
        <w:tc>
          <w:tcPr>
            <w:tcW w:w="15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租赁收入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1,344,240.84</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0.24%</w:t>
            </w:r>
          </w:p>
        </w:tc>
        <w:tc>
          <w:tcPr>
            <w:tcW w:w="1597" w:type="dxa"/>
            <w:tcBorders>
              <w:top w:val="single" w:sz="4" w:space="0" w:color="000000"/>
              <w:left w:val="single" w:sz="4" w:space="0" w:color="000000"/>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single" w:sz="4" w:space="0" w:color="000000"/>
            </w:tcBorders>
          </w:tcPr>
          <w:p>
            <w:pPr/>
          </w:p>
        </w:tc>
        <w:tc>
          <w:tcPr>
            <w:tcW w:w="15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44,245,877.22</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7.77%</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50,443,691.14</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9.26%</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-12.29%</w:t>
            </w:r>
          </w:p>
        </w:tc>
      </w:tr>
    </w:tbl>
    <w:p>
      <w:pPr>
        <w:spacing w:after="0" w:line="240" w:lineRule="auto"/>
        <w:jc w:val="right"/>
        <w:rPr>
          <w:rFonts w:ascii="Times New Roman" w:hAnsi="Times New Roman" w:cs="Times New Roman" w:eastAsia="Times New Roman" w:hint="default"/>
          <w:sz w:val="18"/>
          <w:szCs w:val="18"/>
        </w:rPr>
        <w:sectPr>
          <w:footerReference w:type="default" r:id="rId15"/>
          <w:pgSz w:w="11910" w:h="16840"/>
          <w:pgMar w:footer="640" w:header="787" w:top="1100" w:bottom="840" w:left="0" w:right="0"/>
        </w:sectPr>
      </w:pPr>
    </w:p>
    <w:p>
      <w:pPr>
        <w:spacing w:line="240" w:lineRule="auto" w:before="5"/>
        <w:rPr>
          <w:rFonts w:ascii="宋体" w:hAnsi="宋体" w:cs="宋体" w:eastAsia="宋体" w:hint="default"/>
          <w:sz w:val="25"/>
          <w:szCs w:val="25"/>
        </w:rPr>
      </w:pPr>
    </w:p>
    <w:tbl>
      <w:tblPr>
        <w:tblW w:w="0" w:type="auto"/>
        <w:jc w:val="left"/>
        <w:tblInd w:w="112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36,024,128.70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6.32%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35,270,428.87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6.47%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2.14%</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华东</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51,701,353.64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9.07%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62,842,080.90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11.53%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-17.73%</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203,198,282.89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35.67%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224,323,801.93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41.17%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-9.42%</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华中</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84,855,365.92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14.89%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96,754,117.26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17.75%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-12.30%</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67,319,139.00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11.81%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49,690,919.61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9.12%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35.48%</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82,450,871.84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14.47%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25,628,820.08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221.71%</w:t>
            </w:r>
          </w:p>
        </w:tc>
      </w:tr>
    </w:tbl>
    <w:p>
      <w:pPr>
        <w:spacing w:line="240" w:lineRule="auto" w:before="1"/>
        <w:rPr>
          <w:rFonts w:ascii="宋体" w:hAnsi="宋体" w:cs="宋体" w:eastAsia="宋体" w:hint="default"/>
          <w:sz w:val="25"/>
          <w:szCs w:val="25"/>
        </w:rPr>
      </w:pPr>
    </w:p>
    <w:p>
      <w:pPr>
        <w:pStyle w:val="Heading3"/>
        <w:spacing w:line="240" w:lineRule="auto" w:before="35"/>
        <w:ind w:right="0"/>
        <w:jc w:val="left"/>
        <w:rPr>
          <w:b w:val="0"/>
          <w:bCs w:val="0"/>
        </w:rPr>
      </w:pPr>
      <w:bookmarkStart w:name="（2）占公司营业收入或营业利润10%以上的行业、产品或地区情况" w:id="28"/>
      <w:bookmarkEnd w:id="28"/>
      <w:r>
        <w:rPr>
          <w:b w:val="0"/>
          <w:bCs w:val="0"/>
        </w:rPr>
      </w:r>
      <w:r>
        <w:rPr/>
        <w:t>（</w:t>
      </w:r>
      <w:r>
        <w:rPr>
          <w:rFonts w:ascii="Times New Roman" w:hAnsi="Times New Roman" w:cs="Times New Roman" w:eastAsia="Times New Roman" w:hint="default"/>
        </w:rPr>
        <w:t>2</w:t>
      </w:r>
      <w:r>
        <w:rPr/>
        <w:t>）占公司营业收入或营业利润</w:t>
      </w:r>
      <w:r>
        <w:rPr>
          <w:spacing w:val="-59"/>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pStyle w:val="BodyText"/>
        <w:spacing w:line="504" w:lineRule="auto"/>
        <w:ind w:left="1133" w:right="76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公司是否需要遵守特殊行业的披露要求 否</w:t>
      </w:r>
    </w:p>
    <w:p>
      <w:pPr>
        <w:pStyle w:val="BodyText"/>
        <w:spacing w:line="232" w:lineRule="exact"/>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367"/>
        <w:gridCol w:w="1367"/>
        <w:gridCol w:w="1366"/>
        <w:gridCol w:w="1367"/>
        <w:gridCol w:w="1367"/>
        <w:gridCol w:w="1367"/>
        <w:gridCol w:w="1372"/>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17" w:right="47" w:hanging="270"/>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18" w:right="47" w:hanging="271"/>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11" w:right="48"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金融行业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445,906,102.04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229,517,654.18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48.53%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-0.88%</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2.23%</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司法行业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35,210,112.44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15,121,581.57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57.05%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59.24%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42.78%</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4.95%</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平安城市行业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42,234,644.37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25,111,458.59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40.54%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其他行业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46,444,160.36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20,452,619.19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55.96%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-49.30%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-61.57%</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14.06%</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安防系统</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381,309,642.47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190,652,082.95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-12.69%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-19.50%</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4.23%</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安防设备</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144,906,491.53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73,092,810.47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49.56%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33.87%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24.88%</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3.63%</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平安城市运营服 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42,234,644.37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25,111,458.59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40.54%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203,198,282.89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93,322,291.91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54.07%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-9.42%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-24.59%</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9.23%</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华中</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84,855,365.92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44,831,822.41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47.17%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-12.30%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-23.66%</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7.87%</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67,319,139.00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36,645,540.78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45.56%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35.48%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25.38%</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4.38%</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82,450,871.84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49,650,700.20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39.78%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221.71%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228.12%</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-1.18%</w:t>
            </w:r>
          </w:p>
        </w:tc>
      </w:tr>
    </w:tbl>
    <w:p>
      <w:pPr>
        <w:spacing w:line="240" w:lineRule="auto" w:before="6"/>
        <w:rPr>
          <w:rFonts w:ascii="宋体" w:hAnsi="宋体" w:cs="宋体" w:eastAsia="宋体" w:hint="default"/>
          <w:sz w:val="6"/>
          <w:szCs w:val="6"/>
        </w:rPr>
      </w:pPr>
    </w:p>
    <w:p>
      <w:pPr>
        <w:pStyle w:val="BodyText"/>
        <w:spacing w:line="240" w:lineRule="auto" w:before="44"/>
        <w:ind w:right="0"/>
        <w:jc w:val="left"/>
      </w:pPr>
      <w:r>
        <w:rPr/>
        <w:t>公司主营业务数据统计口径在报告期发生调整的情况下，公司最近</w:t>
      </w:r>
      <w:r>
        <w:rPr>
          <w:spacing w:val="-45"/>
        </w:rPr>
        <w:t> </w:t>
      </w:r>
      <w:r>
        <w:rPr>
          <w:rFonts w:ascii="Times New Roman" w:hAnsi="Times New Roman" w:cs="Times New Roman" w:eastAsia="Times New Roman" w:hint="default"/>
        </w:rPr>
        <w:t>1 </w:t>
      </w:r>
      <w:r>
        <w:rPr/>
        <w:t>年按报告期末口径调整后的主营业务数据</w:t>
      </w:r>
    </w:p>
    <w:p>
      <w:pPr>
        <w:spacing w:line="240" w:lineRule="auto" w:before="11"/>
        <w:rPr>
          <w:rFonts w:ascii="宋体" w:hAnsi="宋体" w:cs="宋体" w:eastAsia="宋体" w:hint="default"/>
          <w:sz w:val="19"/>
          <w:szCs w:val="19"/>
        </w:rPr>
      </w:pPr>
    </w:p>
    <w:p>
      <w:pPr>
        <w:pStyle w:val="BodyText"/>
        <w:spacing w:line="240" w:lineRule="auto"/>
        <w:ind w:left="113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87" w:footer="640" w:top="1100" w:bottom="840" w:left="0" w:right="0"/>
        </w:sectPr>
      </w:pPr>
    </w:p>
    <w:p>
      <w:pPr>
        <w:spacing w:line="240" w:lineRule="auto" w:before="7"/>
        <w:rPr>
          <w:rFonts w:ascii="宋体" w:hAnsi="宋体" w:cs="宋体" w:eastAsia="宋体" w:hint="default"/>
          <w:sz w:val="27"/>
          <w:szCs w:val="27"/>
        </w:rPr>
      </w:pPr>
    </w:p>
    <w:p>
      <w:pPr>
        <w:pStyle w:val="Heading3"/>
        <w:spacing w:line="240" w:lineRule="auto" w:before="35"/>
        <w:ind w:right="0"/>
        <w:jc w:val="left"/>
        <w:rPr>
          <w:b w:val="0"/>
          <w:bCs w:val="0"/>
        </w:rPr>
      </w:pPr>
      <w:bookmarkStart w:name="（3）公司实物销售收入是否大于劳务收入" w:id="29"/>
      <w:bookmarkEnd w:id="29"/>
      <w:r>
        <w:rPr>
          <w:b w:val="0"/>
          <w:bCs w:val="0"/>
        </w:rPr>
      </w: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pStyle w:val="BodyText"/>
        <w:spacing w:line="240" w:lineRule="auto"/>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9"/>
          <w:szCs w:val="19"/>
        </w:rPr>
      </w:pPr>
    </w:p>
    <w:p>
      <w:pPr>
        <w:pStyle w:val="Heading3"/>
        <w:spacing w:line="240" w:lineRule="auto"/>
        <w:ind w:left="1133" w:right="0"/>
        <w:jc w:val="left"/>
        <w:rPr>
          <w:b w:val="0"/>
          <w:bCs w:val="0"/>
        </w:rPr>
      </w:pPr>
      <w:bookmarkStart w:name="（4）公司已签订的重大销售合同截至本报告期的履行情况" w:id="30"/>
      <w:bookmarkEnd w:id="30"/>
      <w:r>
        <w:rPr>
          <w:b w:val="0"/>
          <w:bCs w:val="0"/>
        </w:rPr>
      </w: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pStyle w:val="BodyText"/>
        <w:spacing w:line="489" w:lineRule="auto"/>
        <w:ind w:left="1133" w:right="928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否</w:t>
      </w:r>
    </w:p>
    <w:p>
      <w:pPr>
        <w:pStyle w:val="BodyText"/>
        <w:spacing w:line="451" w:lineRule="auto" w:before="85"/>
        <w:ind w:left="1133" w:right="1141"/>
        <w:jc w:val="left"/>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w:t>
      </w:r>
      <w:r>
        <w:rPr/>
        <w:t>日，全资子公司浩云物联与重庆市公安局渝北区分局签署了渝北区公共安全视频监控工程服务（智慧天网） 合同，合同总金额为</w:t>
      </w:r>
      <w:r>
        <w:rPr>
          <w:rFonts w:ascii="Times New Roman" w:hAnsi="Times New Roman" w:cs="Times New Roman" w:eastAsia="Times New Roman" w:hint="default"/>
        </w:rPr>
        <w:t>23,911.551</w:t>
      </w:r>
      <w:r>
        <w:rPr/>
        <w:t>万元，合同的主要内容详见公司</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3</w:t>
      </w:r>
      <w:r>
        <w:rPr/>
        <w:t>日披露于巨潮资讯网的相关公告（公告编号： </w:t>
      </w:r>
      <w:r>
        <w:rPr>
          <w:rFonts w:ascii="Times New Roman" w:hAnsi="Times New Roman" w:cs="Times New Roman" w:eastAsia="Times New Roman" w:hint="default"/>
        </w:rPr>
        <w:t>2016-039</w:t>
      </w:r>
      <w:r>
        <w:rPr/>
        <w:t>）。截至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日，已累计实现收入</w:t>
      </w:r>
      <w:r>
        <w:rPr>
          <w:rFonts w:ascii="Times New Roman" w:hAnsi="Times New Roman" w:cs="Times New Roman" w:eastAsia="Times New Roman" w:hint="default"/>
        </w:rPr>
        <w:t>4,711.10</w:t>
      </w:r>
      <w:r>
        <w:rPr/>
        <w:t>万元。</w:t>
      </w:r>
    </w:p>
    <w:p>
      <w:pPr>
        <w:pStyle w:val="BodyText"/>
        <w:spacing w:line="451" w:lineRule="auto" w:before="82"/>
        <w:ind w:right="1042"/>
        <w:jc w:val="left"/>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14</w:t>
      </w:r>
      <w:r>
        <w:rPr/>
        <w:t>日，公司与北京市公安局通州分局签署了《北京市通州区公共安全视频监控建设联网应用项目（第一包） </w:t>
      </w:r>
      <w:r>
        <w:rPr>
          <w:spacing w:val="-2"/>
        </w:rPr>
        <w:t>合同书，合同总金额为</w:t>
      </w:r>
      <w:r>
        <w:rPr>
          <w:rFonts w:ascii="Times New Roman" w:hAnsi="Times New Roman" w:cs="Times New Roman" w:eastAsia="Times New Roman" w:hint="default"/>
          <w:spacing w:val="-2"/>
        </w:rPr>
        <w:t>8,560.6107</w:t>
      </w:r>
      <w:r>
        <w:rPr>
          <w:spacing w:val="-2"/>
        </w:rPr>
        <w:t>万元，合同的主要内容详见公司</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15</w:t>
      </w:r>
      <w:r>
        <w:rPr>
          <w:spacing w:val="-2"/>
        </w:rPr>
        <w:t>日披露于巨潮资讯网的相关公告（公告编号：</w:t>
      </w:r>
      <w:r>
        <w:rPr>
          <w:spacing w:val="-47"/>
        </w:rPr>
        <w:t> </w:t>
      </w:r>
      <w:r>
        <w:rPr>
          <w:spacing w:val="-47"/>
        </w:rPr>
      </w:r>
      <w:r>
        <w:rPr>
          <w:rFonts w:ascii="Times New Roman" w:hAnsi="Times New Roman" w:cs="Times New Roman" w:eastAsia="Times New Roman" w:hint="default"/>
        </w:rPr>
        <w:t>2017-052</w:t>
      </w:r>
      <w:r>
        <w:rPr/>
        <w:t>）。截至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日，已累计实现收入</w:t>
      </w:r>
      <w:r>
        <w:rPr>
          <w:rFonts w:ascii="Times New Roman" w:hAnsi="Times New Roman" w:cs="Times New Roman" w:eastAsia="Times New Roman" w:hint="default"/>
        </w:rPr>
        <w:t>0</w:t>
      </w:r>
      <w:r>
        <w:rPr/>
        <w:t>万元。</w:t>
      </w:r>
    </w:p>
    <w:p>
      <w:pPr>
        <w:spacing w:line="240" w:lineRule="auto" w:before="3"/>
        <w:rPr>
          <w:rFonts w:ascii="宋体" w:hAnsi="宋体" w:cs="宋体" w:eastAsia="宋体" w:hint="default"/>
          <w:sz w:val="24"/>
          <w:szCs w:val="24"/>
        </w:rPr>
      </w:pPr>
    </w:p>
    <w:p>
      <w:pPr>
        <w:pStyle w:val="Heading3"/>
        <w:spacing w:line="240" w:lineRule="auto"/>
        <w:ind w:right="0"/>
        <w:jc w:val="left"/>
        <w:rPr>
          <w:b w:val="0"/>
          <w:bCs w:val="0"/>
        </w:rPr>
      </w:pPr>
      <w:bookmarkStart w:name="（5）营业成本构成" w:id="31"/>
      <w:bookmarkEnd w:id="31"/>
      <w:r>
        <w:rPr>
          <w:b w:val="0"/>
          <w:bCs w:val="0"/>
        </w:rPr>
      </w:r>
      <w:r>
        <w:rPr/>
        <w:t>（</w:t>
      </w:r>
      <w:r>
        <w:rPr>
          <w:rFonts w:ascii="Times New Roman" w:hAnsi="Times New Roman" w:cs="Times New Roman" w:eastAsia="Times New Roman" w:hint="default"/>
        </w:rPr>
        <w:t>5</w:t>
      </w:r>
      <w:r>
        <w:rPr/>
        <w:t>）营业成本构成</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pStyle w:val="BodyText"/>
        <w:spacing w:line="240" w:lineRule="auto"/>
        <w:ind w:right="0"/>
        <w:jc w:val="left"/>
      </w:pPr>
      <w:r>
        <w:rPr/>
        <w:t>行业和产品分类</w:t>
      </w:r>
    </w:p>
    <w:p>
      <w:pPr>
        <w:spacing w:line="240" w:lineRule="auto" w:before="10"/>
        <w:rPr>
          <w:rFonts w:ascii="宋体" w:hAnsi="宋体" w:cs="宋体" w:eastAsia="宋体" w:hint="default"/>
          <w:sz w:val="20"/>
          <w:szCs w:val="20"/>
        </w:rPr>
      </w:pPr>
    </w:p>
    <w:p>
      <w:pPr>
        <w:pStyle w:val="BodyText"/>
        <w:spacing w:line="240" w:lineRule="auto"/>
        <w:ind w:left="0" w:right="1130"/>
        <w:jc w:val="right"/>
      </w:pPr>
      <w:r>
        <w:rPr/>
        <w:t>单位：元</w:t>
      </w:r>
    </w:p>
    <w:p>
      <w:pPr>
        <w:spacing w:line="240" w:lineRule="auto" w:before="0"/>
        <w:rPr>
          <w:rFonts w:ascii="宋体" w:hAnsi="宋体" w:cs="宋体" w:eastAsia="宋体" w:hint="default"/>
          <w:sz w:val="14"/>
          <w:szCs w:val="14"/>
        </w:rPr>
      </w:pPr>
    </w:p>
    <w:tbl>
      <w:tblPr>
        <w:tblW w:w="0" w:type="auto"/>
        <w:jc w:val="left"/>
        <w:tblInd w:w="112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402" w:hRule="exact"/>
        </w:trPr>
        <w:tc>
          <w:tcPr>
            <w:tcW w:w="13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370"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金融行业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229,517,654.18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79.09%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231,556,494.07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78.39%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-0.88%</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司法行业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15,121,581.57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5.21%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10,591,186.00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42.78%</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平安城市行业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25,111,458.59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8.65%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其他行业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20,452,619.19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7.05%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53,221,624.91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18.02%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-61.57%</w:t>
            </w:r>
          </w:p>
        </w:tc>
      </w:tr>
    </w:tbl>
    <w:p>
      <w:pPr>
        <w:pStyle w:val="BodyText"/>
        <w:spacing w:line="240" w:lineRule="auto" w:before="51"/>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402" w:hRule="exact"/>
        </w:trPr>
        <w:tc>
          <w:tcPr>
            <w:tcW w:w="13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370"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安防系统</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190,652,082.95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65.70%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236,839,072.95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80.18%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-19.50%</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安防设备</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73,092,810.47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25.19%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58,530,232.03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19.82%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24.88%</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5"/>
              <w:jc w:val="left"/>
              <w:rPr>
                <w:rFonts w:ascii="宋体" w:hAnsi="宋体" w:cs="宋体" w:eastAsia="宋体" w:hint="default"/>
                <w:sz w:val="18"/>
                <w:szCs w:val="18"/>
              </w:rPr>
            </w:pPr>
            <w:r>
              <w:rPr>
                <w:rFonts w:ascii="宋体" w:hAnsi="宋体" w:cs="宋体" w:eastAsia="宋体" w:hint="default"/>
                <w:sz w:val="18"/>
                <w:szCs w:val="18"/>
              </w:rPr>
              <w:t>平安城市运营服 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25,111,458.59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8.65%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租赁收入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1,346,961.52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87" w:footer="640" w:top="1100" w:bottom="840" w:left="0" w:right="0"/>
        </w:sectPr>
      </w:pPr>
    </w:p>
    <w:p>
      <w:pPr>
        <w:spacing w:line="240" w:lineRule="auto" w:before="7"/>
        <w:rPr>
          <w:rFonts w:ascii="宋体" w:hAnsi="宋体" w:cs="宋体" w:eastAsia="宋体" w:hint="default"/>
          <w:sz w:val="27"/>
          <w:szCs w:val="27"/>
        </w:rPr>
      </w:pPr>
    </w:p>
    <w:p>
      <w:pPr>
        <w:pStyle w:val="Heading3"/>
        <w:spacing w:line="240" w:lineRule="auto" w:before="35"/>
        <w:ind w:right="0"/>
        <w:jc w:val="left"/>
        <w:rPr>
          <w:b w:val="0"/>
          <w:bCs w:val="0"/>
        </w:rPr>
      </w:pPr>
      <w:bookmarkStart w:name="（6）报告期内合并范围是否发生变动" w:id="32"/>
      <w:bookmarkEnd w:id="32"/>
      <w:r>
        <w:rPr>
          <w:b w:val="0"/>
          <w:bCs w:val="0"/>
        </w:rPr>
      </w: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pStyle w:val="BodyText"/>
        <w:spacing w:line="240" w:lineRule="auto"/>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2"/>
          <w:szCs w:val="22"/>
        </w:rPr>
      </w:pPr>
    </w:p>
    <w:p>
      <w:pPr>
        <w:pStyle w:val="BodyText"/>
        <w:spacing w:line="240" w:lineRule="auto"/>
        <w:ind w:left="1133" w:right="0"/>
        <w:jc w:val="left"/>
      </w:pPr>
      <w:r>
        <w:rPr/>
        <w:t>与上年度财务报告相比，本报告期新增武汉浩立威保安服务有限公司</w:t>
      </w:r>
      <w:r>
        <w:rPr>
          <w:rFonts w:ascii="Times New Roman" w:hAnsi="Times New Roman" w:cs="Times New Roman" w:eastAsia="Times New Roman" w:hint="default"/>
        </w:rPr>
        <w:t>1</w:t>
      </w:r>
      <w:r>
        <w:rPr/>
        <w:t>家子公司。</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9"/>
          <w:szCs w:val="19"/>
        </w:rPr>
      </w:pPr>
    </w:p>
    <w:p>
      <w:pPr>
        <w:pStyle w:val="Heading3"/>
        <w:spacing w:line="240" w:lineRule="auto"/>
        <w:ind w:left="1133" w:right="0"/>
        <w:jc w:val="left"/>
        <w:rPr>
          <w:b w:val="0"/>
          <w:bCs w:val="0"/>
        </w:rPr>
      </w:pPr>
      <w:bookmarkStart w:name="（7）公司报告期内业务、产品或服务发生重大变化或调整有关情况" w:id="33"/>
      <w:bookmarkEnd w:id="33"/>
      <w:r>
        <w:rPr>
          <w:b w:val="0"/>
          <w:bCs w:val="0"/>
        </w:rPr>
      </w: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9"/>
          <w:szCs w:val="19"/>
        </w:rPr>
      </w:pPr>
    </w:p>
    <w:p>
      <w:pPr>
        <w:pStyle w:val="Heading3"/>
        <w:spacing w:line="240" w:lineRule="auto"/>
        <w:ind w:left="1133" w:right="0"/>
        <w:jc w:val="left"/>
        <w:rPr>
          <w:b w:val="0"/>
          <w:bCs w:val="0"/>
        </w:rPr>
      </w:pPr>
      <w:bookmarkStart w:name="（8）主要销售客户和主要供应商情况" w:id="34"/>
      <w:bookmarkEnd w:id="34"/>
      <w:r>
        <w:rPr>
          <w:b w:val="0"/>
          <w:bCs w:val="0"/>
        </w:rPr>
      </w: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pStyle w:val="BodyText"/>
        <w:spacing w:line="240" w:lineRule="auto"/>
        <w:ind w:left="1133" w:right="0"/>
        <w:jc w:val="left"/>
      </w:pPr>
      <w:r>
        <w:rPr/>
        <w:t>公司主要销售客户情况</w:t>
      </w:r>
    </w:p>
    <w:p>
      <w:pPr>
        <w:spacing w:line="240" w:lineRule="auto" w:before="12"/>
        <w:rPr>
          <w:rFonts w:ascii="宋体" w:hAnsi="宋体" w:cs="宋体" w:eastAsia="宋体" w:hint="default"/>
          <w:sz w:val="13"/>
          <w:szCs w:val="13"/>
        </w:rPr>
      </w:pPr>
    </w:p>
    <w:tbl>
      <w:tblPr>
        <w:tblW w:w="0" w:type="auto"/>
        <w:jc w:val="left"/>
        <w:tblInd w:w="1129" w:type="dxa"/>
        <w:tblLayout w:type="fixed"/>
        <w:tblCellMar>
          <w:top w:w="0" w:type="dxa"/>
          <w:left w:w="0" w:type="dxa"/>
          <w:bottom w:w="0" w:type="dxa"/>
          <w:right w:w="0" w:type="dxa"/>
        </w:tblCellMar>
        <w:tblLook w:val="01E0"/>
      </w:tblPr>
      <w:tblGrid>
        <w:gridCol w:w="4258"/>
        <w:gridCol w:w="5311"/>
      </w:tblGrid>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139,231,385.15</w:t>
            </w:r>
          </w:p>
        </w:tc>
      </w:tr>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24.44%</w:t>
            </w:r>
          </w:p>
        </w:tc>
      </w:tr>
      <w:tr>
        <w:trPr>
          <w:trHeight w:val="714"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83"/>
              <w:jc w:val="left"/>
              <w:rPr>
                <w:rFonts w:ascii="宋体" w:hAnsi="宋体" w:cs="宋体" w:eastAsia="宋体" w:hint="default"/>
                <w:sz w:val="18"/>
                <w:szCs w:val="18"/>
              </w:rPr>
            </w:pPr>
            <w:r>
              <w:rPr>
                <w:rFonts w:ascii="宋体" w:hAnsi="宋体" w:cs="宋体" w:eastAsia="宋体" w:hint="default"/>
                <w:sz w:val="18"/>
                <w:szCs w:val="18"/>
              </w:rPr>
              <w:t>前五名客户销售额中关联方销售额占年度销售总额比 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7"/>
        <w:rPr>
          <w:rFonts w:ascii="宋体" w:hAnsi="宋体" w:cs="宋体" w:eastAsia="宋体" w:hint="default"/>
          <w:sz w:val="6"/>
          <w:szCs w:val="6"/>
        </w:rPr>
      </w:pPr>
    </w:p>
    <w:p>
      <w:pPr>
        <w:pStyle w:val="BodyText"/>
        <w:spacing w:line="240" w:lineRule="auto" w:before="44"/>
        <w:ind w:right="0"/>
        <w:jc w:val="left"/>
      </w:pPr>
      <w:r>
        <w:rPr/>
        <w:t>公司前</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大客户资料</w:t>
      </w:r>
    </w:p>
    <w:p>
      <w:pPr>
        <w:spacing w:line="240" w:lineRule="auto" w:before="13"/>
        <w:rPr>
          <w:rFonts w:ascii="宋体" w:hAnsi="宋体" w:cs="宋体" w:eastAsia="宋体"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791"/>
        <w:gridCol w:w="3313"/>
        <w:gridCol w:w="2322"/>
        <w:gridCol w:w="3143"/>
      </w:tblGrid>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5"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5"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6"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41,553,595.23</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7.29%</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36,440,193.25</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6.40%</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24,674,988.17</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4.33%</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4</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19,305,535.81</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3.39%</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17,257,072.69</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3.03%</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139,231,385.15</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24.44%</w:t>
            </w:r>
          </w:p>
        </w:tc>
      </w:tr>
    </w:tbl>
    <w:p>
      <w:pPr>
        <w:spacing w:line="240" w:lineRule="auto" w:before="6"/>
        <w:rPr>
          <w:rFonts w:ascii="宋体" w:hAnsi="宋体" w:cs="宋体" w:eastAsia="宋体" w:hint="default"/>
          <w:sz w:val="6"/>
          <w:szCs w:val="6"/>
        </w:rPr>
      </w:pPr>
    </w:p>
    <w:p>
      <w:pPr>
        <w:pStyle w:val="BodyText"/>
        <w:spacing w:line="240" w:lineRule="auto" w:before="44"/>
        <w:ind w:right="0"/>
        <w:jc w:val="left"/>
      </w:pPr>
      <w:r>
        <w:rPr/>
        <w:t>主要客户其他情况说明</w:t>
      </w:r>
    </w:p>
    <w:p>
      <w:pPr>
        <w:spacing w:line="240" w:lineRule="auto" w:before="12"/>
        <w:rPr>
          <w:rFonts w:ascii="宋体" w:hAnsi="宋体" w:cs="宋体" w:eastAsia="宋体" w:hint="default"/>
          <w:sz w:val="20"/>
          <w:szCs w:val="20"/>
        </w:rPr>
      </w:pPr>
    </w:p>
    <w:p>
      <w:pPr>
        <w:pStyle w:val="BodyText"/>
        <w:spacing w:line="489" w:lineRule="auto"/>
        <w:ind w:left="1133" w:right="9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公司主要供应商情况</w:t>
      </w:r>
    </w:p>
    <w:tbl>
      <w:tblPr>
        <w:tblW w:w="0" w:type="auto"/>
        <w:jc w:val="left"/>
        <w:tblInd w:w="1129" w:type="dxa"/>
        <w:tblLayout w:type="fixed"/>
        <w:tblCellMar>
          <w:top w:w="0" w:type="dxa"/>
          <w:left w:w="0" w:type="dxa"/>
          <w:bottom w:w="0" w:type="dxa"/>
          <w:right w:w="0" w:type="dxa"/>
        </w:tblCellMar>
        <w:tblLook w:val="01E0"/>
      </w:tblPr>
      <w:tblGrid>
        <w:gridCol w:w="4258"/>
        <w:gridCol w:w="5311"/>
      </w:tblGrid>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7"/>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9"/>
              <w:jc w:val="right"/>
              <w:rPr>
                <w:rFonts w:ascii="Times New Roman" w:hAnsi="Times New Roman" w:cs="Times New Roman" w:eastAsia="Times New Roman" w:hint="default"/>
                <w:sz w:val="18"/>
                <w:szCs w:val="18"/>
              </w:rPr>
            </w:pPr>
            <w:r>
              <w:rPr>
                <w:rFonts w:ascii="Times New Roman"/>
                <w:spacing w:val="-1"/>
                <w:sz w:val="18"/>
              </w:rPr>
              <w:t>72,768,435.51</w:t>
            </w:r>
          </w:p>
        </w:tc>
      </w:tr>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7"/>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9"/>
              <w:jc w:val="right"/>
              <w:rPr>
                <w:rFonts w:ascii="Times New Roman" w:hAnsi="Times New Roman" w:cs="Times New Roman" w:eastAsia="Times New Roman" w:hint="default"/>
                <w:sz w:val="18"/>
                <w:szCs w:val="18"/>
              </w:rPr>
            </w:pPr>
            <w:r>
              <w:rPr>
                <w:rFonts w:ascii="Times New Roman"/>
                <w:sz w:val="18"/>
              </w:rPr>
              <w:t>30.02%</w:t>
            </w:r>
          </w:p>
        </w:tc>
      </w:tr>
      <w:tr>
        <w:trPr>
          <w:trHeight w:val="714"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7"/>
              <w:ind w:left="22" w:right="83"/>
              <w:jc w:val="left"/>
              <w:rPr>
                <w:rFonts w:ascii="宋体" w:hAnsi="宋体" w:cs="宋体" w:eastAsia="宋体" w:hint="default"/>
                <w:sz w:val="18"/>
                <w:szCs w:val="18"/>
              </w:rPr>
            </w:pPr>
            <w:r>
              <w:rPr>
                <w:rFonts w:ascii="宋体" w:hAnsi="宋体" w:cs="宋体" w:eastAsia="宋体" w:hint="default"/>
                <w:sz w:val="18"/>
                <w:szCs w:val="18"/>
              </w:rPr>
              <w:t>前五名供应商采购额中关联方采购额占年度采购总额 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3"/>
        <w:rPr>
          <w:rFonts w:ascii="宋体" w:hAnsi="宋体" w:cs="宋体" w:eastAsia="宋体" w:hint="default"/>
          <w:sz w:val="6"/>
          <w:szCs w:val="6"/>
        </w:rPr>
      </w:pPr>
    </w:p>
    <w:p>
      <w:pPr>
        <w:pStyle w:val="BodyText"/>
        <w:spacing w:line="240" w:lineRule="auto" w:before="44"/>
        <w:ind w:right="0"/>
        <w:jc w:val="left"/>
      </w:pPr>
      <w:r>
        <w:rPr/>
        <w:t>公司前</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名供应商资料</w:t>
      </w:r>
    </w:p>
    <w:p>
      <w:pPr>
        <w:spacing w:after="0" w:line="240" w:lineRule="auto"/>
        <w:jc w:val="left"/>
        <w:sectPr>
          <w:pgSz w:w="11910" w:h="16840"/>
          <w:pgMar w:header="787" w:footer="640" w:top="1100" w:bottom="840" w:left="0" w:right="0"/>
        </w:sectPr>
      </w:pPr>
    </w:p>
    <w:p>
      <w:pPr>
        <w:spacing w:line="240" w:lineRule="auto" w:before="5"/>
        <w:rPr>
          <w:rFonts w:ascii="宋体" w:hAnsi="宋体" w:cs="宋体" w:eastAsia="宋体" w:hint="default"/>
          <w:sz w:val="25"/>
          <w:szCs w:val="25"/>
        </w:rPr>
      </w:pPr>
    </w:p>
    <w:tbl>
      <w:tblPr>
        <w:tblW w:w="0" w:type="auto"/>
        <w:jc w:val="left"/>
        <w:tblInd w:w="1140" w:type="dxa"/>
        <w:tblLayout w:type="fixed"/>
        <w:tblCellMar>
          <w:top w:w="0" w:type="dxa"/>
          <w:left w:w="0" w:type="dxa"/>
          <w:bottom w:w="0" w:type="dxa"/>
          <w:right w:w="0" w:type="dxa"/>
        </w:tblCellMar>
        <w:tblLook w:val="01E0"/>
      </w:tblPr>
      <w:tblGrid>
        <w:gridCol w:w="912"/>
        <w:gridCol w:w="3180"/>
        <w:gridCol w:w="2322"/>
        <w:gridCol w:w="3143"/>
      </w:tblGrid>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0"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5"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6"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1</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25,136,861.38</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10.37%</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2</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21,267,495.82</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8.77%</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3</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14,292,504.44</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5.90%</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4</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6,442,735.05</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2.66%</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5</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5,628,838.82</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2.32%</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72,768,435.51</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30.02%</w:t>
            </w:r>
          </w:p>
        </w:tc>
      </w:tr>
    </w:tbl>
    <w:p>
      <w:pPr>
        <w:spacing w:line="240" w:lineRule="auto" w:before="6"/>
        <w:rPr>
          <w:rFonts w:ascii="宋体" w:hAnsi="宋体" w:cs="宋体" w:eastAsia="宋体" w:hint="default"/>
          <w:sz w:val="6"/>
          <w:szCs w:val="6"/>
        </w:rPr>
      </w:pPr>
    </w:p>
    <w:p>
      <w:pPr>
        <w:pStyle w:val="BodyText"/>
        <w:spacing w:line="240" w:lineRule="auto" w:before="44"/>
        <w:ind w:right="0"/>
        <w:jc w:val="left"/>
      </w:pPr>
      <w:r>
        <w:rPr/>
        <w:t>主要供应商其他情况说明</w:t>
      </w:r>
    </w:p>
    <w:p>
      <w:pPr>
        <w:spacing w:line="240" w:lineRule="auto" w:before="12"/>
        <w:rPr>
          <w:rFonts w:ascii="宋体" w:hAnsi="宋体" w:cs="宋体" w:eastAsia="宋体" w:hint="default"/>
          <w:sz w:val="20"/>
          <w:szCs w:val="20"/>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9"/>
          <w:szCs w:val="19"/>
        </w:rPr>
      </w:pPr>
    </w:p>
    <w:p>
      <w:pPr>
        <w:pStyle w:val="Heading3"/>
        <w:spacing w:line="240" w:lineRule="auto"/>
        <w:ind w:left="1133" w:right="0"/>
        <w:jc w:val="left"/>
        <w:rPr>
          <w:b w:val="0"/>
          <w:bCs w:val="0"/>
        </w:rPr>
      </w:pPr>
      <w:bookmarkStart w:name="3、费用" w:id="35"/>
      <w:bookmarkEnd w:id="35"/>
      <w:r>
        <w:rPr>
          <w:b w:val="0"/>
          <w:bCs w:val="0"/>
        </w:rPr>
      </w:r>
      <w:r>
        <w:rPr>
          <w:rFonts w:ascii="Times New Roman" w:hAnsi="Times New Roman" w:cs="Times New Roman" w:eastAsia="Times New Roman" w:hint="default"/>
        </w:rPr>
        <w:t>3</w:t>
      </w:r>
      <w:r>
        <w:rPr/>
        <w:t>、费用</w:t>
      </w:r>
      <w:r>
        <w:rPr>
          <w:b w:val="0"/>
          <w:bCs w:val="0"/>
        </w:rPr>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5"/>
          <w:szCs w:val="15"/>
        </w:rPr>
      </w:pPr>
    </w:p>
    <w:p>
      <w:pPr>
        <w:pStyle w:val="BodyText"/>
        <w:spacing w:line="240" w:lineRule="auto" w:before="44"/>
        <w:ind w:left="0" w:right="1130"/>
        <w:jc w:val="right"/>
      </w:pPr>
      <w:r>
        <w:rPr/>
        <w:t>单位：元</w:t>
      </w:r>
    </w:p>
    <w:p>
      <w:pPr>
        <w:spacing w:line="240" w:lineRule="auto" w:before="12"/>
        <w:rPr>
          <w:rFonts w:ascii="宋体" w:hAnsi="宋体" w:cs="宋体" w:eastAsia="宋体" w:hint="default"/>
          <w:sz w:val="13"/>
          <w:szCs w:val="13"/>
        </w:rPr>
      </w:pPr>
    </w:p>
    <w:tbl>
      <w:tblPr>
        <w:tblW w:w="0" w:type="auto"/>
        <w:jc w:val="left"/>
        <w:tblInd w:w="1140" w:type="dxa"/>
        <w:tblLayout w:type="fixed"/>
        <w:tblCellMar>
          <w:top w:w="0" w:type="dxa"/>
          <w:left w:w="0" w:type="dxa"/>
          <w:bottom w:w="0" w:type="dxa"/>
          <w:right w:w="0" w:type="dxa"/>
        </w:tblCellMar>
        <w:tblLook w:val="01E0"/>
      </w:tblPr>
      <w:tblGrid>
        <w:gridCol w:w="1892"/>
        <w:gridCol w:w="1649"/>
        <w:gridCol w:w="1637"/>
        <w:gridCol w:w="1462"/>
        <w:gridCol w:w="2918"/>
      </w:tblGrid>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3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64"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4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569" w:right="0"/>
              <w:jc w:val="left"/>
              <w:rPr>
                <w:rFonts w:ascii="Times New Roman" w:hAnsi="Times New Roman" w:cs="Times New Roman" w:eastAsia="Times New Roman" w:hint="default"/>
                <w:sz w:val="18"/>
                <w:szCs w:val="18"/>
              </w:rPr>
            </w:pPr>
            <w:r>
              <w:rPr>
                <w:rFonts w:ascii="Times New Roman"/>
                <w:sz w:val="18"/>
              </w:rPr>
              <w:t>53,188,560.41</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70" w:right="0"/>
              <w:jc w:val="left"/>
              <w:rPr>
                <w:rFonts w:ascii="Times New Roman" w:hAnsi="Times New Roman" w:cs="Times New Roman" w:eastAsia="Times New Roman" w:hint="default"/>
                <w:sz w:val="18"/>
                <w:szCs w:val="18"/>
              </w:rPr>
            </w:pPr>
            <w:r>
              <w:rPr>
                <w:rFonts w:ascii="Times New Roman"/>
                <w:sz w:val="18"/>
              </w:rPr>
              <w:t>48,401,434.97</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9.89%</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4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575" w:right="0"/>
              <w:jc w:val="left"/>
              <w:rPr>
                <w:rFonts w:ascii="Times New Roman" w:hAnsi="Times New Roman" w:cs="Times New Roman" w:eastAsia="Times New Roman" w:hint="default"/>
                <w:sz w:val="18"/>
                <w:szCs w:val="18"/>
              </w:rPr>
            </w:pPr>
            <w:r>
              <w:rPr>
                <w:rFonts w:ascii="Times New Roman"/>
                <w:sz w:val="18"/>
              </w:rPr>
              <w:t>94,171,811.25</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70" w:right="0"/>
              <w:jc w:val="left"/>
              <w:rPr>
                <w:rFonts w:ascii="Times New Roman" w:hAnsi="Times New Roman" w:cs="Times New Roman" w:eastAsia="Times New Roman" w:hint="default"/>
                <w:sz w:val="18"/>
                <w:szCs w:val="18"/>
              </w:rPr>
            </w:pPr>
            <w:r>
              <w:rPr>
                <w:rFonts w:ascii="Times New Roman"/>
                <w:sz w:val="18"/>
              </w:rPr>
              <w:t>92,843,751.73</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1.43%</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162" w:hRule="exact"/>
        </w:trPr>
        <w:tc>
          <w:tcPr>
            <w:tcW w:w="1892" w:type="dxa"/>
            <w:tcBorders>
              <w:top w:val="single" w:sz="4" w:space="0" w:color="000000"/>
              <w:left w:val="single" w:sz="4" w:space="0" w:color="000000"/>
              <w:bottom w:val="nil" w:sz="6" w:space="0" w:color="auto"/>
              <w:right w:val="single" w:sz="4" w:space="0" w:color="000000"/>
            </w:tcBorders>
            <w:shd w:val="clear" w:color="auto" w:fill="D2D2D2"/>
          </w:tcPr>
          <w:p>
            <w:pPr/>
          </w:p>
        </w:tc>
        <w:tc>
          <w:tcPr>
            <w:tcW w:w="1649"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664" w:right="0"/>
              <w:jc w:val="left"/>
              <w:rPr>
                <w:rFonts w:ascii="Times New Roman" w:hAnsi="Times New Roman" w:cs="Times New Roman" w:eastAsia="Times New Roman" w:hint="default"/>
                <w:sz w:val="18"/>
                <w:szCs w:val="18"/>
              </w:rPr>
            </w:pPr>
            <w:r>
              <w:rPr>
                <w:rFonts w:ascii="Times New Roman"/>
                <w:sz w:val="18"/>
              </w:rPr>
              <w:t>1,822,955.26</w:t>
            </w:r>
          </w:p>
        </w:tc>
        <w:tc>
          <w:tcPr>
            <w:tcW w:w="163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734" w:right="0"/>
              <w:jc w:val="left"/>
              <w:rPr>
                <w:rFonts w:ascii="Times New Roman" w:hAnsi="Times New Roman" w:cs="Times New Roman" w:eastAsia="Times New Roman" w:hint="default"/>
                <w:sz w:val="18"/>
                <w:szCs w:val="18"/>
              </w:rPr>
            </w:pPr>
            <w:r>
              <w:rPr>
                <w:rFonts w:ascii="Times New Roman"/>
                <w:sz w:val="18"/>
              </w:rPr>
              <w:t>-210,962.17</w:t>
            </w:r>
          </w:p>
        </w:tc>
        <w:tc>
          <w:tcPr>
            <w:tcW w:w="14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789" w:right="0"/>
              <w:jc w:val="left"/>
              <w:rPr>
                <w:rFonts w:ascii="Times New Roman" w:hAnsi="Times New Roman" w:cs="Times New Roman" w:eastAsia="Times New Roman" w:hint="default"/>
                <w:sz w:val="18"/>
                <w:szCs w:val="18"/>
              </w:rPr>
            </w:pPr>
            <w:r>
              <w:rPr>
                <w:rFonts w:ascii="Times New Roman"/>
                <w:sz w:val="18"/>
              </w:rPr>
              <w:t>964.11%</w:t>
            </w:r>
          </w:p>
        </w:tc>
        <w:tc>
          <w:tcPr>
            <w:tcW w:w="2918" w:type="dxa"/>
            <w:vMerge w:val="restart"/>
            <w:tcBorders>
              <w:top w:val="single" w:sz="4" w:space="0" w:color="000000"/>
              <w:left w:val="single" w:sz="4" w:space="0" w:color="000000"/>
              <w:right w:val="single" w:sz="4" w:space="0" w:color="000000"/>
            </w:tcBorders>
          </w:tcPr>
          <w:p>
            <w:pPr>
              <w:pStyle w:val="TableParagraph"/>
              <w:spacing w:line="319" w:lineRule="auto" w:before="52"/>
              <w:ind w:left="22" w:right="21"/>
              <w:jc w:val="left"/>
              <w:rPr>
                <w:rFonts w:ascii="宋体" w:hAnsi="宋体" w:cs="宋体" w:eastAsia="宋体" w:hint="default"/>
                <w:sz w:val="18"/>
                <w:szCs w:val="18"/>
              </w:rPr>
            </w:pPr>
            <w:r>
              <w:rPr>
                <w:rFonts w:ascii="宋体" w:hAnsi="宋体" w:cs="宋体" w:eastAsia="宋体" w:hint="default"/>
                <w:spacing w:val="-2"/>
                <w:sz w:val="18"/>
                <w:szCs w:val="18"/>
              </w:rPr>
              <w:t>报告期内，主要系银行借款增加，利</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息支出增加所致。</w:t>
            </w:r>
          </w:p>
        </w:tc>
      </w:tr>
      <w:tr>
        <w:trPr>
          <w:trHeight w:val="392" w:hRule="exact"/>
        </w:trPr>
        <w:tc>
          <w:tcPr>
            <w:tcW w:w="18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49" w:type="dxa"/>
            <w:vMerge/>
            <w:tcBorders>
              <w:left w:val="single" w:sz="10" w:space="0" w:color="D2D2D2"/>
              <w:right w:val="single" w:sz="4" w:space="0" w:color="000000"/>
            </w:tcBorders>
          </w:tcPr>
          <w:p>
            <w:pPr/>
          </w:p>
        </w:tc>
        <w:tc>
          <w:tcPr>
            <w:tcW w:w="1637" w:type="dxa"/>
            <w:vMerge/>
            <w:tcBorders>
              <w:left w:val="single" w:sz="4" w:space="0" w:color="000000"/>
              <w:right w:val="single" w:sz="4" w:space="0" w:color="000000"/>
            </w:tcBorders>
          </w:tcPr>
          <w:p>
            <w:pPr/>
          </w:p>
        </w:tc>
        <w:tc>
          <w:tcPr>
            <w:tcW w:w="1462"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2" w:hRule="exact"/>
        </w:trPr>
        <w:tc>
          <w:tcPr>
            <w:tcW w:w="1892" w:type="dxa"/>
            <w:tcBorders>
              <w:top w:val="nil" w:sz="6" w:space="0" w:color="auto"/>
              <w:left w:val="single" w:sz="4" w:space="0" w:color="000000"/>
              <w:bottom w:val="single" w:sz="4" w:space="0" w:color="000000"/>
              <w:right w:val="single" w:sz="4" w:space="0" w:color="000000"/>
            </w:tcBorders>
            <w:shd w:val="clear" w:color="auto" w:fill="D2D2D2"/>
          </w:tcPr>
          <w:p>
            <w:pPr/>
          </w:p>
        </w:tc>
        <w:tc>
          <w:tcPr>
            <w:tcW w:w="1649" w:type="dxa"/>
            <w:vMerge/>
            <w:tcBorders>
              <w:left w:val="single" w:sz="10" w:space="0" w:color="D2D2D2"/>
              <w:bottom w:val="single" w:sz="4" w:space="0" w:color="000000"/>
              <w:right w:val="single" w:sz="4" w:space="0" w:color="000000"/>
            </w:tcBorders>
          </w:tcPr>
          <w:p>
            <w:pPr/>
          </w:p>
        </w:tc>
        <w:tc>
          <w:tcPr>
            <w:tcW w:w="1637" w:type="dxa"/>
            <w:vMerge/>
            <w:tcBorders>
              <w:left w:val="single" w:sz="4" w:space="0" w:color="000000"/>
              <w:bottom w:val="single" w:sz="4" w:space="0" w:color="000000"/>
              <w:right w:val="single" w:sz="4" w:space="0" w:color="000000"/>
            </w:tcBorders>
          </w:tcPr>
          <w:p>
            <w:pPr/>
          </w:p>
        </w:tc>
        <w:tc>
          <w:tcPr>
            <w:tcW w:w="1462"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bl>
    <w:p>
      <w:pPr>
        <w:spacing w:line="240" w:lineRule="auto" w:before="1"/>
        <w:rPr>
          <w:rFonts w:ascii="宋体" w:hAnsi="宋体" w:cs="宋体" w:eastAsia="宋体" w:hint="default"/>
          <w:sz w:val="25"/>
          <w:szCs w:val="25"/>
        </w:rPr>
      </w:pPr>
    </w:p>
    <w:p>
      <w:pPr>
        <w:pStyle w:val="Heading3"/>
        <w:spacing w:line="240" w:lineRule="auto" w:before="35"/>
        <w:ind w:right="0"/>
        <w:jc w:val="left"/>
        <w:rPr>
          <w:b w:val="0"/>
          <w:bCs w:val="0"/>
        </w:rPr>
      </w:pPr>
      <w:bookmarkStart w:name="4、研发投入" w:id="36"/>
      <w:bookmarkEnd w:id="36"/>
      <w:r>
        <w:rPr>
          <w:b w:val="0"/>
          <w:bCs w:val="0"/>
        </w:rPr>
      </w:r>
      <w:r>
        <w:rPr>
          <w:rFonts w:ascii="Times New Roman" w:hAnsi="Times New Roman" w:cs="Times New Roman" w:eastAsia="Times New Roman" w:hint="default"/>
        </w:rPr>
        <w:t>4</w:t>
      </w:r>
      <w:r>
        <w:rPr/>
        <w:t>、研发投入</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19"/>
          <w:szCs w:val="19"/>
        </w:rPr>
      </w:pPr>
    </w:p>
    <w:p>
      <w:pPr>
        <w:pStyle w:val="BodyText"/>
        <w:spacing w:line="465" w:lineRule="auto"/>
        <w:ind w:left="1133" w:right="1131" w:firstLine="362"/>
        <w:jc w:val="both"/>
      </w:pPr>
      <w:r>
        <w:rPr>
          <w:rFonts w:ascii="Times New Roman" w:hAnsi="Times New Roman" w:cs="Times New Roman" w:eastAsia="Times New Roman" w:hint="default"/>
          <w:spacing w:val="-2"/>
        </w:rPr>
        <w:t>2017</w:t>
      </w:r>
      <w:r>
        <w:rPr>
          <w:spacing w:val="-2"/>
        </w:rPr>
        <w:t>年研发中心除了不断深化大数据、人工智能等领域高新技术的应用外，也积极探寻市场趋势和热点，加大对自然语</w:t>
      </w:r>
      <w:r>
        <w:rPr/>
        <w:t> </w:t>
      </w:r>
      <w:r>
        <w:rPr>
          <w:spacing w:val="-2"/>
        </w:rPr>
        <w:t>言识别、生物识别技术的研究投入，在产品中融入新型智能化技术，奠定公司在相关行业中的领先地位。继承优良灵活的物</w:t>
      </w:r>
      <w:r>
        <w:rPr>
          <w:spacing w:val="-66"/>
        </w:rPr>
        <w:t> </w:t>
      </w:r>
      <w:r>
        <w:rPr>
          <w:spacing w:val="-66"/>
        </w:rPr>
      </w:r>
      <w:r>
        <w:rPr>
          <w:spacing w:val="-2"/>
        </w:rPr>
        <w:t>联网架构及先进的安保管理理念，平台软件在市场稳扎稳打，进一步扩大平台在市场中的份额，并顺利完成多个大型银行全</w:t>
      </w:r>
      <w:r>
        <w:rPr>
          <w:spacing w:val="-66"/>
        </w:rPr>
        <w:t> </w:t>
      </w:r>
      <w:r>
        <w:rPr>
          <w:spacing w:val="-66"/>
        </w:rPr>
      </w:r>
      <w:r>
        <w:rPr>
          <w:spacing w:val="-2"/>
        </w:rPr>
        <w:t>国联网项目，获得市场高度认可。同时系统产品开发也逐步往前拓展，安全防范拒止系统、智能电源管理系统、自助银行预</w:t>
      </w:r>
      <w:r>
        <w:rPr>
          <w:spacing w:val="-66"/>
        </w:rPr>
        <w:t> </w:t>
      </w:r>
      <w:r>
        <w:rPr>
          <w:spacing w:val="-66"/>
        </w:rPr>
      </w:r>
      <w:r>
        <w:rPr>
          <w:spacing w:val="-2"/>
        </w:rPr>
        <w:t>警解决方案等产品，为客户提供防范于未然的超前防护能力。</w:t>
      </w:r>
      <w:r>
        <w:rPr>
          <w:rFonts w:ascii="Times New Roman" w:hAnsi="Times New Roman" w:cs="Times New Roman" w:eastAsia="Times New Roman" w:hint="default"/>
          <w:spacing w:val="-2"/>
        </w:rPr>
        <w:t>2017</w:t>
      </w:r>
      <w:r>
        <w:rPr>
          <w:spacing w:val="-2"/>
        </w:rPr>
        <w:t>年公司研发加强了质量管控、流程规范和指标量化等一系</w:t>
      </w:r>
      <w:r>
        <w:rPr>
          <w:spacing w:val="-61"/>
        </w:rPr>
        <w:t> </w:t>
      </w:r>
      <w:r>
        <w:rPr>
          <w:spacing w:val="-61"/>
        </w:rPr>
      </w:r>
      <w:r>
        <w:rPr/>
        <w:t>列管理措施后，产品交付质量及项目交付能力明显上升，为公司稳步发展提供有利保障。</w:t>
      </w:r>
    </w:p>
    <w:p>
      <w:pPr>
        <w:pStyle w:val="BodyText"/>
        <w:spacing w:line="240" w:lineRule="auto" w:before="104"/>
        <w:ind w:right="0"/>
        <w:jc w:val="left"/>
      </w:pPr>
      <w:r>
        <w:rPr/>
        <w:t>近三年公司研发投入金额及占营业收入的比例</w:t>
      </w:r>
    </w:p>
    <w:p>
      <w:pPr>
        <w:spacing w:line="240" w:lineRule="auto" w:before="0"/>
        <w:rPr>
          <w:rFonts w:ascii="宋体" w:hAnsi="宋体" w:cs="宋体" w:eastAsia="宋体" w:hint="default"/>
          <w:sz w:val="14"/>
          <w:szCs w:val="14"/>
        </w:rPr>
      </w:pPr>
    </w:p>
    <w:tbl>
      <w:tblPr>
        <w:tblW w:w="0" w:type="auto"/>
        <w:jc w:val="left"/>
        <w:tblInd w:w="1140" w:type="dxa"/>
        <w:tblLayout w:type="fixed"/>
        <w:tblCellMar>
          <w:top w:w="0" w:type="dxa"/>
          <w:left w:w="0" w:type="dxa"/>
          <w:bottom w:w="0" w:type="dxa"/>
          <w:right w:w="0" w:type="dxa"/>
        </w:tblCellMar>
        <w:tblLook w:val="01E0"/>
      </w:tblPr>
      <w:tblGrid>
        <w:gridCol w:w="2369"/>
        <w:gridCol w:w="2405"/>
        <w:gridCol w:w="2392"/>
        <w:gridCol w:w="2392"/>
      </w:tblGrid>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244</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17.24%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18.56%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17.39%</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47,098,182.32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47,045,825.90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36,188,813.14</w:t>
            </w:r>
          </w:p>
        </w:tc>
      </w:tr>
    </w:tbl>
    <w:p>
      <w:pPr>
        <w:spacing w:after="0" w:line="240" w:lineRule="auto"/>
        <w:jc w:val="right"/>
        <w:rPr>
          <w:rFonts w:ascii="Times New Roman" w:hAnsi="Times New Roman" w:cs="Times New Roman" w:eastAsia="Times New Roman" w:hint="default"/>
          <w:sz w:val="18"/>
          <w:szCs w:val="18"/>
        </w:rPr>
        <w:sectPr>
          <w:pgSz w:w="11910" w:h="16840"/>
          <w:pgMar w:header="787" w:footer="640" w:top="1100" w:bottom="840" w:left="0" w:right="0"/>
        </w:sectPr>
      </w:pPr>
    </w:p>
    <w:p>
      <w:pPr>
        <w:spacing w:line="240" w:lineRule="auto" w:before="5"/>
        <w:rPr>
          <w:rFonts w:ascii="宋体" w:hAnsi="宋体" w:cs="宋体" w:eastAsia="宋体" w:hint="default"/>
          <w:sz w:val="25"/>
          <w:szCs w:val="25"/>
        </w:rPr>
      </w:pPr>
    </w:p>
    <w:tbl>
      <w:tblPr>
        <w:tblW w:w="0" w:type="auto"/>
        <w:jc w:val="left"/>
        <w:tblInd w:w="112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8.27%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8.63%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7.77%</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研发支出资本化的金额（元）</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资本化研发支出占研发投入 的比例</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资本化研发支出占当期净利 润的比重</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6"/>
        <w:rPr>
          <w:rFonts w:ascii="宋体" w:hAnsi="宋体" w:cs="宋体" w:eastAsia="宋体" w:hint="default"/>
          <w:sz w:val="6"/>
          <w:szCs w:val="6"/>
        </w:rPr>
      </w:pPr>
    </w:p>
    <w:p>
      <w:pPr>
        <w:pStyle w:val="BodyText"/>
        <w:spacing w:line="240" w:lineRule="auto" w:before="44"/>
        <w:ind w:right="0"/>
        <w:jc w:val="left"/>
      </w:pPr>
      <w:r>
        <w:rPr/>
        <w:t>研发投入总额占营业收入的比重较上年发生显著变化的原因</w:t>
      </w:r>
    </w:p>
    <w:p>
      <w:pPr>
        <w:spacing w:line="240" w:lineRule="auto" w:before="12"/>
        <w:rPr>
          <w:rFonts w:ascii="宋体" w:hAnsi="宋体" w:cs="宋体" w:eastAsia="宋体" w:hint="default"/>
          <w:sz w:val="20"/>
          <w:szCs w:val="20"/>
        </w:rPr>
      </w:pPr>
    </w:p>
    <w:p>
      <w:pPr>
        <w:pStyle w:val="BodyText"/>
        <w:spacing w:line="489" w:lineRule="auto"/>
        <w:ind w:left="1133"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研发投入资本化率大幅变动的原因及其合理性说明</w:t>
      </w:r>
    </w:p>
    <w:p>
      <w:pPr>
        <w:pStyle w:val="BodyText"/>
        <w:spacing w:line="240" w:lineRule="auto" w:before="86"/>
        <w:ind w:left="113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9"/>
          <w:szCs w:val="19"/>
        </w:rPr>
      </w:pPr>
    </w:p>
    <w:p>
      <w:pPr>
        <w:pStyle w:val="Heading3"/>
        <w:spacing w:line="240" w:lineRule="auto"/>
        <w:ind w:left="1133" w:right="0"/>
        <w:jc w:val="left"/>
        <w:rPr>
          <w:b w:val="0"/>
          <w:bCs w:val="0"/>
        </w:rPr>
      </w:pPr>
      <w:bookmarkStart w:name="5、现金流" w:id="37"/>
      <w:bookmarkEnd w:id="37"/>
      <w:r>
        <w:rPr>
          <w:b w:val="0"/>
          <w:bCs w:val="0"/>
        </w:rPr>
      </w:r>
      <w:r>
        <w:rPr>
          <w:rFonts w:ascii="Times New Roman" w:hAnsi="Times New Roman" w:cs="Times New Roman" w:eastAsia="Times New Roman" w:hint="default"/>
        </w:rPr>
        <w:t>5</w:t>
      </w:r>
      <w:r>
        <w:rPr/>
        <w:t>、现金流</w:t>
      </w:r>
      <w:r>
        <w:rPr>
          <w:b w:val="0"/>
          <w:bCs w:val="0"/>
        </w:rPr>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5"/>
          <w:szCs w:val="15"/>
        </w:rPr>
      </w:pPr>
    </w:p>
    <w:p>
      <w:pPr>
        <w:pStyle w:val="BodyText"/>
        <w:spacing w:line="240" w:lineRule="auto" w:before="44"/>
        <w:ind w:left="0" w:right="1130"/>
        <w:jc w:val="right"/>
      </w:pPr>
      <w:r>
        <w:rPr/>
        <w:t>单位：元</w:t>
      </w:r>
    </w:p>
    <w:p>
      <w:pPr>
        <w:spacing w:line="240" w:lineRule="auto" w:before="12"/>
        <w:rPr>
          <w:rFonts w:ascii="宋体" w:hAnsi="宋体" w:cs="宋体" w:eastAsia="宋体" w:hint="default"/>
          <w:sz w:val="13"/>
          <w:szCs w:val="13"/>
        </w:rPr>
      </w:pPr>
    </w:p>
    <w:tbl>
      <w:tblPr>
        <w:tblW w:w="0" w:type="auto"/>
        <w:jc w:val="left"/>
        <w:tblInd w:w="1140" w:type="dxa"/>
        <w:tblLayout w:type="fixed"/>
        <w:tblCellMar>
          <w:top w:w="0" w:type="dxa"/>
          <w:left w:w="0" w:type="dxa"/>
          <w:bottom w:w="0" w:type="dxa"/>
          <w:right w:w="0" w:type="dxa"/>
        </w:tblCellMar>
        <w:tblLook w:val="01E0"/>
      </w:tblPr>
      <w:tblGrid>
        <w:gridCol w:w="2369"/>
        <w:gridCol w:w="2405"/>
        <w:gridCol w:w="2392"/>
        <w:gridCol w:w="2392"/>
      </w:tblGrid>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672,278,044.07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536,769,592.86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25.25%</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559,752,377.88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481,634,360.14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16.22%</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86"/>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112,525,666.19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55,135,232.72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104.09%</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18,076,703.66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1,601,110.00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1,029.01%</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317,308,831.47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206,682,359.24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53.52%</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86"/>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-299,232,127.81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-205,081,249.24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-45.91%</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445,550,879.93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29,125,328.00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1,429.77%</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114,473,259.31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22,798,107.87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402.12%</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86"/>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331,077,620.62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6,327,220.13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5,132.59%</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144,371,159.00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-143,618,796.39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200.52%</w:t>
            </w:r>
          </w:p>
        </w:tc>
      </w:tr>
    </w:tbl>
    <w:p>
      <w:pPr>
        <w:spacing w:line="240" w:lineRule="auto" w:before="6"/>
        <w:rPr>
          <w:rFonts w:ascii="宋体" w:hAnsi="宋体" w:cs="宋体" w:eastAsia="宋体" w:hint="default"/>
          <w:sz w:val="6"/>
          <w:szCs w:val="6"/>
        </w:rPr>
      </w:pPr>
    </w:p>
    <w:p>
      <w:pPr>
        <w:pStyle w:val="BodyText"/>
        <w:spacing w:line="240" w:lineRule="auto" w:before="44"/>
        <w:ind w:right="0"/>
        <w:jc w:val="left"/>
      </w:pPr>
      <w:r>
        <w:rPr/>
        <w:t>相关数据同比发生重大变动的主要影响因素说明</w:t>
      </w:r>
    </w:p>
    <w:p>
      <w:pPr>
        <w:spacing w:line="240" w:lineRule="auto" w:before="12"/>
        <w:rPr>
          <w:rFonts w:ascii="宋体" w:hAnsi="宋体" w:cs="宋体" w:eastAsia="宋体" w:hint="default"/>
          <w:sz w:val="20"/>
          <w:szCs w:val="20"/>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19"/>
          <w:szCs w:val="19"/>
        </w:rPr>
      </w:pPr>
    </w:p>
    <w:p>
      <w:pPr>
        <w:pStyle w:val="BodyText"/>
        <w:spacing w:line="240" w:lineRule="auto"/>
        <w:ind w:left="1133" w:right="0"/>
        <w:jc w:val="left"/>
      </w:pPr>
      <w:r>
        <w:rPr>
          <w:rFonts w:ascii="Times New Roman" w:hAnsi="Times New Roman" w:cs="Times New Roman" w:eastAsia="Times New Roman" w:hint="default"/>
        </w:rPr>
        <w:t>1.</w:t>
      </w:r>
      <w:r>
        <w:rPr/>
        <w:t>经营活动产生的现金流量净额较上年同期增长</w:t>
      </w:r>
      <w:r>
        <w:rPr>
          <w:rFonts w:ascii="Times New Roman" w:hAnsi="Times New Roman" w:cs="Times New Roman" w:eastAsia="Times New Roman" w:hint="default"/>
        </w:rPr>
        <w:t>104.09%</w:t>
      </w:r>
      <w:r>
        <w:rPr/>
        <w:t>，主要系公司销售回款较上年同期增长所致；</w:t>
      </w:r>
    </w:p>
    <w:p>
      <w:pPr>
        <w:spacing w:line="240" w:lineRule="auto" w:before="10"/>
        <w:rPr>
          <w:rFonts w:ascii="宋体" w:hAnsi="宋体" w:cs="宋体" w:eastAsia="宋体" w:hint="default"/>
          <w:sz w:val="16"/>
          <w:szCs w:val="16"/>
        </w:rPr>
      </w:pPr>
    </w:p>
    <w:p>
      <w:pPr>
        <w:pStyle w:val="BodyText"/>
        <w:spacing w:line="451" w:lineRule="auto"/>
        <w:ind w:right="1197"/>
        <w:jc w:val="left"/>
      </w:pPr>
      <w:r>
        <w:rPr>
          <w:rFonts w:ascii="Times New Roman" w:hAnsi="Times New Roman" w:cs="Times New Roman" w:eastAsia="Times New Roman" w:hint="default"/>
        </w:rPr>
        <w:t>2.</w:t>
      </w:r>
      <w:r>
        <w:rPr/>
        <w:t>投资活动现金流入较上年同期增长</w:t>
      </w:r>
      <w:r>
        <w:rPr>
          <w:rFonts w:ascii="Times New Roman" w:hAnsi="Times New Roman" w:cs="Times New Roman" w:eastAsia="Times New Roman" w:hint="default"/>
        </w:rPr>
        <w:t>1,029.01%</w:t>
      </w:r>
      <w:r>
        <w:rPr/>
        <w:t>，主要系报告期控股子公司润安科技投资购买银行理财产品到期收回投资所 致；</w:t>
      </w:r>
    </w:p>
    <w:p>
      <w:pPr>
        <w:spacing w:after="0" w:line="451" w:lineRule="auto"/>
        <w:jc w:val="left"/>
        <w:sectPr>
          <w:pgSz w:w="11910" w:h="16840"/>
          <w:pgMar w:header="787" w:footer="640" w:top="1100" w:bottom="840" w:left="0" w:right="0"/>
        </w:sectPr>
      </w:pPr>
    </w:p>
    <w:p>
      <w:pPr>
        <w:spacing w:line="240" w:lineRule="auto" w:before="10"/>
        <w:rPr>
          <w:rFonts w:ascii="宋体" w:hAnsi="宋体" w:cs="宋体" w:eastAsia="宋体" w:hint="default"/>
          <w:sz w:val="28"/>
          <w:szCs w:val="28"/>
        </w:rPr>
      </w:pPr>
    </w:p>
    <w:p>
      <w:pPr>
        <w:pStyle w:val="BodyText"/>
        <w:spacing w:line="458" w:lineRule="auto" w:before="44"/>
        <w:ind w:left="1133" w:right="1121"/>
        <w:jc w:val="left"/>
      </w:pPr>
      <w:r>
        <w:rPr>
          <w:rFonts w:ascii="Times New Roman" w:hAnsi="Times New Roman" w:cs="Times New Roman" w:eastAsia="Times New Roman" w:hint="default"/>
          <w:spacing w:val="-1"/>
        </w:rPr>
        <w:t>3.</w:t>
      </w:r>
      <w:r>
        <w:rPr>
          <w:spacing w:val="-1"/>
        </w:rPr>
        <w:t>投资活动现金流出较上年同期增长</w:t>
      </w:r>
      <w:r>
        <w:rPr>
          <w:rFonts w:ascii="Times New Roman" w:hAnsi="Times New Roman" w:cs="Times New Roman" w:eastAsia="Times New Roman" w:hint="default"/>
          <w:spacing w:val="-1"/>
        </w:rPr>
        <w:t>53.52%</w:t>
      </w:r>
      <w:r>
        <w:rPr>
          <w:spacing w:val="-1"/>
        </w:rPr>
        <w:t>，主要系报告期支付新办公楼部分房款及装修费用及支付润安科技投资款，公司</w:t>
      </w:r>
      <w:r>
        <w:rPr>
          <w:spacing w:val="-88"/>
        </w:rPr>
        <w:t> </w:t>
      </w:r>
      <w:r>
        <w:rPr>
          <w:spacing w:val="-88"/>
        </w:rPr>
      </w:r>
      <w:r>
        <w:rPr/>
        <w:t>及控股子公司润安科技购买理财产品及子公司浩云物联在建各网点所致； </w:t>
      </w:r>
      <w:r>
        <w:rPr>
          <w:rFonts w:ascii="Times New Roman" w:hAnsi="Times New Roman" w:cs="Times New Roman" w:eastAsia="Times New Roman" w:hint="default"/>
        </w:rPr>
        <w:t>4.</w:t>
      </w:r>
      <w:r>
        <w:rPr/>
        <w:t>筹资活动现金流入较上年同期增长</w:t>
      </w:r>
      <w:r>
        <w:rPr>
          <w:rFonts w:ascii="Times New Roman" w:hAnsi="Times New Roman" w:cs="Times New Roman" w:eastAsia="Times New Roman" w:hint="default"/>
        </w:rPr>
        <w:t>1,429.77%</w:t>
      </w:r>
      <w:r>
        <w:rPr/>
        <w:t>，主要系报告期公司非公开发行股票收到募集资金以及银行借款较去年同期 增加所致；</w:t>
      </w:r>
    </w:p>
    <w:p>
      <w:pPr>
        <w:pStyle w:val="BodyText"/>
        <w:spacing w:line="415" w:lineRule="auto" w:before="68"/>
        <w:ind w:right="1872"/>
        <w:jc w:val="left"/>
      </w:pPr>
      <w:r>
        <w:rPr>
          <w:rFonts w:ascii="Times New Roman" w:hAnsi="Times New Roman" w:cs="Times New Roman" w:eastAsia="Times New Roman" w:hint="default"/>
        </w:rPr>
        <w:t>5.</w:t>
      </w:r>
      <w:r>
        <w:rPr/>
        <w:t>筹资活动现金流出较上年同期增长</w:t>
      </w:r>
      <w:r>
        <w:rPr>
          <w:rFonts w:ascii="Times New Roman" w:hAnsi="Times New Roman" w:cs="Times New Roman" w:eastAsia="Times New Roman" w:hint="default"/>
        </w:rPr>
        <w:t>402.12%</w:t>
      </w:r>
      <w:r>
        <w:rPr/>
        <w:t>，主要系报告期公司偿还银行借款及利息支出较上年同期增加所致。 报告期内公司经营活动产生的现金净流量与本年度净利润存在重大差异的原因说明</w:t>
      </w:r>
    </w:p>
    <w:p>
      <w:pPr>
        <w:pStyle w:val="BodyText"/>
        <w:spacing w:line="235" w:lineRule="exact"/>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p>
    <w:p>
      <w:pPr>
        <w:pStyle w:val="Heading2"/>
        <w:spacing w:line="240" w:lineRule="auto" w:before="155"/>
        <w:ind w:right="0"/>
        <w:jc w:val="left"/>
        <w:rPr>
          <w:b w:val="0"/>
          <w:bCs w:val="0"/>
        </w:rPr>
      </w:pPr>
      <w:bookmarkStart w:name="三、非主营业务情况" w:id="38"/>
      <w:bookmarkEnd w:id="38"/>
      <w:r>
        <w:rPr>
          <w:b w:val="0"/>
          <w:bCs w:val="0"/>
        </w:rPr>
      </w:r>
      <w:r>
        <w:rPr/>
        <w:t>三、非主营业务情况</w:t>
      </w:r>
      <w:r>
        <w:rPr>
          <w:b w:val="0"/>
          <w:bCs w:val="0"/>
        </w:rPr>
      </w:r>
    </w:p>
    <w:p>
      <w:pPr>
        <w:spacing w:line="240" w:lineRule="auto" w:before="0"/>
        <w:rPr>
          <w:rFonts w:ascii="宋体" w:hAnsi="宋体" w:cs="宋体" w:eastAsia="宋体" w:hint="default"/>
          <w:b/>
          <w:bCs/>
          <w:sz w:val="24"/>
          <w:szCs w:val="24"/>
        </w:rPr>
      </w:pPr>
    </w:p>
    <w:p>
      <w:pPr>
        <w:pStyle w:val="BodyText"/>
        <w:spacing w:line="240" w:lineRule="auto" w:before="189"/>
        <w:ind w:left="113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7"/>
          <w:szCs w:val="17"/>
        </w:rPr>
      </w:pPr>
    </w:p>
    <w:p>
      <w:pPr>
        <w:pStyle w:val="Heading2"/>
        <w:spacing w:line="240" w:lineRule="auto"/>
        <w:ind w:right="0"/>
        <w:jc w:val="left"/>
        <w:rPr>
          <w:b w:val="0"/>
          <w:bCs w:val="0"/>
        </w:rPr>
      </w:pPr>
      <w:bookmarkStart w:name="四、资产及负债状况" w:id="39"/>
      <w:bookmarkEnd w:id="39"/>
      <w:r>
        <w:rPr>
          <w:b w:val="0"/>
          <w:bCs w:val="0"/>
        </w:rPr>
      </w:r>
      <w:r>
        <w:rPr/>
        <w:t>四、资产及负债状况</w:t>
      </w:r>
      <w:r>
        <w:rPr>
          <w:b w:val="0"/>
          <w:bCs w:val="0"/>
        </w:rPr>
      </w:r>
    </w:p>
    <w:p>
      <w:pPr>
        <w:spacing w:line="240" w:lineRule="auto" w:before="0"/>
        <w:rPr>
          <w:rFonts w:ascii="宋体" w:hAnsi="宋体" w:cs="宋体" w:eastAsia="宋体" w:hint="default"/>
          <w:b/>
          <w:bCs/>
          <w:sz w:val="24"/>
          <w:szCs w:val="24"/>
        </w:rPr>
      </w:pPr>
    </w:p>
    <w:p>
      <w:pPr>
        <w:pStyle w:val="Heading3"/>
        <w:spacing w:line="240" w:lineRule="auto" w:before="163"/>
        <w:ind w:left="1133" w:right="0"/>
        <w:jc w:val="left"/>
        <w:rPr>
          <w:b w:val="0"/>
          <w:bCs w:val="0"/>
        </w:rPr>
      </w:pPr>
      <w:bookmarkStart w:name="1、资产构成重大变动情况" w:id="40"/>
      <w:bookmarkEnd w:id="40"/>
      <w:r>
        <w:rPr>
          <w:b w:val="0"/>
          <w:bCs w:val="0"/>
        </w:rPr>
      </w:r>
      <w:r>
        <w:rPr>
          <w:rFonts w:ascii="Times New Roman" w:hAnsi="Times New Roman" w:cs="Times New Roman" w:eastAsia="Times New Roman" w:hint="default"/>
        </w:rPr>
        <w:t>1</w:t>
      </w:r>
      <w:r>
        <w:rPr/>
        <w:t>、资产构成重大变动情况</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pStyle w:val="BodyText"/>
        <w:spacing w:line="240" w:lineRule="auto"/>
        <w:ind w:left="0" w:right="1130"/>
        <w:jc w:val="right"/>
      </w:pPr>
      <w:r>
        <w:rPr/>
        <w:t>单位：元</w:t>
      </w:r>
    </w:p>
    <w:p>
      <w:pPr>
        <w:spacing w:line="240" w:lineRule="auto" w:before="12"/>
        <w:rPr>
          <w:rFonts w:ascii="宋体" w:hAnsi="宋体" w:cs="宋体" w:eastAsia="宋体" w:hint="default"/>
          <w:sz w:val="13"/>
          <w:szCs w:val="13"/>
        </w:rPr>
      </w:pPr>
    </w:p>
    <w:tbl>
      <w:tblPr>
        <w:tblW w:w="0" w:type="auto"/>
        <w:jc w:val="left"/>
        <w:tblInd w:w="1129" w:type="dxa"/>
        <w:tblLayout w:type="fixed"/>
        <w:tblCellMar>
          <w:top w:w="0" w:type="dxa"/>
          <w:left w:w="0" w:type="dxa"/>
          <w:bottom w:w="0" w:type="dxa"/>
          <w:right w:w="0" w:type="dxa"/>
        </w:tblCellMar>
        <w:tblLook w:val="01E0"/>
      </w:tblPr>
      <w:tblGrid>
        <w:gridCol w:w="1368"/>
        <w:gridCol w:w="1164"/>
        <w:gridCol w:w="1063"/>
        <w:gridCol w:w="1196"/>
        <w:gridCol w:w="1063"/>
        <w:gridCol w:w="798"/>
        <w:gridCol w:w="2918"/>
      </w:tblGrid>
      <w:tr>
        <w:trPr>
          <w:trHeight w:val="380" w:hRule="exact"/>
        </w:trPr>
        <w:tc>
          <w:tcPr>
            <w:tcW w:w="1368" w:type="dxa"/>
            <w:tcBorders>
              <w:top w:val="single" w:sz="4" w:space="0" w:color="000000"/>
              <w:left w:val="single" w:sz="4" w:space="0" w:color="000000"/>
              <w:bottom w:val="single" w:sz="14" w:space="0" w:color="FFFFFF"/>
              <w:right w:val="single" w:sz="4" w:space="0" w:color="000000"/>
            </w:tcBorders>
            <w:shd w:val="clear" w:color="auto" w:fill="D2D2D2"/>
          </w:tcPr>
          <w:p>
            <w:pPr/>
          </w:p>
        </w:tc>
        <w:tc>
          <w:tcPr>
            <w:tcW w:w="2227" w:type="dxa"/>
            <w:gridSpan w:val="2"/>
            <w:tcBorders>
              <w:top w:val="single" w:sz="4" w:space="0" w:color="000000"/>
              <w:left w:val="single" w:sz="4" w:space="0" w:color="000000"/>
              <w:bottom w:val="single" w:sz="14" w:space="0" w:color="FFFFFF"/>
              <w:right w:val="single" w:sz="4" w:space="0" w:color="000000"/>
            </w:tcBorders>
            <w:shd w:val="clear" w:color="auto" w:fill="D2D2D2"/>
          </w:tcPr>
          <w:p>
            <w:pPr>
              <w:pStyle w:val="TableParagraph"/>
              <w:spacing w:line="240" w:lineRule="auto" w:before="51"/>
              <w:ind w:left="7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259" w:type="dxa"/>
            <w:gridSpan w:val="2"/>
            <w:tcBorders>
              <w:top w:val="single" w:sz="4" w:space="0" w:color="000000"/>
              <w:left w:val="single" w:sz="4" w:space="0" w:color="000000"/>
              <w:bottom w:val="single" w:sz="14" w:space="0" w:color="FFFFFF"/>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798" w:type="dxa"/>
            <w:tcBorders>
              <w:top w:val="single" w:sz="4" w:space="0" w:color="000000"/>
              <w:left w:val="single" w:sz="4" w:space="0" w:color="000000"/>
              <w:bottom w:val="single" w:sz="14" w:space="0" w:color="FFFFFF"/>
              <w:right w:val="single" w:sz="4" w:space="0" w:color="000000"/>
            </w:tcBorders>
            <w:shd w:val="clear" w:color="auto" w:fill="D2D2D2"/>
          </w:tcPr>
          <w:p>
            <w:pPr/>
          </w:p>
        </w:tc>
        <w:tc>
          <w:tcPr>
            <w:tcW w:w="2918" w:type="dxa"/>
            <w:tcBorders>
              <w:top w:val="single" w:sz="4" w:space="0" w:color="000000"/>
              <w:left w:val="single" w:sz="4" w:space="0" w:color="000000"/>
              <w:bottom w:val="single" w:sz="14" w:space="0" w:color="FFFFFF"/>
              <w:right w:val="single" w:sz="4" w:space="0" w:color="000000"/>
            </w:tcBorders>
            <w:shd w:val="clear" w:color="auto" w:fill="D2D2D2"/>
          </w:tcPr>
          <w:p>
            <w:pPr/>
          </w:p>
        </w:tc>
      </w:tr>
      <w:tr>
        <w:trPr>
          <w:trHeight w:val="183" w:hRule="exact"/>
        </w:trPr>
        <w:tc>
          <w:tcPr>
            <w:tcW w:w="1368" w:type="dxa"/>
            <w:vMerge w:val="restart"/>
            <w:tcBorders>
              <w:top w:val="single" w:sz="14" w:space="0" w:color="FFFFFF"/>
              <w:left w:val="single" w:sz="4" w:space="0" w:color="000000"/>
              <w:right w:val="single" w:sz="4" w:space="0" w:color="000000"/>
            </w:tcBorders>
            <w:shd w:val="clear" w:color="auto" w:fill="D2D2D2"/>
          </w:tcPr>
          <w:p>
            <w:pPr/>
          </w:p>
        </w:tc>
        <w:tc>
          <w:tcPr>
            <w:tcW w:w="1164" w:type="dxa"/>
            <w:tcBorders>
              <w:top w:val="single" w:sz="14" w:space="0" w:color="FFFFFF"/>
              <w:left w:val="single" w:sz="4" w:space="0" w:color="000000"/>
              <w:bottom w:val="nil" w:sz="6" w:space="0" w:color="auto"/>
              <w:right w:val="single" w:sz="4" w:space="0" w:color="000000"/>
            </w:tcBorders>
            <w:shd w:val="clear" w:color="auto" w:fill="D2D2D2"/>
          </w:tcPr>
          <w:p>
            <w:pPr/>
          </w:p>
        </w:tc>
        <w:tc>
          <w:tcPr>
            <w:tcW w:w="1063" w:type="dxa"/>
            <w:vMerge w:val="restart"/>
            <w:tcBorders>
              <w:top w:val="single" w:sz="14" w:space="0" w:color="FFFFFF"/>
              <w:left w:val="single" w:sz="4" w:space="0" w:color="000000"/>
              <w:right w:val="single" w:sz="4" w:space="0" w:color="000000"/>
            </w:tcBorders>
            <w:shd w:val="clear" w:color="auto" w:fill="D2D2D2"/>
          </w:tcPr>
          <w:p>
            <w:pPr>
              <w:pStyle w:val="TableParagraph"/>
              <w:spacing w:line="319" w:lineRule="auto" w:before="61"/>
              <w:ind w:left="435" w:right="77"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1196" w:type="dxa"/>
            <w:tcBorders>
              <w:top w:val="single" w:sz="14" w:space="0" w:color="FFFFFF"/>
              <w:left w:val="single" w:sz="4" w:space="0" w:color="000000"/>
              <w:bottom w:val="nil" w:sz="6" w:space="0" w:color="auto"/>
              <w:right w:val="single" w:sz="4" w:space="0" w:color="000000"/>
            </w:tcBorders>
            <w:shd w:val="clear" w:color="auto" w:fill="D2D2D2"/>
          </w:tcPr>
          <w:p>
            <w:pPr/>
          </w:p>
        </w:tc>
        <w:tc>
          <w:tcPr>
            <w:tcW w:w="1063" w:type="dxa"/>
            <w:vMerge w:val="restart"/>
            <w:tcBorders>
              <w:top w:val="single" w:sz="14" w:space="0" w:color="FFFFFF"/>
              <w:left w:val="single" w:sz="4" w:space="0" w:color="000000"/>
              <w:right w:val="single" w:sz="4" w:space="0" w:color="000000"/>
            </w:tcBorders>
            <w:shd w:val="clear" w:color="auto" w:fill="D2D2D2"/>
          </w:tcPr>
          <w:p>
            <w:pPr>
              <w:pStyle w:val="TableParagraph"/>
              <w:spacing w:line="319" w:lineRule="auto" w:before="61"/>
              <w:ind w:left="435" w:right="77"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798"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16"/>
              <w:ind w:left="33"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918"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16"/>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1" w:hRule="exact"/>
        </w:trPr>
        <w:tc>
          <w:tcPr>
            <w:tcW w:w="1368" w:type="dxa"/>
            <w:vMerge/>
            <w:tcBorders>
              <w:left w:val="single" w:sz="4" w:space="0" w:color="000000"/>
              <w:bottom w:val="nil" w:sz="6" w:space="0" w:color="auto"/>
              <w:right w:val="single" w:sz="4" w:space="0" w:color="000000"/>
            </w:tcBorders>
            <w:shd w:val="clear" w:color="auto" w:fill="D2D2D2"/>
          </w:tcPr>
          <w:p>
            <w:pPr/>
          </w:p>
        </w:tc>
        <w:tc>
          <w:tcPr>
            <w:tcW w:w="116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2918"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368" w:type="dxa"/>
            <w:vMerge w:val="restart"/>
            <w:tcBorders>
              <w:top w:val="nil" w:sz="6" w:space="0" w:color="auto"/>
              <w:left w:val="single" w:sz="4" w:space="0" w:color="000000"/>
              <w:right w:val="single" w:sz="4" w:space="0" w:color="000000"/>
            </w:tcBorders>
            <w:shd w:val="clear" w:color="auto" w:fill="D2D2D2"/>
          </w:tcPr>
          <w:p>
            <w:pPr/>
          </w:p>
        </w:tc>
        <w:tc>
          <w:tcPr>
            <w:tcW w:w="1164" w:type="dxa"/>
            <w:vMerge/>
            <w:tcBorders>
              <w:left w:val="single" w:sz="4" w:space="0" w:color="000000"/>
              <w:bottom w:val="nil" w:sz="6" w:space="0" w:color="auto"/>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
        </w:tc>
        <w:tc>
          <w:tcPr>
            <w:tcW w:w="2918"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164"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2918" w:type="dxa"/>
            <w:vMerge/>
            <w:tcBorders>
              <w:left w:val="single" w:sz="4" w:space="0" w:color="000000"/>
              <w:bottom w:val="single" w:sz="4" w:space="0" w:color="000000"/>
              <w:right w:val="single" w:sz="4" w:space="0" w:color="000000"/>
            </w:tcBorders>
            <w:shd w:val="clear" w:color="auto" w:fill="D2D2D2"/>
          </w:tcPr>
          <w:p>
            <w:pPr/>
          </w:p>
        </w:tc>
      </w:tr>
      <w:tr>
        <w:trPr>
          <w:trHeight w:val="317"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407,539,964.6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30.20%</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266,499,726.38</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29.66%</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0.54%</w:t>
            </w:r>
          </w:p>
        </w:tc>
        <w:tc>
          <w:tcPr>
            <w:tcW w:w="2918" w:type="dxa"/>
            <w:vMerge w:val="restart"/>
            <w:tcBorders>
              <w:top w:val="single" w:sz="4" w:space="0" w:color="000000"/>
              <w:left w:val="single" w:sz="4" w:space="0" w:color="000000"/>
              <w:right w:val="single" w:sz="4" w:space="0" w:color="000000"/>
            </w:tcBorders>
          </w:tcPr>
          <w:p>
            <w:pPr>
              <w:pStyle w:val="TableParagraph"/>
              <w:spacing w:line="319" w:lineRule="auto" w:before="51"/>
              <w:ind w:left="22" w:right="183"/>
              <w:jc w:val="both"/>
              <w:rPr>
                <w:rFonts w:ascii="宋体" w:hAnsi="宋体" w:cs="宋体" w:eastAsia="宋体" w:hint="default"/>
                <w:sz w:val="18"/>
                <w:szCs w:val="18"/>
              </w:rPr>
            </w:pPr>
            <w:r>
              <w:rPr>
                <w:rFonts w:ascii="宋体" w:hAnsi="宋体" w:cs="宋体" w:eastAsia="宋体" w:hint="default"/>
                <w:sz w:val="18"/>
                <w:szCs w:val="18"/>
              </w:rPr>
              <w:t>主要系报告期销售回款较上年增长 及公司非公开发行股票收到募集资 金所致。</w:t>
            </w:r>
          </w:p>
        </w:tc>
      </w:tr>
      <w:tr>
        <w:trPr>
          <w:trHeight w:val="392" w:hRule="exact"/>
        </w:trPr>
        <w:tc>
          <w:tcPr>
            <w:tcW w:w="136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164"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317"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161"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240,173,912.5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17.80%</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214,039,296.45</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23.82%</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0" w:right="0"/>
              <w:jc w:val="left"/>
              <w:rPr>
                <w:rFonts w:ascii="Times New Roman" w:hAnsi="Times New Roman" w:cs="Times New Roman" w:eastAsia="Times New Roman" w:hint="default"/>
                <w:sz w:val="18"/>
                <w:szCs w:val="18"/>
              </w:rPr>
            </w:pPr>
            <w:r>
              <w:rPr>
                <w:rFonts w:ascii="Times New Roman"/>
                <w:sz w:val="18"/>
              </w:rPr>
              <w:t>-6.02%</w:t>
            </w:r>
          </w:p>
        </w:tc>
        <w:tc>
          <w:tcPr>
            <w:tcW w:w="2918" w:type="dxa"/>
            <w:vMerge w:val="restart"/>
            <w:tcBorders>
              <w:top w:val="single" w:sz="4" w:space="0" w:color="000000"/>
              <w:left w:val="single" w:sz="4" w:space="0" w:color="000000"/>
              <w:right w:val="single" w:sz="4" w:space="0" w:color="000000"/>
            </w:tcBorders>
          </w:tcPr>
          <w:p>
            <w:pPr/>
          </w:p>
        </w:tc>
      </w:tr>
      <w:tr>
        <w:trPr>
          <w:trHeight w:val="392" w:hRule="exact"/>
        </w:trPr>
        <w:tc>
          <w:tcPr>
            <w:tcW w:w="136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164"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161"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134,551,792.2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9.97%</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7" w:right="0"/>
              <w:jc w:val="left"/>
              <w:rPr>
                <w:rFonts w:ascii="Times New Roman" w:hAnsi="Times New Roman" w:cs="Times New Roman" w:eastAsia="Times New Roman" w:hint="default"/>
                <w:sz w:val="18"/>
                <w:szCs w:val="18"/>
              </w:rPr>
            </w:pPr>
            <w:r>
              <w:rPr>
                <w:rFonts w:ascii="Times New Roman"/>
                <w:sz w:val="18"/>
              </w:rPr>
              <w:t>96,096,568.00</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10.69%</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0" w:right="0"/>
              <w:jc w:val="left"/>
              <w:rPr>
                <w:rFonts w:ascii="Times New Roman" w:hAnsi="Times New Roman" w:cs="Times New Roman" w:eastAsia="Times New Roman" w:hint="default"/>
                <w:sz w:val="18"/>
                <w:szCs w:val="18"/>
              </w:rPr>
            </w:pPr>
            <w:r>
              <w:rPr>
                <w:rFonts w:ascii="Times New Roman"/>
                <w:sz w:val="18"/>
              </w:rPr>
              <w:t>-0.72%</w:t>
            </w:r>
          </w:p>
        </w:tc>
        <w:tc>
          <w:tcPr>
            <w:tcW w:w="2918" w:type="dxa"/>
            <w:vMerge w:val="restart"/>
            <w:tcBorders>
              <w:top w:val="single" w:sz="4" w:space="0" w:color="000000"/>
              <w:left w:val="single" w:sz="4" w:space="0" w:color="000000"/>
              <w:right w:val="single" w:sz="4" w:space="0" w:color="000000"/>
            </w:tcBorders>
          </w:tcPr>
          <w:p>
            <w:pPr>
              <w:pStyle w:val="TableParagraph"/>
              <w:spacing w:line="319" w:lineRule="auto" w:before="51"/>
              <w:ind w:left="22" w:right="183"/>
              <w:jc w:val="left"/>
              <w:rPr>
                <w:rFonts w:ascii="宋体" w:hAnsi="宋体" w:cs="宋体" w:eastAsia="宋体" w:hint="default"/>
                <w:sz w:val="18"/>
                <w:szCs w:val="18"/>
              </w:rPr>
            </w:pPr>
            <w:r>
              <w:rPr>
                <w:rFonts w:ascii="宋体" w:hAnsi="宋体" w:cs="宋体" w:eastAsia="宋体" w:hint="default"/>
                <w:sz w:val="18"/>
                <w:szCs w:val="18"/>
              </w:rPr>
              <w:t>主要系公司正在进行的工程项目增 加，备货相应增加所致。</w:t>
            </w:r>
          </w:p>
        </w:tc>
      </w:tr>
      <w:tr>
        <w:trPr>
          <w:trHeight w:val="392" w:hRule="exact"/>
        </w:trPr>
        <w:tc>
          <w:tcPr>
            <w:tcW w:w="136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164"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317"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9" w:right="0"/>
              <w:jc w:val="left"/>
              <w:rPr>
                <w:rFonts w:ascii="Times New Roman" w:hAnsi="Times New Roman" w:cs="Times New Roman" w:eastAsia="Times New Roman" w:hint="default"/>
                <w:sz w:val="18"/>
                <w:szCs w:val="18"/>
              </w:rPr>
            </w:pPr>
            <w:r>
              <w:rPr>
                <w:rFonts w:ascii="Times New Roman"/>
                <w:sz w:val="18"/>
              </w:rPr>
              <w:t>33,037,709.14</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2.45%</w:t>
            </w:r>
          </w:p>
        </w:tc>
        <w:tc>
          <w:tcPr>
            <w:tcW w:w="1196" w:type="dxa"/>
            <w:vMerge w:val="restart"/>
            <w:tcBorders>
              <w:top w:val="single" w:sz="4" w:space="0" w:color="000000"/>
              <w:left w:val="single" w:sz="4" w:space="0" w:color="000000"/>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0.00%</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2.45%</w:t>
            </w:r>
          </w:p>
        </w:tc>
        <w:tc>
          <w:tcPr>
            <w:tcW w:w="2918" w:type="dxa"/>
            <w:vMerge w:val="restart"/>
            <w:tcBorders>
              <w:top w:val="single" w:sz="4" w:space="0" w:color="000000"/>
              <w:left w:val="single" w:sz="4" w:space="0" w:color="000000"/>
              <w:right w:val="single" w:sz="4" w:space="0" w:color="000000"/>
            </w:tcBorders>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主要系报告期公司将自有房产用于 </w:t>
            </w:r>
            <w:r>
              <w:rPr>
                <w:rFonts w:ascii="宋体" w:hAnsi="宋体" w:cs="宋体" w:eastAsia="宋体" w:hint="default"/>
                <w:spacing w:val="-2"/>
                <w:sz w:val="18"/>
                <w:szCs w:val="18"/>
              </w:rPr>
              <w:t>出租，将出租的房产价值转入投资性</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房地产列报。</w:t>
            </w:r>
          </w:p>
        </w:tc>
      </w:tr>
      <w:tr>
        <w:trPr>
          <w:trHeight w:val="392" w:hRule="exact"/>
        </w:trPr>
        <w:tc>
          <w:tcPr>
            <w:tcW w:w="136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164"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317"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941"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303,393,574.3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22.48%</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127" w:right="0"/>
              <w:jc w:val="left"/>
              <w:rPr>
                <w:rFonts w:ascii="Times New Roman" w:hAnsi="Times New Roman" w:cs="Times New Roman" w:eastAsia="Times New Roman" w:hint="default"/>
                <w:sz w:val="18"/>
                <w:szCs w:val="18"/>
              </w:rPr>
            </w:pPr>
            <w:r>
              <w:rPr>
                <w:rFonts w:ascii="Times New Roman"/>
                <w:sz w:val="18"/>
              </w:rPr>
              <w:t>89,167,246.06</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9.92%</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210" w:right="0"/>
              <w:jc w:val="left"/>
              <w:rPr>
                <w:rFonts w:ascii="Times New Roman" w:hAnsi="Times New Roman" w:cs="Times New Roman" w:eastAsia="Times New Roman" w:hint="default"/>
                <w:sz w:val="18"/>
                <w:szCs w:val="18"/>
              </w:rPr>
            </w:pPr>
            <w:r>
              <w:rPr>
                <w:rFonts w:ascii="Times New Roman"/>
                <w:sz w:val="18"/>
              </w:rPr>
              <w:t>12.56%</w:t>
            </w:r>
          </w:p>
        </w:tc>
        <w:tc>
          <w:tcPr>
            <w:tcW w:w="2918" w:type="dxa"/>
            <w:vMerge w:val="restart"/>
            <w:tcBorders>
              <w:top w:val="single" w:sz="4" w:space="0" w:color="000000"/>
              <w:left w:val="single" w:sz="4" w:space="0" w:color="000000"/>
              <w:right w:val="single" w:sz="4" w:space="0" w:color="000000"/>
            </w:tcBorders>
          </w:tcPr>
          <w:p>
            <w:pPr>
              <w:pStyle w:val="TableParagraph"/>
              <w:spacing w:line="319" w:lineRule="auto" w:before="51"/>
              <w:ind w:left="22" w:right="3"/>
              <w:jc w:val="left"/>
              <w:rPr>
                <w:rFonts w:ascii="宋体" w:hAnsi="宋体" w:cs="宋体" w:eastAsia="宋体" w:hint="default"/>
                <w:sz w:val="18"/>
                <w:szCs w:val="18"/>
              </w:rPr>
            </w:pPr>
            <w:r>
              <w:rPr>
                <w:rFonts w:ascii="宋体" w:hAnsi="宋体" w:cs="宋体" w:eastAsia="宋体" w:hint="default"/>
                <w:sz w:val="18"/>
                <w:szCs w:val="18"/>
              </w:rPr>
              <w:t>主要系报告期购入固定资产增加，公 司新办公楼装修完工结转至固定资 产，以及子公司重庆浩云公共安全物 联网技术有限公司实施渝北区公共 安全视频监控工程服务（智慧天网） 合同在建各网点的在建工程完工结 转至固定资产所致。</w:t>
            </w:r>
          </w:p>
        </w:tc>
      </w:tr>
      <w:tr>
        <w:trPr>
          <w:trHeight w:val="393" w:hRule="exact"/>
        </w:trPr>
        <w:tc>
          <w:tcPr>
            <w:tcW w:w="136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164"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941"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bl>
    <w:p>
      <w:pPr>
        <w:spacing w:after="0"/>
        <w:sectPr>
          <w:footerReference w:type="default" r:id="rId16"/>
          <w:pgSz w:w="11910" w:h="16840"/>
          <w:pgMar w:footer="640" w:header="787" w:top="1100" w:bottom="840" w:left="0" w:right="0"/>
        </w:sectPr>
      </w:pPr>
    </w:p>
    <w:p>
      <w:pPr>
        <w:spacing w:line="240" w:lineRule="auto" w:before="5"/>
        <w:rPr>
          <w:rFonts w:ascii="宋体" w:hAnsi="宋体" w:cs="宋体" w:eastAsia="宋体" w:hint="default"/>
          <w:sz w:val="25"/>
          <w:szCs w:val="25"/>
        </w:rPr>
      </w:pPr>
    </w:p>
    <w:tbl>
      <w:tblPr>
        <w:tblW w:w="0" w:type="auto"/>
        <w:jc w:val="left"/>
        <w:tblInd w:w="1129" w:type="dxa"/>
        <w:tblLayout w:type="fixed"/>
        <w:tblCellMar>
          <w:top w:w="0" w:type="dxa"/>
          <w:left w:w="0" w:type="dxa"/>
          <w:bottom w:w="0" w:type="dxa"/>
          <w:right w:w="0" w:type="dxa"/>
        </w:tblCellMar>
        <w:tblLook w:val="01E0"/>
      </w:tblPr>
      <w:tblGrid>
        <w:gridCol w:w="1368"/>
        <w:gridCol w:w="1164"/>
        <w:gridCol w:w="1063"/>
        <w:gridCol w:w="1196"/>
        <w:gridCol w:w="1063"/>
        <w:gridCol w:w="798"/>
        <w:gridCol w:w="2918"/>
      </w:tblGrid>
      <w:tr>
        <w:trPr>
          <w:trHeight w:val="196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11,581,142.66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0.86%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122,389,007.75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13.62%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-12.76%</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主要系公司新办公楼装修完工结转 </w:t>
            </w:r>
            <w:r>
              <w:rPr>
                <w:rFonts w:ascii="宋体" w:hAnsi="宋体" w:cs="宋体" w:eastAsia="宋体" w:hint="default"/>
                <w:spacing w:val="-2"/>
                <w:sz w:val="18"/>
                <w:szCs w:val="18"/>
              </w:rPr>
              <w:t>至固定资产，以及子公司重庆浩云公</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共安全物联网技术有限公司实施渝 </w:t>
            </w:r>
            <w:r>
              <w:rPr>
                <w:rFonts w:ascii="宋体" w:hAnsi="宋体" w:cs="宋体" w:eastAsia="宋体" w:hint="default"/>
                <w:spacing w:val="-2"/>
                <w:sz w:val="18"/>
                <w:szCs w:val="18"/>
              </w:rPr>
              <w:t>北区公共安全视频监控工程服务（智</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2"/>
                <w:sz w:val="18"/>
                <w:szCs w:val="18"/>
              </w:rPr>
              <w:t>慧天网）合同在建各网点的在建工程</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完工结转至固定资产所致。</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19,450,000.00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10,800,000.00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0.24%</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主要系报告期新增了银行借款所致。</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25,782,352.46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13,006,947.88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0.46%</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主要系预付供应商货款增加所致。</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705,143.84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0.05%</w:t>
            </w:r>
          </w:p>
        </w:tc>
        <w:tc>
          <w:tcPr>
            <w:tcW w:w="119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0.05%</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主要系应收银行理财产品利息所致。</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16,406,027.22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11,521,987.41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-0.06%</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主要系应收投标保证金增加所致。</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87,858,396.76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6.51%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8,995,280.08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5.51%</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83"/>
              <w:jc w:val="left"/>
              <w:rPr>
                <w:rFonts w:ascii="宋体" w:hAnsi="宋体" w:cs="宋体" w:eastAsia="宋体" w:hint="default"/>
                <w:sz w:val="18"/>
                <w:szCs w:val="18"/>
              </w:rPr>
            </w:pPr>
            <w:r>
              <w:rPr>
                <w:rFonts w:ascii="宋体" w:hAnsi="宋体" w:cs="宋体" w:eastAsia="宋体" w:hint="default"/>
                <w:sz w:val="18"/>
                <w:szCs w:val="18"/>
              </w:rPr>
              <w:t>主要系报告期公司购买了银行理财 产品及待抵扣增值税增加所致。</w:t>
            </w:r>
          </w:p>
        </w:tc>
      </w:tr>
      <w:tr>
        <w:trPr>
          <w:trHeight w:val="196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9" w:lineRule="auto"/>
              <w:ind w:left="22" w:right="75"/>
              <w:jc w:val="left"/>
              <w:rPr>
                <w:rFonts w:ascii="宋体" w:hAnsi="宋体" w:cs="宋体" w:eastAsia="宋体" w:hint="default"/>
                <w:sz w:val="18"/>
                <w:szCs w:val="18"/>
              </w:rPr>
            </w:pPr>
            <w:r>
              <w:rPr>
                <w:rFonts w:ascii="宋体" w:hAnsi="宋体" w:cs="宋体" w:eastAsia="宋体" w:hint="default"/>
                <w:sz w:val="18"/>
                <w:szCs w:val="18"/>
              </w:rPr>
              <w:t>可供出售金融资 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0.74%</w:t>
            </w:r>
          </w:p>
        </w:tc>
        <w:tc>
          <w:tcPr>
            <w:tcW w:w="119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0.74%</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主要系报告期公司投资广州民营投 资股份有限公司</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万元及子公司西 藏浩云创业投资有限公司投资设立 股权投资基金</w:t>
            </w:r>
            <w:r>
              <w:rPr>
                <w:rFonts w:ascii="Times New Roman" w:hAnsi="Times New Roman" w:cs="Times New Roman" w:eastAsia="Times New Roman" w:hint="default"/>
                <w:sz w:val="18"/>
                <w:szCs w:val="18"/>
              </w:rPr>
              <w:t>"</w:t>
            </w:r>
            <w:r>
              <w:rPr>
                <w:rFonts w:ascii="宋体" w:hAnsi="宋体" w:cs="宋体" w:eastAsia="宋体" w:hint="default"/>
                <w:sz w:val="18"/>
                <w:szCs w:val="18"/>
              </w:rPr>
              <w:t>广州云智科技创业投 </w:t>
            </w:r>
            <w:r>
              <w:rPr>
                <w:rFonts w:ascii="宋体" w:hAnsi="宋体" w:cs="宋体" w:eastAsia="宋体" w:hint="default"/>
                <w:spacing w:val="-4"/>
                <w:sz w:val="18"/>
                <w:szCs w:val="18"/>
              </w:rPr>
              <w:t>资合伙企业（有限合伙）</w:t>
            </w:r>
            <w:r>
              <w:rPr>
                <w:rFonts w:ascii="Times New Roman" w:hAnsi="Times New Roman" w:cs="Times New Roman" w:eastAsia="Times New Roman" w:hint="default"/>
                <w:spacing w:val="-4"/>
                <w:sz w:val="18"/>
                <w:szCs w:val="18"/>
              </w:rPr>
              <w:t>"900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万元所</w:t>
            </w:r>
            <w:r>
              <w:rPr>
                <w:rFonts w:ascii="宋体" w:hAnsi="宋体" w:cs="宋体" w:eastAsia="宋体" w:hint="default"/>
                <w:spacing w:val="-87"/>
                <w:sz w:val="18"/>
                <w:szCs w:val="18"/>
              </w:rPr>
              <w:t> </w:t>
            </w:r>
            <w:r>
              <w:rPr>
                <w:rFonts w:ascii="宋体" w:hAnsi="宋体" w:cs="宋体" w:eastAsia="宋体" w:hint="default"/>
                <w:sz w:val="18"/>
                <w:szCs w:val="18"/>
              </w:rPr>
              <w:t>致。</w:t>
            </w:r>
          </w:p>
        </w:tc>
      </w:tr>
      <w:tr>
        <w:trPr>
          <w:trHeight w:val="1026"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1,470,152.50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0.11%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417,000.00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0.06%</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83"/>
              <w:jc w:val="both"/>
              <w:rPr>
                <w:rFonts w:ascii="宋体" w:hAnsi="宋体" w:cs="宋体" w:eastAsia="宋体" w:hint="default"/>
                <w:sz w:val="18"/>
                <w:szCs w:val="18"/>
              </w:rPr>
            </w:pPr>
            <w:r>
              <w:rPr>
                <w:rFonts w:ascii="宋体" w:hAnsi="宋体" w:cs="宋体" w:eastAsia="宋体" w:hint="default"/>
                <w:sz w:val="18"/>
                <w:szCs w:val="18"/>
              </w:rPr>
              <w:t>主要系公司预付的购车款增加及子 公司深圳市润安科技发展有限公司 预付软件款所致。</w:t>
            </w:r>
          </w:p>
        </w:tc>
      </w:tr>
    </w:tbl>
    <w:p>
      <w:pPr>
        <w:spacing w:line="240" w:lineRule="auto" w:before="1"/>
        <w:rPr>
          <w:rFonts w:ascii="宋体" w:hAnsi="宋体" w:cs="宋体" w:eastAsia="宋体" w:hint="default"/>
          <w:sz w:val="25"/>
          <w:szCs w:val="25"/>
        </w:rPr>
      </w:pPr>
    </w:p>
    <w:p>
      <w:pPr>
        <w:pStyle w:val="Heading3"/>
        <w:spacing w:line="240" w:lineRule="auto" w:before="35"/>
        <w:ind w:right="0"/>
        <w:jc w:val="left"/>
        <w:rPr>
          <w:b w:val="0"/>
          <w:bCs w:val="0"/>
        </w:rPr>
      </w:pPr>
      <w:bookmarkStart w:name="2、以公允价值计量的资产和负债" w:id="41"/>
      <w:bookmarkEnd w:id="41"/>
      <w:r>
        <w:rPr>
          <w:b w:val="0"/>
          <w:bCs w:val="0"/>
        </w:rPr>
      </w:r>
      <w:r>
        <w:rPr>
          <w:rFonts w:ascii="Times New Roman" w:hAnsi="Times New Roman" w:cs="Times New Roman" w:eastAsia="Times New Roman" w:hint="default"/>
        </w:rPr>
        <w:t>2</w:t>
      </w:r>
      <w:r>
        <w:rPr/>
        <w:t>、以公允价值计量的资产和负债</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9"/>
          <w:szCs w:val="19"/>
        </w:rPr>
      </w:pPr>
    </w:p>
    <w:p>
      <w:pPr>
        <w:pStyle w:val="Heading3"/>
        <w:spacing w:line="240" w:lineRule="auto"/>
        <w:ind w:left="1133" w:right="0"/>
        <w:jc w:val="left"/>
        <w:rPr>
          <w:b w:val="0"/>
          <w:bCs w:val="0"/>
        </w:rPr>
      </w:pPr>
      <w:bookmarkStart w:name="3、截至报告期末的资产权利受限情况" w:id="42"/>
      <w:bookmarkEnd w:id="42"/>
      <w:r>
        <w:rPr>
          <w:b w:val="0"/>
          <w:bCs w:val="0"/>
        </w:rPr>
      </w:r>
      <w:r>
        <w:rPr>
          <w:rFonts w:ascii="Times New Roman" w:hAnsi="Times New Roman" w:cs="Times New Roman" w:eastAsia="Times New Roman" w:hint="default"/>
        </w:rPr>
        <w:t>3</w:t>
      </w:r>
      <w:r>
        <w:rPr/>
        <w:t>、截至报告期末的资产权利受限情况</w:t>
      </w:r>
      <w:r>
        <w:rPr>
          <w:b w:val="0"/>
          <w:bCs w:val="0"/>
        </w:rPr>
      </w:r>
    </w:p>
    <w:p>
      <w:pPr>
        <w:spacing w:line="240" w:lineRule="auto" w:before="0"/>
        <w:rPr>
          <w:rFonts w:ascii="宋体" w:hAnsi="宋体" w:cs="宋体" w:eastAsia="宋体" w:hint="default"/>
          <w:b/>
          <w:bCs/>
          <w:sz w:val="22"/>
          <w:szCs w:val="22"/>
        </w:rPr>
      </w:pPr>
    </w:p>
    <w:p>
      <w:pPr>
        <w:spacing w:line="240" w:lineRule="auto" w:before="4"/>
        <w:rPr>
          <w:rFonts w:ascii="宋体" w:hAnsi="宋体" w:cs="宋体" w:eastAsia="宋体" w:hint="default"/>
          <w:b/>
          <w:bCs/>
          <w:sz w:val="16"/>
          <w:szCs w:val="16"/>
        </w:rPr>
      </w:pPr>
    </w:p>
    <w:p>
      <w:pPr>
        <w:pStyle w:val="BodyText"/>
        <w:spacing w:line="240" w:lineRule="auto"/>
        <w:ind w:left="1133" w:right="0"/>
        <w:jc w:val="left"/>
      </w:pPr>
      <w:r>
        <w:rPr/>
        <w:t>（</w:t>
      </w:r>
      <w:r>
        <w:rPr>
          <w:rFonts w:ascii="Times New Roman" w:hAnsi="Times New Roman" w:cs="Times New Roman" w:eastAsia="Times New Roman" w:hint="default"/>
        </w:rPr>
        <w:t>1</w:t>
      </w:r>
      <w:r>
        <w:rPr/>
        <w:t>）明细情况</w:t>
      </w:r>
    </w:p>
    <w:p>
      <w:pPr>
        <w:spacing w:line="240" w:lineRule="auto" w:before="0"/>
        <w:rPr>
          <w:rFonts w:ascii="宋体" w:hAnsi="宋体" w:cs="宋体" w:eastAsia="宋体" w:hint="default"/>
          <w:sz w:val="10"/>
          <w:szCs w:val="10"/>
        </w:rPr>
      </w:pPr>
    </w:p>
    <w:tbl>
      <w:tblPr>
        <w:tblW w:w="0" w:type="auto"/>
        <w:jc w:val="left"/>
        <w:tblInd w:w="1021" w:type="dxa"/>
        <w:tblLayout w:type="fixed"/>
        <w:tblCellMar>
          <w:top w:w="0" w:type="dxa"/>
          <w:left w:w="0" w:type="dxa"/>
          <w:bottom w:w="0" w:type="dxa"/>
          <w:right w:w="0" w:type="dxa"/>
        </w:tblCellMar>
        <w:tblLook w:val="01E0"/>
      </w:tblPr>
      <w:tblGrid>
        <w:gridCol w:w="2230"/>
        <w:gridCol w:w="2290"/>
        <w:gridCol w:w="5336"/>
      </w:tblGrid>
      <w:tr>
        <w:trPr>
          <w:trHeight w:val="322" w:hRule="exact"/>
        </w:trPr>
        <w:tc>
          <w:tcPr>
            <w:tcW w:w="2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2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598"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5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324" w:hRule="exact"/>
        </w:trPr>
        <w:tc>
          <w:tcPr>
            <w:tcW w:w="2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货币资金</w:t>
            </w:r>
          </w:p>
        </w:tc>
        <w:tc>
          <w:tcPr>
            <w:tcW w:w="2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Times New Roman" w:hAnsi="Times New Roman" w:cs="Times New Roman" w:eastAsia="Times New Roman" w:hint="default"/>
                <w:sz w:val="18"/>
                <w:szCs w:val="18"/>
              </w:rPr>
            </w:pPr>
            <w:r>
              <w:rPr>
                <w:rFonts w:ascii="Times New Roman"/>
                <w:spacing w:val="-1"/>
                <w:sz w:val="18"/>
              </w:rPr>
              <w:t>1,138,543.88</w:t>
            </w:r>
          </w:p>
        </w:tc>
        <w:tc>
          <w:tcPr>
            <w:tcW w:w="5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保证金、住宅专项维修资金</w:t>
            </w:r>
          </w:p>
        </w:tc>
      </w:tr>
      <w:tr>
        <w:trPr>
          <w:trHeight w:val="323" w:hRule="exact"/>
        </w:trPr>
        <w:tc>
          <w:tcPr>
            <w:tcW w:w="2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Times New Roman" w:hAnsi="Times New Roman" w:cs="Times New Roman" w:eastAsia="Times New Roman" w:hint="default"/>
                <w:sz w:val="18"/>
                <w:szCs w:val="18"/>
              </w:rPr>
            </w:pPr>
            <w:r>
              <w:rPr>
                <w:rFonts w:ascii="Times New Roman"/>
                <w:spacing w:val="-1"/>
                <w:sz w:val="18"/>
              </w:rPr>
              <w:t>30,000,000.00</w:t>
            </w:r>
          </w:p>
        </w:tc>
        <w:tc>
          <w:tcPr>
            <w:tcW w:w="5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质押</w:t>
            </w:r>
          </w:p>
        </w:tc>
      </w:tr>
      <w:tr>
        <w:trPr>
          <w:trHeight w:val="322" w:hRule="exact"/>
        </w:trPr>
        <w:tc>
          <w:tcPr>
            <w:tcW w:w="2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固定资产</w:t>
            </w:r>
          </w:p>
        </w:tc>
        <w:tc>
          <w:tcPr>
            <w:tcW w:w="2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sz w:val="18"/>
              </w:rPr>
              <w:t>6,365,707.93</w:t>
            </w:r>
          </w:p>
        </w:tc>
        <w:tc>
          <w:tcPr>
            <w:tcW w:w="5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抵押</w:t>
            </w:r>
          </w:p>
        </w:tc>
      </w:tr>
      <w:tr>
        <w:trPr>
          <w:trHeight w:val="322" w:hRule="exact"/>
        </w:trPr>
        <w:tc>
          <w:tcPr>
            <w:tcW w:w="2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投资性房地产</w:t>
            </w:r>
          </w:p>
        </w:tc>
        <w:tc>
          <w:tcPr>
            <w:tcW w:w="2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sz w:val="18"/>
              </w:rPr>
              <w:t>20,912,713.53</w:t>
            </w:r>
          </w:p>
        </w:tc>
        <w:tc>
          <w:tcPr>
            <w:tcW w:w="5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抵押</w:t>
            </w:r>
          </w:p>
        </w:tc>
      </w:tr>
      <w:tr>
        <w:trPr>
          <w:trHeight w:val="323" w:hRule="exact"/>
        </w:trPr>
        <w:tc>
          <w:tcPr>
            <w:tcW w:w="2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2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Times New Roman" w:hAnsi="Times New Roman" w:cs="Times New Roman" w:eastAsia="Times New Roman" w:hint="default"/>
                <w:sz w:val="18"/>
                <w:szCs w:val="18"/>
              </w:rPr>
            </w:pPr>
            <w:r>
              <w:rPr>
                <w:rFonts w:ascii="Times New Roman"/>
                <w:spacing w:val="-1"/>
                <w:sz w:val="18"/>
              </w:rPr>
              <w:t>58,416,965.34</w:t>
            </w:r>
          </w:p>
        </w:tc>
        <w:tc>
          <w:tcPr>
            <w:tcW w:w="533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10"/>
        <w:ind w:right="0"/>
        <w:jc w:val="left"/>
      </w:pPr>
      <w:r>
        <w:rPr/>
        <w:t>（</w:t>
      </w:r>
      <w:r>
        <w:rPr>
          <w:rFonts w:ascii="Times New Roman" w:hAnsi="Times New Roman" w:cs="Times New Roman" w:eastAsia="Times New Roman" w:hint="default"/>
        </w:rPr>
        <w:t>2</w:t>
      </w:r>
      <w:r>
        <w:rPr/>
        <w:t>）其他说明</w:t>
      </w:r>
    </w:p>
    <w:p>
      <w:pPr>
        <w:pStyle w:val="BodyText"/>
        <w:spacing w:line="300" w:lineRule="auto" w:before="63"/>
        <w:ind w:right="1112" w:firstLine="360"/>
        <w:jc w:val="left"/>
      </w:pPr>
      <w:r>
        <w:rPr/>
        <w:t>公司与中国银行番禺天安支行签订编号为</w:t>
      </w:r>
      <w:r>
        <w:rPr>
          <w:rFonts w:ascii="Times New Roman" w:hAnsi="Times New Roman" w:cs="Times New Roman" w:eastAsia="Times New Roman" w:hint="default"/>
        </w:rPr>
        <w:t>GZY476780120160052</w:t>
      </w:r>
      <w:r>
        <w:rPr/>
        <w:t>的最高额质押合同，以应收账款的收款权利作为质押物 在中国人民银行征信中心作质押登记。</w:t>
      </w:r>
    </w:p>
    <w:p>
      <w:pPr>
        <w:pStyle w:val="BodyText"/>
        <w:spacing w:line="300" w:lineRule="auto" w:before="31"/>
        <w:ind w:left="1133" w:right="0" w:firstLine="360"/>
        <w:jc w:val="left"/>
      </w:pPr>
      <w:r>
        <w:rPr/>
        <w:t>公司与上海浦东发展银行股份有限公司广州番禺支行签订编号为</w:t>
      </w:r>
      <w:r>
        <w:rPr>
          <w:rFonts w:ascii="Times New Roman" w:hAnsi="Times New Roman" w:cs="Times New Roman" w:eastAsia="Times New Roman" w:hint="default"/>
        </w:rPr>
        <w:t>ZD82172016280061</w:t>
      </w:r>
      <w:r>
        <w:rPr/>
        <w:t>的最高额抵押合同，以金业花园</w:t>
      </w:r>
      <w:r>
        <w:rPr>
          <w:rFonts w:ascii="Times New Roman" w:hAnsi="Times New Roman" w:cs="Times New Roman" w:eastAsia="Times New Roman" w:hint="default"/>
        </w:rPr>
        <w:t>18</w:t>
      </w:r>
      <w:r>
        <w:rPr>
          <w:rFonts w:ascii="Times New Roman" w:hAnsi="Times New Roman" w:cs="Times New Roman" w:eastAsia="Times New Roman" w:hint="default"/>
          <w:spacing w:val="1"/>
        </w:rPr>
        <w:t> </w:t>
      </w:r>
      <w:r>
        <w:rPr/>
        <w:t>套房产作为抵押物进行借款抵押。</w:t>
      </w:r>
    </w:p>
    <w:p>
      <w:pPr>
        <w:spacing w:after="0" w:line="300" w:lineRule="auto"/>
        <w:jc w:val="left"/>
        <w:sectPr>
          <w:pgSz w:w="11910" w:h="16840"/>
          <w:pgMar w:header="787" w:footer="640" w:top="1100" w:bottom="840" w:left="0" w:right="0"/>
        </w:sectPr>
      </w:pPr>
    </w:p>
    <w:p>
      <w:pPr>
        <w:spacing w:line="240" w:lineRule="auto" w:before="10"/>
        <w:rPr>
          <w:rFonts w:ascii="宋体" w:hAnsi="宋体" w:cs="宋体" w:eastAsia="宋体" w:hint="default"/>
          <w:sz w:val="22"/>
          <w:szCs w:val="22"/>
        </w:rPr>
      </w:pPr>
      <w:r>
        <w:rPr/>
        <w:pict>
          <v:group style="position:absolute;margin-left:91.639999pt;margin-top:667.419983pt;width:34.2pt;height:70.25pt;mso-position-horizontal-relative:page;mso-position-vertical-relative:page;z-index:-1171360" coordorigin="1833,13348" coordsize="684,1405">
            <v:shape style="position:absolute;left:1833;top:13348;width:684;height:1405" coordorigin="1833,13348" coordsize="684,1405" path="m1833,14753l2517,14753,2517,13348,1833,13348,1833,14753xe" filled="true" fillcolor="#ffffff" stroked="false">
              <v:path arrowok="t"/>
              <v:fill type="solid"/>
            </v:shape>
            <w10:wrap type="none"/>
          </v:group>
        </w:pict>
      </w:r>
    </w:p>
    <w:p>
      <w:pPr>
        <w:pStyle w:val="BodyText"/>
        <w:spacing w:line="300" w:lineRule="auto" w:before="44"/>
        <w:ind w:left="1133" w:right="1123" w:firstLine="360"/>
        <w:jc w:val="left"/>
      </w:pPr>
      <w:r>
        <w:rPr/>
        <w:t>公司与广州农村商业银行番禺支行签订编号为</w:t>
      </w:r>
      <w:r>
        <w:rPr>
          <w:rFonts w:ascii="Times New Roman" w:hAnsi="Times New Roman" w:cs="Times New Roman" w:eastAsia="Times New Roman" w:hint="default"/>
        </w:rPr>
        <w:t>0127071201600004</w:t>
      </w:r>
      <w:r>
        <w:rPr/>
        <w:t>的最高额抵押合同，以天安总部中心</w:t>
      </w:r>
      <w:r>
        <w:rPr>
          <w:rFonts w:ascii="Times New Roman" w:hAnsi="Times New Roman" w:cs="Times New Roman" w:eastAsia="Times New Roman" w:hint="default"/>
        </w:rPr>
        <w:t>2</w:t>
      </w:r>
      <w:r>
        <w:rPr/>
        <w:t>号楼</w:t>
      </w:r>
      <w:r>
        <w:rPr>
          <w:rFonts w:ascii="Times New Roman" w:hAnsi="Times New Roman" w:cs="Times New Roman" w:eastAsia="Times New Roman" w:hint="default"/>
        </w:rPr>
        <w:t>2201</w:t>
      </w:r>
      <w:r>
        <w:rPr/>
        <w:t>、天安 总部中心</w:t>
      </w:r>
      <w:r>
        <w:rPr>
          <w:rFonts w:ascii="Times New Roman" w:hAnsi="Times New Roman" w:cs="Times New Roman" w:eastAsia="Times New Roman" w:hint="default"/>
        </w:rPr>
        <w:t>2</w:t>
      </w:r>
      <w:r>
        <w:rPr/>
        <w:t>号楼</w:t>
      </w:r>
      <w:r>
        <w:rPr>
          <w:rFonts w:ascii="Times New Roman" w:hAnsi="Times New Roman" w:cs="Times New Roman" w:eastAsia="Times New Roman" w:hint="default"/>
        </w:rPr>
        <w:t>2202</w:t>
      </w:r>
      <w:r>
        <w:rPr/>
        <w:t>两套房产作为抵押物进行借款抵押。</w:t>
      </w:r>
    </w:p>
    <w:p>
      <w:pPr>
        <w:spacing w:line="240" w:lineRule="auto" w:before="2"/>
        <w:rPr>
          <w:rFonts w:ascii="宋体" w:hAnsi="宋体" w:cs="宋体" w:eastAsia="宋体" w:hint="default"/>
          <w:sz w:val="26"/>
          <w:szCs w:val="26"/>
        </w:rPr>
      </w:pPr>
    </w:p>
    <w:p>
      <w:pPr>
        <w:pStyle w:val="Heading2"/>
        <w:spacing w:line="240" w:lineRule="auto"/>
        <w:ind w:left="1134" w:right="0"/>
        <w:jc w:val="left"/>
        <w:rPr>
          <w:b w:val="0"/>
          <w:bCs w:val="0"/>
        </w:rPr>
      </w:pPr>
      <w:bookmarkStart w:name="五、投资状况分析" w:id="43"/>
      <w:bookmarkEnd w:id="43"/>
      <w:r>
        <w:rPr>
          <w:b w:val="0"/>
          <w:bCs w:val="0"/>
        </w:rPr>
      </w:r>
      <w:r>
        <w:rPr/>
        <w:t>五、投资状况分析</w:t>
      </w:r>
      <w:r>
        <w:rPr>
          <w:b w:val="0"/>
          <w:bCs w:val="0"/>
        </w:rPr>
      </w:r>
    </w:p>
    <w:p>
      <w:pPr>
        <w:spacing w:line="240" w:lineRule="auto" w:before="0"/>
        <w:rPr>
          <w:rFonts w:ascii="宋体" w:hAnsi="宋体" w:cs="宋体" w:eastAsia="宋体" w:hint="default"/>
          <w:b/>
          <w:bCs/>
          <w:sz w:val="24"/>
          <w:szCs w:val="24"/>
        </w:rPr>
      </w:pPr>
    </w:p>
    <w:p>
      <w:pPr>
        <w:pStyle w:val="Heading3"/>
        <w:spacing w:line="240" w:lineRule="auto" w:before="163"/>
        <w:ind w:right="0"/>
        <w:jc w:val="left"/>
        <w:rPr>
          <w:b w:val="0"/>
          <w:bCs w:val="0"/>
        </w:rPr>
      </w:pPr>
      <w:bookmarkStart w:name="1、总体情况" w:id="44"/>
      <w:bookmarkEnd w:id="44"/>
      <w:r>
        <w:rPr>
          <w:b w:val="0"/>
          <w:bCs w:val="0"/>
        </w:rPr>
      </w:r>
      <w:r>
        <w:rPr>
          <w:rFonts w:ascii="Times New Roman" w:hAnsi="Times New Roman" w:cs="Times New Roman" w:eastAsia="Times New Roman" w:hint="default"/>
        </w:rPr>
        <w:t>1</w:t>
      </w:r>
      <w:r>
        <w:rPr/>
        <w:t>、总体情况</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9"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90"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36,000,000.00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033" w:right="0"/>
              <w:jc w:val="left"/>
              <w:rPr>
                <w:rFonts w:ascii="Times New Roman" w:hAnsi="Times New Roman" w:cs="Times New Roman" w:eastAsia="Times New Roman" w:hint="default"/>
                <w:sz w:val="18"/>
                <w:szCs w:val="18"/>
              </w:rPr>
            </w:pPr>
            <w:r>
              <w:rPr>
                <w:rFonts w:ascii="Times New Roman"/>
                <w:sz w:val="18"/>
              </w:rPr>
              <w:t>158,125,800.00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-77.23%</w:t>
            </w:r>
          </w:p>
        </w:tc>
      </w:tr>
    </w:tbl>
    <w:p>
      <w:pPr>
        <w:spacing w:line="240" w:lineRule="auto" w:before="1"/>
        <w:rPr>
          <w:rFonts w:ascii="宋体" w:hAnsi="宋体" w:cs="宋体" w:eastAsia="宋体" w:hint="default"/>
          <w:sz w:val="25"/>
          <w:szCs w:val="25"/>
        </w:rPr>
      </w:pPr>
    </w:p>
    <w:p>
      <w:pPr>
        <w:pStyle w:val="Heading3"/>
        <w:spacing w:line="240" w:lineRule="auto" w:before="35"/>
        <w:ind w:right="0"/>
        <w:jc w:val="left"/>
        <w:rPr>
          <w:b w:val="0"/>
          <w:bCs w:val="0"/>
        </w:rPr>
      </w:pPr>
      <w:bookmarkStart w:name="2、报告期内获取的重大的股权投资情况" w:id="45"/>
      <w:bookmarkEnd w:id="45"/>
      <w:r>
        <w:rPr>
          <w:b w:val="0"/>
          <w:bCs w:val="0"/>
        </w:rPr>
      </w: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5"/>
        <w:rPr>
          <w:rFonts w:ascii="宋体" w:hAnsi="宋体" w:cs="宋体" w:eastAsia="宋体" w:hint="default"/>
          <w:sz w:val="16"/>
          <w:szCs w:val="16"/>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13"/>
          <w:szCs w:val="13"/>
        </w:rPr>
      </w:pPr>
    </w:p>
    <w:tbl>
      <w:tblPr>
        <w:tblW w:w="0" w:type="auto"/>
        <w:jc w:val="left"/>
        <w:tblInd w:w="1129" w:type="dxa"/>
        <w:tblLayout w:type="fixed"/>
        <w:tblCellMar>
          <w:top w:w="0" w:type="dxa"/>
          <w:left w:w="0" w:type="dxa"/>
          <w:bottom w:w="0" w:type="dxa"/>
          <w:right w:w="0" w:type="dxa"/>
        </w:tblCellMar>
        <w:tblLook w:val="01E0"/>
      </w:tblPr>
      <w:tblGrid>
        <w:gridCol w:w="694"/>
        <w:gridCol w:w="694"/>
        <w:gridCol w:w="662"/>
        <w:gridCol w:w="661"/>
        <w:gridCol w:w="662"/>
        <w:gridCol w:w="663"/>
        <w:gridCol w:w="658"/>
        <w:gridCol w:w="655"/>
        <w:gridCol w:w="658"/>
        <w:gridCol w:w="629"/>
        <w:gridCol w:w="740"/>
        <w:gridCol w:w="734"/>
        <w:gridCol w:w="733"/>
        <w:gridCol w:w="724"/>
      </w:tblGrid>
      <w:tr>
        <w:trPr>
          <w:trHeight w:val="1025" w:hRule="exact"/>
        </w:trPr>
        <w:tc>
          <w:tcPr>
            <w:tcW w:w="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1" w:right="70"/>
              <w:jc w:val="center"/>
              <w:rPr>
                <w:rFonts w:ascii="宋体" w:hAnsi="宋体" w:cs="宋体" w:eastAsia="宋体" w:hint="default"/>
                <w:sz w:val="18"/>
                <w:szCs w:val="18"/>
              </w:rPr>
            </w:pPr>
            <w:r>
              <w:rPr>
                <w:rFonts w:ascii="宋体" w:hAnsi="宋体" w:cs="宋体" w:eastAsia="宋体" w:hint="default"/>
                <w:sz w:val="18"/>
                <w:szCs w:val="18"/>
              </w:rPr>
              <w:t>被投资 公司名 称</w:t>
            </w:r>
          </w:p>
        </w:tc>
        <w:tc>
          <w:tcPr>
            <w:tcW w:w="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51" w:right="71" w:hanging="180"/>
              <w:jc w:val="left"/>
              <w:rPr>
                <w:rFonts w:ascii="宋体" w:hAnsi="宋体" w:cs="宋体" w:eastAsia="宋体" w:hint="default"/>
                <w:sz w:val="18"/>
                <w:szCs w:val="18"/>
              </w:rPr>
            </w:pPr>
            <w:r>
              <w:rPr>
                <w:rFonts w:ascii="宋体" w:hAnsi="宋体" w:cs="宋体" w:eastAsia="宋体" w:hint="default"/>
                <w:sz w:val="18"/>
                <w:szCs w:val="18"/>
              </w:rPr>
              <w:t>主要业 务</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35" w:right="55" w:hanging="180"/>
              <w:jc w:val="left"/>
              <w:rPr>
                <w:rFonts w:ascii="宋体" w:hAnsi="宋体" w:cs="宋体" w:eastAsia="宋体" w:hint="default"/>
                <w:sz w:val="18"/>
                <w:szCs w:val="18"/>
              </w:rPr>
            </w:pPr>
            <w:r>
              <w:rPr>
                <w:rFonts w:ascii="宋体" w:hAnsi="宋体" w:cs="宋体" w:eastAsia="宋体" w:hint="default"/>
                <w:sz w:val="18"/>
                <w:szCs w:val="18"/>
              </w:rPr>
              <w:t>投资方 式</w:t>
            </w:r>
          </w:p>
        </w:tc>
        <w:tc>
          <w:tcPr>
            <w:tcW w:w="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35" w:right="54" w:hanging="180"/>
              <w:jc w:val="left"/>
              <w:rPr>
                <w:rFonts w:ascii="宋体" w:hAnsi="宋体" w:cs="宋体" w:eastAsia="宋体" w:hint="default"/>
                <w:sz w:val="18"/>
                <w:szCs w:val="18"/>
              </w:rPr>
            </w:pPr>
            <w:r>
              <w:rPr>
                <w:rFonts w:ascii="宋体" w:hAnsi="宋体" w:cs="宋体" w:eastAsia="宋体" w:hint="default"/>
                <w:sz w:val="18"/>
                <w:szCs w:val="18"/>
              </w:rPr>
              <w:t>投资金 额</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35" w:right="55" w:hanging="180"/>
              <w:jc w:val="left"/>
              <w:rPr>
                <w:rFonts w:ascii="宋体" w:hAnsi="宋体" w:cs="宋体" w:eastAsia="宋体" w:hint="default"/>
                <w:sz w:val="18"/>
                <w:szCs w:val="18"/>
              </w:rPr>
            </w:pPr>
            <w:r>
              <w:rPr>
                <w:rFonts w:ascii="宋体" w:hAnsi="宋体" w:cs="宋体" w:eastAsia="宋体" w:hint="default"/>
                <w:sz w:val="18"/>
                <w:szCs w:val="18"/>
              </w:rPr>
              <w:t>持股比 例</w:t>
            </w:r>
          </w:p>
        </w:tc>
        <w:tc>
          <w:tcPr>
            <w:tcW w:w="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35" w:right="57" w:hanging="180"/>
              <w:jc w:val="left"/>
              <w:rPr>
                <w:rFonts w:ascii="宋体" w:hAnsi="宋体" w:cs="宋体" w:eastAsia="宋体" w:hint="default"/>
                <w:sz w:val="18"/>
                <w:szCs w:val="18"/>
              </w:rPr>
            </w:pPr>
            <w:r>
              <w:rPr>
                <w:rFonts w:ascii="宋体" w:hAnsi="宋体" w:cs="宋体" w:eastAsia="宋体" w:hint="default"/>
                <w:sz w:val="18"/>
                <w:szCs w:val="18"/>
              </w:rPr>
              <w:t>资金来 源</w:t>
            </w:r>
          </w:p>
        </w:tc>
        <w:tc>
          <w:tcPr>
            <w:tcW w:w="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53" w:right="0"/>
              <w:jc w:val="left"/>
              <w:rPr>
                <w:rFonts w:ascii="宋体" w:hAnsi="宋体" w:cs="宋体" w:eastAsia="宋体" w:hint="default"/>
                <w:sz w:val="18"/>
                <w:szCs w:val="18"/>
              </w:rPr>
            </w:pPr>
            <w:r>
              <w:rPr>
                <w:rFonts w:ascii="宋体" w:hAnsi="宋体" w:cs="宋体" w:eastAsia="宋体" w:hint="default"/>
                <w:sz w:val="18"/>
                <w:szCs w:val="18"/>
              </w:rPr>
              <w:t>合作方</w:t>
            </w:r>
          </w:p>
        </w:tc>
        <w:tc>
          <w:tcPr>
            <w:tcW w:w="6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31" w:right="53" w:hanging="180"/>
              <w:jc w:val="left"/>
              <w:rPr>
                <w:rFonts w:ascii="宋体" w:hAnsi="宋体" w:cs="宋体" w:eastAsia="宋体" w:hint="default"/>
                <w:sz w:val="18"/>
                <w:szCs w:val="18"/>
              </w:rPr>
            </w:pPr>
            <w:r>
              <w:rPr>
                <w:rFonts w:ascii="宋体" w:hAnsi="宋体" w:cs="宋体" w:eastAsia="宋体" w:hint="default"/>
                <w:sz w:val="18"/>
                <w:szCs w:val="18"/>
              </w:rPr>
              <w:t>投资期 限</w:t>
            </w:r>
          </w:p>
        </w:tc>
        <w:tc>
          <w:tcPr>
            <w:tcW w:w="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33" w:right="53" w:hanging="180"/>
              <w:jc w:val="left"/>
              <w:rPr>
                <w:rFonts w:ascii="宋体" w:hAnsi="宋体" w:cs="宋体" w:eastAsia="宋体" w:hint="default"/>
                <w:sz w:val="18"/>
                <w:szCs w:val="18"/>
              </w:rPr>
            </w:pPr>
            <w:r>
              <w:rPr>
                <w:rFonts w:ascii="宋体" w:hAnsi="宋体" w:cs="宋体" w:eastAsia="宋体" w:hint="default"/>
                <w:sz w:val="18"/>
                <w:szCs w:val="18"/>
              </w:rPr>
              <w:t>产品类 型</w:t>
            </w:r>
          </w:p>
        </w:tc>
        <w:tc>
          <w:tcPr>
            <w:tcW w:w="6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18" w:right="38" w:hanging="180"/>
              <w:jc w:val="left"/>
              <w:rPr>
                <w:rFonts w:ascii="宋体" w:hAnsi="宋体" w:cs="宋体" w:eastAsia="宋体" w:hint="default"/>
                <w:sz w:val="18"/>
                <w:szCs w:val="18"/>
              </w:rPr>
            </w:pPr>
            <w:r>
              <w:rPr>
                <w:rFonts w:ascii="宋体" w:hAnsi="宋体" w:cs="宋体" w:eastAsia="宋体" w:hint="default"/>
                <w:sz w:val="18"/>
                <w:szCs w:val="18"/>
              </w:rPr>
              <w:t>预计收 益</w:t>
            </w:r>
          </w:p>
        </w:tc>
        <w:tc>
          <w:tcPr>
            <w:tcW w:w="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93" w:right="94"/>
              <w:jc w:val="left"/>
              <w:rPr>
                <w:rFonts w:ascii="宋体" w:hAnsi="宋体" w:cs="宋体" w:eastAsia="宋体" w:hint="default"/>
                <w:sz w:val="18"/>
                <w:szCs w:val="18"/>
              </w:rPr>
            </w:pPr>
            <w:r>
              <w:rPr>
                <w:rFonts w:ascii="宋体" w:hAnsi="宋体" w:cs="宋体" w:eastAsia="宋体" w:hint="default"/>
                <w:sz w:val="18"/>
                <w:szCs w:val="18"/>
              </w:rPr>
              <w:t>本期投 资盈亏</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71" w:right="91" w:hanging="180"/>
              <w:jc w:val="left"/>
              <w:rPr>
                <w:rFonts w:ascii="宋体" w:hAnsi="宋体" w:cs="宋体" w:eastAsia="宋体" w:hint="default"/>
                <w:sz w:val="18"/>
                <w:szCs w:val="18"/>
              </w:rPr>
            </w:pPr>
            <w:r>
              <w:rPr>
                <w:rFonts w:ascii="宋体" w:hAnsi="宋体" w:cs="宋体" w:eastAsia="宋体" w:hint="default"/>
                <w:sz w:val="18"/>
                <w:szCs w:val="18"/>
              </w:rPr>
              <w:t>是否涉 诉</w:t>
            </w:r>
          </w:p>
        </w:tc>
        <w:tc>
          <w:tcPr>
            <w:tcW w:w="7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91" w:right="90"/>
              <w:jc w:val="both"/>
              <w:rPr>
                <w:rFonts w:ascii="宋体" w:hAnsi="宋体" w:cs="宋体" w:eastAsia="宋体" w:hint="default"/>
                <w:sz w:val="18"/>
                <w:szCs w:val="18"/>
              </w:rPr>
            </w:pPr>
            <w:r>
              <w:rPr>
                <w:rFonts w:ascii="宋体" w:hAnsi="宋体" w:cs="宋体" w:eastAsia="宋体" w:hint="default"/>
                <w:sz w:val="18"/>
                <w:szCs w:val="18"/>
              </w:rPr>
              <w:t>披露日 期（如 有）</w:t>
            </w:r>
          </w:p>
        </w:tc>
        <w:tc>
          <w:tcPr>
            <w:tcW w:w="7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87" w:right="84"/>
              <w:jc w:val="both"/>
              <w:rPr>
                <w:rFonts w:ascii="宋体" w:hAnsi="宋体" w:cs="宋体" w:eastAsia="宋体" w:hint="default"/>
                <w:sz w:val="18"/>
                <w:szCs w:val="18"/>
              </w:rPr>
            </w:pPr>
            <w:r>
              <w:rPr>
                <w:rFonts w:ascii="宋体" w:hAnsi="宋体" w:cs="宋体" w:eastAsia="宋体" w:hint="default"/>
                <w:sz w:val="18"/>
                <w:szCs w:val="18"/>
              </w:rPr>
              <w:t>披露索 引（如 有）</w:t>
            </w:r>
          </w:p>
        </w:tc>
      </w:tr>
      <w:tr>
        <w:trPr>
          <w:trHeight w:val="2898" w:hRule="exact"/>
        </w:trPr>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316" w:lineRule="auto"/>
              <w:ind w:left="22" w:right="119"/>
              <w:jc w:val="both"/>
              <w:rPr>
                <w:rFonts w:ascii="宋体" w:hAnsi="宋体" w:cs="宋体" w:eastAsia="宋体" w:hint="default"/>
                <w:sz w:val="18"/>
                <w:szCs w:val="18"/>
              </w:rPr>
            </w:pPr>
            <w:r>
              <w:rPr>
                <w:rFonts w:ascii="宋体" w:hAnsi="宋体" w:cs="宋体" w:eastAsia="宋体" w:hint="default"/>
                <w:sz w:val="18"/>
                <w:szCs w:val="18"/>
              </w:rPr>
              <w:t>重庆浩 云公共 安全物 联网技 术有限 公司</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3" w:right="119"/>
              <w:jc w:val="left"/>
              <w:rPr>
                <w:rFonts w:ascii="宋体" w:hAnsi="宋体" w:cs="宋体" w:eastAsia="宋体" w:hint="default"/>
                <w:sz w:val="18"/>
                <w:szCs w:val="18"/>
              </w:rPr>
            </w:pPr>
            <w:r>
              <w:rPr>
                <w:rFonts w:ascii="宋体" w:hAnsi="宋体" w:cs="宋体" w:eastAsia="宋体" w:hint="default"/>
                <w:sz w:val="18"/>
                <w:szCs w:val="18"/>
              </w:rPr>
              <w:t>技术服 务业</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right="269"/>
              <w:jc w:val="right"/>
              <w:rPr>
                <w:rFonts w:ascii="宋体" w:hAnsi="宋体" w:cs="宋体" w:eastAsia="宋体" w:hint="default"/>
                <w:sz w:val="18"/>
                <w:szCs w:val="18"/>
              </w:rPr>
            </w:pPr>
            <w:r>
              <w:rPr>
                <w:rFonts w:ascii="宋体" w:hAnsi="宋体" w:cs="宋体" w:eastAsia="宋体" w:hint="default"/>
                <w:sz w:val="18"/>
                <w:szCs w:val="18"/>
              </w:rPr>
              <w:t>增资</w:t>
            </w:r>
          </w:p>
        </w:tc>
        <w:tc>
          <w:tcPr>
            <w:tcW w:w="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23,000,</w:t>
            </w:r>
          </w:p>
          <w:p>
            <w:pPr>
              <w:pStyle w:val="TableParagraph"/>
              <w:spacing w:line="240" w:lineRule="auto" w:before="105"/>
              <w:ind w:left="134" w:right="0"/>
              <w:jc w:val="left"/>
              <w:rPr>
                <w:rFonts w:ascii="Times New Roman" w:hAnsi="Times New Roman" w:cs="Times New Roman" w:eastAsia="Times New Roman" w:hint="default"/>
                <w:sz w:val="18"/>
                <w:szCs w:val="18"/>
              </w:rPr>
            </w:pPr>
            <w:r>
              <w:rPr>
                <w:rFonts w:ascii="Times New Roman"/>
                <w:sz w:val="18"/>
              </w:rPr>
              <w:t>000.00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2" w:right="88"/>
              <w:jc w:val="left"/>
              <w:rPr>
                <w:rFonts w:ascii="宋体" w:hAnsi="宋体" w:cs="宋体" w:eastAsia="宋体" w:hint="default"/>
                <w:sz w:val="18"/>
                <w:szCs w:val="18"/>
              </w:rPr>
            </w:pPr>
            <w:r>
              <w:rPr>
                <w:rFonts w:ascii="宋体" w:hAnsi="宋体" w:cs="宋体" w:eastAsia="宋体" w:hint="default"/>
                <w:sz w:val="18"/>
                <w:szCs w:val="18"/>
              </w:rPr>
              <w:t>募集资 金</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right="260"/>
              <w:jc w:val="right"/>
              <w:rPr>
                <w:rFonts w:ascii="宋体" w:hAnsi="宋体" w:cs="宋体" w:eastAsia="宋体" w:hint="default"/>
                <w:sz w:val="18"/>
                <w:szCs w:val="18"/>
              </w:rPr>
            </w:pPr>
            <w:r>
              <w:rPr>
                <w:rFonts w:ascii="宋体" w:hAnsi="宋体" w:cs="宋体" w:eastAsia="宋体" w:hint="default"/>
                <w:sz w:val="18"/>
                <w:szCs w:val="18"/>
              </w:rPr>
              <w:t>长期</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2" w:right="83"/>
              <w:jc w:val="left"/>
              <w:rPr>
                <w:rFonts w:ascii="宋体" w:hAnsi="宋体" w:cs="宋体" w:eastAsia="宋体" w:hint="default"/>
                <w:sz w:val="18"/>
                <w:szCs w:val="18"/>
              </w:rPr>
            </w:pPr>
            <w:r>
              <w:rPr>
                <w:rFonts w:ascii="宋体" w:hAnsi="宋体" w:cs="宋体" w:eastAsia="宋体" w:hint="default"/>
                <w:sz w:val="18"/>
                <w:szCs w:val="18"/>
              </w:rPr>
              <w:t>股权投 资</w:t>
            </w:r>
          </w:p>
        </w:tc>
        <w:tc>
          <w:tcPr>
            <w:tcW w:w="629" w:type="dxa"/>
            <w:tcBorders>
              <w:top w:val="single" w:sz="4" w:space="0" w:color="000000"/>
              <w:left w:val="single" w:sz="4" w:space="0" w:color="000000"/>
              <w:bottom w:val="single" w:sz="4" w:space="0" w:color="000000"/>
              <w:right w:val="single" w:sz="4" w:space="0" w:color="000000"/>
            </w:tcBorders>
          </w:tcPr>
          <w:p>
            <w:pP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13,041,9</w:t>
            </w:r>
          </w:p>
          <w:p>
            <w:pPr>
              <w:pStyle w:val="TableParagraph"/>
              <w:spacing w:line="240" w:lineRule="auto" w:before="105"/>
              <w:ind w:left="301" w:right="0"/>
              <w:jc w:val="left"/>
              <w:rPr>
                <w:rFonts w:ascii="Times New Roman" w:hAnsi="Times New Roman" w:cs="Times New Roman" w:eastAsia="Times New Roman" w:hint="default"/>
                <w:sz w:val="18"/>
                <w:szCs w:val="18"/>
              </w:rPr>
            </w:pPr>
            <w:r>
              <w:rPr>
                <w:rFonts w:ascii="Times New Roman"/>
                <w:sz w:val="18"/>
              </w:rPr>
              <w:t>66.86</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4"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53"/>
              <w:ind w:left="23" w:right="24"/>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 讯： </w:t>
            </w:r>
            <w:hyperlink r:id="rId18">
              <w:r>
                <w:rPr>
                  <w:rFonts w:ascii="Times New Roman" w:hAnsi="Times New Roman" w:cs="Times New Roman" w:eastAsia="Times New Roman" w:hint="default"/>
                  <w:sz w:val="18"/>
                  <w:szCs w:val="18"/>
                </w:rPr>
                <w:t>http://w</w:t>
              </w:r>
            </w:hyperlink>
          </w:p>
          <w:p>
            <w:pPr>
              <w:pStyle w:val="TableParagraph"/>
              <w:spacing w:line="362" w:lineRule="auto" w:before="23"/>
              <w:ind w:left="23" w:right="24"/>
              <w:jc w:val="left"/>
              <w:rPr>
                <w:rFonts w:ascii="Times New Roman" w:hAnsi="Times New Roman" w:cs="Times New Roman" w:eastAsia="Times New Roman" w:hint="default"/>
                <w:sz w:val="18"/>
                <w:szCs w:val="18"/>
              </w:rPr>
            </w:pPr>
            <w:r>
              <w:rPr>
                <w:rFonts w:ascii="Times New Roman"/>
                <w:spacing w:val="-2"/>
                <w:sz w:val="18"/>
              </w:rPr>
              <w:t>ww.cninf</w:t>
            </w:r>
            <w:r>
              <w:rPr>
                <w:rFonts w:ascii="Times New Roman"/>
                <w:spacing w:val="-43"/>
                <w:sz w:val="18"/>
              </w:rPr>
              <w:t> </w:t>
            </w:r>
            <w:r>
              <w:rPr>
                <w:rFonts w:ascii="Times New Roman"/>
                <w:spacing w:val="-43"/>
                <w:sz w:val="18"/>
              </w:rPr>
            </w:r>
            <w:r>
              <w:rPr>
                <w:rFonts w:ascii="Times New Roman"/>
                <w:sz w:val="18"/>
              </w:rPr>
              <w:t>o.com.cn</w:t>
            </w:r>
          </w:p>
          <w:p>
            <w:pPr>
              <w:pStyle w:val="TableParagraph"/>
              <w:spacing w:line="199" w:lineRule="exact"/>
              <w:ind w:left="23" w:right="0"/>
              <w:jc w:val="left"/>
              <w:rPr>
                <w:rFonts w:ascii="宋体" w:hAnsi="宋体" w:cs="宋体" w:eastAsia="宋体" w:hint="default"/>
                <w:sz w:val="18"/>
                <w:szCs w:val="18"/>
              </w:rPr>
            </w:pPr>
            <w:r>
              <w:rPr>
                <w:rFonts w:ascii="宋体" w:hAnsi="宋体" w:cs="宋体" w:eastAsia="宋体" w:hint="default"/>
                <w:spacing w:val="-14"/>
                <w:sz w:val="18"/>
                <w:szCs w:val="18"/>
              </w:rPr>
              <w:t>，公告编</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号：</w:t>
            </w:r>
          </w:p>
          <w:p>
            <w:pPr>
              <w:pStyle w:val="TableParagraph"/>
              <w:spacing w:line="240" w:lineRule="auto" w:before="116"/>
              <w:ind w:left="23" w:right="0"/>
              <w:jc w:val="left"/>
              <w:rPr>
                <w:rFonts w:ascii="Times New Roman" w:hAnsi="Times New Roman" w:cs="Times New Roman" w:eastAsia="Times New Roman" w:hint="default"/>
                <w:sz w:val="18"/>
                <w:szCs w:val="18"/>
              </w:rPr>
            </w:pPr>
            <w:r>
              <w:rPr>
                <w:rFonts w:ascii="Times New Roman"/>
                <w:sz w:val="18"/>
              </w:rPr>
              <w:t>2017-04</w:t>
            </w:r>
          </w:p>
          <w:p>
            <w:pPr>
              <w:pStyle w:val="TableParagraph"/>
              <w:spacing w:line="240" w:lineRule="auto" w:before="106"/>
              <w:ind w:left="23" w:right="0"/>
              <w:jc w:val="left"/>
              <w:rPr>
                <w:rFonts w:ascii="Times New Roman" w:hAnsi="Times New Roman" w:cs="Times New Roman" w:eastAsia="Times New Roman" w:hint="default"/>
                <w:sz w:val="18"/>
                <w:szCs w:val="18"/>
              </w:rPr>
            </w:pPr>
            <w:r>
              <w:rPr>
                <w:rFonts w:ascii="Times New Roman"/>
                <w:sz w:val="18"/>
              </w:rPr>
              <w:t>0</w:t>
            </w:r>
          </w:p>
        </w:tc>
      </w:tr>
      <w:tr>
        <w:trPr>
          <w:trHeight w:val="3522" w:hRule="exact"/>
        </w:trPr>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2" w:right="21"/>
              <w:jc w:val="left"/>
              <w:rPr>
                <w:rFonts w:ascii="宋体" w:hAnsi="宋体" w:cs="宋体" w:eastAsia="宋体" w:hint="default"/>
                <w:sz w:val="18"/>
                <w:szCs w:val="18"/>
              </w:rPr>
            </w:pPr>
            <w:r>
              <w:rPr>
                <w:rFonts w:ascii="宋体" w:hAnsi="宋体" w:cs="宋体" w:eastAsia="宋体" w:hint="default"/>
                <w:sz w:val="18"/>
                <w:szCs w:val="18"/>
              </w:rPr>
              <w:t>广州云 智科技 创业投 资合伙 </w:t>
            </w:r>
            <w:r>
              <w:rPr>
                <w:rFonts w:ascii="宋体" w:hAnsi="宋体" w:cs="宋体" w:eastAsia="宋体" w:hint="default"/>
                <w:spacing w:val="-21"/>
                <w:sz w:val="18"/>
                <w:szCs w:val="18"/>
              </w:rPr>
              <w:t>企业（有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限合伙</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316" w:lineRule="auto"/>
              <w:ind w:left="23" w:right="119"/>
              <w:jc w:val="left"/>
              <w:rPr>
                <w:rFonts w:ascii="宋体" w:hAnsi="宋体" w:cs="宋体" w:eastAsia="宋体" w:hint="default"/>
                <w:sz w:val="18"/>
                <w:szCs w:val="18"/>
              </w:rPr>
            </w:pPr>
            <w:r>
              <w:rPr>
                <w:rFonts w:ascii="宋体" w:hAnsi="宋体" w:cs="宋体" w:eastAsia="宋体" w:hint="default"/>
                <w:sz w:val="18"/>
                <w:szCs w:val="18"/>
              </w:rPr>
              <w:t>创业投 资</w:t>
            </w: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132" w:right="0"/>
              <w:jc w:val="left"/>
              <w:rPr>
                <w:rFonts w:ascii="宋体" w:hAnsi="宋体" w:cs="宋体" w:eastAsia="宋体" w:hint="default"/>
                <w:sz w:val="18"/>
                <w:szCs w:val="18"/>
              </w:rPr>
            </w:pPr>
            <w:r>
              <w:rPr>
                <w:rFonts w:ascii="宋体" w:hAnsi="宋体" w:cs="宋体" w:eastAsia="宋体" w:hint="default"/>
                <w:sz w:val="18"/>
                <w:szCs w:val="18"/>
              </w:rPr>
              <w:t>）</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269"/>
              <w:jc w:val="right"/>
              <w:rPr>
                <w:rFonts w:ascii="宋体" w:hAnsi="宋体" w:cs="宋体" w:eastAsia="宋体" w:hint="default"/>
                <w:sz w:val="18"/>
                <w:szCs w:val="18"/>
              </w:rPr>
            </w:pPr>
            <w:r>
              <w:rPr>
                <w:rFonts w:ascii="宋体" w:hAnsi="宋体" w:cs="宋体" w:eastAsia="宋体" w:hint="default"/>
                <w:sz w:val="18"/>
                <w:szCs w:val="18"/>
              </w:rPr>
              <w:t>新设</w:t>
            </w:r>
          </w:p>
        </w:tc>
        <w:tc>
          <w:tcPr>
            <w:tcW w:w="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66" w:right="0"/>
              <w:jc w:val="center"/>
              <w:rPr>
                <w:rFonts w:ascii="Times New Roman" w:hAnsi="Times New Roman" w:cs="Times New Roman" w:eastAsia="Times New Roman" w:hint="default"/>
                <w:sz w:val="18"/>
                <w:szCs w:val="18"/>
              </w:rPr>
            </w:pPr>
            <w:r>
              <w:rPr>
                <w:rFonts w:ascii="Times New Roman"/>
                <w:sz w:val="18"/>
              </w:rPr>
              <w:t>9,000,0</w:t>
            </w:r>
          </w:p>
          <w:p>
            <w:pPr>
              <w:pStyle w:val="TableParagraph"/>
              <w:spacing w:line="240" w:lineRule="auto" w:before="105"/>
              <w:ind w:left="202" w:right="0"/>
              <w:jc w:val="center"/>
              <w:rPr>
                <w:rFonts w:ascii="Times New Roman" w:hAnsi="Times New Roman" w:cs="Times New Roman" w:eastAsia="Times New Roman" w:hint="default"/>
                <w:sz w:val="18"/>
                <w:szCs w:val="18"/>
              </w:rPr>
            </w:pPr>
            <w:r>
              <w:rPr>
                <w:rFonts w:ascii="Times New Roman"/>
                <w:sz w:val="18"/>
              </w:rPr>
              <w:t>00.00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30.00%</w:t>
            </w:r>
          </w:p>
        </w:tc>
        <w:tc>
          <w:tcPr>
            <w:tcW w:w="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316" w:lineRule="auto"/>
              <w:ind w:left="22" w:right="88"/>
              <w:jc w:val="left"/>
              <w:rPr>
                <w:rFonts w:ascii="宋体" w:hAnsi="宋体" w:cs="宋体" w:eastAsia="宋体" w:hint="default"/>
                <w:sz w:val="18"/>
                <w:szCs w:val="18"/>
              </w:rPr>
            </w:pPr>
            <w:r>
              <w:rPr>
                <w:rFonts w:ascii="宋体" w:hAnsi="宋体" w:cs="宋体" w:eastAsia="宋体" w:hint="default"/>
                <w:sz w:val="18"/>
                <w:szCs w:val="18"/>
              </w:rPr>
              <w:t>自有资 金</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83"/>
              <w:jc w:val="left"/>
              <w:rPr>
                <w:rFonts w:ascii="宋体" w:hAnsi="宋体" w:cs="宋体" w:eastAsia="宋体" w:hint="default"/>
                <w:sz w:val="18"/>
                <w:szCs w:val="18"/>
              </w:rPr>
            </w:pPr>
            <w:r>
              <w:rPr>
                <w:rFonts w:ascii="宋体" w:hAnsi="宋体" w:cs="宋体" w:eastAsia="宋体" w:hint="default"/>
                <w:sz w:val="18"/>
                <w:szCs w:val="18"/>
              </w:rPr>
              <w:t>深圳琢 石投资 有限公 司、广 州云信 科技创 业投资 合伙企 业（有 限合 伙）</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260"/>
              <w:jc w:val="right"/>
              <w:rPr>
                <w:rFonts w:ascii="宋体" w:hAnsi="宋体" w:cs="宋体" w:eastAsia="宋体" w:hint="default"/>
                <w:sz w:val="18"/>
                <w:szCs w:val="18"/>
              </w:rPr>
            </w:pPr>
            <w:r>
              <w:rPr>
                <w:rFonts w:ascii="宋体" w:hAnsi="宋体" w:cs="宋体" w:eastAsia="宋体" w:hint="default"/>
                <w:sz w:val="18"/>
                <w:szCs w:val="18"/>
              </w:rPr>
              <w:t>长期</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316" w:lineRule="auto"/>
              <w:ind w:left="22" w:right="83"/>
              <w:jc w:val="left"/>
              <w:rPr>
                <w:rFonts w:ascii="宋体" w:hAnsi="宋体" w:cs="宋体" w:eastAsia="宋体" w:hint="default"/>
                <w:sz w:val="18"/>
                <w:szCs w:val="18"/>
              </w:rPr>
            </w:pPr>
            <w:r>
              <w:rPr>
                <w:rFonts w:ascii="宋体" w:hAnsi="宋体" w:cs="宋体" w:eastAsia="宋体" w:hint="default"/>
                <w:sz w:val="18"/>
                <w:szCs w:val="18"/>
              </w:rPr>
              <w:t>股权投 资</w:t>
            </w:r>
          </w:p>
        </w:tc>
        <w:tc>
          <w:tcPr>
            <w:tcW w:w="629" w:type="dxa"/>
            <w:tcBorders>
              <w:top w:val="single" w:sz="4" w:space="0" w:color="000000"/>
              <w:left w:val="single" w:sz="4" w:space="0" w:color="000000"/>
              <w:bottom w:val="single" w:sz="4" w:space="0" w:color="000000"/>
              <w:right w:val="single" w:sz="4" w:space="0" w:color="000000"/>
            </w:tcBorders>
          </w:tcPr>
          <w:p>
            <w:pP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38" w:lineRule="auto" w:before="129"/>
              <w:ind w:left="23" w:right="24"/>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 讯： </w:t>
            </w:r>
            <w:hyperlink r:id="rId18">
              <w:r>
                <w:rPr>
                  <w:rFonts w:ascii="Times New Roman" w:hAnsi="Times New Roman" w:cs="Times New Roman" w:eastAsia="Times New Roman" w:hint="default"/>
                  <w:sz w:val="18"/>
                  <w:szCs w:val="18"/>
                </w:rPr>
                <w:t>http://w</w:t>
              </w:r>
            </w:hyperlink>
          </w:p>
          <w:p>
            <w:pPr>
              <w:pStyle w:val="TableParagraph"/>
              <w:spacing w:line="362" w:lineRule="auto" w:before="23"/>
              <w:ind w:left="23" w:right="24"/>
              <w:jc w:val="left"/>
              <w:rPr>
                <w:rFonts w:ascii="Times New Roman" w:hAnsi="Times New Roman" w:cs="Times New Roman" w:eastAsia="Times New Roman" w:hint="default"/>
                <w:sz w:val="18"/>
                <w:szCs w:val="18"/>
              </w:rPr>
            </w:pPr>
            <w:r>
              <w:rPr>
                <w:rFonts w:ascii="Times New Roman"/>
                <w:spacing w:val="-2"/>
                <w:sz w:val="18"/>
              </w:rPr>
              <w:t>ww.cninf</w:t>
            </w:r>
            <w:r>
              <w:rPr>
                <w:rFonts w:ascii="Times New Roman"/>
                <w:spacing w:val="-43"/>
                <w:sz w:val="18"/>
              </w:rPr>
              <w:t> </w:t>
            </w:r>
            <w:r>
              <w:rPr>
                <w:rFonts w:ascii="Times New Roman"/>
                <w:spacing w:val="-43"/>
                <w:sz w:val="18"/>
              </w:rPr>
            </w:r>
            <w:r>
              <w:rPr>
                <w:rFonts w:ascii="Times New Roman"/>
                <w:sz w:val="18"/>
              </w:rPr>
              <w:t>o.com.cn</w:t>
            </w:r>
          </w:p>
          <w:p>
            <w:pPr>
              <w:pStyle w:val="TableParagraph"/>
              <w:spacing w:line="199" w:lineRule="exact"/>
              <w:ind w:left="23" w:right="0"/>
              <w:jc w:val="left"/>
              <w:rPr>
                <w:rFonts w:ascii="宋体" w:hAnsi="宋体" w:cs="宋体" w:eastAsia="宋体" w:hint="default"/>
                <w:sz w:val="18"/>
                <w:szCs w:val="18"/>
              </w:rPr>
            </w:pPr>
            <w:r>
              <w:rPr>
                <w:rFonts w:ascii="宋体" w:hAnsi="宋体" w:cs="宋体" w:eastAsia="宋体" w:hint="default"/>
                <w:spacing w:val="-14"/>
                <w:sz w:val="18"/>
                <w:szCs w:val="18"/>
              </w:rPr>
              <w:t>，公告编</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号：</w:t>
            </w:r>
          </w:p>
          <w:p>
            <w:pPr>
              <w:pStyle w:val="TableParagraph"/>
              <w:spacing w:line="240" w:lineRule="auto" w:before="116"/>
              <w:ind w:left="23" w:right="0"/>
              <w:jc w:val="left"/>
              <w:rPr>
                <w:rFonts w:ascii="Times New Roman" w:hAnsi="Times New Roman" w:cs="Times New Roman" w:eastAsia="Times New Roman" w:hint="default"/>
                <w:sz w:val="18"/>
                <w:szCs w:val="18"/>
              </w:rPr>
            </w:pPr>
            <w:r>
              <w:rPr>
                <w:rFonts w:ascii="Times New Roman"/>
                <w:sz w:val="18"/>
              </w:rPr>
              <w:t>2017-04</w:t>
            </w:r>
          </w:p>
          <w:p>
            <w:pPr>
              <w:pStyle w:val="TableParagraph"/>
              <w:spacing w:line="240" w:lineRule="auto" w:before="106"/>
              <w:ind w:left="23" w:right="0"/>
              <w:jc w:val="left"/>
              <w:rPr>
                <w:rFonts w:ascii="Times New Roman" w:hAnsi="Times New Roman" w:cs="Times New Roman" w:eastAsia="Times New Roman" w:hint="default"/>
                <w:sz w:val="18"/>
                <w:szCs w:val="18"/>
              </w:rPr>
            </w:pPr>
            <w:r>
              <w:rPr>
                <w:rFonts w:ascii="Times New Roman"/>
                <w:sz w:val="18"/>
              </w:rPr>
              <w:t>8</w:t>
            </w:r>
          </w:p>
        </w:tc>
      </w:tr>
      <w:tr>
        <w:trPr>
          <w:trHeight w:val="403" w:hRule="exact"/>
        </w:trPr>
        <w:tc>
          <w:tcPr>
            <w:tcW w:w="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265"/>
              <w:jc w:val="right"/>
              <w:rPr>
                <w:rFonts w:ascii="Times New Roman" w:hAnsi="Times New Roman" w:cs="Times New Roman" w:eastAsia="Times New Roman" w:hint="default"/>
                <w:sz w:val="18"/>
                <w:szCs w:val="18"/>
              </w:rPr>
            </w:pPr>
            <w:r>
              <w:rPr>
                <w:rFonts w:ascii="Times New Roman"/>
                <w:sz w:val="18"/>
              </w:rPr>
              <w:t>--</w:t>
            </w:r>
          </w:p>
        </w:tc>
        <w:tc>
          <w:tcPr>
            <w:tcW w:w="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88" w:right="0"/>
              <w:jc w:val="left"/>
              <w:rPr>
                <w:rFonts w:ascii="Times New Roman" w:hAnsi="Times New Roman" w:cs="Times New Roman" w:eastAsia="Times New Roman" w:hint="default"/>
                <w:sz w:val="18"/>
                <w:szCs w:val="18"/>
              </w:rPr>
            </w:pPr>
            <w:r>
              <w:rPr>
                <w:rFonts w:ascii="Times New Roman"/>
                <w:sz w:val="18"/>
              </w:rPr>
              <w:t>32,000,</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6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263"/>
              <w:jc w:val="right"/>
              <w:rPr>
                <w:rFonts w:ascii="Times New Roman" w:hAnsi="Times New Roman" w:cs="Times New Roman" w:eastAsia="Times New Roman" w:hint="default"/>
                <w:sz w:val="18"/>
                <w:szCs w:val="18"/>
              </w:rPr>
            </w:pPr>
            <w:r>
              <w:rPr>
                <w:rFonts w:ascii="Times New Roman"/>
                <w:sz w:val="18"/>
              </w:rPr>
              <w:t>--</w:t>
            </w:r>
          </w:p>
        </w:tc>
        <w:tc>
          <w:tcPr>
            <w:tcW w:w="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80" w:right="0"/>
              <w:jc w:val="left"/>
              <w:rPr>
                <w:rFonts w:ascii="Times New Roman" w:hAnsi="Times New Roman" w:cs="Times New Roman" w:eastAsia="Times New Roman" w:hint="default"/>
                <w:sz w:val="18"/>
                <w:szCs w:val="18"/>
              </w:rPr>
            </w:pPr>
            <w:r>
              <w:rPr>
                <w:rFonts w:ascii="Times New Roman"/>
                <w:sz w:val="18"/>
              </w:rPr>
              <w:t>0.00</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1"/>
              <w:jc w:val="right"/>
              <w:rPr>
                <w:rFonts w:ascii="Times New Roman" w:hAnsi="Times New Roman" w:cs="Times New Roman" w:eastAsia="Times New Roman" w:hint="default"/>
                <w:sz w:val="18"/>
                <w:szCs w:val="18"/>
              </w:rPr>
            </w:pPr>
            <w:r>
              <w:rPr>
                <w:rFonts w:ascii="Times New Roman"/>
                <w:sz w:val="18"/>
              </w:rPr>
              <w:t>13,041,9</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7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7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footerReference w:type="default" r:id="rId17"/>
          <w:pgSz w:w="11910" w:h="16840"/>
          <w:pgMar w:footer="640" w:header="787" w:top="1100" w:bottom="840" w:left="0" w:right="0"/>
        </w:sectPr>
      </w:pPr>
    </w:p>
    <w:p>
      <w:pPr>
        <w:spacing w:line="240" w:lineRule="auto" w:before="5"/>
        <w:rPr>
          <w:rFonts w:ascii="宋体" w:hAnsi="宋体" w:cs="宋体" w:eastAsia="宋体" w:hint="default"/>
          <w:sz w:val="25"/>
          <w:szCs w:val="25"/>
        </w:rPr>
      </w:pPr>
    </w:p>
    <w:tbl>
      <w:tblPr>
        <w:tblW w:w="0" w:type="auto"/>
        <w:jc w:val="left"/>
        <w:tblInd w:w="1129" w:type="dxa"/>
        <w:tblLayout w:type="fixed"/>
        <w:tblCellMar>
          <w:top w:w="0" w:type="dxa"/>
          <w:left w:w="0" w:type="dxa"/>
          <w:bottom w:w="0" w:type="dxa"/>
          <w:right w:w="0" w:type="dxa"/>
        </w:tblCellMar>
        <w:tblLook w:val="01E0"/>
      </w:tblPr>
      <w:tblGrid>
        <w:gridCol w:w="694"/>
        <w:gridCol w:w="694"/>
        <w:gridCol w:w="662"/>
        <w:gridCol w:w="662"/>
        <w:gridCol w:w="662"/>
        <w:gridCol w:w="663"/>
        <w:gridCol w:w="658"/>
        <w:gridCol w:w="655"/>
        <w:gridCol w:w="658"/>
        <w:gridCol w:w="629"/>
        <w:gridCol w:w="740"/>
        <w:gridCol w:w="734"/>
        <w:gridCol w:w="733"/>
        <w:gridCol w:w="724"/>
      </w:tblGrid>
      <w:tr>
        <w:trPr>
          <w:trHeight w:val="362" w:hRule="exact"/>
        </w:trPr>
        <w:tc>
          <w:tcPr>
            <w:tcW w:w="6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35" w:right="0"/>
              <w:jc w:val="left"/>
              <w:rPr>
                <w:rFonts w:ascii="Times New Roman" w:hAnsi="Times New Roman" w:cs="Times New Roman" w:eastAsia="Times New Roman" w:hint="default"/>
                <w:sz w:val="18"/>
                <w:szCs w:val="18"/>
              </w:rPr>
            </w:pPr>
            <w:r>
              <w:rPr>
                <w:rFonts w:ascii="Times New Roman"/>
                <w:sz w:val="18"/>
              </w:rPr>
              <w:t>000.00</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5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5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5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01" w:right="0"/>
              <w:jc w:val="left"/>
              <w:rPr>
                <w:rFonts w:ascii="Times New Roman" w:hAnsi="Times New Roman" w:cs="Times New Roman" w:eastAsia="Times New Roman" w:hint="default"/>
                <w:sz w:val="18"/>
                <w:szCs w:val="18"/>
              </w:rPr>
            </w:pPr>
            <w:r>
              <w:rPr>
                <w:rFonts w:ascii="Times New Roman"/>
                <w:sz w:val="18"/>
              </w:rPr>
              <w:t>66.86</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4"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line="240" w:lineRule="auto" w:before="1"/>
        <w:rPr>
          <w:rFonts w:ascii="宋体" w:hAnsi="宋体" w:cs="宋体" w:eastAsia="宋体" w:hint="default"/>
          <w:sz w:val="25"/>
          <w:szCs w:val="25"/>
        </w:rPr>
      </w:pPr>
    </w:p>
    <w:p>
      <w:pPr>
        <w:pStyle w:val="Heading3"/>
        <w:spacing w:line="240" w:lineRule="auto" w:before="35"/>
        <w:ind w:right="0"/>
        <w:jc w:val="left"/>
        <w:rPr>
          <w:b w:val="0"/>
          <w:bCs w:val="0"/>
        </w:rPr>
      </w:pPr>
      <w:bookmarkStart w:name="3、报告期内正在进行的重大的非股权投资情况" w:id="46"/>
      <w:bookmarkEnd w:id="46"/>
      <w:r>
        <w:rPr>
          <w:b w:val="0"/>
          <w:bCs w:val="0"/>
        </w:rPr>
      </w: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9"/>
          <w:szCs w:val="19"/>
        </w:rPr>
      </w:pPr>
    </w:p>
    <w:p>
      <w:pPr>
        <w:pStyle w:val="Heading3"/>
        <w:spacing w:line="240" w:lineRule="auto"/>
        <w:ind w:left="1133" w:right="0"/>
        <w:jc w:val="left"/>
        <w:rPr>
          <w:b w:val="0"/>
          <w:bCs w:val="0"/>
        </w:rPr>
      </w:pPr>
      <w:bookmarkStart w:name="4、以公允价值计量的金融资产" w:id="47"/>
      <w:bookmarkEnd w:id="47"/>
      <w:r>
        <w:rPr>
          <w:b w:val="0"/>
          <w:bCs w:val="0"/>
        </w:rPr>
      </w:r>
      <w:r>
        <w:rPr>
          <w:rFonts w:ascii="Times New Roman" w:hAnsi="Times New Roman" w:cs="Times New Roman" w:eastAsia="Times New Roman" w:hint="default"/>
        </w:rPr>
        <w:t>4</w:t>
      </w:r>
      <w:r>
        <w:rPr/>
        <w:t>、以公允价值计量的金融资产</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pStyle w:val="BodyText"/>
        <w:spacing w:line="240" w:lineRule="auto"/>
        <w:ind w:left="113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9"/>
          <w:szCs w:val="19"/>
        </w:rPr>
      </w:pPr>
    </w:p>
    <w:p>
      <w:pPr>
        <w:pStyle w:val="Heading3"/>
        <w:spacing w:line="240" w:lineRule="auto"/>
        <w:ind w:left="1133" w:right="0"/>
        <w:jc w:val="left"/>
        <w:rPr>
          <w:b w:val="0"/>
          <w:bCs w:val="0"/>
        </w:rPr>
      </w:pPr>
      <w:bookmarkStart w:name="5、募集资金使用情况" w:id="48"/>
      <w:bookmarkEnd w:id="48"/>
      <w:r>
        <w:rPr>
          <w:b w:val="0"/>
          <w:bCs w:val="0"/>
        </w:rPr>
      </w:r>
      <w:r>
        <w:rPr>
          <w:rFonts w:ascii="Times New Roman" w:hAnsi="Times New Roman" w:cs="Times New Roman" w:eastAsia="Times New Roman" w:hint="default"/>
        </w:rPr>
        <w:t>5</w:t>
      </w:r>
      <w:r>
        <w:rPr/>
        <w:t>、募集资金使用情况</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pStyle w:val="BodyText"/>
        <w:spacing w:line="240" w:lineRule="auto"/>
        <w:ind w:left="113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9"/>
          <w:szCs w:val="19"/>
        </w:rPr>
      </w:pPr>
    </w:p>
    <w:p>
      <w:pPr>
        <w:pStyle w:val="Heading3"/>
        <w:spacing w:line="240" w:lineRule="auto"/>
        <w:ind w:left="1133" w:right="0"/>
        <w:jc w:val="left"/>
        <w:rPr>
          <w:b w:val="0"/>
          <w:bCs w:val="0"/>
        </w:rPr>
      </w:pPr>
      <w:bookmarkStart w:name="（1）募集资金总体使用情况" w:id="49"/>
      <w:bookmarkEnd w:id="49"/>
      <w:r>
        <w:rPr>
          <w:b w:val="0"/>
          <w:bCs w:val="0"/>
        </w:rPr>
      </w: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pStyle w:val="BodyText"/>
        <w:spacing w:line="240" w:lineRule="auto"/>
        <w:ind w:left="113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5"/>
        <w:rPr>
          <w:rFonts w:ascii="宋体" w:hAnsi="宋体" w:cs="宋体" w:eastAsia="宋体" w:hint="default"/>
          <w:sz w:val="10"/>
          <w:szCs w:val="10"/>
        </w:rPr>
      </w:pPr>
    </w:p>
    <w:p>
      <w:pPr>
        <w:pStyle w:val="BodyText"/>
        <w:spacing w:line="240" w:lineRule="auto" w:before="44"/>
        <w:ind w:left="0" w:right="1130"/>
        <w:jc w:val="right"/>
      </w:pPr>
      <w:r>
        <w:rPr/>
        <w:t>单位：万元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4"/>
          <w:szCs w:val="24"/>
        </w:rPr>
      </w:pPr>
    </w:p>
    <w:p>
      <w:pPr>
        <w:pStyle w:val="BodyText"/>
        <w:spacing w:line="240" w:lineRule="auto" w:before="44"/>
        <w:ind w:left="0" w:right="1145"/>
        <w:jc w:val="right"/>
      </w:pPr>
      <w:r>
        <w:rPr/>
        <w:pict>
          <v:shape style="position:absolute;margin-left:56.459999pt;margin-top:-259.348297pt;width:478.95pt;height:341.5pt;mso-position-horizontal-relative:page;mso-position-vertical-relative:paragraph;z-index:11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866"/>
                    <w:gridCol w:w="870"/>
                    <w:gridCol w:w="870"/>
                    <w:gridCol w:w="870"/>
                    <w:gridCol w:w="870"/>
                    <w:gridCol w:w="869"/>
                    <w:gridCol w:w="870"/>
                    <w:gridCol w:w="870"/>
                    <w:gridCol w:w="870"/>
                    <w:gridCol w:w="870"/>
                    <w:gridCol w:w="869"/>
                  </w:tblGrid>
                  <w:tr>
                    <w:trPr>
                      <w:trHeight w:val="1338" w:hRule="exact"/>
                    </w:trPr>
                    <w:tc>
                      <w:tcPr>
                        <w:tcW w:w="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募集年份</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募集方式</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49" w:right="68" w:hanging="180"/>
                          <w:jc w:val="left"/>
                          <w:rPr>
                            <w:rFonts w:ascii="宋体" w:hAnsi="宋体" w:cs="宋体" w:eastAsia="宋体" w:hint="default"/>
                            <w:sz w:val="18"/>
                            <w:szCs w:val="18"/>
                          </w:rPr>
                        </w:pPr>
                        <w:r>
                          <w:rPr>
                            <w:rFonts w:ascii="宋体" w:hAnsi="宋体" w:cs="宋体" w:eastAsia="宋体" w:hint="default"/>
                            <w:sz w:val="18"/>
                            <w:szCs w:val="18"/>
                          </w:rPr>
                          <w:t>募集资金 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9" w:right="68"/>
                          <w:jc w:val="both"/>
                          <w:rPr>
                            <w:rFonts w:ascii="宋体" w:hAnsi="宋体" w:cs="宋体" w:eastAsia="宋体" w:hint="default"/>
                            <w:sz w:val="18"/>
                            <w:szCs w:val="18"/>
                          </w:rPr>
                        </w:pPr>
                        <w:r>
                          <w:rPr>
                            <w:rFonts w:ascii="宋体" w:hAnsi="宋体" w:cs="宋体" w:eastAsia="宋体" w:hint="default"/>
                            <w:sz w:val="18"/>
                            <w:szCs w:val="18"/>
                          </w:rPr>
                          <w:t>本期已使 用募集资 金总额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9" w:right="69"/>
                          <w:jc w:val="both"/>
                          <w:rPr>
                            <w:rFonts w:ascii="宋体" w:hAnsi="宋体" w:cs="宋体" w:eastAsia="宋体" w:hint="default"/>
                            <w:sz w:val="18"/>
                            <w:szCs w:val="18"/>
                          </w:rPr>
                        </w:pPr>
                        <w:r>
                          <w:rPr>
                            <w:rFonts w:ascii="宋体" w:hAnsi="宋体" w:cs="宋体" w:eastAsia="宋体" w:hint="default"/>
                            <w:sz w:val="18"/>
                            <w:szCs w:val="18"/>
                          </w:rPr>
                          <w:t>已累计使 用募集资 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8" w:right="68"/>
                          <w:jc w:val="both"/>
                          <w:rPr>
                            <w:rFonts w:ascii="宋体" w:hAnsi="宋体" w:cs="宋体" w:eastAsia="宋体" w:hint="default"/>
                            <w:sz w:val="18"/>
                            <w:szCs w:val="18"/>
                          </w:rPr>
                        </w:pPr>
                        <w:r>
                          <w:rPr>
                            <w:rFonts w:ascii="宋体" w:hAnsi="宋体" w:cs="宋体" w:eastAsia="宋体" w:hint="default"/>
                            <w:sz w:val="18"/>
                            <w:szCs w:val="18"/>
                          </w:rPr>
                          <w:t>报告期内 变更用途 的募集资 金总额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9" w:right="68"/>
                          <w:jc w:val="center"/>
                          <w:rPr>
                            <w:rFonts w:ascii="宋体" w:hAnsi="宋体" w:cs="宋体" w:eastAsia="宋体" w:hint="default"/>
                            <w:sz w:val="18"/>
                            <w:szCs w:val="18"/>
                          </w:rPr>
                        </w:pPr>
                        <w:r>
                          <w:rPr>
                            <w:rFonts w:ascii="宋体" w:hAnsi="宋体" w:cs="宋体" w:eastAsia="宋体" w:hint="default"/>
                            <w:sz w:val="18"/>
                            <w:szCs w:val="18"/>
                          </w:rPr>
                          <w:t>累计变更 用途的募 集资金总 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9" w:right="68"/>
                          <w:jc w:val="both"/>
                          <w:rPr>
                            <w:rFonts w:ascii="宋体" w:hAnsi="宋体" w:cs="宋体" w:eastAsia="宋体" w:hint="default"/>
                            <w:sz w:val="18"/>
                            <w:szCs w:val="18"/>
                          </w:rPr>
                        </w:pPr>
                        <w:r>
                          <w:rPr>
                            <w:rFonts w:ascii="宋体" w:hAnsi="宋体" w:cs="宋体" w:eastAsia="宋体" w:hint="default"/>
                            <w:sz w:val="18"/>
                            <w:szCs w:val="18"/>
                          </w:rPr>
                          <w:t>累计变更 用途的募 集资金总 额比例</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0" w:right="68"/>
                          <w:jc w:val="center"/>
                          <w:rPr>
                            <w:rFonts w:ascii="宋体" w:hAnsi="宋体" w:cs="宋体" w:eastAsia="宋体" w:hint="default"/>
                            <w:sz w:val="18"/>
                            <w:szCs w:val="18"/>
                          </w:rPr>
                        </w:pPr>
                        <w:r>
                          <w:rPr>
                            <w:rFonts w:ascii="宋体" w:hAnsi="宋体" w:cs="宋体" w:eastAsia="宋体" w:hint="default"/>
                            <w:sz w:val="18"/>
                            <w:szCs w:val="18"/>
                          </w:rPr>
                          <w:t>尚未使用 募集资金 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9" w:right="68"/>
                          <w:jc w:val="center"/>
                          <w:rPr>
                            <w:rFonts w:ascii="宋体" w:hAnsi="宋体" w:cs="宋体" w:eastAsia="宋体" w:hint="default"/>
                            <w:sz w:val="18"/>
                            <w:szCs w:val="18"/>
                          </w:rPr>
                        </w:pPr>
                        <w:r>
                          <w:rPr>
                            <w:rFonts w:ascii="宋体" w:hAnsi="宋体" w:cs="宋体" w:eastAsia="宋体" w:hint="default"/>
                            <w:sz w:val="18"/>
                            <w:szCs w:val="18"/>
                          </w:rPr>
                          <w:t>尚未使用 募集资金 用途及去 向</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8" w:right="68"/>
                          <w:jc w:val="both"/>
                          <w:rPr>
                            <w:rFonts w:ascii="宋体" w:hAnsi="宋体" w:cs="宋体" w:eastAsia="宋体" w:hint="default"/>
                            <w:sz w:val="18"/>
                            <w:szCs w:val="18"/>
                          </w:rPr>
                        </w:pPr>
                        <w:r>
                          <w:rPr>
                            <w:rFonts w:ascii="宋体" w:hAnsi="宋体" w:cs="宋体" w:eastAsia="宋体" w:hint="default"/>
                            <w:sz w:val="18"/>
                            <w:szCs w:val="18"/>
                          </w:rPr>
                          <w:t>闲置两年 以上募集 资金金额</w:t>
                        </w:r>
                      </w:p>
                    </w:tc>
                  </w:tr>
                  <w:tr>
                    <w:trPr>
                      <w:trHeight w:val="1026"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92"/>
                          <w:jc w:val="center"/>
                          <w:rPr>
                            <w:rFonts w:ascii="宋体" w:hAnsi="宋体" w:cs="宋体" w:eastAsia="宋体" w:hint="default"/>
                            <w:sz w:val="18"/>
                            <w:szCs w:val="18"/>
                          </w:rPr>
                        </w:pPr>
                        <w:r>
                          <w:rPr>
                            <w:rFonts w:ascii="宋体" w:hAnsi="宋体" w:cs="宋体" w:eastAsia="宋体" w:hint="default"/>
                            <w:sz w:val="18"/>
                            <w:szCs w:val="18"/>
                          </w:rPr>
                          <w:t>公开发行</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93" w:right="0"/>
                          <w:jc w:val="center"/>
                          <w:rPr>
                            <w:rFonts w:ascii="Times New Roman" w:hAnsi="Times New Roman" w:cs="Times New Roman" w:eastAsia="Times New Roman" w:hint="default"/>
                            <w:sz w:val="18"/>
                            <w:szCs w:val="18"/>
                          </w:rPr>
                        </w:pPr>
                        <w:r>
                          <w:rPr>
                            <w:rFonts w:ascii="Times New Roman"/>
                            <w:sz w:val="18"/>
                          </w:rPr>
                          <w:t>28,398.04</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92" w:right="0"/>
                          <w:jc w:val="center"/>
                          <w:rPr>
                            <w:rFonts w:ascii="Times New Roman" w:hAnsi="Times New Roman" w:cs="Times New Roman" w:eastAsia="Times New Roman" w:hint="default"/>
                            <w:sz w:val="18"/>
                            <w:szCs w:val="18"/>
                          </w:rPr>
                        </w:pPr>
                        <w:r>
                          <w:rPr>
                            <w:rFonts w:ascii="Times New Roman"/>
                            <w:sz w:val="18"/>
                          </w:rPr>
                          <w:t>28,453.78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5"/>
                          <w:jc w:val="both"/>
                          <w:rPr>
                            <w:rFonts w:ascii="宋体" w:hAnsi="宋体" w:cs="宋体" w:eastAsia="宋体" w:hint="default"/>
                            <w:sz w:val="18"/>
                            <w:szCs w:val="18"/>
                          </w:rPr>
                        </w:pPr>
                        <w:r>
                          <w:rPr>
                            <w:rFonts w:ascii="宋体" w:hAnsi="宋体" w:cs="宋体" w:eastAsia="宋体" w:hint="default"/>
                            <w:sz w:val="18"/>
                            <w:szCs w:val="18"/>
                          </w:rPr>
                          <w:t>募集资金 已使用完 毕</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650"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2" w:right="115"/>
                          <w:jc w:val="left"/>
                          <w:rPr>
                            <w:rFonts w:ascii="宋体" w:hAnsi="宋体" w:cs="宋体" w:eastAsia="宋体" w:hint="default"/>
                            <w:sz w:val="18"/>
                            <w:szCs w:val="18"/>
                          </w:rPr>
                        </w:pPr>
                        <w:r>
                          <w:rPr>
                            <w:rFonts w:ascii="宋体" w:hAnsi="宋体" w:cs="宋体" w:eastAsia="宋体" w:hint="default"/>
                            <w:sz w:val="18"/>
                            <w:szCs w:val="18"/>
                          </w:rPr>
                          <w:t>非公开发 行</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83" w:right="0"/>
                          <w:jc w:val="center"/>
                          <w:rPr>
                            <w:rFonts w:ascii="Times New Roman" w:hAnsi="Times New Roman" w:cs="Times New Roman" w:eastAsia="Times New Roman" w:hint="default"/>
                            <w:sz w:val="18"/>
                            <w:szCs w:val="18"/>
                          </w:rPr>
                        </w:pPr>
                        <w:r>
                          <w:rPr>
                            <w:rFonts w:ascii="Times New Roman"/>
                            <w:sz w:val="18"/>
                          </w:rPr>
                          <w:t>34,457.4</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11,530.81</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92" w:right="0"/>
                          <w:jc w:val="center"/>
                          <w:rPr>
                            <w:rFonts w:ascii="Times New Roman" w:hAnsi="Times New Roman" w:cs="Times New Roman" w:eastAsia="Times New Roman" w:hint="default"/>
                            <w:sz w:val="18"/>
                            <w:szCs w:val="18"/>
                          </w:rPr>
                        </w:pPr>
                        <w:r>
                          <w:rPr>
                            <w:rFonts w:ascii="Times New Roman"/>
                            <w:sz w:val="18"/>
                          </w:rPr>
                          <w:t>28,870.04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5,605.77</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5"/>
                          <w:jc w:val="both"/>
                          <w:rPr>
                            <w:rFonts w:ascii="宋体" w:hAnsi="宋体" w:cs="宋体" w:eastAsia="宋体" w:hint="default"/>
                            <w:sz w:val="18"/>
                            <w:szCs w:val="18"/>
                          </w:rPr>
                        </w:pPr>
                        <w:r>
                          <w:rPr>
                            <w:rFonts w:ascii="宋体" w:hAnsi="宋体" w:cs="宋体" w:eastAsia="宋体" w:hint="default"/>
                            <w:sz w:val="18"/>
                            <w:szCs w:val="18"/>
                          </w:rPr>
                          <w:t>存放于募 集资金专 户及购买 银行理财 产品</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81" w:right="0"/>
                          <w:jc w:val="center"/>
                          <w:rPr>
                            <w:rFonts w:ascii="Times New Roman" w:hAnsi="Times New Roman" w:cs="Times New Roman" w:eastAsia="Times New Roman" w:hint="default"/>
                            <w:sz w:val="18"/>
                            <w:szCs w:val="18"/>
                          </w:rPr>
                        </w:pPr>
                        <w:r>
                          <w:rPr>
                            <w:rFonts w:ascii="Times New Roman"/>
                            <w:sz w:val="18"/>
                          </w:rPr>
                          <w:t>62,855.44</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11,530.81</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2" w:right="0"/>
                          <w:jc w:val="center"/>
                          <w:rPr>
                            <w:rFonts w:ascii="Times New Roman" w:hAnsi="Times New Roman" w:cs="Times New Roman" w:eastAsia="Times New Roman" w:hint="default"/>
                            <w:sz w:val="18"/>
                            <w:szCs w:val="18"/>
                          </w:rPr>
                        </w:pPr>
                        <w:r>
                          <w:rPr>
                            <w:rFonts w:ascii="Times New Roman"/>
                            <w:sz w:val="18"/>
                          </w:rPr>
                          <w:t>57,323.82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5,605.77</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9564"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2002" w:hRule="exact"/>
                    </w:trPr>
                    <w:tc>
                      <w:tcPr>
                        <w:tcW w:w="9564"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年首次公开发行股票募集资金</w:t>
                        </w:r>
                      </w:p>
                      <w:p>
                        <w:pPr>
                          <w:pStyle w:val="TableParagraph"/>
                          <w:spacing w:line="240" w:lineRule="auto" w:before="102"/>
                          <w:ind w:left="177" w:right="0"/>
                          <w:jc w:val="center"/>
                          <w:rPr>
                            <w:rFonts w:ascii="宋体" w:hAnsi="宋体" w:cs="宋体" w:eastAsia="宋体" w:hint="default"/>
                            <w:sz w:val="18"/>
                            <w:szCs w:val="18"/>
                          </w:rPr>
                        </w:pPr>
                        <w:r>
                          <w:rPr>
                            <w:rFonts w:ascii="宋体" w:hAnsi="宋体" w:cs="宋体" w:eastAsia="宋体" w:hint="default"/>
                            <w:sz w:val="18"/>
                            <w:szCs w:val="18"/>
                          </w:rPr>
                          <w:t>本公司以前年度已使用募集资金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28,453.</w:t>
                        </w:r>
                        <w:r>
                          <w:rPr>
                            <w:rFonts w:ascii="Times New Roman" w:hAnsi="Times New Roman" w:cs="Times New Roman" w:eastAsia="Times New Roman" w:hint="default"/>
                            <w:spacing w:val="-2"/>
                            <w:sz w:val="18"/>
                            <w:szCs w:val="18"/>
                          </w:rPr>
                          <w:t>7</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r>
                          <w:rPr>
                            <w:rFonts w:ascii="宋体" w:hAnsi="宋体" w:cs="宋体" w:eastAsia="宋体" w:hint="default"/>
                            <w:spacing w:val="-78"/>
                            <w:sz w:val="18"/>
                            <w:szCs w:val="18"/>
                          </w:rPr>
                          <w:t>，</w:t>
                        </w:r>
                        <w:r>
                          <w:rPr>
                            <w:rFonts w:ascii="宋体" w:hAnsi="宋体" w:cs="宋体" w:eastAsia="宋体" w:hint="default"/>
                            <w:sz w:val="18"/>
                            <w:szCs w:val="18"/>
                          </w:rPr>
                          <w:t>以前年度收到的银行存款利息扣除银行手续费等的净额为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51.58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收到的上市费用结余</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4.9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万元，以前年度将节余募集资金永久性补充流动资金</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0.36</w:t>
                        </w:r>
                        <w:r>
                          <w:rPr>
                            <w:rFonts w:ascii="Times New Roman" w:hAnsi="Times New Roman" w:cs="Times New Roman" w:eastAsia="Times New Roman" w:hint="default"/>
                            <w:spacing w:val="-9"/>
                            <w:sz w:val="18"/>
                            <w:szCs w:val="18"/>
                          </w:rPr>
                          <w:t> </w:t>
                        </w:r>
                        <w:r>
                          <w:rPr>
                            <w:rFonts w:ascii="宋体" w:hAnsi="宋体" w:cs="宋体" w:eastAsia="宋体" w:hint="default"/>
                            <w:spacing w:val="-6"/>
                            <w:sz w:val="18"/>
                            <w:szCs w:val="18"/>
                          </w:rPr>
                          <w:t>万元；</w:t>
                        </w:r>
                        <w:r>
                          <w:rPr>
                            <w:rFonts w:ascii="Times New Roman" w:hAnsi="Times New Roman" w:cs="Times New Roman" w:eastAsia="Times New Roman" w:hint="default"/>
                            <w:spacing w:val="-6"/>
                            <w:sz w:val="18"/>
                            <w:szCs w:val="18"/>
                          </w:rPr>
                          <w:t>2017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年度将节余募集资金永久性</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补充流动资金</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0.38</w:t>
                        </w:r>
                        <w:r>
                          <w:rPr>
                            <w:rFonts w:ascii="Times New Roman" w:hAnsi="Times New Roman" w:cs="Times New Roman" w:eastAsia="Times New Roman" w:hint="default"/>
                            <w:spacing w:val="-8"/>
                            <w:sz w:val="18"/>
                            <w:szCs w:val="18"/>
                          </w:rPr>
                          <w:t> </w:t>
                        </w:r>
                        <w:r>
                          <w:rPr>
                            <w:rFonts w:ascii="宋体" w:hAnsi="宋体" w:cs="宋体" w:eastAsia="宋体" w:hint="default"/>
                            <w:spacing w:val="-4"/>
                            <w:sz w:val="18"/>
                            <w:szCs w:val="18"/>
                          </w:rPr>
                          <w:t>万元；累计已使用募集资金</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28,453.78</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万元，累计收到的银行存款利息扣除银行手续费等的净额为</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51.58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万元，累计收到上市费用结余</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万元，累计将节余募集资金永久性补充流动资金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p>
                        <w:pPr>
                          <w:pStyle w:val="TableParagraph"/>
                          <w:spacing w:line="240" w:lineRule="auto" w:before="101"/>
                          <w:ind w:left="382" w:right="0"/>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日，首次公开募集资金余额为人民币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万元（包括累计收到的银行存款利息扣除银行手续费</w:t>
                        </w:r>
                      </w:p>
                    </w:tc>
                  </w:tr>
                </w:tbl>
                <w:p>
                  <w:pPr/>
                </w:p>
              </w:txbxContent>
            </v:textbox>
            <w10:wrap type="none"/>
          </v:shape>
        </w:pict>
      </w:r>
      <w:r>
        <w:rPr/>
        <w:t>，</w:t>
      </w:r>
    </w:p>
    <w:p>
      <w:pPr>
        <w:spacing w:after="0" w:line="240" w:lineRule="auto"/>
        <w:jc w:val="right"/>
        <w:sectPr>
          <w:pgSz w:w="11910" w:h="16840"/>
          <w:pgMar w:header="787" w:footer="640" w:top="1100" w:bottom="840" w:left="0" w:right="0"/>
        </w:sectPr>
      </w:pPr>
    </w:p>
    <w:p>
      <w:pPr>
        <w:spacing w:line="240" w:lineRule="auto" w:before="10"/>
        <w:rPr>
          <w:rFonts w:ascii="宋体" w:hAnsi="宋体" w:cs="宋体" w:eastAsia="宋体" w:hint="default"/>
          <w:sz w:val="25"/>
          <w:szCs w:val="25"/>
        </w:rPr>
      </w:pPr>
    </w:p>
    <w:p>
      <w:pPr>
        <w:spacing w:line="2354" w:lineRule="exact"/>
        <w:ind w:left="1134" w:right="0" w:firstLine="0"/>
        <w:rPr>
          <w:rFonts w:ascii="宋体" w:hAnsi="宋体" w:cs="宋体" w:eastAsia="宋体" w:hint="default"/>
          <w:sz w:val="20"/>
          <w:szCs w:val="20"/>
        </w:rPr>
      </w:pPr>
      <w:r>
        <w:rPr>
          <w:rFonts w:ascii="宋体" w:hAnsi="宋体" w:cs="宋体" w:eastAsia="宋体" w:hint="default"/>
          <w:position w:val="-46"/>
          <w:sz w:val="20"/>
          <w:szCs w:val="20"/>
        </w:rPr>
        <w:pict>
          <v:shape style="width:478.2pt;height:117.75pt;mso-position-horizontal-relative:char;mso-position-vertical-relative:line" type="#_x0000_t202" filled="false" stroked="true" strokeweight=".48pt" strokecolor="#000000">
            <w10:anchorlock/>
            <v:textbox inset="0,0,0,0">
              <w:txbxContent>
                <w:p>
                  <w:pPr>
                    <w:pStyle w:val="BodyText"/>
                    <w:spacing w:line="240" w:lineRule="auto" w:before="11"/>
                    <w:ind w:left="22" w:right="0"/>
                    <w:jc w:val="left"/>
                  </w:pPr>
                  <w:r>
                    <w:rPr/>
                    <w:t>等的净额</w:t>
                  </w:r>
                  <w:r>
                    <w:rPr>
                      <w:spacing w:val="-90"/>
                    </w:rPr>
                    <w:t>）</w:t>
                  </w:r>
                  <w:r>
                    <w:rPr/>
                    <w:t>，募集资金已使用完毕，均已办理了专户注销手续。</w:t>
                  </w:r>
                </w:p>
                <w:p>
                  <w:pPr>
                    <w:pStyle w:val="BodyText"/>
                    <w:spacing w:line="240" w:lineRule="auto" w:before="117"/>
                    <w:ind w:left="292" w:right="0"/>
                    <w:jc w:val="left"/>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2016</w:t>
                  </w:r>
                  <w:r>
                    <w:rPr>
                      <w:rFonts w:ascii="Times New Roman" w:hAnsi="Times New Roman" w:cs="Times New Roman" w:eastAsia="Times New Roman" w:hint="default"/>
                      <w:spacing w:val="-1"/>
                    </w:rPr>
                    <w:t> </w:t>
                  </w:r>
                  <w:r>
                    <w:rPr/>
                    <w:t>年非公开发行股票募集资金</w:t>
                  </w:r>
                </w:p>
                <w:p>
                  <w:pPr>
                    <w:pStyle w:val="BodyText"/>
                    <w:spacing w:line="240" w:lineRule="auto" w:before="101"/>
                    <w:ind w:left="292" w:right="0"/>
                    <w:jc w:val="left"/>
                  </w:pPr>
                  <w:r>
                    <w:rPr>
                      <w:rFonts w:ascii="Times New Roman" w:hAnsi="Times New Roman" w:cs="Times New Roman" w:eastAsia="Times New Roman" w:hint="default"/>
                    </w:rPr>
                    <w:t>2017</w:t>
                  </w:r>
                  <w:r>
                    <w:rPr>
                      <w:rFonts w:ascii="Times New Roman" w:hAnsi="Times New Roman" w:cs="Times New Roman" w:eastAsia="Times New Roman" w:hint="default"/>
                      <w:spacing w:val="-3"/>
                    </w:rPr>
                    <w:t> </w:t>
                  </w:r>
                  <w:r>
                    <w:rPr/>
                    <w:t>年度实际使用募集资金</w:t>
                  </w:r>
                  <w:r>
                    <w:rPr>
                      <w:spacing w:val="-48"/>
                    </w:rPr>
                    <w:t> </w:t>
                  </w:r>
                  <w:r>
                    <w:rPr>
                      <w:rFonts w:ascii="Times New Roman" w:hAnsi="Times New Roman" w:cs="Times New Roman" w:eastAsia="Times New Roman" w:hint="default"/>
                    </w:rPr>
                    <w:t>11,530.81</w:t>
                  </w:r>
                  <w:r>
                    <w:rPr>
                      <w:rFonts w:ascii="Times New Roman" w:hAnsi="Times New Roman" w:cs="Times New Roman" w:eastAsia="Times New Roman" w:hint="default"/>
                      <w:spacing w:val="-3"/>
                    </w:rPr>
                    <w:t> </w:t>
                  </w:r>
                  <w:r>
                    <w:rPr/>
                    <w:t>万元，实际以募集资金置换预先投入募集资金投资项目的自筹资金</w:t>
                  </w:r>
                  <w:r>
                    <w:rPr>
                      <w:spacing w:val="-47"/>
                    </w:rPr>
                    <w:t> </w:t>
                  </w:r>
                  <w:r>
                    <w:rPr>
                      <w:rFonts w:ascii="Times New Roman" w:hAnsi="Times New Roman" w:cs="Times New Roman" w:eastAsia="Times New Roman" w:hint="default"/>
                    </w:rPr>
                    <w:t>17,339.23</w:t>
                  </w:r>
                  <w:r>
                    <w:rPr>
                      <w:rFonts w:ascii="Times New Roman" w:hAnsi="Times New Roman" w:cs="Times New Roman" w:eastAsia="Times New Roman" w:hint="default"/>
                      <w:spacing w:val="-3"/>
                    </w:rPr>
                    <w:t> </w:t>
                  </w:r>
                  <w:r>
                    <w:rPr/>
                    <w:t>万</w:t>
                  </w:r>
                </w:p>
                <w:p>
                  <w:pPr>
                    <w:pStyle w:val="BodyText"/>
                    <w:spacing w:line="240" w:lineRule="auto" w:before="63"/>
                    <w:ind w:left="22" w:right="0"/>
                    <w:jc w:val="left"/>
                  </w:pPr>
                  <w:r>
                    <w:rPr/>
                    <w:t>元，</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年度收到的银行存款利息扣除银行手续费等的净额为</w:t>
                  </w:r>
                  <w:r>
                    <w:rPr>
                      <w:spacing w:val="-46"/>
                    </w:rPr>
                    <w:t> </w:t>
                  </w:r>
                  <w:r>
                    <w:rPr>
                      <w:rFonts w:ascii="Times New Roman" w:hAnsi="Times New Roman" w:cs="Times New Roman" w:eastAsia="Times New Roman" w:hint="default"/>
                    </w:rPr>
                    <w:t>18.41</w:t>
                  </w:r>
                  <w:r>
                    <w:rPr>
                      <w:rFonts w:ascii="Times New Roman" w:hAnsi="Times New Roman" w:cs="Times New Roman" w:eastAsia="Times New Roman" w:hint="default"/>
                      <w:spacing w:val="-1"/>
                    </w:rPr>
                    <w:t> </w:t>
                  </w:r>
                  <w:r>
                    <w:rPr/>
                    <w:t>万元；累计已使用募集资金</w:t>
                  </w:r>
                  <w:r>
                    <w:rPr>
                      <w:spacing w:val="-46"/>
                    </w:rPr>
                    <w:t> </w:t>
                  </w:r>
                  <w:r>
                    <w:rPr>
                      <w:rFonts w:ascii="Times New Roman" w:hAnsi="Times New Roman" w:cs="Times New Roman" w:eastAsia="Times New Roman" w:hint="default"/>
                    </w:rPr>
                    <w:t>28,870.04</w:t>
                  </w:r>
                  <w:r>
                    <w:rPr>
                      <w:rFonts w:ascii="Times New Roman" w:hAnsi="Times New Roman" w:cs="Times New Roman" w:eastAsia="Times New Roman" w:hint="default"/>
                      <w:spacing w:val="-1"/>
                    </w:rPr>
                    <w:t> </w:t>
                  </w:r>
                  <w:r>
                    <w:rPr/>
                    <w:t>万元，累计收</w:t>
                  </w:r>
                </w:p>
                <w:p>
                  <w:pPr>
                    <w:pStyle w:val="BodyText"/>
                    <w:spacing w:line="240" w:lineRule="auto" w:before="64"/>
                    <w:ind w:left="22" w:right="0"/>
                    <w:jc w:val="left"/>
                  </w:pPr>
                  <w:r>
                    <w:rPr/>
                    <w:t>到的银行存款利息扣除银行手续费等的净额为</w:t>
                  </w:r>
                  <w:r>
                    <w:rPr>
                      <w:spacing w:val="-46"/>
                    </w:rPr>
                    <w:t> </w:t>
                  </w:r>
                  <w:r>
                    <w:rPr>
                      <w:rFonts w:ascii="Times New Roman" w:hAnsi="Times New Roman" w:cs="Times New Roman" w:eastAsia="Times New Roman" w:hint="default"/>
                    </w:rPr>
                    <w:t>18.41 </w:t>
                  </w:r>
                  <w:r>
                    <w:rPr/>
                    <w:t>万元。</w:t>
                  </w:r>
                </w:p>
                <w:p>
                  <w:pPr>
                    <w:pStyle w:val="BodyText"/>
                    <w:spacing w:line="240" w:lineRule="auto" w:before="101"/>
                    <w:ind w:left="292" w:right="0"/>
                    <w:jc w:val="left"/>
                  </w:pPr>
                  <w:r>
                    <w:rPr/>
                    <w:t>截至</w:t>
                  </w:r>
                  <w:r>
                    <w:rPr>
                      <w:spacing w:val="-50"/>
                    </w:rPr>
                    <w:t> </w:t>
                  </w:r>
                  <w:r>
                    <w:rPr>
                      <w:rFonts w:ascii="Times New Roman" w:hAnsi="Times New Roman" w:cs="Times New Roman" w:eastAsia="Times New Roman" w:hint="default"/>
                    </w:rPr>
                    <w:t>2017</w:t>
                  </w:r>
                  <w:r>
                    <w:rPr>
                      <w:rFonts w:ascii="Times New Roman" w:hAnsi="Times New Roman" w:cs="Times New Roman" w:eastAsia="Times New Roman" w:hint="default"/>
                      <w:spacing w:val="-5"/>
                    </w:rPr>
                    <w:t> </w:t>
                  </w:r>
                  <w:r>
                    <w:rPr/>
                    <w:t>年</w:t>
                  </w:r>
                  <w:r>
                    <w:rPr>
                      <w:spacing w:val="-50"/>
                    </w:rPr>
                    <w:t> </w:t>
                  </w:r>
                  <w:r>
                    <w:rPr>
                      <w:rFonts w:ascii="Times New Roman" w:hAnsi="Times New Roman" w:cs="Times New Roman" w:eastAsia="Times New Roman" w:hint="default"/>
                    </w:rPr>
                    <w:t>12</w:t>
                  </w:r>
                  <w:r>
                    <w:rPr>
                      <w:rFonts w:ascii="Times New Roman" w:hAnsi="Times New Roman" w:cs="Times New Roman" w:eastAsia="Times New Roman" w:hint="default"/>
                      <w:spacing w:val="-5"/>
                    </w:rPr>
                    <w:t> </w:t>
                  </w:r>
                  <w:r>
                    <w:rPr/>
                    <w:t>月</w:t>
                  </w:r>
                  <w:r>
                    <w:rPr>
                      <w:spacing w:val="-50"/>
                    </w:rPr>
                    <w:t> </w:t>
                  </w:r>
                  <w:r>
                    <w:rPr>
                      <w:rFonts w:ascii="Times New Roman" w:hAnsi="Times New Roman" w:cs="Times New Roman" w:eastAsia="Times New Roman" w:hint="default"/>
                    </w:rPr>
                    <w:t>31</w:t>
                  </w:r>
                  <w:r>
                    <w:rPr>
                      <w:rFonts w:ascii="Times New Roman" w:hAnsi="Times New Roman" w:cs="Times New Roman" w:eastAsia="Times New Roman" w:hint="default"/>
                      <w:spacing w:val="-5"/>
                    </w:rPr>
                    <w:t> </w:t>
                  </w:r>
                  <w:r>
                    <w:rPr/>
                    <w:t>日，募集资金余额为人民币</w:t>
                  </w:r>
                  <w:r>
                    <w:rPr>
                      <w:spacing w:val="-50"/>
                    </w:rPr>
                    <w:t> </w:t>
                  </w:r>
                  <w:r>
                    <w:rPr>
                      <w:rFonts w:ascii="Times New Roman" w:hAnsi="Times New Roman" w:cs="Times New Roman" w:eastAsia="Times New Roman" w:hint="default"/>
                    </w:rPr>
                    <w:t>5,605.77</w:t>
                  </w:r>
                  <w:r>
                    <w:rPr>
                      <w:rFonts w:ascii="Times New Roman" w:hAnsi="Times New Roman" w:cs="Times New Roman" w:eastAsia="Times New Roman" w:hint="default"/>
                      <w:spacing w:val="-5"/>
                    </w:rPr>
                    <w:t> </w:t>
                  </w:r>
                  <w:r>
                    <w:rPr/>
                    <w:t>万元（包括累计收到的银行存款利息扣除银行手续费等的净</w:t>
                  </w:r>
                </w:p>
                <w:p>
                  <w:pPr>
                    <w:pStyle w:val="BodyText"/>
                    <w:spacing w:line="240" w:lineRule="auto" w:before="64"/>
                    <w:ind w:left="22" w:right="0"/>
                    <w:jc w:val="left"/>
                  </w:pPr>
                  <w:r>
                    <w:rPr/>
                    <w:t>额</w:t>
                  </w:r>
                  <w:r>
                    <w:rPr>
                      <w:spacing w:val="-90"/>
                    </w:rPr>
                    <w:t>）</w:t>
                  </w:r>
                  <w:r>
                    <w:rPr/>
                    <w:t>，其中购买理财产品余额为</w:t>
                  </w:r>
                  <w:r>
                    <w:rPr>
                      <w:spacing w:val="-46"/>
                    </w:rPr>
                    <w:t> </w:t>
                  </w:r>
                  <w:r>
                    <w:rPr>
                      <w:rFonts w:ascii="Times New Roman" w:hAnsi="Times New Roman" w:cs="Times New Roman" w:eastAsia="Times New Roman" w:hint="default"/>
                    </w:rPr>
                    <w:t>3,500.00</w:t>
                  </w:r>
                  <w:r>
                    <w:rPr>
                      <w:rFonts w:ascii="Times New Roman" w:hAnsi="Times New Roman" w:cs="Times New Roman" w:eastAsia="Times New Roman" w:hint="default"/>
                      <w:spacing w:val="-1"/>
                    </w:rPr>
                    <w:t> </w:t>
                  </w:r>
                  <w:r>
                    <w:rPr/>
                    <w:t>万元。</w:t>
                  </w:r>
                </w:p>
              </w:txbxContent>
            </v:textbox>
          </v:shape>
        </w:pict>
      </w:r>
      <w:r>
        <w:rPr>
          <w:rFonts w:ascii="宋体" w:hAnsi="宋体" w:cs="宋体" w:eastAsia="宋体" w:hint="default"/>
          <w:position w:val="-46"/>
          <w:sz w:val="20"/>
          <w:szCs w:val="20"/>
        </w:rPr>
      </w:r>
    </w:p>
    <w:p>
      <w:pPr>
        <w:spacing w:line="240" w:lineRule="auto" w:before="6"/>
        <w:rPr>
          <w:rFonts w:ascii="宋体" w:hAnsi="宋体" w:cs="宋体" w:eastAsia="宋体" w:hint="default"/>
          <w:sz w:val="25"/>
          <w:szCs w:val="25"/>
        </w:rPr>
      </w:pPr>
    </w:p>
    <w:p>
      <w:pPr>
        <w:pStyle w:val="Heading3"/>
        <w:spacing w:line="240" w:lineRule="auto" w:before="35"/>
        <w:ind w:right="0"/>
        <w:jc w:val="left"/>
        <w:rPr>
          <w:b w:val="0"/>
          <w:bCs w:val="0"/>
        </w:rPr>
      </w:pPr>
      <w:bookmarkStart w:name="（2）募集资金承诺项目情况" w:id="50"/>
      <w:bookmarkEnd w:id="50"/>
      <w:r>
        <w:rPr>
          <w:b w:val="0"/>
          <w:bCs w:val="0"/>
        </w:rPr>
      </w: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5"/>
        <w:rPr>
          <w:rFonts w:ascii="宋体" w:hAnsi="宋体" w:cs="宋体" w:eastAsia="宋体" w:hint="default"/>
          <w:sz w:val="16"/>
          <w:szCs w:val="16"/>
        </w:rPr>
      </w:pPr>
    </w:p>
    <w:p>
      <w:pPr>
        <w:pStyle w:val="BodyText"/>
        <w:spacing w:line="240" w:lineRule="auto" w:before="44"/>
        <w:ind w:left="0" w:right="1130"/>
        <w:jc w:val="right"/>
      </w:pPr>
      <w:r>
        <w:rPr/>
        <w:t>单位：万元</w:t>
      </w:r>
    </w:p>
    <w:p>
      <w:pPr>
        <w:spacing w:line="240" w:lineRule="auto" w:before="0"/>
        <w:rPr>
          <w:rFonts w:ascii="宋体" w:hAnsi="宋体" w:cs="宋体" w:eastAsia="宋体" w:hint="default"/>
          <w:sz w:val="14"/>
          <w:szCs w:val="14"/>
        </w:rPr>
      </w:pPr>
    </w:p>
    <w:tbl>
      <w:tblPr>
        <w:tblW w:w="0" w:type="auto"/>
        <w:jc w:val="left"/>
        <w:tblInd w:w="1129" w:type="dxa"/>
        <w:tblLayout w:type="fixed"/>
        <w:tblCellMar>
          <w:top w:w="0" w:type="dxa"/>
          <w:left w:w="0" w:type="dxa"/>
          <w:bottom w:w="0" w:type="dxa"/>
          <w:right w:w="0" w:type="dxa"/>
        </w:tblCellMar>
        <w:tblLook w:val="01E0"/>
      </w:tblPr>
      <w:tblGrid>
        <w:gridCol w:w="1770"/>
        <w:gridCol w:w="779"/>
        <w:gridCol w:w="780"/>
        <w:gridCol w:w="780"/>
        <w:gridCol w:w="779"/>
        <w:gridCol w:w="780"/>
        <w:gridCol w:w="780"/>
        <w:gridCol w:w="780"/>
        <w:gridCol w:w="780"/>
        <w:gridCol w:w="780"/>
        <w:gridCol w:w="780"/>
      </w:tblGrid>
      <w:tr>
        <w:trPr>
          <w:trHeight w:val="1338"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520" w:right="69" w:hanging="451"/>
              <w:jc w:val="left"/>
              <w:rPr>
                <w:rFonts w:ascii="宋体" w:hAnsi="宋体" w:cs="宋体" w:eastAsia="宋体" w:hint="default"/>
                <w:sz w:val="18"/>
                <w:szCs w:val="18"/>
              </w:rPr>
            </w:pPr>
            <w:r>
              <w:rPr>
                <w:rFonts w:ascii="宋体" w:hAnsi="宋体" w:cs="宋体" w:eastAsia="宋体" w:hint="default"/>
                <w:sz w:val="18"/>
                <w:szCs w:val="18"/>
              </w:rPr>
              <w:t>承诺投资项目和超募 资金投向</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1"/>
              <w:ind w:left="24"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是否已变 更项目 </w:t>
            </w:r>
            <w:r>
              <w:rPr>
                <w:rFonts w:ascii="Times New Roman" w:hAnsi="Times New Roman" w:cs="Times New Roman" w:eastAsia="Times New Roman" w:hint="default"/>
                <w:sz w:val="18"/>
                <w:szCs w:val="18"/>
              </w:rPr>
              <w:t>(</w:t>
            </w:r>
            <w:r>
              <w:rPr>
                <w:rFonts w:ascii="宋体" w:hAnsi="宋体" w:cs="宋体" w:eastAsia="宋体" w:hint="default"/>
                <w:sz w:val="18"/>
                <w:szCs w:val="18"/>
              </w:rPr>
              <w:t>含部分 变更</w:t>
            </w:r>
            <w:r>
              <w:rPr>
                <w:rFonts w:ascii="Times New Roman" w:hAnsi="Times New Roman" w:cs="Times New Roman" w:eastAsia="Times New Roman" w:hint="default"/>
                <w:sz w:val="18"/>
                <w:szCs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4" w:right="24"/>
              <w:jc w:val="center"/>
              <w:rPr>
                <w:rFonts w:ascii="宋体" w:hAnsi="宋体" w:cs="宋体" w:eastAsia="宋体" w:hint="default"/>
                <w:sz w:val="18"/>
                <w:szCs w:val="18"/>
              </w:rPr>
            </w:pPr>
            <w:r>
              <w:rPr>
                <w:rFonts w:ascii="宋体" w:hAnsi="宋体" w:cs="宋体" w:eastAsia="宋体" w:hint="default"/>
                <w:sz w:val="18"/>
                <w:szCs w:val="18"/>
              </w:rPr>
              <w:t>募集资金 承诺投资 总额</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38" w:lineRule="auto"/>
              <w:ind w:left="24" w:right="24"/>
              <w:jc w:val="center"/>
              <w:rPr>
                <w:rFonts w:ascii="Times New Roman" w:hAnsi="Times New Roman" w:cs="Times New Roman" w:eastAsia="Times New Roman" w:hint="default"/>
                <w:sz w:val="18"/>
                <w:szCs w:val="18"/>
              </w:rPr>
            </w:pPr>
            <w:r>
              <w:rPr>
                <w:rFonts w:ascii="宋体" w:hAnsi="宋体" w:cs="宋体" w:eastAsia="宋体" w:hint="default"/>
                <w:sz w:val="18"/>
                <w:szCs w:val="18"/>
              </w:rPr>
              <w:t>调整后投 资总额 </w:t>
            </w:r>
            <w:r>
              <w:rPr>
                <w:rFonts w:ascii="Times New Roman" w:hAnsi="Times New Roman" w:cs="Times New Roman" w:eastAsia="Times New Roman" w:hint="default"/>
                <w:sz w:val="18"/>
                <w:szCs w:val="18"/>
              </w:rPr>
              <w:t>(1)</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3" w:right="23"/>
              <w:jc w:val="left"/>
              <w:rPr>
                <w:rFonts w:ascii="宋体" w:hAnsi="宋体" w:cs="宋体" w:eastAsia="宋体" w:hint="default"/>
                <w:sz w:val="18"/>
                <w:szCs w:val="18"/>
              </w:rPr>
            </w:pPr>
            <w:r>
              <w:rPr>
                <w:rFonts w:ascii="宋体" w:hAnsi="宋体" w:cs="宋体" w:eastAsia="宋体" w:hint="default"/>
                <w:sz w:val="18"/>
                <w:szCs w:val="18"/>
              </w:rPr>
              <w:t>本报告期 投入金额</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5" w:right="23"/>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截至期末 累计投入 金额</w:t>
            </w:r>
            <w:r>
              <w:rPr>
                <w:rFonts w:ascii="Times New Roman" w:hAnsi="Times New Roman" w:cs="Times New Roman" w:eastAsia="Times New Roman" w:hint="default"/>
                <w:sz w:val="18"/>
                <w:szCs w:val="18"/>
              </w:rPr>
              <w:t>(2)</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51"/>
              <w:ind w:left="25"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 投资进度 </w:t>
            </w:r>
            <w:r>
              <w:rPr>
                <w:rFonts w:ascii="Times New Roman" w:hAnsi="Times New Roman" w:cs="Times New Roman" w:eastAsia="Times New Roman" w:hint="default"/>
                <w:sz w:val="18"/>
                <w:szCs w:val="18"/>
              </w:rPr>
              <w:t>(3)</w:t>
            </w:r>
            <w:r>
              <w:rPr>
                <w:rFonts w:ascii="宋体" w:hAnsi="宋体" w:cs="宋体" w:eastAsia="宋体" w:hint="default"/>
                <w:sz w:val="18"/>
                <w:szCs w:val="18"/>
              </w:rPr>
              <w:t>＝ </w:t>
            </w:r>
            <w:r>
              <w:rPr>
                <w:rFonts w:ascii="Times New Roman" w:hAnsi="Times New Roman" w:cs="Times New Roman" w:eastAsia="Times New Roman" w:hint="default"/>
                <w:sz w:val="18"/>
                <w:szCs w:val="18"/>
              </w:rPr>
              <w:t>(2)/(1)</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5" w:right="23"/>
              <w:jc w:val="center"/>
              <w:rPr>
                <w:rFonts w:ascii="宋体" w:hAnsi="宋体" w:cs="宋体" w:eastAsia="宋体" w:hint="default"/>
                <w:sz w:val="18"/>
                <w:szCs w:val="18"/>
              </w:rPr>
            </w:pPr>
            <w:r>
              <w:rPr>
                <w:rFonts w:ascii="宋体" w:hAnsi="宋体" w:cs="宋体" w:eastAsia="宋体" w:hint="default"/>
                <w:sz w:val="18"/>
                <w:szCs w:val="18"/>
              </w:rPr>
              <w:t>项目达到 预定可使 用状态日 期</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5" w:right="23"/>
              <w:jc w:val="center"/>
              <w:rPr>
                <w:rFonts w:ascii="宋体" w:hAnsi="宋体" w:cs="宋体" w:eastAsia="宋体" w:hint="default"/>
                <w:sz w:val="18"/>
                <w:szCs w:val="18"/>
              </w:rPr>
            </w:pPr>
            <w:r>
              <w:rPr>
                <w:rFonts w:ascii="宋体" w:hAnsi="宋体" w:cs="宋体" w:eastAsia="宋体" w:hint="default"/>
                <w:sz w:val="18"/>
                <w:szCs w:val="18"/>
              </w:rPr>
              <w:t>本报告期 实现的效 益</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5" w:right="23"/>
              <w:jc w:val="left"/>
              <w:rPr>
                <w:rFonts w:ascii="宋体" w:hAnsi="宋体" w:cs="宋体" w:eastAsia="宋体" w:hint="default"/>
                <w:sz w:val="18"/>
                <w:szCs w:val="18"/>
              </w:rPr>
            </w:pPr>
            <w:r>
              <w:rPr>
                <w:rFonts w:ascii="宋体" w:hAnsi="宋体" w:cs="宋体" w:eastAsia="宋体" w:hint="default"/>
                <w:sz w:val="18"/>
                <w:szCs w:val="18"/>
              </w:rPr>
              <w:t>是否达到 预计效益</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5" w:right="23"/>
              <w:jc w:val="center"/>
              <w:rPr>
                <w:rFonts w:ascii="宋体" w:hAnsi="宋体" w:cs="宋体" w:eastAsia="宋体" w:hint="default"/>
                <w:sz w:val="18"/>
                <w:szCs w:val="18"/>
              </w:rPr>
            </w:pPr>
            <w:r>
              <w:rPr>
                <w:rFonts w:ascii="宋体" w:hAnsi="宋体" w:cs="宋体" w:eastAsia="宋体" w:hint="default"/>
                <w:sz w:val="18"/>
                <w:szCs w:val="18"/>
              </w:rPr>
              <w:t>项目可行 性是否发 生重大变 化</w:t>
            </w:r>
          </w:p>
        </w:tc>
      </w:tr>
      <w:tr>
        <w:trPr>
          <w:trHeight w:val="402" w:hRule="exact"/>
        </w:trPr>
        <w:tc>
          <w:tcPr>
            <w:tcW w:w="9569"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7"/>
              <w:jc w:val="both"/>
              <w:rPr>
                <w:rFonts w:ascii="宋体" w:hAnsi="宋体" w:cs="宋体" w:eastAsia="宋体" w:hint="default"/>
                <w:sz w:val="18"/>
                <w:szCs w:val="18"/>
              </w:rPr>
            </w:pPr>
            <w:r>
              <w:rPr>
                <w:rFonts w:ascii="宋体" w:hAnsi="宋体" w:cs="宋体" w:eastAsia="宋体" w:hint="default"/>
                <w:sz w:val="18"/>
                <w:szCs w:val="18"/>
              </w:rPr>
              <w:t>银行大型平台流媒体 综合安防系统解决方 案技术改造项目</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93" w:right="0"/>
              <w:jc w:val="center"/>
              <w:rPr>
                <w:rFonts w:ascii="Times New Roman" w:hAnsi="Times New Roman" w:cs="Times New Roman" w:eastAsia="Times New Roman" w:hint="default"/>
                <w:sz w:val="18"/>
                <w:szCs w:val="18"/>
              </w:rPr>
            </w:pPr>
            <w:r>
              <w:rPr>
                <w:rFonts w:ascii="Times New Roman"/>
                <w:sz w:val="18"/>
              </w:rPr>
              <w:t>3,602.55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3,602.55</w:t>
            </w: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3,604.35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1" w:right="0"/>
              <w:jc w:val="center"/>
              <w:rPr>
                <w:rFonts w:ascii="Times New Roman" w:hAnsi="Times New Roman" w:cs="Times New Roman" w:eastAsia="Times New Roman" w:hint="default"/>
                <w:sz w:val="18"/>
                <w:szCs w:val="18"/>
              </w:rPr>
            </w:pPr>
            <w:r>
              <w:rPr>
                <w:rFonts w:ascii="Times New Roman"/>
                <w:sz w:val="18"/>
              </w:rPr>
              <w:t>100.05%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1,224.48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17"/>
              <w:jc w:val="left"/>
              <w:rPr>
                <w:rFonts w:ascii="宋体" w:hAnsi="宋体" w:cs="宋体" w:eastAsia="宋体" w:hint="default"/>
                <w:sz w:val="18"/>
                <w:szCs w:val="18"/>
              </w:rPr>
            </w:pPr>
            <w:r>
              <w:rPr>
                <w:rFonts w:ascii="宋体" w:hAnsi="宋体" w:cs="宋体" w:eastAsia="宋体" w:hint="default"/>
                <w:sz w:val="18"/>
                <w:szCs w:val="18"/>
              </w:rPr>
              <w:t>银行自助设备智能安 防系统技术改造项目</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93" w:right="0"/>
              <w:jc w:val="center"/>
              <w:rPr>
                <w:rFonts w:ascii="Times New Roman" w:hAnsi="Times New Roman" w:cs="Times New Roman" w:eastAsia="Times New Roman" w:hint="default"/>
                <w:sz w:val="18"/>
                <w:szCs w:val="18"/>
              </w:rPr>
            </w:pPr>
            <w:r>
              <w:rPr>
                <w:rFonts w:ascii="Times New Roman"/>
                <w:sz w:val="18"/>
              </w:rPr>
              <w:t>5,960.25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5,960.25</w:t>
            </w: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5,965.35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1" w:right="0"/>
              <w:jc w:val="center"/>
              <w:rPr>
                <w:rFonts w:ascii="Times New Roman" w:hAnsi="Times New Roman" w:cs="Times New Roman" w:eastAsia="Times New Roman" w:hint="default"/>
                <w:sz w:val="18"/>
                <w:szCs w:val="18"/>
              </w:rPr>
            </w:pPr>
            <w:r>
              <w:rPr>
                <w:rFonts w:ascii="Times New Roman"/>
                <w:sz w:val="18"/>
              </w:rPr>
              <w:t>100.09%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1,590.82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17"/>
              <w:jc w:val="left"/>
              <w:rPr>
                <w:rFonts w:ascii="宋体" w:hAnsi="宋体" w:cs="宋体" w:eastAsia="宋体" w:hint="default"/>
                <w:sz w:val="18"/>
                <w:szCs w:val="18"/>
              </w:rPr>
            </w:pPr>
            <w:r>
              <w:rPr>
                <w:rFonts w:ascii="宋体" w:hAnsi="宋体" w:cs="宋体" w:eastAsia="宋体" w:hint="default"/>
                <w:sz w:val="18"/>
                <w:szCs w:val="18"/>
              </w:rPr>
              <w:t>研发中心建设技术改 造项目</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93" w:right="0"/>
              <w:jc w:val="center"/>
              <w:rPr>
                <w:rFonts w:ascii="Times New Roman" w:hAnsi="Times New Roman" w:cs="Times New Roman" w:eastAsia="Times New Roman" w:hint="default"/>
                <w:sz w:val="18"/>
                <w:szCs w:val="18"/>
              </w:rPr>
            </w:pPr>
            <w:r>
              <w:rPr>
                <w:rFonts w:ascii="Times New Roman"/>
                <w:sz w:val="18"/>
              </w:rPr>
              <w:t>3,592.63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3,592.63</w:t>
            </w: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3,608.16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1" w:right="0"/>
              <w:jc w:val="center"/>
              <w:rPr>
                <w:rFonts w:ascii="Times New Roman" w:hAnsi="Times New Roman" w:cs="Times New Roman" w:eastAsia="Times New Roman" w:hint="default"/>
                <w:sz w:val="18"/>
                <w:szCs w:val="18"/>
              </w:rPr>
            </w:pPr>
            <w:r>
              <w:rPr>
                <w:rFonts w:ascii="Times New Roman"/>
                <w:sz w:val="18"/>
              </w:rPr>
              <w:t>100.43%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17"/>
              <w:jc w:val="left"/>
              <w:rPr>
                <w:rFonts w:ascii="宋体" w:hAnsi="宋体" w:cs="宋体" w:eastAsia="宋体" w:hint="default"/>
                <w:sz w:val="18"/>
                <w:szCs w:val="18"/>
              </w:rPr>
            </w:pPr>
            <w:r>
              <w:rPr>
                <w:rFonts w:ascii="宋体" w:hAnsi="宋体" w:cs="宋体" w:eastAsia="宋体" w:hint="default"/>
                <w:sz w:val="18"/>
                <w:szCs w:val="18"/>
              </w:rPr>
              <w:t>营销及服务网络升级 技术改造项目</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93" w:right="0"/>
              <w:jc w:val="center"/>
              <w:rPr>
                <w:rFonts w:ascii="Times New Roman" w:hAnsi="Times New Roman" w:cs="Times New Roman" w:eastAsia="Times New Roman" w:hint="default"/>
                <w:sz w:val="18"/>
                <w:szCs w:val="18"/>
              </w:rPr>
            </w:pPr>
            <w:r>
              <w:rPr>
                <w:rFonts w:ascii="Times New Roman"/>
                <w:sz w:val="18"/>
              </w:rPr>
              <w:t>3,544.15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3,544.15</w:t>
            </w: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3,555.49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1" w:right="0"/>
              <w:jc w:val="center"/>
              <w:rPr>
                <w:rFonts w:ascii="Times New Roman" w:hAnsi="Times New Roman" w:cs="Times New Roman" w:eastAsia="Times New Roman" w:hint="default"/>
                <w:sz w:val="18"/>
                <w:szCs w:val="18"/>
              </w:rPr>
            </w:pPr>
            <w:r>
              <w:rPr>
                <w:rFonts w:ascii="Times New Roman"/>
                <w:sz w:val="18"/>
              </w:rPr>
              <w:t>100.32%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17"/>
              <w:jc w:val="left"/>
              <w:rPr>
                <w:rFonts w:ascii="宋体" w:hAnsi="宋体" w:cs="宋体" w:eastAsia="宋体" w:hint="default"/>
                <w:sz w:val="18"/>
                <w:szCs w:val="18"/>
              </w:rPr>
            </w:pPr>
            <w:r>
              <w:rPr>
                <w:rFonts w:ascii="宋体" w:hAnsi="宋体" w:cs="宋体" w:eastAsia="宋体" w:hint="default"/>
                <w:sz w:val="18"/>
                <w:szCs w:val="18"/>
              </w:rPr>
              <w:t>银行主动安防综合管 理系统项目</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93" w:right="0"/>
              <w:jc w:val="center"/>
              <w:rPr>
                <w:rFonts w:ascii="Times New Roman" w:hAnsi="Times New Roman" w:cs="Times New Roman" w:eastAsia="Times New Roman" w:hint="default"/>
                <w:sz w:val="18"/>
                <w:szCs w:val="18"/>
              </w:rPr>
            </w:pPr>
            <w:r>
              <w:rPr>
                <w:rFonts w:ascii="Times New Roman"/>
                <w:sz w:val="18"/>
              </w:rPr>
              <w:t>7,078.56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7,078.56</w:t>
            </w: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7,100.53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1" w:right="0"/>
              <w:jc w:val="center"/>
              <w:rPr>
                <w:rFonts w:ascii="Times New Roman" w:hAnsi="Times New Roman" w:cs="Times New Roman" w:eastAsia="Times New Roman" w:hint="default"/>
                <w:sz w:val="18"/>
                <w:szCs w:val="18"/>
              </w:rPr>
            </w:pPr>
            <w:r>
              <w:rPr>
                <w:rFonts w:ascii="Times New Roman"/>
                <w:sz w:val="18"/>
              </w:rPr>
              <w:t>100.31%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2,895.21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115"/>
              <w:jc w:val="left"/>
              <w:rPr>
                <w:rFonts w:ascii="宋体" w:hAnsi="宋体" w:cs="宋体" w:eastAsia="宋体" w:hint="default"/>
                <w:sz w:val="18"/>
                <w:szCs w:val="18"/>
              </w:rPr>
            </w:pPr>
            <w:r>
              <w:rPr>
                <w:rFonts w:ascii="宋体" w:hAnsi="宋体" w:cs="宋体" w:eastAsia="宋体" w:hint="default"/>
                <w:sz w:val="18"/>
                <w:szCs w:val="18"/>
              </w:rPr>
              <w:t>补充流动资金（</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IPO</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项目）</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3" w:right="0"/>
              <w:jc w:val="center"/>
              <w:rPr>
                <w:rFonts w:ascii="Times New Roman" w:hAnsi="Times New Roman" w:cs="Times New Roman" w:eastAsia="Times New Roman" w:hint="default"/>
                <w:sz w:val="18"/>
                <w:szCs w:val="18"/>
              </w:rPr>
            </w:pPr>
            <w:r>
              <w:rPr>
                <w:rFonts w:ascii="Times New Roman"/>
                <w:sz w:val="18"/>
              </w:rPr>
              <w:t>4,629.36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4,619.90</w:t>
            </w: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4,619.90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1" w:right="0"/>
              <w:jc w:val="center"/>
              <w:rPr>
                <w:rFonts w:ascii="Times New Roman" w:hAnsi="Times New Roman" w:cs="Times New Roman" w:eastAsia="Times New Roman" w:hint="default"/>
                <w:sz w:val="18"/>
                <w:szCs w:val="18"/>
              </w:rPr>
            </w:pPr>
            <w:r>
              <w:rPr>
                <w:rFonts w:ascii="Times New Roman"/>
                <w:sz w:val="18"/>
              </w:rPr>
              <w:t>100.00%</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5"/>
              <w:jc w:val="both"/>
              <w:rPr>
                <w:rFonts w:ascii="宋体" w:hAnsi="宋体" w:cs="宋体" w:eastAsia="宋体" w:hint="default"/>
                <w:sz w:val="18"/>
                <w:szCs w:val="18"/>
              </w:rPr>
            </w:pPr>
            <w:r>
              <w:rPr>
                <w:rFonts w:ascii="宋体" w:hAnsi="宋体" w:cs="宋体" w:eastAsia="宋体" w:hint="default"/>
                <w:sz w:val="18"/>
                <w:szCs w:val="18"/>
              </w:rPr>
              <w:t>视频图像信息大数据 及深度智能分析系统 产业化技术改造项目</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 w:right="0"/>
              <w:jc w:val="center"/>
              <w:rPr>
                <w:rFonts w:ascii="Times New Roman" w:hAnsi="Times New Roman" w:cs="Times New Roman" w:eastAsia="Times New Roman" w:hint="default"/>
                <w:sz w:val="18"/>
                <w:szCs w:val="18"/>
              </w:rPr>
            </w:pPr>
            <w:r>
              <w:rPr>
                <w:rFonts w:ascii="Times New Roman"/>
                <w:sz w:val="18"/>
              </w:rPr>
              <w:t>11,391.77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11,391.77</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91.17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7,486.69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71" w:right="0"/>
              <w:jc w:val="center"/>
              <w:rPr>
                <w:rFonts w:ascii="Times New Roman" w:hAnsi="Times New Roman" w:cs="Times New Roman" w:eastAsia="Times New Roman" w:hint="default"/>
                <w:sz w:val="18"/>
                <w:szCs w:val="18"/>
              </w:rPr>
            </w:pPr>
            <w:r>
              <w:rPr>
                <w:rFonts w:ascii="Times New Roman"/>
                <w:sz w:val="18"/>
              </w:rPr>
              <w:t>65.72%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674"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7"/>
              <w:jc w:val="left"/>
              <w:rPr>
                <w:rFonts w:ascii="宋体" w:hAnsi="宋体" w:cs="宋体" w:eastAsia="宋体" w:hint="default"/>
                <w:sz w:val="18"/>
                <w:szCs w:val="18"/>
              </w:rPr>
            </w:pPr>
            <w:r>
              <w:rPr>
                <w:rFonts w:ascii="宋体" w:hAnsi="宋体" w:cs="宋体" w:eastAsia="宋体" w:hint="default"/>
                <w:sz w:val="18"/>
                <w:szCs w:val="18"/>
              </w:rPr>
              <w:t>综合安保社会化运营 平台及公共安全智能</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10" w:right="0"/>
              <w:jc w:val="center"/>
              <w:rPr>
                <w:rFonts w:ascii="Times New Roman" w:hAnsi="Times New Roman" w:cs="Times New Roman" w:eastAsia="Times New Roman" w:hint="default"/>
                <w:sz w:val="18"/>
                <w:szCs w:val="18"/>
              </w:rPr>
            </w:pPr>
            <w:r>
              <w:rPr>
                <w:rFonts w:ascii="Times New Roman"/>
                <w:sz w:val="18"/>
              </w:rPr>
              <w:t>11,484.30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11,484.30</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1,475.06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10,485.33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171" w:right="0"/>
              <w:jc w:val="center"/>
              <w:rPr>
                <w:rFonts w:ascii="Times New Roman" w:hAnsi="Times New Roman" w:cs="Times New Roman" w:eastAsia="Times New Roman" w:hint="default"/>
                <w:sz w:val="18"/>
                <w:szCs w:val="18"/>
              </w:rPr>
            </w:pPr>
            <w:r>
              <w:rPr>
                <w:rFonts w:ascii="Times New Roman"/>
                <w:sz w:val="18"/>
              </w:rPr>
              <w:t>91.30%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570.39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footerReference w:type="default" r:id="rId19"/>
          <w:pgSz w:w="11910" w:h="16840"/>
          <w:pgMar w:footer="640" w:header="787" w:top="1100" w:bottom="840" w:left="0" w:right="0"/>
        </w:sectPr>
      </w:pPr>
    </w:p>
    <w:p>
      <w:pPr>
        <w:spacing w:line="240" w:lineRule="auto" w:before="0"/>
        <w:rPr>
          <w:rFonts w:ascii="宋体" w:hAnsi="宋体" w:cs="宋体" w:eastAsia="宋体" w:hint="default"/>
          <w:sz w:val="20"/>
          <w:szCs w:val="20"/>
        </w:rPr>
      </w:pPr>
      <w:r>
        <w:rPr/>
        <w:pict>
          <v:shape style="position:absolute;margin-left:56.459999pt;margin-top:71.999985pt;width:479.2pt;height:684.85pt;mso-position-horizontal-relative:page;mso-position-vertical-relative:page;z-index:12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70"/>
                    <w:gridCol w:w="779"/>
                    <w:gridCol w:w="780"/>
                    <w:gridCol w:w="780"/>
                    <w:gridCol w:w="779"/>
                    <w:gridCol w:w="780"/>
                    <w:gridCol w:w="780"/>
                    <w:gridCol w:w="780"/>
                    <w:gridCol w:w="780"/>
                    <w:gridCol w:w="780"/>
                    <w:gridCol w:w="780"/>
                  </w:tblGrid>
                  <w:tr>
                    <w:trPr>
                      <w:trHeight w:val="674"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17"/>
                          <w:jc w:val="left"/>
                          <w:rPr>
                            <w:rFonts w:ascii="宋体" w:hAnsi="宋体" w:cs="宋体" w:eastAsia="宋体" w:hint="default"/>
                            <w:sz w:val="18"/>
                            <w:szCs w:val="18"/>
                          </w:rPr>
                        </w:pPr>
                        <w:r>
                          <w:rPr>
                            <w:rFonts w:ascii="宋体" w:hAnsi="宋体" w:cs="宋体" w:eastAsia="宋体" w:hint="default"/>
                            <w:sz w:val="18"/>
                            <w:szCs w:val="18"/>
                          </w:rPr>
                          <w:t>终端产业化技术改造 项目</w:t>
                        </w: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7"/>
                          <w:jc w:val="both"/>
                          <w:rPr>
                            <w:rFonts w:ascii="宋体" w:hAnsi="宋体" w:cs="宋体" w:eastAsia="宋体" w:hint="default"/>
                            <w:sz w:val="18"/>
                            <w:szCs w:val="18"/>
                          </w:rPr>
                        </w:pPr>
                        <w:r>
                          <w:rPr>
                            <w:rFonts w:ascii="宋体" w:hAnsi="宋体" w:cs="宋体" w:eastAsia="宋体" w:hint="default"/>
                            <w:sz w:val="18"/>
                            <w:szCs w:val="18"/>
                          </w:rPr>
                          <w:t>监狱大数据信息综合 管理平台技术改造项 目</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1,671.85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1,671.85</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50.61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984.05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71" w:right="0"/>
                          <w:jc w:val="center"/>
                          <w:rPr>
                            <w:rFonts w:ascii="Times New Roman" w:hAnsi="Times New Roman" w:cs="Times New Roman" w:eastAsia="Times New Roman" w:hint="default"/>
                            <w:sz w:val="18"/>
                            <w:szCs w:val="18"/>
                          </w:rPr>
                        </w:pPr>
                        <w:r>
                          <w:rPr>
                            <w:rFonts w:ascii="Times New Roman"/>
                            <w:sz w:val="18"/>
                          </w:rPr>
                          <w:t>58.86%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115"/>
                          <w:jc w:val="left"/>
                          <w:rPr>
                            <w:rFonts w:ascii="宋体" w:hAnsi="宋体" w:cs="宋体" w:eastAsia="宋体" w:hint="default"/>
                            <w:sz w:val="18"/>
                            <w:szCs w:val="18"/>
                          </w:rPr>
                        </w:pPr>
                        <w:r>
                          <w:rPr>
                            <w:rFonts w:ascii="宋体" w:hAnsi="宋体" w:cs="宋体" w:eastAsia="宋体" w:hint="default"/>
                            <w:sz w:val="18"/>
                            <w:szCs w:val="18"/>
                          </w:rPr>
                          <w:t>补充流动资金（</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年非公开发行项目）</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10,500.00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9,909.48</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9,913.97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9,913.97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1" w:right="0"/>
                          <w:jc w:val="center"/>
                          <w:rPr>
                            <w:rFonts w:ascii="Times New Roman" w:hAnsi="Times New Roman" w:cs="Times New Roman" w:eastAsia="Times New Roman" w:hint="default"/>
                            <w:sz w:val="18"/>
                            <w:szCs w:val="18"/>
                          </w:rPr>
                        </w:pPr>
                        <w:r>
                          <w:rPr>
                            <w:rFonts w:ascii="Times New Roman"/>
                            <w:sz w:val="18"/>
                          </w:rPr>
                          <w:t>100.05%</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7"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63,455.42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62,855.44</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11,530.81</w:t>
                        </w:r>
                      </w:p>
                    </w:tc>
                    <w:tc>
                      <w:tcPr>
                        <w:tcW w:w="78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57,323.82</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z w:val="18"/>
                          </w:rPr>
                          <w:t>6,280.90</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r>
                  <w:tr>
                    <w:trPr>
                      <w:trHeight w:val="397" w:hRule="exact"/>
                    </w:trPr>
                    <w:tc>
                      <w:tcPr>
                        <w:tcW w:w="9569"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402"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63,455.42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62,855.44</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11,530.81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57,323.82</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6,280.90</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r>
                  <w:tr>
                    <w:trPr>
                      <w:trHeight w:val="1508" w:hRule="exact"/>
                    </w:trPr>
                    <w:tc>
                      <w:tcPr>
                        <w:tcW w:w="1770" w:type="dxa"/>
                        <w:tcBorders>
                          <w:top w:val="single" w:sz="4" w:space="0" w:color="000000"/>
                          <w:left w:val="single" w:sz="4" w:space="0" w:color="000000"/>
                          <w:bottom w:val="nil" w:sz="6" w:space="0" w:color="auto"/>
                          <w:right w:val="single" w:sz="4" w:space="0" w:color="000000"/>
                        </w:tcBorders>
                        <w:shd w:val="clear" w:color="auto" w:fill="D2D2D2"/>
                      </w:tcPr>
                      <w:p>
                        <w:pPr/>
                      </w:p>
                    </w:tc>
                    <w:tc>
                      <w:tcPr>
                        <w:tcW w:w="7798" w:type="dxa"/>
                        <w:gridSpan w:val="10"/>
                        <w:vMerge w:val="restart"/>
                        <w:tcBorders>
                          <w:top w:val="single" w:sz="4" w:space="0" w:color="000000"/>
                          <w:left w:val="single" w:sz="9" w:space="0" w:color="D2D2D2"/>
                          <w:right w:val="single" w:sz="4" w:space="0" w:color="000000"/>
                        </w:tcBorders>
                      </w:tcPr>
                      <w:p>
                        <w:pPr>
                          <w:pStyle w:val="TableParagraph"/>
                          <w:spacing w:line="300" w:lineRule="auto" w:before="51"/>
                          <w:ind w:left="16" w:right="22"/>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）研发中心建设技术改造项目、营销及服务网络升级技术改造项目以及补充流动资金不直接产生</w:t>
                        </w:r>
                        <w:r>
                          <w:rPr>
                            <w:rFonts w:ascii="宋体" w:hAnsi="宋体" w:cs="宋体" w:eastAsia="宋体" w:hint="default"/>
                            <w:spacing w:val="-48"/>
                            <w:sz w:val="18"/>
                            <w:szCs w:val="18"/>
                          </w:rPr>
                          <w:t> </w:t>
                        </w:r>
                        <w:r>
                          <w:rPr>
                            <w:rFonts w:ascii="宋体" w:hAnsi="宋体" w:cs="宋体" w:eastAsia="宋体" w:hint="default"/>
                            <w:spacing w:val="-48"/>
                            <w:sz w:val="18"/>
                            <w:szCs w:val="18"/>
                          </w:rPr>
                        </w:r>
                        <w:r>
                          <w:rPr>
                            <w:rFonts w:ascii="宋体" w:hAnsi="宋体" w:cs="宋体" w:eastAsia="宋体" w:hint="default"/>
                            <w:sz w:val="18"/>
                            <w:szCs w:val="18"/>
                          </w:rPr>
                          <w:t>效益；</w:t>
                        </w:r>
                      </w:p>
                      <w:p>
                        <w:pPr>
                          <w:pStyle w:val="TableParagraph"/>
                          <w:spacing w:line="302" w:lineRule="auto" w:before="71"/>
                          <w:ind w:left="16" w:right="22"/>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）银行大型平台流媒体综合安防系统解决方案技术改造项目</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8"/>
                            <w:sz w:val="18"/>
                            <w:szCs w:val="18"/>
                          </w:rPr>
                          <w:t> </w:t>
                        </w:r>
                        <w:r>
                          <w:rPr>
                            <w:rFonts w:ascii="宋体" w:hAnsi="宋体" w:cs="宋体" w:eastAsia="宋体" w:hint="default"/>
                            <w:spacing w:val="-5"/>
                            <w:sz w:val="18"/>
                            <w:szCs w:val="18"/>
                          </w:rPr>
                          <w:t>日达产，但相关产品</w:t>
                        </w:r>
                        <w:r>
                          <w:rPr>
                            <w:rFonts w:ascii="宋体" w:hAnsi="宋体" w:cs="宋体" w:eastAsia="宋体" w:hint="default"/>
                            <w:sz w:val="18"/>
                            <w:szCs w:val="18"/>
                          </w:rPr>
                          <w:t> 尚处于推广阶段，因此尚未达到预期销售规模及收益；</w:t>
                        </w:r>
                      </w:p>
                      <w:p>
                        <w:pPr>
                          <w:pStyle w:val="TableParagraph"/>
                          <w:spacing w:line="302" w:lineRule="auto" w:before="68"/>
                          <w:ind w:left="16" w:right="111"/>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）银行自助设备智能安防系统技术改造项目</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
                            <w:sz w:val="18"/>
                            <w:szCs w:val="18"/>
                          </w:rPr>
                          <w:t> </w:t>
                        </w:r>
                        <w:r>
                          <w:rPr>
                            <w:rFonts w:ascii="宋体" w:hAnsi="宋体" w:cs="宋体" w:eastAsia="宋体" w:hint="default"/>
                            <w:spacing w:val="-6"/>
                            <w:sz w:val="18"/>
                            <w:szCs w:val="18"/>
                          </w:rPr>
                          <w:t>日达产，但相关产品尚处于推广阶段</w:t>
                        </w:r>
                        <w:r>
                          <w:rPr>
                            <w:rFonts w:ascii="宋体" w:hAnsi="宋体" w:cs="宋体" w:eastAsia="宋体" w:hint="default"/>
                            <w:sz w:val="18"/>
                            <w:szCs w:val="18"/>
                          </w:rPr>
                          <w:t> 因此尚未达到预期销售规模及收益；</w:t>
                        </w:r>
                      </w:p>
                      <w:p>
                        <w:pPr>
                          <w:pStyle w:val="TableParagraph"/>
                          <w:spacing w:line="302" w:lineRule="auto" w:before="68"/>
                          <w:ind w:left="16" w:right="23"/>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）银行主动安防综合管理系统项目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日达产，但相关产品尚处于推广阶段，因此 尚未达到预期销售规模及收益；</w:t>
                        </w:r>
                      </w:p>
                      <w:p>
                        <w:pPr>
                          <w:pStyle w:val="TableParagraph"/>
                          <w:spacing w:line="302" w:lineRule="auto" w:before="69"/>
                          <w:ind w:left="16" w:right="21"/>
                          <w:jc w:val="left"/>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5</w:t>
                        </w:r>
                        <w:r>
                          <w:rPr>
                            <w:rFonts w:ascii="宋体" w:hAnsi="宋体" w:cs="宋体" w:eastAsia="宋体" w:hint="default"/>
                            <w:spacing w:val="-2"/>
                            <w:sz w:val="18"/>
                            <w:szCs w:val="18"/>
                          </w:rPr>
                          <w:t>）视频图像信息大数据及深度智能分析系统产业化技术改造项目和监狱大数据信息综合管理平台</w:t>
                        </w:r>
                        <w:r>
                          <w:rPr>
                            <w:rFonts w:ascii="宋体" w:hAnsi="宋体" w:cs="宋体" w:eastAsia="宋体" w:hint="default"/>
                            <w:sz w:val="18"/>
                            <w:szCs w:val="18"/>
                          </w:rPr>
                          <w:t> 技术改造项目未实现达产，</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年度未实现效益；</w:t>
                        </w:r>
                      </w:p>
                      <w:p>
                        <w:pPr>
                          <w:pStyle w:val="TableParagraph"/>
                          <w:spacing w:line="302" w:lineRule="auto" w:before="49"/>
                          <w:ind w:left="16" w:right="68"/>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）综合安保社会化运营平台及公共安全智能终端产业化技术改造项目未实现达产，</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年度实 现效益</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570.39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万元，未达到预计收益。</w:t>
                        </w:r>
                      </w:p>
                    </w:tc>
                  </w:tr>
                  <w:tr>
                    <w:trPr>
                      <w:trHeight w:val="1016" w:hRule="exact"/>
                    </w:trPr>
                    <w:tc>
                      <w:tcPr>
                        <w:tcW w:w="177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1"/>
                          <w:ind w:left="22" w:right="115"/>
                          <w:jc w:val="left"/>
                          <w:rPr>
                            <w:rFonts w:ascii="宋体" w:hAnsi="宋体" w:cs="宋体" w:eastAsia="宋体" w:hint="default"/>
                            <w:sz w:val="18"/>
                            <w:szCs w:val="18"/>
                          </w:rPr>
                        </w:pPr>
                        <w:r>
                          <w:rPr>
                            <w:rFonts w:ascii="宋体" w:hAnsi="宋体" w:cs="宋体" w:eastAsia="宋体" w:hint="default"/>
                            <w:sz w:val="18"/>
                            <w:szCs w:val="18"/>
                          </w:rPr>
                          <w:t>未达到计划进度或预 计收益的情况和原因</w:t>
                        </w:r>
                      </w:p>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（分具体项目）</w:t>
                        </w:r>
                      </w:p>
                    </w:tc>
                    <w:tc>
                      <w:tcPr>
                        <w:tcW w:w="7798" w:type="dxa"/>
                        <w:gridSpan w:val="10"/>
                        <w:vMerge/>
                        <w:tcBorders>
                          <w:left w:val="single" w:sz="9" w:space="0" w:color="D2D2D2"/>
                          <w:right w:val="single" w:sz="4" w:space="0" w:color="000000"/>
                        </w:tcBorders>
                      </w:tcPr>
                      <w:p>
                        <w:pPr/>
                      </w:p>
                    </w:tc>
                  </w:tr>
                  <w:tr>
                    <w:trPr>
                      <w:trHeight w:val="1509" w:hRule="exact"/>
                    </w:trPr>
                    <w:tc>
                      <w:tcPr>
                        <w:tcW w:w="1770" w:type="dxa"/>
                        <w:tcBorders>
                          <w:top w:val="nil" w:sz="6" w:space="0" w:color="auto"/>
                          <w:left w:val="single" w:sz="4" w:space="0" w:color="000000"/>
                          <w:bottom w:val="single" w:sz="4" w:space="0" w:color="000000"/>
                          <w:right w:val="single" w:sz="4" w:space="0" w:color="000000"/>
                        </w:tcBorders>
                        <w:shd w:val="clear" w:color="auto" w:fill="D2D2D2"/>
                      </w:tcPr>
                      <w:p>
                        <w:pPr/>
                      </w:p>
                    </w:tc>
                    <w:tc>
                      <w:tcPr>
                        <w:tcW w:w="7798" w:type="dxa"/>
                        <w:gridSpan w:val="10"/>
                        <w:vMerge/>
                        <w:tcBorders>
                          <w:left w:val="single" w:sz="9" w:space="0" w:color="D2D2D2"/>
                          <w:bottom w:val="single" w:sz="4" w:space="0" w:color="000000"/>
                          <w:right w:val="single" w:sz="4" w:space="0" w:color="000000"/>
                        </w:tcBorders>
                      </w:tcPr>
                      <w:p>
                        <w:pPr/>
                      </w:p>
                    </w:tc>
                  </w:tr>
                  <w:tr>
                    <w:trPr>
                      <w:trHeight w:val="714"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117"/>
                          <w:jc w:val="left"/>
                          <w:rPr>
                            <w:rFonts w:ascii="宋体" w:hAnsi="宋体" w:cs="宋体" w:eastAsia="宋体" w:hint="default"/>
                            <w:sz w:val="18"/>
                            <w:szCs w:val="18"/>
                          </w:rPr>
                        </w:pPr>
                        <w:r>
                          <w:rPr>
                            <w:rFonts w:ascii="宋体" w:hAnsi="宋体" w:cs="宋体" w:eastAsia="宋体" w:hint="default"/>
                            <w:sz w:val="18"/>
                            <w:szCs w:val="18"/>
                          </w:rPr>
                          <w:t>项目可行性发生重大 变化的情况说明</w:t>
                        </w:r>
                      </w:p>
                    </w:tc>
                    <w:tc>
                      <w:tcPr>
                        <w:tcW w:w="7798" w:type="dxa"/>
                        <w:gridSpan w:val="10"/>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22" w:right="22"/>
                          <w:jc w:val="left"/>
                          <w:rPr>
                            <w:rFonts w:ascii="宋体" w:hAnsi="宋体" w:cs="宋体" w:eastAsia="宋体" w:hint="default"/>
                            <w:sz w:val="18"/>
                            <w:szCs w:val="18"/>
                          </w:rPr>
                        </w:pPr>
                        <w:r>
                          <w:rPr>
                            <w:rFonts w:ascii="宋体" w:hAnsi="宋体" w:cs="宋体" w:eastAsia="宋体" w:hint="default"/>
                            <w:spacing w:val="-9"/>
                            <w:sz w:val="18"/>
                            <w:szCs w:val="18"/>
                          </w:rPr>
                          <w:t>超募资金的金额、用途</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及使用进展情况</w:t>
                        </w:r>
                      </w:p>
                    </w:tc>
                    <w:tc>
                      <w:tcPr>
                        <w:tcW w:w="7798" w:type="dxa"/>
                        <w:gridSpan w:val="10"/>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8" w:type="dxa"/>
                        <w:gridSpan w:val="10"/>
                        <w:tcBorders>
                          <w:top w:val="single" w:sz="4" w:space="0" w:color="000000"/>
                          <w:left w:val="single" w:sz="9" w:space="0" w:color="D2D2D2"/>
                          <w:bottom w:val="single" w:sz="4" w:space="0" w:color="000000"/>
                          <w:right w:val="single" w:sz="4" w:space="0" w:color="000000"/>
                        </w:tcBorders>
                      </w:tcPr>
                      <w:p>
                        <w:pP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2D2D2"/>
                      </w:tcPr>
                      <w:p>
                        <w:pPr/>
                      </w:p>
                    </w:tc>
                    <w:tc>
                      <w:tcPr>
                        <w:tcW w:w="7798"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360" w:hRule="exact"/>
                    </w:trPr>
                    <w:tc>
                      <w:tcPr>
                        <w:tcW w:w="1770" w:type="dxa"/>
                        <w:vMerge/>
                        <w:tcBorders>
                          <w:left w:val="single" w:sz="4" w:space="0" w:color="000000"/>
                          <w:bottom w:val="nil" w:sz="6" w:space="0" w:color="auto"/>
                          <w:right w:val="single" w:sz="4" w:space="0" w:color="000000"/>
                        </w:tcBorders>
                        <w:shd w:val="clear" w:color="auto" w:fill="D2D2D2"/>
                      </w:tcPr>
                      <w:p>
                        <w:pPr/>
                      </w:p>
                    </w:tc>
                    <w:tc>
                      <w:tcPr>
                        <w:tcW w:w="7798"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报告期内发生</w:t>
                        </w:r>
                      </w:p>
                    </w:tc>
                  </w:tr>
                  <w:tr>
                    <w:trPr>
                      <w:trHeight w:val="661" w:hRule="exact"/>
                    </w:trPr>
                    <w:tc>
                      <w:tcPr>
                        <w:tcW w:w="177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9"/>
                          <w:ind w:left="22" w:right="117"/>
                          <w:jc w:val="left"/>
                          <w:rPr>
                            <w:rFonts w:ascii="宋体" w:hAnsi="宋体" w:cs="宋体" w:eastAsia="宋体" w:hint="default"/>
                            <w:sz w:val="18"/>
                            <w:szCs w:val="18"/>
                          </w:rPr>
                        </w:pPr>
                        <w:r>
                          <w:rPr>
                            <w:rFonts w:ascii="宋体" w:hAnsi="宋体" w:cs="宋体" w:eastAsia="宋体" w:hint="default"/>
                            <w:sz w:val="18"/>
                            <w:szCs w:val="18"/>
                          </w:rPr>
                          <w:t>募集资金投资项目实 施地点变更情况</w:t>
                        </w:r>
                      </w:p>
                    </w:tc>
                    <w:tc>
                      <w:tcPr>
                        <w:tcW w:w="7798" w:type="dxa"/>
                        <w:gridSpan w:val="10"/>
                        <w:vMerge w:val="restart"/>
                        <w:tcBorders>
                          <w:top w:val="single" w:sz="4" w:space="0" w:color="000000"/>
                          <w:left w:val="single" w:sz="9" w:space="0" w:color="D2D2D2"/>
                          <w:right w:val="single" w:sz="4" w:space="0" w:color="000000"/>
                        </w:tcBorders>
                      </w:tcPr>
                      <w:p>
                        <w:pPr>
                          <w:pStyle w:val="TableParagraph"/>
                          <w:spacing w:line="307" w:lineRule="auto" w:before="94"/>
                          <w:ind w:left="16" w:right="20" w:firstLine="9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2"/>
                            <w:sz w:val="18"/>
                            <w:szCs w:val="18"/>
                          </w:rPr>
                          <w:t> </w:t>
                        </w:r>
                        <w:r>
                          <w:rPr>
                            <w:rFonts w:ascii="宋体" w:hAnsi="宋体" w:cs="宋体" w:eastAsia="宋体" w:hint="default"/>
                            <w:spacing w:val="-4"/>
                            <w:sz w:val="18"/>
                            <w:szCs w:val="18"/>
                          </w:rPr>
                          <w:t>日，公司第二届董事会第三十六次会议和第二届监事会第三十次会议审议通过了《关</w:t>
                        </w:r>
                        <w:r>
                          <w:rPr>
                            <w:rFonts w:ascii="宋体" w:hAnsi="宋体" w:cs="宋体" w:eastAsia="宋体" w:hint="default"/>
                            <w:sz w:val="18"/>
                            <w:szCs w:val="18"/>
                          </w:rPr>
                          <w:t> </w:t>
                        </w:r>
                        <w:r>
                          <w:rPr>
                            <w:rFonts w:ascii="宋体" w:hAnsi="宋体" w:cs="宋体" w:eastAsia="宋体" w:hint="default"/>
                            <w:spacing w:val="-5"/>
                            <w:sz w:val="18"/>
                            <w:szCs w:val="18"/>
                          </w:rPr>
                          <w:t>于部分募集资金投资项目增加实施主体的议案》，同意公司将全资子公司重庆浩云公共安全物联网技</w:t>
                        </w:r>
                        <w:r>
                          <w:rPr>
                            <w:rFonts w:ascii="宋体" w:hAnsi="宋体" w:cs="宋体" w:eastAsia="宋体" w:hint="default"/>
                            <w:spacing w:val="-48"/>
                            <w:sz w:val="18"/>
                            <w:szCs w:val="18"/>
                          </w:rPr>
                          <w:t> </w:t>
                        </w:r>
                        <w:r>
                          <w:rPr>
                            <w:rFonts w:ascii="宋体" w:hAnsi="宋体" w:cs="宋体" w:eastAsia="宋体" w:hint="default"/>
                            <w:spacing w:val="-48"/>
                            <w:sz w:val="18"/>
                            <w:szCs w:val="18"/>
                          </w:rPr>
                        </w:r>
                        <w:r>
                          <w:rPr>
                            <w:rFonts w:ascii="宋体" w:hAnsi="宋体" w:cs="宋体" w:eastAsia="宋体" w:hint="default"/>
                            <w:sz w:val="18"/>
                            <w:szCs w:val="18"/>
                          </w:rPr>
                          <w:t>术有限公司增加为</w:t>
                        </w:r>
                        <w:r>
                          <w:rPr>
                            <w:rFonts w:ascii="Times New Roman" w:hAnsi="Times New Roman" w:cs="Times New Roman" w:eastAsia="Times New Roman" w:hint="default"/>
                            <w:sz w:val="18"/>
                            <w:szCs w:val="18"/>
                          </w:rPr>
                          <w:t>“</w:t>
                        </w:r>
                        <w:r>
                          <w:rPr>
                            <w:rFonts w:ascii="宋体" w:hAnsi="宋体" w:cs="宋体" w:eastAsia="宋体" w:hint="default"/>
                            <w:sz w:val="18"/>
                            <w:szCs w:val="18"/>
                          </w:rPr>
                          <w:t>综合安保社会化运营平台及公共安全智能终端产业化技术改造项目</w:t>
                        </w:r>
                        <w:r>
                          <w:rPr>
                            <w:rFonts w:ascii="Times New Roman" w:hAnsi="Times New Roman" w:cs="Times New Roman" w:eastAsia="Times New Roman" w:hint="default"/>
                            <w:sz w:val="18"/>
                            <w:szCs w:val="18"/>
                          </w:rPr>
                          <w:t>”</w:t>
                        </w:r>
                        <w:r>
                          <w:rPr>
                            <w:rFonts w:ascii="宋体" w:hAnsi="宋体" w:cs="宋体" w:eastAsia="宋体" w:hint="default"/>
                            <w:sz w:val="18"/>
                            <w:szCs w:val="18"/>
                          </w:rPr>
                          <w:t>的实施主 体，实施地点为重庆市。</w:t>
                        </w:r>
                      </w:p>
                    </w:tc>
                  </w:tr>
                  <w:tr>
                    <w:trPr>
                      <w:trHeight w:val="719" w:hRule="exact"/>
                    </w:trPr>
                    <w:tc>
                      <w:tcPr>
                        <w:tcW w:w="1770" w:type="dxa"/>
                        <w:tcBorders>
                          <w:top w:val="nil" w:sz="6" w:space="0" w:color="auto"/>
                          <w:left w:val="single" w:sz="4" w:space="0" w:color="000000"/>
                          <w:bottom w:val="single" w:sz="4" w:space="0" w:color="000000"/>
                          <w:right w:val="single" w:sz="4" w:space="0" w:color="000000"/>
                        </w:tcBorders>
                        <w:shd w:val="clear" w:color="auto" w:fill="D2D2D2"/>
                      </w:tcPr>
                      <w:p>
                        <w:pPr/>
                      </w:p>
                    </w:tc>
                    <w:tc>
                      <w:tcPr>
                        <w:tcW w:w="7798" w:type="dxa"/>
                        <w:gridSpan w:val="10"/>
                        <w:vMerge/>
                        <w:tcBorders>
                          <w:left w:val="single" w:sz="9" w:space="0" w:color="D2D2D2"/>
                          <w:bottom w:val="single" w:sz="4" w:space="0" w:color="000000"/>
                          <w:right w:val="single" w:sz="4" w:space="0" w:color="000000"/>
                        </w:tcBorders>
                      </w:tcPr>
                      <w:p>
                        <w:pPr/>
                      </w:p>
                    </w:tc>
                  </w:tr>
                  <w:tr>
                    <w:trPr>
                      <w:trHeight w:val="252" w:hRule="exact"/>
                    </w:trPr>
                    <w:tc>
                      <w:tcPr>
                        <w:tcW w:w="1770" w:type="dxa"/>
                        <w:tcBorders>
                          <w:top w:val="single" w:sz="4" w:space="0" w:color="000000"/>
                          <w:left w:val="single" w:sz="4" w:space="0" w:color="000000"/>
                          <w:bottom w:val="nil" w:sz="6" w:space="0" w:color="auto"/>
                          <w:right w:val="single" w:sz="4" w:space="0" w:color="000000"/>
                        </w:tcBorders>
                        <w:shd w:val="clear" w:color="auto" w:fill="D2D2D2"/>
                      </w:tcPr>
                      <w:p>
                        <w:pPr/>
                      </w:p>
                    </w:tc>
                    <w:tc>
                      <w:tcPr>
                        <w:tcW w:w="7798" w:type="dxa"/>
                        <w:gridSpan w:val="10"/>
                        <w:vMerge w:val="restart"/>
                        <w:tcBorders>
                          <w:top w:val="single" w:sz="4" w:space="0" w:color="000000"/>
                          <w:left w:val="single" w:sz="9" w:space="0" w:color="D2D2D2"/>
                          <w:right w:val="single" w:sz="4" w:space="0" w:color="000000"/>
                        </w:tcBorders>
                      </w:tcPr>
                      <w:p>
                        <w:pPr>
                          <w:pStyle w:val="TableParagraph"/>
                          <w:spacing w:line="240" w:lineRule="auto" w:before="52"/>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50" w:hRule="exact"/>
                    </w:trPr>
                    <w:tc>
                      <w:tcPr>
                        <w:tcW w:w="1770"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2" w:right="117"/>
                          <w:jc w:val="left"/>
                          <w:rPr>
                            <w:rFonts w:ascii="宋体" w:hAnsi="宋体" w:cs="宋体" w:eastAsia="宋体" w:hint="default"/>
                            <w:sz w:val="18"/>
                            <w:szCs w:val="18"/>
                          </w:rPr>
                        </w:pPr>
                        <w:r>
                          <w:rPr>
                            <w:rFonts w:ascii="宋体" w:hAnsi="宋体" w:cs="宋体" w:eastAsia="宋体" w:hint="default"/>
                            <w:sz w:val="18"/>
                            <w:szCs w:val="18"/>
                          </w:rPr>
                          <w:t>募集资金投资项目实 施方式调整情况</w:t>
                        </w:r>
                      </w:p>
                    </w:tc>
                    <w:tc>
                      <w:tcPr>
                        <w:tcW w:w="7798" w:type="dxa"/>
                        <w:gridSpan w:val="10"/>
                        <w:vMerge/>
                        <w:tcBorders>
                          <w:left w:val="single" w:sz="9" w:space="0" w:color="D2D2D2"/>
                          <w:bottom w:val="single" w:sz="4" w:space="0" w:color="000000"/>
                          <w:right w:val="single" w:sz="4" w:space="0" w:color="000000"/>
                        </w:tcBorders>
                      </w:tcPr>
                      <w:p>
                        <w:pPr/>
                      </w:p>
                    </w:tc>
                  </w:tr>
                  <w:tr>
                    <w:trPr>
                      <w:trHeight w:val="402" w:hRule="exact"/>
                    </w:trPr>
                    <w:tc>
                      <w:tcPr>
                        <w:tcW w:w="1770" w:type="dxa"/>
                        <w:vMerge/>
                        <w:tcBorders>
                          <w:left w:val="single" w:sz="4" w:space="0" w:color="000000"/>
                          <w:right w:val="single" w:sz="4" w:space="0" w:color="000000"/>
                        </w:tcBorders>
                        <w:shd w:val="clear" w:color="auto" w:fill="D2D2D2"/>
                      </w:tcPr>
                      <w:p>
                        <w:pPr/>
                      </w:p>
                    </w:tc>
                    <w:tc>
                      <w:tcPr>
                        <w:tcW w:w="7798" w:type="dxa"/>
                        <w:gridSpan w:val="10"/>
                        <w:tcBorders>
                          <w:top w:val="single" w:sz="4" w:space="0" w:color="000000"/>
                          <w:left w:val="single" w:sz="9" w:space="0" w:color="D2D2D2"/>
                          <w:bottom w:val="single" w:sz="4" w:space="0" w:color="000000"/>
                          <w:right w:val="single" w:sz="4" w:space="0" w:color="000000"/>
                        </w:tcBorders>
                      </w:tcPr>
                      <w:p>
                        <w:pPr/>
                      </w:p>
                    </w:tc>
                  </w:tr>
                  <w:tr>
                    <w:trPr>
                      <w:trHeight w:val="152" w:hRule="exact"/>
                    </w:trPr>
                    <w:tc>
                      <w:tcPr>
                        <w:tcW w:w="1770" w:type="dxa"/>
                        <w:vMerge/>
                        <w:tcBorders>
                          <w:left w:val="single" w:sz="4" w:space="0" w:color="000000"/>
                          <w:bottom w:val="nil" w:sz="6" w:space="0" w:color="auto"/>
                          <w:right w:val="single" w:sz="4" w:space="0" w:color="000000"/>
                        </w:tcBorders>
                        <w:shd w:val="clear" w:color="auto" w:fill="D2D2D2"/>
                      </w:tcPr>
                      <w:p>
                        <w:pPr/>
                      </w:p>
                    </w:tc>
                    <w:tc>
                      <w:tcPr>
                        <w:tcW w:w="7798" w:type="dxa"/>
                        <w:gridSpan w:val="10"/>
                        <w:vMerge w:val="restart"/>
                        <w:tcBorders>
                          <w:top w:val="single" w:sz="4" w:space="0" w:color="000000"/>
                          <w:left w:val="single" w:sz="9" w:space="0" w:color="D2D2D2"/>
                          <w:right w:val="single" w:sz="4" w:space="0" w:color="000000"/>
                        </w:tcBorders>
                      </w:tcPr>
                      <w:p>
                        <w:pPr/>
                      </w:p>
                    </w:tc>
                  </w:tr>
                  <w:tr>
                    <w:trPr>
                      <w:trHeight w:val="251" w:hRule="exact"/>
                    </w:trPr>
                    <w:tc>
                      <w:tcPr>
                        <w:tcW w:w="1770" w:type="dxa"/>
                        <w:tcBorders>
                          <w:top w:val="nil" w:sz="6" w:space="0" w:color="auto"/>
                          <w:left w:val="single" w:sz="4" w:space="0" w:color="000000"/>
                          <w:bottom w:val="single" w:sz="4" w:space="0" w:color="000000"/>
                          <w:right w:val="single" w:sz="4" w:space="0" w:color="000000"/>
                        </w:tcBorders>
                        <w:shd w:val="clear" w:color="auto" w:fill="D2D2D2"/>
                      </w:tcPr>
                      <w:p>
                        <w:pPr/>
                      </w:p>
                    </w:tc>
                    <w:tc>
                      <w:tcPr>
                        <w:tcW w:w="7798" w:type="dxa"/>
                        <w:gridSpan w:val="10"/>
                        <w:vMerge/>
                        <w:tcBorders>
                          <w:left w:val="single" w:sz="9" w:space="0" w:color="D2D2D2"/>
                          <w:bottom w:val="single" w:sz="4" w:space="0" w:color="000000"/>
                          <w:right w:val="single" w:sz="4" w:space="0" w:color="000000"/>
                        </w:tcBorders>
                      </w:tcPr>
                      <w:p>
                        <w:pP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6"/>
                          <w:ind w:left="22" w:right="117"/>
                          <w:jc w:val="left"/>
                          <w:rPr>
                            <w:rFonts w:ascii="宋体" w:hAnsi="宋体" w:cs="宋体" w:eastAsia="宋体" w:hint="default"/>
                            <w:sz w:val="18"/>
                            <w:szCs w:val="18"/>
                          </w:rPr>
                        </w:pPr>
                        <w:r>
                          <w:rPr>
                            <w:rFonts w:ascii="宋体" w:hAnsi="宋体" w:cs="宋体" w:eastAsia="宋体" w:hint="default"/>
                            <w:sz w:val="18"/>
                            <w:szCs w:val="18"/>
                          </w:rPr>
                          <w:t>募集资金投资项目先 期投入及置换情况</w:t>
                        </w:r>
                      </w:p>
                    </w:tc>
                    <w:tc>
                      <w:tcPr>
                        <w:tcW w:w="7798" w:type="dxa"/>
                        <w:gridSpan w:val="10"/>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16"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362"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8" w:type="dxa"/>
                        <w:gridSpan w:val="10"/>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16" w:right="0"/>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2015</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年首次公开发行股票募集资金置换情况：</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日，公司第二届董事会第四次会议</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5"/>
          <w:szCs w:val="15"/>
        </w:rPr>
      </w:pPr>
    </w:p>
    <w:p>
      <w:pPr>
        <w:pStyle w:val="BodyText"/>
        <w:spacing w:line="240" w:lineRule="auto" w:before="44"/>
        <w:ind w:left="0" w:right="1139"/>
        <w:jc w:val="right"/>
      </w:pPr>
      <w:r>
        <w:rPr/>
        <w:t>，</w:t>
      </w:r>
    </w:p>
    <w:p>
      <w:pPr>
        <w:spacing w:after="0" w:line="240" w:lineRule="auto"/>
        <w:jc w:val="right"/>
        <w:sectPr>
          <w:pgSz w:w="11910" w:h="16840"/>
          <w:pgMar w:header="787" w:footer="640" w:top="1100" w:bottom="840" w:left="0" w:right="0"/>
        </w:sectPr>
      </w:pPr>
    </w:p>
    <w:p>
      <w:pPr>
        <w:spacing w:line="240" w:lineRule="auto" w:before="5"/>
        <w:rPr>
          <w:rFonts w:ascii="宋体" w:hAnsi="宋体" w:cs="宋体" w:eastAsia="宋体" w:hint="default"/>
          <w:sz w:val="25"/>
          <w:szCs w:val="25"/>
        </w:rPr>
      </w:pPr>
    </w:p>
    <w:tbl>
      <w:tblPr>
        <w:tblW w:w="0" w:type="auto"/>
        <w:jc w:val="left"/>
        <w:tblInd w:w="1129" w:type="dxa"/>
        <w:tblLayout w:type="fixed"/>
        <w:tblCellMar>
          <w:top w:w="0" w:type="dxa"/>
          <w:left w:w="0" w:type="dxa"/>
          <w:bottom w:w="0" w:type="dxa"/>
          <w:right w:w="0" w:type="dxa"/>
        </w:tblCellMar>
        <w:tblLook w:val="01E0"/>
      </w:tblPr>
      <w:tblGrid>
        <w:gridCol w:w="1770"/>
        <w:gridCol w:w="7798"/>
      </w:tblGrid>
      <w:tr>
        <w:trPr>
          <w:trHeight w:val="1650" w:hRule="exact"/>
        </w:trPr>
        <w:tc>
          <w:tcPr>
            <w:tcW w:w="1770"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审议通过，同意公司以募集资金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10,667.12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万元置换预先投入募投项目的自筹资金。公司于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日完成了置换。</w:t>
            </w:r>
          </w:p>
          <w:p>
            <w:pPr>
              <w:pStyle w:val="TableParagraph"/>
              <w:spacing w:line="300" w:lineRule="auto" w:before="102"/>
              <w:ind w:left="22" w:right="2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年非公开发行股票募集资金置换情况：</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日，公司第二届董事会第三十六次会 </w:t>
            </w:r>
            <w:r>
              <w:rPr>
                <w:rFonts w:ascii="宋体" w:hAnsi="宋体" w:cs="宋体" w:eastAsia="宋体" w:hint="default"/>
                <w:spacing w:val="-4"/>
                <w:sz w:val="18"/>
                <w:szCs w:val="18"/>
              </w:rPr>
              <w:t>议及第二届监事会第三十次会议审议通过，同意公司以募集资金</w:t>
            </w:r>
            <w:r>
              <w:rPr>
                <w:rFonts w:ascii="宋体" w:hAnsi="宋体" w:cs="宋体" w:eastAsia="宋体" w:hint="default"/>
                <w:sz w:val="18"/>
                <w:szCs w:val="18"/>
              </w:rPr>
              <w:t> </w:t>
            </w:r>
            <w:r>
              <w:rPr>
                <w:rFonts w:ascii="Times New Roman" w:hAnsi="Times New Roman" w:cs="Times New Roman" w:eastAsia="Times New Roman" w:hint="default"/>
                <w:spacing w:val="-1"/>
                <w:sz w:val="18"/>
                <w:szCs w:val="18"/>
              </w:rPr>
              <w:t>17,339.23</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万元置换预先投入募投项</w:t>
            </w:r>
          </w:p>
          <w:p>
            <w:pPr>
              <w:pStyle w:val="TableParagraph"/>
              <w:spacing w:line="240" w:lineRule="auto" w:before="14"/>
              <w:ind w:left="22" w:right="0"/>
              <w:jc w:val="left"/>
              <w:rPr>
                <w:rFonts w:ascii="宋体" w:hAnsi="宋体" w:cs="宋体" w:eastAsia="宋体" w:hint="default"/>
                <w:sz w:val="18"/>
                <w:szCs w:val="18"/>
              </w:rPr>
            </w:pPr>
            <w:r>
              <w:rPr>
                <w:rFonts w:ascii="宋体" w:hAnsi="宋体" w:cs="宋体" w:eastAsia="宋体" w:hint="default"/>
                <w:sz w:val="18"/>
                <w:szCs w:val="18"/>
              </w:rPr>
              <w:t>目的自筹资金。公司于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日完成了置换。</w:t>
            </w:r>
          </w:p>
        </w:tc>
      </w:tr>
      <w:tr>
        <w:trPr>
          <w:trHeight w:val="402" w:hRule="exact"/>
        </w:trPr>
        <w:tc>
          <w:tcPr>
            <w:tcW w:w="1770"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7"/>
              <w:ind w:left="22" w:right="117"/>
              <w:jc w:val="left"/>
              <w:rPr>
                <w:rFonts w:ascii="宋体" w:hAnsi="宋体" w:cs="宋体" w:eastAsia="宋体" w:hint="default"/>
                <w:sz w:val="18"/>
                <w:szCs w:val="18"/>
              </w:rPr>
            </w:pPr>
            <w:r>
              <w:rPr>
                <w:rFonts w:ascii="宋体" w:hAnsi="宋体" w:cs="宋体" w:eastAsia="宋体" w:hint="default"/>
                <w:sz w:val="18"/>
                <w:szCs w:val="18"/>
              </w:rPr>
              <w:t>用闲置募集资金暂时 补充流动资金情况</w:t>
            </w:r>
          </w:p>
        </w:tc>
        <w:tc>
          <w:tcPr>
            <w:tcW w:w="7798"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70" w:type="dxa"/>
            <w:vMerge/>
            <w:tcBorders>
              <w:left w:val="single" w:sz="4" w:space="0" w:color="000000"/>
              <w:bottom w:val="single" w:sz="4" w:space="0" w:color="FFFFFF"/>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FFFFFF"/>
              <w:right w:val="single" w:sz="4" w:space="0" w:color="000000"/>
            </w:tcBorders>
          </w:tcPr>
          <w:p>
            <w:pPr/>
          </w:p>
        </w:tc>
      </w:tr>
      <w:tr>
        <w:trPr>
          <w:trHeight w:val="402" w:hRule="exact"/>
        </w:trPr>
        <w:tc>
          <w:tcPr>
            <w:tcW w:w="1770"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7"/>
              <w:ind w:left="22" w:right="117"/>
              <w:jc w:val="left"/>
              <w:rPr>
                <w:rFonts w:ascii="宋体" w:hAnsi="宋体" w:cs="宋体" w:eastAsia="宋体" w:hint="default"/>
                <w:sz w:val="18"/>
                <w:szCs w:val="18"/>
              </w:rPr>
            </w:pPr>
            <w:r>
              <w:rPr>
                <w:rFonts w:ascii="宋体" w:hAnsi="宋体" w:cs="宋体" w:eastAsia="宋体" w:hint="default"/>
                <w:sz w:val="18"/>
                <w:szCs w:val="18"/>
              </w:rPr>
              <w:t>项目实施出现募集资 金结余的金额及原因</w:t>
            </w:r>
          </w:p>
        </w:tc>
        <w:tc>
          <w:tcPr>
            <w:tcW w:w="7798"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17"/>
              <w:jc w:val="left"/>
              <w:rPr>
                <w:rFonts w:ascii="宋体" w:hAnsi="宋体" w:cs="宋体" w:eastAsia="宋体" w:hint="default"/>
                <w:sz w:val="18"/>
                <w:szCs w:val="18"/>
              </w:rPr>
            </w:pPr>
            <w:r>
              <w:rPr>
                <w:rFonts w:ascii="宋体" w:hAnsi="宋体" w:cs="宋体" w:eastAsia="宋体" w:hint="default"/>
                <w:sz w:val="18"/>
                <w:szCs w:val="18"/>
              </w:rPr>
              <w:t>尚未使用的募集资金 用途及去向</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尚未使用的募集资金存放于公司募集资金专户和以购买银行理财产品的形式进行存放和管理。</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15"/>
              <w:jc w:val="both"/>
              <w:rPr>
                <w:rFonts w:ascii="宋体" w:hAnsi="宋体" w:cs="宋体" w:eastAsia="宋体" w:hint="default"/>
                <w:sz w:val="18"/>
                <w:szCs w:val="18"/>
              </w:rPr>
            </w:pPr>
            <w:r>
              <w:rPr>
                <w:rFonts w:ascii="宋体" w:hAnsi="宋体" w:cs="宋体" w:eastAsia="宋体" w:hint="default"/>
                <w:sz w:val="18"/>
                <w:szCs w:val="18"/>
              </w:rPr>
              <w:t>募集资金使用及披露 中存在的问题或其他 情况</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1"/>
        <w:rPr>
          <w:rFonts w:ascii="宋体" w:hAnsi="宋体" w:cs="宋体" w:eastAsia="宋体" w:hint="default"/>
          <w:sz w:val="25"/>
          <w:szCs w:val="25"/>
        </w:rPr>
      </w:pPr>
    </w:p>
    <w:p>
      <w:pPr>
        <w:pStyle w:val="Heading3"/>
        <w:spacing w:line="240" w:lineRule="auto" w:before="35"/>
        <w:ind w:right="0"/>
        <w:jc w:val="left"/>
        <w:rPr>
          <w:b w:val="0"/>
          <w:bCs w:val="0"/>
        </w:rPr>
      </w:pPr>
      <w:bookmarkStart w:name="（3）募集资金变更项目情况" w:id="51"/>
      <w:bookmarkEnd w:id="51"/>
      <w:r>
        <w:rPr>
          <w:b w:val="0"/>
          <w:bCs w:val="0"/>
        </w:rPr>
      </w: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pStyle w:val="BodyText"/>
        <w:spacing w:line="489" w:lineRule="auto"/>
        <w:ind w:left="1133" w:right="73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公司报告期不存在募集资金变更项目情况。</w:t>
      </w:r>
    </w:p>
    <w:p>
      <w:pPr>
        <w:spacing w:line="240" w:lineRule="auto" w:before="8"/>
        <w:rPr>
          <w:rFonts w:ascii="宋体" w:hAnsi="宋体" w:cs="宋体" w:eastAsia="宋体" w:hint="default"/>
          <w:sz w:val="22"/>
          <w:szCs w:val="22"/>
        </w:rPr>
      </w:pPr>
    </w:p>
    <w:p>
      <w:pPr>
        <w:pStyle w:val="Heading2"/>
        <w:spacing w:line="240" w:lineRule="auto"/>
        <w:ind w:right="0"/>
        <w:jc w:val="left"/>
        <w:rPr>
          <w:b w:val="0"/>
          <w:bCs w:val="0"/>
        </w:rPr>
      </w:pPr>
      <w:bookmarkStart w:name="六、重大资产和股权出售" w:id="52"/>
      <w:bookmarkEnd w:id="52"/>
      <w:r>
        <w:rPr>
          <w:b w:val="0"/>
          <w:bCs w:val="0"/>
        </w:rPr>
      </w:r>
      <w:r>
        <w:rPr/>
        <w:t>六、重大资产和股权出售</w:t>
      </w:r>
      <w:r>
        <w:rPr>
          <w:b w:val="0"/>
          <w:bCs w:val="0"/>
        </w:rPr>
      </w:r>
    </w:p>
    <w:p>
      <w:pPr>
        <w:spacing w:line="240" w:lineRule="auto" w:before="0"/>
        <w:rPr>
          <w:rFonts w:ascii="宋体" w:hAnsi="宋体" w:cs="宋体" w:eastAsia="宋体" w:hint="default"/>
          <w:b/>
          <w:bCs/>
          <w:sz w:val="24"/>
          <w:szCs w:val="24"/>
        </w:rPr>
      </w:pPr>
    </w:p>
    <w:p>
      <w:pPr>
        <w:pStyle w:val="Heading3"/>
        <w:spacing w:line="240" w:lineRule="auto" w:before="163"/>
        <w:ind w:left="1133" w:right="0"/>
        <w:jc w:val="left"/>
        <w:rPr>
          <w:b w:val="0"/>
          <w:bCs w:val="0"/>
        </w:rPr>
      </w:pPr>
      <w:bookmarkStart w:name="1、出售重大资产情况" w:id="53"/>
      <w:bookmarkEnd w:id="53"/>
      <w:r>
        <w:rPr>
          <w:b w:val="0"/>
          <w:bCs w:val="0"/>
        </w:rPr>
      </w:r>
      <w:r>
        <w:rPr>
          <w:rFonts w:ascii="Times New Roman" w:hAnsi="Times New Roman" w:cs="Times New Roman" w:eastAsia="Times New Roman" w:hint="default"/>
        </w:rPr>
        <w:t>1</w:t>
      </w:r>
      <w:r>
        <w:rPr/>
        <w:t>、出售重大资产情况</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pStyle w:val="BodyText"/>
        <w:spacing w:line="489" w:lineRule="auto"/>
        <w:ind w:left="1133"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公司报告期未出售重大资产。</w:t>
      </w:r>
    </w:p>
    <w:p>
      <w:pPr>
        <w:spacing w:line="240" w:lineRule="auto" w:before="5"/>
        <w:rPr>
          <w:rFonts w:ascii="宋体" w:hAnsi="宋体" w:cs="宋体" w:eastAsia="宋体" w:hint="default"/>
          <w:sz w:val="24"/>
          <w:szCs w:val="24"/>
        </w:rPr>
      </w:pPr>
    </w:p>
    <w:p>
      <w:pPr>
        <w:pStyle w:val="Heading3"/>
        <w:spacing w:line="240" w:lineRule="auto"/>
        <w:ind w:left="1133" w:right="0"/>
        <w:jc w:val="left"/>
        <w:rPr>
          <w:b w:val="0"/>
          <w:bCs w:val="0"/>
        </w:rPr>
      </w:pPr>
      <w:bookmarkStart w:name="2、出售重大股权情况" w:id="54"/>
      <w:bookmarkEnd w:id="54"/>
      <w:r>
        <w:rPr>
          <w:b w:val="0"/>
          <w:bCs w:val="0"/>
        </w:rPr>
      </w:r>
      <w:r>
        <w:rPr>
          <w:rFonts w:ascii="Times New Roman" w:hAnsi="Times New Roman" w:cs="Times New Roman" w:eastAsia="Times New Roman" w:hint="default"/>
        </w:rPr>
        <w:t>2</w:t>
      </w:r>
      <w:r>
        <w:rPr/>
        <w:t>、出售重大股权情况</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pStyle w:val="BodyText"/>
        <w:spacing w:line="240" w:lineRule="auto"/>
        <w:ind w:left="113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7"/>
          <w:szCs w:val="17"/>
        </w:rPr>
      </w:pPr>
    </w:p>
    <w:p>
      <w:pPr>
        <w:pStyle w:val="Heading2"/>
        <w:spacing w:line="240" w:lineRule="auto"/>
        <w:ind w:right="0"/>
        <w:jc w:val="left"/>
        <w:rPr>
          <w:b w:val="0"/>
          <w:bCs w:val="0"/>
        </w:rPr>
      </w:pPr>
      <w:bookmarkStart w:name="七、主要控股参股公司分析" w:id="55"/>
      <w:bookmarkEnd w:id="55"/>
      <w:r>
        <w:rPr>
          <w:b w:val="0"/>
          <w:bCs w:val="0"/>
        </w:rPr>
      </w:r>
      <w:r>
        <w:rPr/>
        <w:t>七、主要控股参股公司分析</w:t>
      </w:r>
      <w:r>
        <w:rPr>
          <w:b w:val="0"/>
          <w:bCs w:val="0"/>
        </w:rPr>
      </w:r>
    </w:p>
    <w:p>
      <w:pPr>
        <w:spacing w:line="240" w:lineRule="auto" w:before="0"/>
        <w:rPr>
          <w:rFonts w:ascii="宋体" w:hAnsi="宋体" w:cs="宋体" w:eastAsia="宋体" w:hint="default"/>
          <w:b/>
          <w:bCs/>
          <w:sz w:val="24"/>
          <w:szCs w:val="24"/>
        </w:rPr>
      </w:pPr>
    </w:p>
    <w:p>
      <w:pPr>
        <w:pStyle w:val="BodyText"/>
        <w:spacing w:line="240" w:lineRule="auto" w:before="190"/>
        <w:ind w:left="113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19"/>
          <w:szCs w:val="19"/>
        </w:rPr>
      </w:pPr>
    </w:p>
    <w:p>
      <w:pPr>
        <w:pStyle w:val="BodyText"/>
        <w:spacing w:line="240" w:lineRule="auto"/>
        <w:ind w:left="1133" w:right="0"/>
        <w:jc w:val="left"/>
      </w:pPr>
      <w:r>
        <w:rPr/>
        <w:t>主要子公司及对公司净利润影响达</w:t>
      </w:r>
      <w:r>
        <w:rPr>
          <w:spacing w:val="-46"/>
        </w:rPr>
        <w:t> </w:t>
      </w:r>
      <w:r>
        <w:rPr>
          <w:rFonts w:ascii="Times New Roman" w:hAnsi="Times New Roman" w:cs="Times New Roman" w:eastAsia="Times New Roman" w:hint="default"/>
        </w:rPr>
        <w:t>10%</w:t>
      </w:r>
      <w:r>
        <w:rPr/>
        <w:t>以上的参股公司情况</w:t>
      </w:r>
    </w:p>
    <w:p>
      <w:pPr>
        <w:spacing w:line="240" w:lineRule="auto" w:before="6"/>
        <w:rPr>
          <w:rFonts w:ascii="宋体" w:hAnsi="宋体" w:cs="宋体" w:eastAsia="宋体" w:hint="default"/>
          <w:sz w:val="16"/>
          <w:szCs w:val="16"/>
        </w:rPr>
      </w:pPr>
    </w:p>
    <w:p>
      <w:pPr>
        <w:pStyle w:val="BodyText"/>
        <w:spacing w:line="240" w:lineRule="auto" w:before="44"/>
        <w:ind w:left="0" w:right="1130"/>
        <w:jc w:val="right"/>
      </w:pPr>
      <w:r>
        <w:rPr/>
        <w:t>单位：元</w:t>
      </w:r>
    </w:p>
    <w:p>
      <w:pPr>
        <w:spacing w:after="0" w:line="240" w:lineRule="auto"/>
        <w:jc w:val="right"/>
        <w:sectPr>
          <w:pgSz w:w="11910" w:h="16840"/>
          <w:pgMar w:header="787" w:footer="640" w:top="1100" w:bottom="840" w:left="0" w:right="0"/>
        </w:sectPr>
      </w:pPr>
    </w:p>
    <w:p>
      <w:pPr>
        <w:spacing w:line="240" w:lineRule="auto" w:before="5"/>
        <w:rPr>
          <w:rFonts w:ascii="宋体" w:hAnsi="宋体" w:cs="宋体" w:eastAsia="宋体" w:hint="default"/>
          <w:sz w:val="25"/>
          <w:szCs w:val="25"/>
        </w:rPr>
      </w:pPr>
    </w:p>
    <w:tbl>
      <w:tblPr>
        <w:tblW w:w="0" w:type="auto"/>
        <w:jc w:val="left"/>
        <w:tblInd w:w="1129" w:type="dxa"/>
        <w:tblLayout w:type="fixed"/>
        <w:tblCellMar>
          <w:top w:w="0" w:type="dxa"/>
          <w:left w:w="0" w:type="dxa"/>
          <w:bottom w:w="0" w:type="dxa"/>
          <w:right w:w="0" w:type="dxa"/>
        </w:tblCellMar>
        <w:tblLook w:val="01E0"/>
      </w:tblPr>
      <w:tblGrid>
        <w:gridCol w:w="1054"/>
        <w:gridCol w:w="1196"/>
        <w:gridCol w:w="1045"/>
        <w:gridCol w:w="1046"/>
        <w:gridCol w:w="1045"/>
        <w:gridCol w:w="1045"/>
        <w:gridCol w:w="1046"/>
        <w:gridCol w:w="1045"/>
        <w:gridCol w:w="1046"/>
      </w:tblGrid>
      <w:tr>
        <w:trPr>
          <w:trHeight w:val="402" w:hRule="exact"/>
        </w:trPr>
        <w:tc>
          <w:tcPr>
            <w:tcW w:w="1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2"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3"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注册资本</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7"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8"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7" w:right="0"/>
              <w:jc w:val="left"/>
              <w:rPr>
                <w:rFonts w:ascii="宋体" w:hAnsi="宋体" w:cs="宋体" w:eastAsia="宋体" w:hint="default"/>
                <w:sz w:val="18"/>
                <w:szCs w:val="18"/>
              </w:rPr>
            </w:pPr>
            <w:r>
              <w:rPr>
                <w:rFonts w:ascii="宋体" w:hAnsi="宋体" w:cs="宋体" w:eastAsia="宋体" w:hint="default"/>
                <w:sz w:val="18"/>
                <w:szCs w:val="18"/>
              </w:rPr>
              <w:t>净利润</w:t>
            </w:r>
          </w:p>
        </w:tc>
      </w:tr>
      <w:tr>
        <w:trPr>
          <w:trHeight w:val="1338"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19"/>
              <w:jc w:val="both"/>
              <w:rPr>
                <w:rFonts w:ascii="宋体" w:hAnsi="宋体" w:cs="宋体" w:eastAsia="宋体" w:hint="default"/>
                <w:sz w:val="18"/>
                <w:szCs w:val="18"/>
              </w:rPr>
            </w:pPr>
            <w:r>
              <w:rPr>
                <w:rFonts w:ascii="宋体" w:hAnsi="宋体" w:cs="宋体" w:eastAsia="宋体" w:hint="default"/>
                <w:sz w:val="18"/>
                <w:szCs w:val="18"/>
              </w:rPr>
              <w:t>广州市苏瑞 计算机科技 有限公司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0"/>
              <w:jc w:val="both"/>
              <w:rPr>
                <w:rFonts w:ascii="宋体" w:hAnsi="宋体" w:cs="宋体" w:eastAsia="宋体" w:hint="default"/>
                <w:sz w:val="18"/>
                <w:szCs w:val="18"/>
              </w:rPr>
            </w:pPr>
            <w:r>
              <w:rPr>
                <w:rFonts w:ascii="宋体" w:hAnsi="宋体" w:cs="宋体" w:eastAsia="宋体" w:hint="default"/>
                <w:sz w:val="18"/>
                <w:szCs w:val="18"/>
              </w:rPr>
              <w:t>主要从事联 网平台基础 软件的开发 及销售等</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43"/>
              <w:jc w:val="center"/>
              <w:rPr>
                <w:rFonts w:ascii="Times New Roman" w:hAnsi="Times New Roman" w:cs="Times New Roman" w:eastAsia="Times New Roman" w:hint="default"/>
                <w:sz w:val="18"/>
                <w:szCs w:val="18"/>
              </w:rPr>
            </w:pPr>
            <w:r>
              <w:rPr>
                <w:rFonts w:ascii="Times New Roman"/>
                <w:sz w:val="18"/>
              </w:rPr>
              <w:t>1,000,000.00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64,530,130.3</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5</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60,120,903.3</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1</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33,530,671.4</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29,060,680.3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26,332,371.8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w:t>
            </w:r>
          </w:p>
        </w:tc>
      </w:tr>
      <w:tr>
        <w:trPr>
          <w:trHeight w:val="102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9"/>
              <w:jc w:val="both"/>
              <w:rPr>
                <w:rFonts w:ascii="宋体" w:hAnsi="宋体" w:cs="宋体" w:eastAsia="宋体" w:hint="default"/>
                <w:sz w:val="18"/>
                <w:szCs w:val="18"/>
              </w:rPr>
            </w:pPr>
            <w:r>
              <w:rPr>
                <w:rFonts w:ascii="宋体" w:hAnsi="宋体" w:cs="宋体" w:eastAsia="宋体" w:hint="default"/>
                <w:sz w:val="18"/>
                <w:szCs w:val="18"/>
              </w:rPr>
              <w:t>深圳市润安 科技发展有 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0"/>
              <w:jc w:val="both"/>
              <w:rPr>
                <w:rFonts w:ascii="宋体" w:hAnsi="宋体" w:cs="宋体" w:eastAsia="宋体" w:hint="default"/>
                <w:sz w:val="18"/>
                <w:szCs w:val="18"/>
              </w:rPr>
            </w:pPr>
            <w:r>
              <w:rPr>
                <w:rFonts w:ascii="宋体" w:hAnsi="宋体" w:cs="宋体" w:eastAsia="宋体" w:hint="default"/>
                <w:sz w:val="18"/>
                <w:szCs w:val="18"/>
              </w:rPr>
              <w:t>主要从事信 息系统集成 服务等</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51,380,000.0</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110,381,993.</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76</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69,348,070.5</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8</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65,342,456.2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18,611,312.7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16,679,614.2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w:t>
            </w:r>
          </w:p>
        </w:tc>
      </w:tr>
      <w:tr>
        <w:trPr>
          <w:trHeight w:val="1338"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9"/>
              <w:jc w:val="both"/>
              <w:rPr>
                <w:rFonts w:ascii="宋体" w:hAnsi="宋体" w:cs="宋体" w:eastAsia="宋体" w:hint="default"/>
                <w:sz w:val="18"/>
                <w:szCs w:val="18"/>
              </w:rPr>
            </w:pPr>
            <w:r>
              <w:rPr>
                <w:rFonts w:ascii="宋体" w:hAnsi="宋体" w:cs="宋体" w:eastAsia="宋体" w:hint="default"/>
                <w:sz w:val="18"/>
                <w:szCs w:val="18"/>
              </w:rPr>
              <w:t>重庆浩云公 共安全物联 网技术有限 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0"/>
              <w:jc w:val="both"/>
              <w:rPr>
                <w:rFonts w:ascii="宋体" w:hAnsi="宋体" w:cs="宋体" w:eastAsia="宋体" w:hint="default"/>
                <w:sz w:val="18"/>
                <w:szCs w:val="18"/>
              </w:rPr>
            </w:pPr>
            <w:r>
              <w:rPr>
                <w:rFonts w:ascii="宋体" w:hAnsi="宋体" w:cs="宋体" w:eastAsia="宋体" w:hint="default"/>
                <w:sz w:val="18"/>
                <w:szCs w:val="18"/>
              </w:rPr>
              <w:t>主要从事公 共安全大数 据的处理服 务等</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103,000,000.</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132,167,960.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28</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117,438,768.</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40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42,234,644.3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15,126,080.4</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13,041,966.8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w:t>
            </w:r>
          </w:p>
        </w:tc>
      </w:tr>
    </w:tbl>
    <w:p>
      <w:pPr>
        <w:spacing w:line="240" w:lineRule="auto" w:before="6"/>
        <w:rPr>
          <w:rFonts w:ascii="宋体" w:hAnsi="宋体" w:cs="宋体" w:eastAsia="宋体" w:hint="default"/>
          <w:sz w:val="6"/>
          <w:szCs w:val="6"/>
        </w:rPr>
      </w:pPr>
    </w:p>
    <w:p>
      <w:pPr>
        <w:pStyle w:val="BodyText"/>
        <w:spacing w:line="240" w:lineRule="auto" w:before="44"/>
        <w:ind w:right="0"/>
        <w:jc w:val="left"/>
      </w:pPr>
      <w:r>
        <w:rPr/>
        <w:t>报告期内取得和处置子公司的情况</w:t>
      </w:r>
    </w:p>
    <w:p>
      <w:pPr>
        <w:spacing w:line="240" w:lineRule="auto" w:before="12"/>
        <w:rPr>
          <w:rFonts w:ascii="宋体" w:hAnsi="宋体" w:cs="宋体" w:eastAsia="宋体" w:hint="default"/>
          <w:sz w:val="20"/>
          <w:szCs w:val="20"/>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3189"/>
        <w:gridCol w:w="3190"/>
        <w:gridCol w:w="3191"/>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30" w:right="0"/>
              <w:jc w:val="left"/>
              <w:rPr>
                <w:rFonts w:ascii="宋体" w:hAnsi="宋体" w:cs="宋体" w:eastAsia="宋体" w:hint="default"/>
                <w:sz w:val="18"/>
                <w:szCs w:val="18"/>
              </w:rPr>
            </w:pPr>
            <w:r>
              <w:rPr>
                <w:rFonts w:ascii="宋体" w:hAnsi="宋体" w:cs="宋体" w:eastAsia="宋体" w:hint="default"/>
                <w:sz w:val="18"/>
                <w:szCs w:val="18"/>
              </w:rPr>
              <w:t>报告期内取得和处置子公司方式</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20" w:right="0"/>
              <w:jc w:val="left"/>
              <w:rPr>
                <w:rFonts w:ascii="宋体" w:hAnsi="宋体" w:cs="宋体" w:eastAsia="宋体" w:hint="default"/>
                <w:sz w:val="18"/>
                <w:szCs w:val="18"/>
              </w:rPr>
            </w:pPr>
            <w:r>
              <w:rPr>
                <w:rFonts w:ascii="宋体" w:hAnsi="宋体" w:cs="宋体" w:eastAsia="宋体" w:hint="default"/>
                <w:sz w:val="18"/>
                <w:szCs w:val="18"/>
              </w:rPr>
              <w:t>对整体生产经营和业绩的影响</w:t>
            </w:r>
          </w:p>
        </w:tc>
      </w:tr>
      <w:tr>
        <w:trPr>
          <w:trHeight w:val="715"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武汉浩立威保安服务有限公司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年归属于母公司的净利润：</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-20,883.63  </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元</w:t>
            </w:r>
          </w:p>
        </w:tc>
      </w:tr>
    </w:tbl>
    <w:p>
      <w:pPr>
        <w:spacing w:line="240" w:lineRule="auto" w:before="0"/>
        <w:rPr>
          <w:rFonts w:ascii="宋体" w:hAnsi="宋体" w:cs="宋体" w:eastAsia="宋体" w:hint="default"/>
          <w:sz w:val="24"/>
          <w:szCs w:val="24"/>
        </w:rPr>
      </w:pPr>
    </w:p>
    <w:p>
      <w:pPr>
        <w:pStyle w:val="Heading2"/>
        <w:spacing w:line="240" w:lineRule="auto" w:before="26"/>
        <w:ind w:left="1134" w:right="0"/>
        <w:jc w:val="left"/>
        <w:rPr>
          <w:b w:val="0"/>
          <w:bCs w:val="0"/>
        </w:rPr>
      </w:pPr>
      <w:bookmarkStart w:name="八、公司控制的结构化主体情况" w:id="56"/>
      <w:bookmarkEnd w:id="56"/>
      <w:r>
        <w:rPr>
          <w:b w:val="0"/>
          <w:bCs w:val="0"/>
        </w:rPr>
      </w:r>
      <w:r>
        <w:rPr/>
        <w:t>八、公司控制的结构化主体情况</w:t>
      </w:r>
      <w:r>
        <w:rPr>
          <w:b w:val="0"/>
          <w:bCs w:val="0"/>
        </w:rPr>
      </w:r>
    </w:p>
    <w:p>
      <w:pPr>
        <w:spacing w:line="240" w:lineRule="auto" w:before="0"/>
        <w:rPr>
          <w:rFonts w:ascii="宋体" w:hAnsi="宋体" w:cs="宋体" w:eastAsia="宋体" w:hint="default"/>
          <w:b/>
          <w:bCs/>
          <w:sz w:val="24"/>
          <w:szCs w:val="24"/>
        </w:rPr>
      </w:pPr>
    </w:p>
    <w:p>
      <w:pPr>
        <w:pStyle w:val="BodyText"/>
        <w:spacing w:line="240" w:lineRule="auto" w:before="190"/>
        <w:ind w:left="113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7"/>
          <w:szCs w:val="17"/>
        </w:rPr>
      </w:pPr>
    </w:p>
    <w:p>
      <w:pPr>
        <w:pStyle w:val="Heading2"/>
        <w:spacing w:line="240" w:lineRule="auto"/>
        <w:ind w:right="0"/>
        <w:jc w:val="left"/>
        <w:rPr>
          <w:b w:val="0"/>
          <w:bCs w:val="0"/>
        </w:rPr>
      </w:pPr>
      <w:bookmarkStart w:name="九、公司未来发展的展望" w:id="57"/>
      <w:bookmarkEnd w:id="57"/>
      <w:r>
        <w:rPr>
          <w:b w:val="0"/>
          <w:bCs w:val="0"/>
        </w:rPr>
      </w:r>
      <w:r>
        <w:rPr/>
        <w:t>九、公司未来发展的展望</w:t>
      </w:r>
      <w:r>
        <w:rPr>
          <w:b w:val="0"/>
          <w:bCs w:val="0"/>
        </w:rPr>
      </w:r>
    </w:p>
    <w:p>
      <w:pPr>
        <w:spacing w:line="240" w:lineRule="auto" w:before="0"/>
        <w:rPr>
          <w:rFonts w:ascii="宋体" w:hAnsi="宋体" w:cs="宋体" w:eastAsia="宋体" w:hint="default"/>
          <w:b/>
          <w:bCs/>
          <w:sz w:val="24"/>
          <w:szCs w:val="24"/>
        </w:rPr>
      </w:pPr>
    </w:p>
    <w:p>
      <w:pPr>
        <w:pStyle w:val="Heading3"/>
        <w:spacing w:line="240" w:lineRule="auto" w:before="163"/>
        <w:ind w:left="1456" w:right="0"/>
        <w:jc w:val="left"/>
        <w:rPr>
          <w:b w:val="0"/>
          <w:bCs w:val="0"/>
        </w:rPr>
      </w:pPr>
      <w:r>
        <w:rPr>
          <w:rFonts w:ascii="Times New Roman" w:hAnsi="Times New Roman" w:cs="Times New Roman" w:eastAsia="Times New Roman" w:hint="default"/>
        </w:rPr>
        <w:t>1</w:t>
      </w:r>
      <w:r>
        <w:rPr/>
        <w:t>、公司所处行业的发展情况</w:t>
      </w:r>
      <w:r>
        <w:rPr>
          <w:b w:val="0"/>
          <w:bCs w:val="0"/>
        </w:rPr>
      </w:r>
    </w:p>
    <w:p>
      <w:pPr>
        <w:spacing w:line="240" w:lineRule="auto" w:before="6"/>
        <w:rPr>
          <w:rFonts w:ascii="宋体" w:hAnsi="宋体" w:cs="宋体" w:eastAsia="宋体" w:hint="default"/>
          <w:b/>
          <w:bCs/>
          <w:sz w:val="15"/>
          <w:szCs w:val="15"/>
        </w:rPr>
      </w:pPr>
    </w:p>
    <w:p>
      <w:pPr>
        <w:pStyle w:val="BodyText"/>
        <w:spacing w:line="468" w:lineRule="auto"/>
        <w:ind w:left="1133" w:right="1132" w:firstLine="290"/>
        <w:jc w:val="both"/>
      </w:pPr>
      <w:r>
        <w:rPr>
          <w:rFonts w:ascii="Times New Roman" w:hAnsi="Times New Roman" w:cs="Times New Roman" w:eastAsia="Times New Roman" w:hint="default"/>
          <w:spacing w:val="-1"/>
        </w:rPr>
        <w:t>2017</w:t>
      </w:r>
      <w:r>
        <w:rPr>
          <w:spacing w:val="-1"/>
        </w:rPr>
        <w:t>年国务院印发《新一代人工智能发展规划》，大力倡导和推动人工智能技术的创新、发展。人工智能在各个行业的</w:t>
      </w:r>
      <w:r>
        <w:rPr/>
        <w:t> </w:t>
      </w:r>
      <w:r>
        <w:rPr>
          <w:spacing w:val="-2"/>
        </w:rPr>
        <w:t>融合应用已成为当下科技领域的趋势。人工智能在安防领域有着广泛的应用基础和应用场景，是人工智能最早落地的领域之</w:t>
      </w:r>
      <w:r>
        <w:rPr>
          <w:spacing w:val="-64"/>
        </w:rPr>
        <w:t> </w:t>
      </w:r>
      <w:r>
        <w:rPr>
          <w:spacing w:val="-64"/>
        </w:rPr>
      </w:r>
      <w:r>
        <w:rPr>
          <w:spacing w:val="-2"/>
        </w:rPr>
        <w:t>一。随着人工智能与物联网、大数据、云计算等新兴技术的持续发展和加速融合，为行业的变革及发展注入新的动力，大大</w:t>
      </w:r>
      <w:r>
        <w:rPr>
          <w:spacing w:val="-66"/>
        </w:rPr>
        <w:t> </w:t>
      </w:r>
      <w:r>
        <w:rPr>
          <w:spacing w:val="-66"/>
        </w:rPr>
      </w:r>
      <w:r>
        <w:rPr/>
        <w:t>的拓展了行业的发展边界，推动安防向智慧化、物联化方向发展。</w:t>
      </w:r>
    </w:p>
    <w:p>
      <w:pPr>
        <w:pStyle w:val="BodyText"/>
        <w:spacing w:line="477" w:lineRule="auto" w:before="61"/>
        <w:ind w:left="1133" w:right="1130" w:firstLine="290"/>
        <w:jc w:val="both"/>
      </w:pPr>
      <w:r>
        <w:rPr>
          <w:spacing w:val="-1"/>
        </w:rPr>
        <w:t>安防的人工智能化及物联化趋势，使得业内公司必须提升研发能力、增强综合实力，顺应技术发展大潮，向更高层次发</w:t>
      </w:r>
      <w:r>
        <w:rPr/>
        <w:t> 展。</w:t>
      </w:r>
    </w:p>
    <w:p>
      <w:pPr>
        <w:pStyle w:val="Heading3"/>
        <w:spacing w:line="240" w:lineRule="auto" w:before="29"/>
        <w:ind w:left="1522" w:right="0"/>
        <w:jc w:val="left"/>
        <w:rPr>
          <w:b w:val="0"/>
          <w:bCs w:val="0"/>
        </w:rPr>
      </w:pPr>
      <w:r>
        <w:rPr>
          <w:rFonts w:ascii="Times New Roman" w:hAnsi="Times New Roman" w:cs="Times New Roman" w:eastAsia="Times New Roman" w:hint="default"/>
        </w:rPr>
        <w:t>2</w:t>
      </w:r>
      <w:r>
        <w:rPr/>
        <w:t>、公司发展战略</w:t>
      </w:r>
      <w:r>
        <w:rPr>
          <w:b w:val="0"/>
          <w:bCs w:val="0"/>
        </w:rPr>
      </w:r>
    </w:p>
    <w:p>
      <w:pPr>
        <w:pStyle w:val="BodyText"/>
        <w:spacing w:line="468" w:lineRule="exact" w:before="39"/>
        <w:ind w:right="1132" w:firstLine="290"/>
        <w:jc w:val="both"/>
      </w:pPr>
      <w:r>
        <w:rPr>
          <w:rFonts w:ascii="Times New Roman" w:hAnsi="Times New Roman" w:cs="Times New Roman" w:eastAsia="Times New Roman" w:hint="default"/>
          <w:spacing w:val="-1"/>
        </w:rPr>
        <w:t>2018</w:t>
      </w:r>
      <w:r>
        <w:rPr>
          <w:spacing w:val="-1"/>
        </w:rPr>
        <w:t>年公司将继续增强公司在智慧管理平台和智能硬件方面的领先优势，融合物联网、云计算、大数据、人工智能、移</w:t>
      </w:r>
      <w:r>
        <w:rPr/>
        <w:t> 动互联网、边缘计算等新兴技术，以工业</w:t>
      </w:r>
      <w:r>
        <w:rPr>
          <w:rFonts w:ascii="Times New Roman" w:hAnsi="Times New Roman" w:cs="Times New Roman" w:eastAsia="Times New Roman" w:hint="default"/>
        </w:rPr>
        <w:t>4.0</w:t>
      </w:r>
      <w:r>
        <w:rPr/>
        <w:t>思想构建全新的智慧物联管理平台，打造全方位智能感知产品；以柔性定制、</w:t>
      </w:r>
    </w:p>
    <w:p>
      <w:pPr>
        <w:spacing w:after="0" w:line="468" w:lineRule="exact"/>
        <w:jc w:val="both"/>
        <w:sectPr>
          <w:footerReference w:type="default" r:id="rId20"/>
          <w:pgSz w:w="11910" w:h="16840"/>
          <w:pgMar w:footer="1567" w:header="787" w:top="1100" w:bottom="1760" w:left="0" w:right="0"/>
        </w:sectPr>
      </w:pPr>
    </w:p>
    <w:p>
      <w:pPr>
        <w:spacing w:line="240" w:lineRule="auto" w:before="10"/>
        <w:rPr>
          <w:rFonts w:ascii="宋体" w:hAnsi="宋体" w:cs="宋体" w:eastAsia="宋体" w:hint="default"/>
          <w:sz w:val="28"/>
          <w:szCs w:val="28"/>
        </w:rPr>
      </w:pPr>
    </w:p>
    <w:p>
      <w:pPr>
        <w:pStyle w:val="BodyText"/>
        <w:spacing w:line="240" w:lineRule="auto" w:before="44"/>
        <w:ind w:right="0"/>
        <w:jc w:val="both"/>
      </w:pPr>
      <w:r>
        <w:rPr/>
        <w:t>展，成为智慧和安全新世界的构筑者。</w:t>
      </w:r>
    </w:p>
    <w:p>
      <w:pPr>
        <w:spacing w:line="240" w:lineRule="auto" w:before="11"/>
        <w:rPr>
          <w:rFonts w:ascii="宋体" w:hAnsi="宋体" w:cs="宋体" w:eastAsia="宋体" w:hint="default"/>
          <w:sz w:val="15"/>
          <w:szCs w:val="15"/>
        </w:rPr>
      </w:pPr>
    </w:p>
    <w:p>
      <w:pPr>
        <w:pStyle w:val="Heading3"/>
        <w:spacing w:line="240" w:lineRule="auto"/>
        <w:ind w:left="1556" w:right="0"/>
        <w:jc w:val="left"/>
        <w:rPr>
          <w:b w:val="0"/>
          <w:bCs w:val="0"/>
        </w:rPr>
      </w:pPr>
      <w:r>
        <w:rPr>
          <w:rFonts w:ascii="Times New Roman" w:hAnsi="Times New Roman" w:cs="Times New Roman" w:eastAsia="Times New Roman" w:hint="default"/>
        </w:rPr>
        <w:t>3</w:t>
      </w:r>
      <w:r>
        <w:rPr/>
        <w:t>、公司</w:t>
      </w:r>
      <w:r>
        <w:rPr>
          <w:rFonts w:ascii="Times New Roman" w:hAnsi="Times New Roman" w:cs="Times New Roman" w:eastAsia="Times New Roman" w:hint="default"/>
        </w:rPr>
        <w:t>2018</w:t>
      </w:r>
      <w:r>
        <w:rPr/>
        <w:t>年主要经营计划</w:t>
      </w:r>
      <w:r>
        <w:rPr>
          <w:b w:val="0"/>
          <w:bCs w:val="0"/>
        </w:rPr>
      </w:r>
    </w:p>
    <w:p>
      <w:pPr>
        <w:spacing w:line="240" w:lineRule="auto" w:before="6"/>
        <w:rPr>
          <w:rFonts w:ascii="宋体" w:hAnsi="宋体" w:cs="宋体" w:eastAsia="宋体" w:hint="default"/>
          <w:b/>
          <w:bCs/>
          <w:sz w:val="15"/>
          <w:szCs w:val="15"/>
        </w:rPr>
      </w:pPr>
    </w:p>
    <w:p>
      <w:pPr>
        <w:pStyle w:val="BodyText"/>
        <w:spacing w:line="463" w:lineRule="auto"/>
        <w:ind w:right="1032" w:firstLine="290"/>
        <w:jc w:val="left"/>
      </w:pPr>
      <w:r>
        <w:rPr>
          <w:rFonts w:ascii="Times New Roman" w:hAnsi="Times New Roman" w:cs="Times New Roman" w:eastAsia="Times New Roman" w:hint="default"/>
        </w:rPr>
        <w:t>2018</w:t>
      </w:r>
      <w:r>
        <w:rPr/>
        <w:t>年公司继续贯彻</w:t>
      </w:r>
      <w:r>
        <w:rPr>
          <w:rFonts w:ascii="Times New Roman" w:hAnsi="Times New Roman" w:cs="Times New Roman" w:eastAsia="Times New Roman" w:hint="default"/>
        </w:rPr>
        <w:t>“</w:t>
      </w:r>
      <w:r>
        <w:rPr/>
        <w:t>提升金融安防的市场占有率，深入挖掘客户的各类应用需求，积极构建行业安防整体解决方案</w:t>
      </w:r>
      <w:r>
        <w:rPr>
          <w:rFonts w:ascii="Times New Roman" w:hAnsi="Times New Roman" w:cs="Times New Roman" w:eastAsia="Times New Roman" w:hint="default"/>
        </w:rPr>
        <w:t>”</w:t>
      </w:r>
      <w:r>
        <w:rPr/>
        <w:t>的 </w:t>
      </w:r>
      <w:r>
        <w:rPr>
          <w:spacing w:val="-2"/>
        </w:rPr>
        <w:t>发展策略。全面推进以金融安防系统为切入点，以云计算、大数据、人工智能、边缘计算等各种创新技术为基础的金融安防</w:t>
      </w:r>
      <w:r>
        <w:rPr>
          <w:spacing w:val="-66"/>
        </w:rPr>
        <w:t> </w:t>
      </w:r>
      <w:r>
        <w:rPr>
          <w:spacing w:val="-66"/>
        </w:rPr>
      </w:r>
      <w:r>
        <w:rPr>
          <w:spacing w:val="-2"/>
        </w:rPr>
        <w:t>业务，并积极推进智慧城市、智慧司法、智慧教育、智慧口岸、智能交通及智慧水利等行业安全业务，实现公司多行业并行</w:t>
      </w:r>
      <w:r>
        <w:rPr>
          <w:spacing w:val="-67"/>
        </w:rPr>
        <w:t> </w:t>
      </w:r>
      <w:r>
        <w:rPr>
          <w:spacing w:val="-67"/>
        </w:rPr>
      </w:r>
      <w:r>
        <w:rPr/>
        <w:t>发展以及行业内部全方位的市场覆盖能力。</w:t>
      </w:r>
      <w:r>
        <w:rPr>
          <w:rFonts w:ascii="Times New Roman" w:hAnsi="Times New Roman" w:cs="Times New Roman" w:eastAsia="Times New Roman" w:hint="default"/>
        </w:rPr>
        <w:t>2018</w:t>
      </w:r>
      <w:r>
        <w:rPr/>
        <w:t>年，围绕公司的发展战略，巩固现有市场，深挖客户需求，加强资源整合， 加大技术研发投入，为实现经营目标，主要从以下几方面开展工作：</w:t>
      </w:r>
    </w:p>
    <w:p>
      <w:pPr>
        <w:pStyle w:val="BodyText"/>
        <w:spacing w:line="240" w:lineRule="auto" w:before="65"/>
        <w:ind w:right="0"/>
        <w:jc w:val="both"/>
      </w:pPr>
      <w:r>
        <w:rPr/>
        <w:t>（</w:t>
      </w:r>
      <w:r>
        <w:rPr>
          <w:rFonts w:ascii="Times New Roman" w:hAnsi="Times New Roman" w:cs="Times New Roman" w:eastAsia="Times New Roman" w:hint="default"/>
        </w:rPr>
        <w:t>1</w:t>
      </w:r>
      <w:r>
        <w:rPr/>
        <w:t>）深耕行业市场，拓宽业务领域</w:t>
      </w:r>
    </w:p>
    <w:p>
      <w:pPr>
        <w:spacing w:line="240" w:lineRule="auto" w:before="9"/>
        <w:rPr>
          <w:rFonts w:ascii="宋体" w:hAnsi="宋体" w:cs="宋体" w:eastAsia="宋体" w:hint="default"/>
          <w:sz w:val="16"/>
          <w:szCs w:val="16"/>
        </w:rPr>
      </w:pPr>
    </w:p>
    <w:p>
      <w:pPr>
        <w:pStyle w:val="BodyText"/>
        <w:spacing w:line="463" w:lineRule="auto"/>
        <w:ind w:left="1133" w:right="0"/>
        <w:jc w:val="left"/>
      </w:pPr>
      <w:r>
        <w:rPr/>
        <w:t>①根据安防行业</w:t>
      </w:r>
      <w:r>
        <w:rPr>
          <w:rFonts w:ascii="Times New Roman" w:hAnsi="Times New Roman" w:cs="Times New Roman" w:eastAsia="Times New Roman" w:hint="default"/>
        </w:rPr>
        <w:t>3-5</w:t>
      </w:r>
      <w:r>
        <w:rPr/>
        <w:t>年进行设备更新的规律，国内各大银行的安防设备已进入到新一轮更新周期。同时，新技术的不断涌现 </w:t>
      </w:r>
      <w:r>
        <w:rPr>
          <w:spacing w:val="-4"/>
        </w:rPr>
        <w:t>和应用以及银行自身管理需求的提升，促使银行原有平台需升级融入管理要素。公司在这方面有大量的技术储备和经验积累，</w:t>
      </w:r>
      <w:r>
        <w:rPr>
          <w:spacing w:val="-44"/>
        </w:rPr>
        <w:t> </w:t>
      </w:r>
      <w:r>
        <w:rPr>
          <w:spacing w:val="-44"/>
        </w:rPr>
      </w:r>
      <w:r>
        <w:rPr/>
        <w:t>将借此继续扩大在智慧金融市场的占有率。同时，公司已建和在建的银行联网监控中心已达</w:t>
      </w:r>
      <w:r>
        <w:rPr>
          <w:rFonts w:ascii="Times New Roman" w:hAnsi="Times New Roman" w:cs="Times New Roman" w:eastAsia="Times New Roman" w:hint="default"/>
        </w:rPr>
        <w:t>800</w:t>
      </w:r>
      <w:r>
        <w:rPr/>
        <w:t>个以上，这些监控中心都由 </w:t>
      </w:r>
      <w:r>
        <w:rPr>
          <w:spacing w:val="-2"/>
        </w:rPr>
        <w:t>公司提供联网软件及服务，加上遍布全国的服务网点，公司具有向交互式视频安保服务业务发展的优势基础，公司将进一步</w:t>
      </w:r>
      <w:r>
        <w:rPr>
          <w:spacing w:val="-66"/>
        </w:rPr>
        <w:t> </w:t>
      </w:r>
      <w:r>
        <w:rPr>
          <w:spacing w:val="-66"/>
        </w:rPr>
      </w:r>
      <w:r>
        <w:rPr/>
        <w:t>提升服务质量和扩大服务项目，以客户满意为导向打造专业服务团队，以成为金融安保服务第一品牌为目标。</w:t>
      </w:r>
    </w:p>
    <w:p>
      <w:pPr>
        <w:pStyle w:val="BodyText"/>
        <w:spacing w:line="463" w:lineRule="auto" w:before="65"/>
        <w:ind w:left="1133" w:right="1130"/>
        <w:jc w:val="both"/>
      </w:pPr>
      <w:r>
        <w:rPr>
          <w:spacing w:val="-2"/>
        </w:rPr>
        <w:t>②公司在重庆渝北项目、辛集项目、北京通州项目的基础上，继续加速在智慧城市、平安城市行业的技术和市场布局，综合</w:t>
      </w:r>
      <w:r>
        <w:rPr>
          <w:spacing w:val="-66"/>
        </w:rPr>
        <w:t> </w:t>
      </w:r>
      <w:r>
        <w:rPr>
          <w:spacing w:val="-66"/>
        </w:rPr>
      </w:r>
      <w:r>
        <w:rPr>
          <w:spacing w:val="-2"/>
        </w:rPr>
        <w:t>应用</w:t>
      </w:r>
      <w:r>
        <w:rPr>
          <w:rFonts w:ascii="Times New Roman" w:hAnsi="Times New Roman" w:cs="Times New Roman" w:eastAsia="Times New Roman" w:hint="default"/>
          <w:spacing w:val="-2"/>
        </w:rPr>
        <w:t>“</w:t>
      </w:r>
      <w:r>
        <w:rPr>
          <w:spacing w:val="-2"/>
        </w:rPr>
        <w:t>物移大云智</w:t>
      </w:r>
      <w:r>
        <w:rPr>
          <w:rFonts w:ascii="Times New Roman" w:hAnsi="Times New Roman" w:cs="Times New Roman" w:eastAsia="Times New Roman" w:hint="default"/>
          <w:spacing w:val="-2"/>
        </w:rPr>
        <w:t>”</w:t>
      </w:r>
      <w:r>
        <w:rPr>
          <w:spacing w:val="-2"/>
        </w:rPr>
        <w:t>（物联网、移动无线通信、大数据、云计算、智能化）在内的新一代信息技术为客户提供智慧感知、智慧</w:t>
      </w:r>
      <w:r>
        <w:rPr>
          <w:spacing w:val="-45"/>
        </w:rPr>
        <w:t> </w:t>
      </w:r>
      <w:r>
        <w:rPr>
          <w:spacing w:val="-45"/>
        </w:rPr>
      </w:r>
      <w:r>
        <w:rPr/>
        <w:t>网络、智慧处理、智慧应用和智慧运营</w:t>
      </w:r>
      <w:r>
        <w:rPr>
          <w:rFonts w:ascii="Times New Roman" w:hAnsi="Times New Roman" w:cs="Times New Roman" w:eastAsia="Times New Roman" w:hint="default"/>
        </w:rPr>
        <w:t>“</w:t>
      </w:r>
      <w:r>
        <w:rPr/>
        <w:t>五位一体化</w:t>
      </w:r>
      <w:r>
        <w:rPr>
          <w:rFonts w:ascii="Times New Roman" w:hAnsi="Times New Roman" w:cs="Times New Roman" w:eastAsia="Times New Roman" w:hint="default"/>
        </w:rPr>
        <w:t>”</w:t>
      </w:r>
      <w:r>
        <w:rPr/>
        <w:t>的智慧城市综合解决方案。</w:t>
      </w:r>
    </w:p>
    <w:p>
      <w:pPr>
        <w:pStyle w:val="BodyText"/>
        <w:spacing w:line="477" w:lineRule="auto" w:before="33"/>
        <w:ind w:left="1133" w:right="1131"/>
        <w:jc w:val="both"/>
      </w:pPr>
      <w:r>
        <w:rPr>
          <w:spacing w:val="-2"/>
        </w:rPr>
        <w:t>③公司多年以来在大数据、云计算领域持续进行技术研发，针对监狱安防领域推出领先的智慧监狱大数据云平台、社区矫正</w:t>
      </w:r>
      <w:r>
        <w:rPr>
          <w:spacing w:val="-66"/>
        </w:rPr>
        <w:t> </w:t>
      </w:r>
      <w:r>
        <w:rPr>
          <w:spacing w:val="-66"/>
        </w:rPr>
      </w:r>
      <w:r>
        <w:rPr>
          <w:spacing w:val="-2"/>
        </w:rPr>
        <w:t>监管云平台。智慧监狱大数据云平台通过对监狱各类数据进行全面的侦测、收集，进行大数据分析和挖掘后，为监狱管理人</w:t>
      </w:r>
      <w:r>
        <w:rPr>
          <w:spacing w:val="-66"/>
        </w:rPr>
        <w:t> </w:t>
      </w:r>
      <w:r>
        <w:rPr>
          <w:spacing w:val="-66"/>
        </w:rPr>
      </w:r>
      <w:r>
        <w:rPr>
          <w:spacing w:val="-2"/>
        </w:rPr>
        <w:t>员提供更多更有价值的数据信息，例如：挖掘出犯人越狱的可能性，或者当犯人出现心理问题时能够及时预警。社区矫正监</w:t>
      </w:r>
      <w:r>
        <w:rPr>
          <w:spacing w:val="-66"/>
        </w:rPr>
        <w:t> </w:t>
      </w:r>
      <w:r>
        <w:rPr>
          <w:spacing w:val="-66"/>
        </w:rPr>
      </w:r>
      <w:r>
        <w:rPr>
          <w:spacing w:val="-2"/>
        </w:rPr>
        <w:t>管云平台是对社区矫正对象进行有效监管的综合性服务平台，系统以定位电子腕带为基础，对社区矫正人员的位置、行动轨</w:t>
      </w:r>
      <w:r>
        <w:rPr>
          <w:spacing w:val="-66"/>
        </w:rPr>
        <w:t> </w:t>
      </w:r>
      <w:r>
        <w:rPr>
          <w:spacing w:val="-66"/>
        </w:rPr>
      </w:r>
      <w:r>
        <w:rPr>
          <w:spacing w:val="-2"/>
        </w:rPr>
        <w:t>迹、活动区域等进行有效及时的监控。司法领域安防产品的突破和创新，预计未来将极大提高公司在该领域的竞争力，为公</w:t>
      </w:r>
      <w:r>
        <w:rPr>
          <w:spacing w:val="-66"/>
        </w:rPr>
        <w:t> </w:t>
      </w:r>
      <w:r>
        <w:rPr>
          <w:spacing w:val="-66"/>
        </w:rPr>
      </w:r>
      <w:r>
        <w:rPr/>
        <w:t>司创造效益。</w:t>
      </w:r>
    </w:p>
    <w:p>
      <w:pPr>
        <w:pStyle w:val="BodyText"/>
        <w:spacing w:line="463" w:lineRule="auto" w:before="54"/>
        <w:ind w:left="1133" w:right="1132"/>
        <w:jc w:val="both"/>
      </w:pPr>
      <w:r>
        <w:rPr>
          <w:spacing w:val="-2"/>
        </w:rPr>
        <w:t>④上一年度公司在智慧食药监、智慧教育等行业实现了开门红，同时在智慧城市、平安城市、智慧监狱等行业持续拓展，都</w:t>
      </w:r>
      <w:r>
        <w:rPr>
          <w:spacing w:val="-66"/>
        </w:rPr>
        <w:t> </w:t>
      </w:r>
      <w:r>
        <w:rPr>
          <w:spacing w:val="-66"/>
        </w:rPr>
      </w:r>
      <w:r>
        <w:rPr>
          <w:spacing w:val="-2"/>
        </w:rPr>
        <w:t>取得了不错的成绩。</w:t>
      </w:r>
      <w:r>
        <w:rPr>
          <w:rFonts w:ascii="Times New Roman" w:hAnsi="Times New Roman" w:cs="Times New Roman" w:eastAsia="Times New Roman" w:hint="default"/>
          <w:spacing w:val="-2"/>
        </w:rPr>
        <w:t>2018</w:t>
      </w:r>
      <w:r>
        <w:rPr>
          <w:spacing w:val="-2"/>
        </w:rPr>
        <w:t>年在技术、研发、市场、服务等领域，公司将加大各类资源的投入力度，积极拓展智慧司法、智慧</w:t>
      </w:r>
      <w:r>
        <w:rPr>
          <w:spacing w:val="-67"/>
        </w:rPr>
        <w:t> </w:t>
      </w:r>
      <w:r>
        <w:rPr>
          <w:spacing w:val="-67"/>
        </w:rPr>
      </w:r>
      <w:r>
        <w:rPr/>
        <w:t>口岸、智能楼宇、智能交通、智慧水利等其他行业市场。</w:t>
      </w:r>
    </w:p>
    <w:p>
      <w:pPr>
        <w:pStyle w:val="BodyText"/>
        <w:spacing w:line="463" w:lineRule="auto" w:before="65"/>
        <w:ind w:left="1133" w:right="0"/>
        <w:jc w:val="left"/>
      </w:pPr>
      <w:r>
        <w:rPr/>
        <w:t>（</w:t>
      </w:r>
      <w:r>
        <w:rPr>
          <w:rFonts w:ascii="Times New Roman" w:hAnsi="Times New Roman" w:cs="Times New Roman" w:eastAsia="Times New Roman" w:hint="default"/>
        </w:rPr>
        <w:t>2</w:t>
      </w:r>
      <w:r>
        <w:rPr/>
        <w:t>）加强组织建设，实施人才战略 </w:t>
      </w:r>
      <w:r>
        <w:rPr>
          <w:spacing w:val="-2"/>
        </w:rPr>
        <w:t>坚持扁平化的组织管理模式，持续改进、优化内部运营流程建设；重视组织文化建设，增厚支撑平台，不断提升经营质量和</w:t>
      </w:r>
      <w:r>
        <w:rPr>
          <w:spacing w:val="-66"/>
        </w:rPr>
        <w:t> </w:t>
      </w:r>
      <w:r>
        <w:rPr>
          <w:spacing w:val="-66"/>
        </w:rPr>
      </w:r>
      <w:r>
        <w:rPr/>
        <w:t>经营效率。进一步强化企业文化，持续推进实施股权激励计划，打造具有战斗力和凝聚力的员工队伍。</w:t>
      </w:r>
    </w:p>
    <w:p>
      <w:pPr>
        <w:pStyle w:val="BodyText"/>
        <w:spacing w:line="240" w:lineRule="auto" w:before="65"/>
        <w:ind w:left="1133" w:right="0"/>
        <w:jc w:val="both"/>
      </w:pPr>
      <w:r>
        <w:rPr/>
        <w:t>（</w:t>
      </w:r>
      <w:r>
        <w:rPr>
          <w:rFonts w:ascii="Times New Roman" w:hAnsi="Times New Roman" w:cs="Times New Roman" w:eastAsia="Times New Roman" w:hint="default"/>
        </w:rPr>
        <w:t>3</w:t>
      </w:r>
      <w:r>
        <w:rPr/>
        <w:t>）把握行业趋势，加大研发投入</w:t>
      </w:r>
    </w:p>
    <w:p>
      <w:pPr>
        <w:spacing w:after="0" w:line="240" w:lineRule="auto"/>
        <w:jc w:val="both"/>
        <w:sectPr>
          <w:footerReference w:type="default" r:id="rId21"/>
          <w:pgSz w:w="11910" w:h="16840"/>
          <w:pgMar w:footer="1481" w:header="787" w:top="1100" w:bottom="1680" w:left="0" w:right="0"/>
        </w:sectPr>
      </w:pPr>
    </w:p>
    <w:p>
      <w:pPr>
        <w:spacing w:line="240" w:lineRule="auto" w:before="10"/>
        <w:rPr>
          <w:rFonts w:ascii="宋体" w:hAnsi="宋体" w:cs="宋体" w:eastAsia="宋体" w:hint="default"/>
          <w:sz w:val="28"/>
          <w:szCs w:val="28"/>
        </w:rPr>
      </w:pPr>
    </w:p>
    <w:p>
      <w:pPr>
        <w:pStyle w:val="BodyText"/>
        <w:spacing w:line="240" w:lineRule="auto" w:before="44"/>
        <w:ind w:right="0"/>
        <w:jc w:val="both"/>
      </w:pPr>
      <w:r>
        <w:rPr/>
        <w:t>智能等各种创新技术的发展融合，形成领先的软硬件产品和解决方案能力，保持核心技术领先地位，持续为客户创造价值。</w:t>
      </w:r>
    </w:p>
    <w:p>
      <w:pPr>
        <w:spacing w:line="240" w:lineRule="auto" w:before="11"/>
        <w:rPr>
          <w:rFonts w:ascii="宋体" w:hAnsi="宋体" w:cs="宋体" w:eastAsia="宋体" w:hint="default"/>
          <w:sz w:val="15"/>
          <w:szCs w:val="15"/>
        </w:rPr>
      </w:pPr>
    </w:p>
    <w:p>
      <w:pPr>
        <w:pStyle w:val="Heading3"/>
        <w:spacing w:line="240" w:lineRule="auto"/>
        <w:ind w:left="1556" w:right="0"/>
        <w:jc w:val="left"/>
        <w:rPr>
          <w:b w:val="0"/>
          <w:bCs w:val="0"/>
        </w:rPr>
      </w:pPr>
      <w:r>
        <w:rPr>
          <w:rFonts w:ascii="Times New Roman" w:hAnsi="Times New Roman" w:cs="Times New Roman" w:eastAsia="Times New Roman" w:hint="default"/>
        </w:rPr>
        <w:t>4</w:t>
      </w:r>
      <w:r>
        <w:rPr/>
        <w:t>、公司可能面对的风险</w:t>
      </w:r>
      <w:r>
        <w:rPr>
          <w:b w:val="0"/>
          <w:bCs w:val="0"/>
        </w:rPr>
      </w:r>
    </w:p>
    <w:p>
      <w:pPr>
        <w:spacing w:line="240" w:lineRule="auto" w:before="6"/>
        <w:rPr>
          <w:rFonts w:ascii="宋体" w:hAnsi="宋体" w:cs="宋体" w:eastAsia="宋体" w:hint="default"/>
          <w:b/>
          <w:bCs/>
          <w:sz w:val="15"/>
          <w:szCs w:val="15"/>
        </w:rPr>
      </w:pPr>
    </w:p>
    <w:p>
      <w:pPr>
        <w:pStyle w:val="BodyText"/>
        <w:spacing w:line="451" w:lineRule="auto"/>
        <w:ind w:left="1424" w:right="0"/>
        <w:jc w:val="left"/>
      </w:pPr>
      <w:r>
        <w:rPr/>
        <w:t>（</w:t>
      </w:r>
      <w:r>
        <w:rPr>
          <w:rFonts w:ascii="Times New Roman" w:hAnsi="Times New Roman" w:cs="Times New Roman" w:eastAsia="Times New Roman" w:hint="default"/>
        </w:rPr>
        <w:t>1</w:t>
      </w:r>
      <w:r>
        <w:rPr/>
        <w:t>）生产经营的季节性风险 </w:t>
      </w:r>
      <w:r>
        <w:rPr>
          <w:spacing w:val="-1"/>
        </w:rPr>
        <w:t>受客户结构、行业业务特点等因素的影响，公司营业收入存在各季度分布不均衡、前低后高的特点，公司的经营业绩有</w:t>
      </w:r>
    </w:p>
    <w:p>
      <w:pPr>
        <w:pStyle w:val="BodyText"/>
        <w:spacing w:line="477" w:lineRule="auto" w:before="74"/>
        <w:ind w:right="1132"/>
        <w:jc w:val="both"/>
      </w:pPr>
      <w:r>
        <w:rPr>
          <w:spacing w:val="-2"/>
        </w:rPr>
        <w:t>明显的季节性波动，营业收入和利润主要集中于下半年实现。投资者不能简单地以公司季度或中期的财务数据来推算全年的</w:t>
      </w:r>
      <w:r>
        <w:rPr>
          <w:spacing w:val="-64"/>
        </w:rPr>
        <w:t> </w:t>
      </w:r>
      <w:r>
        <w:rPr>
          <w:spacing w:val="-64"/>
        </w:rPr>
      </w:r>
      <w:r>
        <w:rPr/>
        <w:t>经营成果、财务状况及现金流量。</w:t>
      </w:r>
    </w:p>
    <w:p>
      <w:pPr>
        <w:pStyle w:val="BodyText"/>
        <w:spacing w:line="451" w:lineRule="auto" w:before="54"/>
        <w:ind w:left="1424" w:right="0"/>
        <w:jc w:val="left"/>
      </w:pPr>
      <w:r>
        <w:rPr/>
        <w:t>（</w:t>
      </w:r>
      <w:r>
        <w:rPr>
          <w:rFonts w:ascii="Times New Roman" w:hAnsi="Times New Roman" w:cs="Times New Roman" w:eastAsia="Times New Roman" w:hint="default"/>
        </w:rPr>
        <w:t>2</w:t>
      </w:r>
      <w:r>
        <w:rPr/>
        <w:t>）技术开发风险 </w:t>
      </w:r>
      <w:r>
        <w:rPr>
          <w:spacing w:val="-1"/>
        </w:rPr>
        <w:t>近年来安防行业技术进步和技术更新换代的速度越来越快，伴随云计算、大数据、人工智能、物联网等各种创新技术与</w:t>
      </w:r>
    </w:p>
    <w:p>
      <w:pPr>
        <w:pStyle w:val="BodyText"/>
        <w:spacing w:line="477" w:lineRule="auto" w:before="74"/>
        <w:ind w:right="1131"/>
        <w:jc w:val="both"/>
      </w:pPr>
      <w:r>
        <w:rPr>
          <w:spacing w:val="-2"/>
        </w:rPr>
        <w:t>安防业务的发展融合，客户对安防产品的要求也趋于专业化和个性化，公司必须全面了解业内技术发展的最新趋势，更好的</w:t>
      </w:r>
      <w:r>
        <w:rPr>
          <w:spacing w:val="-66"/>
        </w:rPr>
        <w:t> </w:t>
      </w:r>
      <w:r>
        <w:rPr>
          <w:spacing w:val="-66"/>
        </w:rPr>
      </w:r>
      <w:r>
        <w:rPr>
          <w:spacing w:val="-2"/>
        </w:rPr>
        <w:t>满足客户不断升级的需求。如果公司的技术和产品研发方向偏离市场需求，或者研发时机掌握不对，产品化速度减缓，将可</w:t>
      </w:r>
      <w:r>
        <w:rPr>
          <w:spacing w:val="-66"/>
        </w:rPr>
        <w:t> </w:t>
      </w:r>
      <w:r>
        <w:rPr>
          <w:spacing w:val="-66"/>
        </w:rPr>
      </w:r>
      <w:r>
        <w:rPr/>
        <w:t>能存在产品不能在新的环境下形成技术优势的风险。</w:t>
      </w:r>
    </w:p>
    <w:p>
      <w:pPr>
        <w:pStyle w:val="BodyText"/>
        <w:spacing w:line="451" w:lineRule="auto" w:before="54"/>
        <w:ind w:left="1424" w:right="1118"/>
        <w:jc w:val="left"/>
      </w:pPr>
      <w:r>
        <w:rPr/>
        <w:t>（</w:t>
      </w:r>
      <w:r>
        <w:rPr>
          <w:rFonts w:ascii="Times New Roman" w:hAnsi="Times New Roman" w:cs="Times New Roman" w:eastAsia="Times New Roman" w:hint="default"/>
        </w:rPr>
        <w:t>3</w:t>
      </w:r>
      <w:r>
        <w:rPr/>
        <w:t>）管理风险 </w:t>
      </w:r>
      <w:r>
        <w:rPr>
          <w:spacing w:val="-1"/>
        </w:rPr>
        <w:t>随着公司规模和业务的不断扩张，公司控制或参股的企业数量随之增加，业务范围也在金融安防的基础上逐步向其他领</w:t>
      </w:r>
    </w:p>
    <w:p>
      <w:pPr>
        <w:pStyle w:val="BodyText"/>
        <w:spacing w:line="477" w:lineRule="auto" w:before="74"/>
        <w:ind w:right="1129"/>
        <w:jc w:val="both"/>
      </w:pPr>
      <w:r>
        <w:rPr>
          <w:spacing w:val="-2"/>
        </w:rPr>
        <w:t>域延伸。若公司的研发管理、生产管理、销售管理、质量控制等不能适应公司规模扩张的要求，人才培养、组织模式和管理</w:t>
      </w:r>
      <w:r>
        <w:rPr>
          <w:spacing w:val="-67"/>
        </w:rPr>
        <w:t> </w:t>
      </w:r>
      <w:r>
        <w:rPr>
          <w:spacing w:val="-67"/>
        </w:rPr>
      </w:r>
      <w:r>
        <w:rPr/>
        <w:t>制度不能随之进一步健全和完善，将会引发相应的管理风险。</w:t>
      </w:r>
    </w:p>
    <w:p>
      <w:pPr>
        <w:pStyle w:val="BodyText"/>
        <w:spacing w:line="451" w:lineRule="auto" w:before="54"/>
        <w:ind w:left="1424" w:right="0" w:hanging="74"/>
        <w:jc w:val="left"/>
      </w:pPr>
      <w:r>
        <w:rPr/>
        <w:t>（</w:t>
      </w:r>
      <w:r>
        <w:rPr>
          <w:rFonts w:ascii="Times New Roman" w:hAnsi="Times New Roman" w:cs="Times New Roman" w:eastAsia="Times New Roman" w:hint="default"/>
        </w:rPr>
        <w:t>4</w:t>
      </w:r>
      <w:r>
        <w:rPr/>
        <w:t>）人力资源风险 </w:t>
      </w:r>
      <w:r>
        <w:rPr>
          <w:spacing w:val="-1"/>
        </w:rPr>
        <w:t>经过多年发展，公司已形成一支稳定、高效的员工队伍，为公司规范运作奠定了可靠的人力资源基础。随着公司业务规</w:t>
      </w:r>
    </w:p>
    <w:p>
      <w:pPr>
        <w:pStyle w:val="BodyText"/>
        <w:spacing w:line="477" w:lineRule="auto" w:before="74"/>
        <w:ind w:right="1130"/>
        <w:jc w:val="both"/>
      </w:pPr>
      <w:r>
        <w:rPr>
          <w:spacing w:val="-2"/>
        </w:rPr>
        <w:t>模和领域的拓展需要更多的专业人才，这也成为公司可持续发展的关键因素。此外，公司也面临市场竞争加剧导致人力资源</w:t>
      </w:r>
      <w:r>
        <w:rPr>
          <w:spacing w:val="-66"/>
        </w:rPr>
        <w:t> </w:t>
      </w:r>
      <w:r>
        <w:rPr>
          <w:spacing w:val="-66"/>
        </w:rPr>
      </w:r>
      <w:r>
        <w:rPr>
          <w:spacing w:val="-2"/>
        </w:rPr>
        <w:t>成本上升的问题。尽管公司已加大对紧缺人才的引进力度，加强现有人员在技术、管理等方面的培训，同时立足企业文化建</w:t>
      </w:r>
      <w:r>
        <w:rPr>
          <w:spacing w:val="-66"/>
        </w:rPr>
        <w:t> </w:t>
      </w:r>
      <w:r>
        <w:rPr>
          <w:spacing w:val="-66"/>
        </w:rPr>
      </w:r>
      <w:r>
        <w:rPr>
          <w:spacing w:val="-2"/>
        </w:rPr>
        <w:t>设，增强企业凝聚力，但如果公司不能按照实际需要实现人才引进和培养，建立和完善人才激励机制，公司的生产经营和战</w:t>
      </w:r>
      <w:r>
        <w:rPr>
          <w:spacing w:val="-66"/>
        </w:rPr>
        <w:t> </w:t>
      </w:r>
      <w:r>
        <w:rPr>
          <w:spacing w:val="-66"/>
        </w:rPr>
      </w:r>
      <w:r>
        <w:rPr/>
        <w:t>略目标的实现可能会受到人力资源的制约。</w:t>
      </w:r>
    </w:p>
    <w:p>
      <w:pPr>
        <w:pStyle w:val="BodyText"/>
        <w:spacing w:line="240" w:lineRule="auto" w:before="54"/>
        <w:ind w:left="1494" w:right="0"/>
        <w:jc w:val="left"/>
      </w:pPr>
      <w:r>
        <w:rPr/>
        <w:t>上述计划并不代表公司对</w:t>
      </w:r>
      <w:r>
        <w:rPr>
          <w:rFonts w:ascii="Times New Roman" w:hAnsi="Times New Roman" w:cs="Times New Roman" w:eastAsia="Times New Roman" w:hint="default"/>
        </w:rPr>
        <w:t>2018</w:t>
      </w:r>
      <w:r>
        <w:rPr/>
        <w:t>年度的盈利预测，不构成公司对投资者的实质承诺，请投资者注意投资风险。</w:t>
      </w: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7"/>
          <w:szCs w:val="17"/>
        </w:rPr>
      </w:pPr>
    </w:p>
    <w:p>
      <w:pPr>
        <w:pStyle w:val="Heading2"/>
        <w:spacing w:line="240" w:lineRule="auto"/>
        <w:ind w:right="0"/>
        <w:jc w:val="both"/>
        <w:rPr>
          <w:b w:val="0"/>
          <w:bCs w:val="0"/>
        </w:rPr>
      </w:pPr>
      <w:bookmarkStart w:name="十、接待调研、沟通、采访等活动登记表" w:id="58"/>
      <w:bookmarkEnd w:id="58"/>
      <w:r>
        <w:rPr>
          <w:b w:val="0"/>
          <w:bCs w:val="0"/>
        </w:rPr>
      </w:r>
      <w:r>
        <w:rPr/>
        <w:t>十、接待调研、沟通、采访等活动登记表</w:t>
      </w:r>
      <w:r>
        <w:rPr>
          <w:b w:val="0"/>
          <w:bCs w:val="0"/>
        </w:rPr>
      </w:r>
    </w:p>
    <w:p>
      <w:pPr>
        <w:spacing w:line="240" w:lineRule="auto" w:before="0"/>
        <w:rPr>
          <w:rFonts w:ascii="宋体" w:hAnsi="宋体" w:cs="宋体" w:eastAsia="宋体" w:hint="default"/>
          <w:b/>
          <w:bCs/>
          <w:sz w:val="24"/>
          <w:szCs w:val="24"/>
        </w:rPr>
      </w:pPr>
    </w:p>
    <w:p>
      <w:pPr>
        <w:pStyle w:val="Heading3"/>
        <w:spacing w:line="240" w:lineRule="auto" w:before="163"/>
        <w:ind w:left="1133" w:right="0"/>
        <w:jc w:val="both"/>
        <w:rPr>
          <w:b w:val="0"/>
          <w:bCs w:val="0"/>
        </w:rPr>
      </w:pPr>
      <w:bookmarkStart w:name="1、报告期内接待调研、沟通、采访等活动登记表" w:id="59"/>
      <w:bookmarkEnd w:id="59"/>
      <w:r>
        <w:rPr>
          <w:b w:val="0"/>
          <w:bCs w:val="0"/>
        </w:rPr>
      </w: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pStyle w:val="BodyText"/>
        <w:spacing w:line="240" w:lineRule="auto"/>
        <w:ind w:left="1133"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178"/>
        <w:gridCol w:w="2177"/>
        <w:gridCol w:w="2177"/>
        <w:gridCol w:w="3038"/>
      </w:tblGrid>
      <w:tr>
        <w:trPr>
          <w:trHeight w:val="401" w:hRule="exact"/>
        </w:trPr>
        <w:tc>
          <w:tcPr>
            <w:tcW w:w="2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722"/>
              <w:jc w:val="right"/>
              <w:rPr>
                <w:rFonts w:ascii="宋体" w:hAnsi="宋体" w:cs="宋体" w:eastAsia="宋体" w:hint="default"/>
                <w:sz w:val="18"/>
                <w:szCs w:val="18"/>
              </w:rPr>
            </w:pPr>
            <w:r>
              <w:rPr>
                <w:rFonts w:ascii="宋体" w:hAnsi="宋体" w:cs="宋体" w:eastAsia="宋体" w:hint="default"/>
                <w:sz w:val="18"/>
                <w:szCs w:val="18"/>
              </w:rPr>
              <w:t>接待时间</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接待方式</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43"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30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04" w:right="0"/>
              <w:jc w:val="left"/>
              <w:rPr>
                <w:rFonts w:ascii="宋体" w:hAnsi="宋体" w:cs="宋体" w:eastAsia="宋体" w:hint="default"/>
                <w:sz w:val="18"/>
                <w:szCs w:val="18"/>
              </w:rPr>
            </w:pPr>
            <w:r>
              <w:rPr>
                <w:rFonts w:ascii="宋体" w:hAnsi="宋体" w:cs="宋体" w:eastAsia="宋体" w:hint="default"/>
                <w:sz w:val="18"/>
                <w:szCs w:val="18"/>
              </w:rPr>
              <w:t>调研的基本情况索引</w:t>
            </w:r>
          </w:p>
        </w:tc>
      </w:tr>
      <w:tr>
        <w:trPr>
          <w:trHeight w:val="403"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666"/>
              <w:jc w:val="righ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bl>
    <w:p>
      <w:pPr>
        <w:spacing w:after="0" w:line="240" w:lineRule="auto"/>
        <w:jc w:val="left"/>
        <w:rPr>
          <w:rFonts w:ascii="宋体" w:hAnsi="宋体" w:cs="宋体" w:eastAsia="宋体" w:hint="default"/>
          <w:sz w:val="18"/>
          <w:szCs w:val="18"/>
        </w:rPr>
        <w:sectPr>
          <w:footerReference w:type="default" r:id="rId22"/>
          <w:pgSz w:w="11910" w:h="16840"/>
          <w:pgMar w:footer="640" w:header="787" w:top="1100" w:bottom="84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7"/>
          <w:szCs w:val="17"/>
        </w:rPr>
      </w:pPr>
    </w:p>
    <w:p>
      <w:pPr>
        <w:pStyle w:val="Heading1"/>
        <w:spacing w:line="240" w:lineRule="auto"/>
        <w:ind w:right="4090"/>
        <w:jc w:val="center"/>
        <w:rPr>
          <w:b w:val="0"/>
          <w:bCs w:val="0"/>
        </w:rPr>
      </w:pPr>
      <w:bookmarkStart w:name="第五节 重要事项" w:id="60"/>
      <w:bookmarkEnd w:id="60"/>
      <w:r>
        <w:rPr>
          <w:b w:val="0"/>
          <w:bCs w:val="0"/>
        </w:rPr>
      </w:r>
      <w:bookmarkStart w:name="_bookmark3" w:id="61"/>
      <w:bookmarkEnd w:id="61"/>
      <w:r>
        <w:rPr>
          <w:b w:val="0"/>
          <w:bCs w:val="0"/>
        </w:rPr>
      </w:r>
      <w:r>
        <w:rPr/>
        <w:t>第五节</w:t>
      </w:r>
      <w:r>
        <w:rPr>
          <w:spacing w:val="-5"/>
        </w:rPr>
        <w:t> </w:t>
      </w:r>
      <w:r>
        <w:rPr/>
        <w:t>重要事项</w:t>
      </w:r>
      <w:r>
        <w:rPr>
          <w:b w:val="0"/>
          <w:bCs w:val="0"/>
        </w:rPr>
      </w:r>
    </w:p>
    <w:p>
      <w:pPr>
        <w:spacing w:line="240" w:lineRule="auto" w:before="10"/>
        <w:rPr>
          <w:rFonts w:ascii="宋体" w:hAnsi="宋体" w:cs="宋体" w:eastAsia="宋体" w:hint="default"/>
          <w:b/>
          <w:bCs/>
          <w:sz w:val="44"/>
          <w:szCs w:val="44"/>
        </w:rPr>
      </w:pPr>
    </w:p>
    <w:p>
      <w:pPr>
        <w:pStyle w:val="Heading2"/>
        <w:spacing w:line="240" w:lineRule="auto"/>
        <w:ind w:right="0"/>
        <w:jc w:val="left"/>
        <w:rPr>
          <w:b w:val="0"/>
          <w:bCs w:val="0"/>
        </w:rPr>
      </w:pPr>
      <w:bookmarkStart w:name="一、公司普通股利润分配及资本公积金转增股本情况" w:id="62"/>
      <w:bookmarkEnd w:id="62"/>
      <w:r>
        <w:rPr>
          <w:b w:val="0"/>
          <w:bCs w:val="0"/>
        </w:rPr>
      </w:r>
      <w:r>
        <w:rPr/>
        <w:t>一、公司普通股利润分配及资本公积金转增股本情况</w:t>
      </w:r>
      <w:r>
        <w:rPr>
          <w:b w:val="0"/>
          <w:bCs w:val="0"/>
        </w:rPr>
      </w:r>
    </w:p>
    <w:p>
      <w:pPr>
        <w:spacing w:line="240" w:lineRule="auto" w:before="0"/>
        <w:rPr>
          <w:rFonts w:ascii="宋体" w:hAnsi="宋体" w:cs="宋体" w:eastAsia="宋体" w:hint="default"/>
          <w:b/>
          <w:bCs/>
          <w:sz w:val="24"/>
          <w:szCs w:val="24"/>
        </w:rPr>
      </w:pPr>
    </w:p>
    <w:p>
      <w:pPr>
        <w:pStyle w:val="BodyText"/>
        <w:spacing w:line="240" w:lineRule="auto" w:before="189"/>
        <w:ind w:left="1133" w:right="0"/>
        <w:jc w:val="left"/>
      </w:pPr>
      <w:r>
        <w:rPr/>
        <w:t>报告期内普通股利润分配政策，特别是现金分红政策的制定、执行或调整情况</w:t>
      </w:r>
    </w:p>
    <w:p>
      <w:pPr>
        <w:spacing w:line="240" w:lineRule="auto" w:before="10"/>
        <w:rPr>
          <w:rFonts w:ascii="宋体" w:hAnsi="宋体" w:cs="宋体" w:eastAsia="宋体" w:hint="default"/>
          <w:sz w:val="20"/>
          <w:szCs w:val="20"/>
        </w:rPr>
      </w:pPr>
    </w:p>
    <w:p>
      <w:pPr>
        <w:pStyle w:val="BodyText"/>
        <w:spacing w:line="465" w:lineRule="auto"/>
        <w:ind w:left="1133" w:right="0"/>
        <w:jc w:val="left"/>
      </w:pPr>
      <w:r>
        <w:rPr/>
        <w:pict>
          <v:shape style="position:absolute;margin-left:57.029999pt;margin-top:231.571716pt;width:478.6pt;height:172.4pt;mso-position-horizontal-relative:page;mso-position-vertical-relative:paragraph;z-index:12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762"/>
                    <w:gridCol w:w="4796"/>
                  </w:tblGrid>
                  <w:tr>
                    <w:trPr>
                      <w:trHeight w:val="397"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0"/>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07"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58"/>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 否得到了充分保护：</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58"/>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 明：</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p>
              </w:txbxContent>
            </v:textbox>
            <w10:wrap type="none"/>
          </v:shape>
        </w:pict>
      </w: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rFonts w:ascii="Times New Roman" w:hAnsi="Times New Roman" w:cs="Times New Roman" w:eastAsia="Times New Roman" w:hint="default"/>
        </w:rPr>
        <w:t>1</w:t>
      </w:r>
      <w:r>
        <w:rPr/>
        <w:t>、《公司章程》第一百六十一条明确规定了公司进行利润分配的原则、形式、条件以及利润分配政策的决策机制和审批程 </w:t>
      </w:r>
      <w:r>
        <w:rPr>
          <w:spacing w:val="-2"/>
        </w:rPr>
        <w:t>序等，符合中国证监会等相关监管机构对于上市公司股利分配政策的最新要求，分红标准和比例明确、清晰，充分维护了全</w:t>
      </w:r>
      <w:r>
        <w:rPr>
          <w:spacing w:val="-66"/>
        </w:rPr>
        <w:t> </w:t>
      </w:r>
      <w:r>
        <w:rPr>
          <w:spacing w:val="-66"/>
        </w:rPr>
      </w:r>
      <w:r>
        <w:rPr/>
        <w:t>体股东的合法权益。 </w:t>
      </w:r>
      <w:r>
        <w:rPr>
          <w:rFonts w:ascii="Times New Roman" w:hAnsi="Times New Roman" w:cs="Times New Roman" w:eastAsia="Times New Roman" w:hint="default"/>
          <w:spacing w:val="-2"/>
        </w:rPr>
        <w:t>2</w:t>
      </w:r>
      <w:r>
        <w:rPr>
          <w:spacing w:val="-2"/>
        </w:rPr>
        <w:t>、报告期内，公司严格按照《公司章程》相关利润分配政策和审议程序实施利润分配方案，分红标准和分红比例明确清晰，</w:t>
      </w:r>
      <w:r>
        <w:rPr>
          <w:spacing w:val="-63"/>
        </w:rPr>
        <w:t> </w:t>
      </w:r>
      <w:r>
        <w:rPr>
          <w:spacing w:val="-63"/>
        </w:rPr>
      </w:r>
      <w:r>
        <w:rPr>
          <w:spacing w:val="-2"/>
        </w:rPr>
        <w:t>相关的决策程序和机制完备，相关的议案经董事会、监事会、股东大会审议，并由独立董事发表独立意见，审议通过后在规</w:t>
      </w:r>
      <w:r>
        <w:rPr>
          <w:spacing w:val="-66"/>
        </w:rPr>
        <w:t> </w:t>
      </w:r>
      <w:r>
        <w:rPr>
          <w:spacing w:val="-66"/>
        </w:rPr>
      </w:r>
      <w:r>
        <w:rPr/>
        <w:t>定时间内进行实施，切实保证了全体股东的利益。 </w:t>
      </w:r>
      <w:r>
        <w:rPr>
          <w:rFonts w:ascii="Times New Roman" w:hAnsi="Times New Roman" w:cs="Times New Roman" w:eastAsia="Times New Roman" w:hint="default"/>
        </w:rPr>
        <w:t>3</w:t>
      </w:r>
      <w:r>
        <w:rPr/>
        <w:t>、经</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21</w:t>
      </w:r>
      <w:r>
        <w:rPr/>
        <w:t>日召开的公司</w:t>
      </w:r>
      <w:r>
        <w:rPr>
          <w:rFonts w:ascii="Times New Roman" w:hAnsi="Times New Roman" w:cs="Times New Roman" w:eastAsia="Times New Roman" w:hint="default"/>
        </w:rPr>
        <w:t>2016</w:t>
      </w:r>
      <w:r>
        <w:rPr/>
        <w:t>年年度股东大会审议批准，公司</w:t>
      </w:r>
      <w:r>
        <w:rPr>
          <w:rFonts w:ascii="Times New Roman" w:hAnsi="Times New Roman" w:cs="Times New Roman" w:eastAsia="Times New Roman" w:hint="default"/>
        </w:rPr>
        <w:t>2016</w:t>
      </w:r>
      <w:r>
        <w:rPr/>
        <w:t>年度利润分配的方案为：以截至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30</w:t>
      </w:r>
      <w:r>
        <w:rPr/>
        <w:t>日公 司总股本</w:t>
      </w:r>
      <w:r>
        <w:rPr>
          <w:rFonts w:ascii="Times New Roman" w:hAnsi="Times New Roman" w:cs="Times New Roman" w:eastAsia="Times New Roman" w:hint="default"/>
        </w:rPr>
        <w:t>202,316,745</w:t>
      </w:r>
      <w:r>
        <w:rPr/>
        <w:t>股为基数，向全体股东按每</w:t>
      </w:r>
      <w:r>
        <w:rPr>
          <w:rFonts w:ascii="Times New Roman" w:hAnsi="Times New Roman" w:cs="Times New Roman" w:eastAsia="Times New Roman" w:hint="default"/>
        </w:rPr>
        <w:t>10</w:t>
      </w:r>
      <w:r>
        <w:rPr/>
        <w:t>股派发现金红利</w:t>
      </w:r>
      <w:r>
        <w:rPr>
          <w:rFonts w:ascii="Times New Roman" w:hAnsi="Times New Roman" w:cs="Times New Roman" w:eastAsia="Times New Roman" w:hint="default"/>
        </w:rPr>
        <w:t>0.87</w:t>
      </w:r>
      <w:r>
        <w:rPr/>
        <w:t>元（含税），合计派发现金红利</w:t>
      </w:r>
      <w:r>
        <w:rPr>
          <w:rFonts w:ascii="Times New Roman" w:hAnsi="Times New Roman" w:cs="Times New Roman" w:eastAsia="Times New Roman" w:hint="default"/>
        </w:rPr>
        <w:t>17,601,556.82</w:t>
      </w:r>
      <w:r>
        <w:rPr/>
        <w:t>元。该 方案已于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10</w:t>
      </w:r>
      <w:r>
        <w:rPr/>
        <w:t>日实施完毕。</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5"/>
          <w:szCs w:val="25"/>
        </w:rPr>
      </w:pPr>
    </w:p>
    <w:p>
      <w:pPr>
        <w:pStyle w:val="BodyText"/>
        <w:spacing w:line="240" w:lineRule="auto" w:before="44"/>
        <w:ind w:right="0"/>
        <w:jc w:val="left"/>
      </w:pPr>
      <w:r>
        <w:rPr/>
        <w:t>公司报告期利润分配预案及资本公积金转增股本预案与公司章程和分红管理办法等的相关规定一致</w:t>
      </w:r>
    </w:p>
    <w:p>
      <w:pPr>
        <w:spacing w:line="240" w:lineRule="auto" w:before="12"/>
        <w:rPr>
          <w:rFonts w:ascii="宋体" w:hAnsi="宋体" w:cs="宋体" w:eastAsia="宋体" w:hint="default"/>
          <w:sz w:val="20"/>
          <w:szCs w:val="20"/>
        </w:rPr>
      </w:pPr>
    </w:p>
    <w:p>
      <w:pPr>
        <w:pStyle w:val="BodyText"/>
        <w:spacing w:line="504" w:lineRule="auto"/>
        <w:ind w:left="1133" w:right="427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公司报告期利润分配预案及资本公积金转增股本预案符合公司章程等的相关规定。 本年度利润分配及资本公积金转增股本预案</w:t>
      </w:r>
    </w:p>
    <w:tbl>
      <w:tblPr>
        <w:tblW w:w="0" w:type="auto"/>
        <w:jc w:val="left"/>
        <w:tblInd w:w="1129" w:type="dxa"/>
        <w:tblLayout w:type="fixed"/>
        <w:tblCellMar>
          <w:top w:w="0" w:type="dxa"/>
          <w:left w:w="0" w:type="dxa"/>
          <w:bottom w:w="0" w:type="dxa"/>
          <w:right w:w="0" w:type="dxa"/>
        </w:tblCellMar>
        <w:tblLook w:val="01E0"/>
      </w:tblPr>
      <w:tblGrid>
        <w:gridCol w:w="3717"/>
        <w:gridCol w:w="5851"/>
      </w:tblGrid>
      <w:tr>
        <w:trPr>
          <w:trHeight w:val="402"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7"/>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7"/>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w:t>
            </w:r>
            <w:r>
              <w:rPr>
                <w:rFonts w:ascii="宋体" w:hAnsi="宋体" w:cs="宋体" w:eastAsia="宋体" w:hint="default"/>
                <w:spacing w:val="1"/>
                <w:sz w:val="18"/>
                <w:szCs w:val="18"/>
              </w:rPr>
              <w:t>数</w:t>
            </w:r>
            <w:r>
              <w:rPr>
                <w:rFonts w:ascii="宋体" w:hAnsi="宋体" w:cs="宋体" w:eastAsia="宋体" w:hint="default"/>
                <w:sz w:val="18"/>
                <w:szCs w:val="18"/>
              </w:rPr>
              <w:t>（元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9"/>
              <w:jc w:val="right"/>
              <w:rPr>
                <w:rFonts w:ascii="Times New Roman" w:hAnsi="Times New Roman" w:cs="Times New Roman" w:eastAsia="Times New Roman" w:hint="default"/>
                <w:sz w:val="18"/>
                <w:szCs w:val="18"/>
              </w:rPr>
            </w:pPr>
            <w:r>
              <w:rPr>
                <w:rFonts w:ascii="Times New Roman"/>
                <w:sz w:val="18"/>
              </w:rPr>
              <w:t>1.02</w:t>
            </w:r>
          </w:p>
        </w:tc>
      </w:tr>
    </w:tbl>
    <w:p>
      <w:pPr>
        <w:spacing w:after="0" w:line="240" w:lineRule="auto"/>
        <w:jc w:val="right"/>
        <w:rPr>
          <w:rFonts w:ascii="Times New Roman" w:hAnsi="Times New Roman" w:cs="Times New Roman" w:eastAsia="Times New Roman" w:hint="default"/>
          <w:sz w:val="18"/>
          <w:szCs w:val="18"/>
        </w:rPr>
        <w:sectPr>
          <w:pgSz w:w="11910" w:h="16840"/>
          <w:pgMar w:header="787" w:footer="640" w:top="1100" w:bottom="840" w:left="0" w:right="0"/>
        </w:sectPr>
      </w:pPr>
    </w:p>
    <w:p>
      <w:pPr>
        <w:spacing w:line="240" w:lineRule="auto" w:before="5"/>
        <w:rPr>
          <w:rFonts w:ascii="宋体" w:hAnsi="宋体" w:cs="宋体" w:eastAsia="宋体" w:hint="default"/>
          <w:sz w:val="25"/>
          <w:szCs w:val="25"/>
        </w:rPr>
      </w:pPr>
    </w:p>
    <w:tbl>
      <w:tblPr>
        <w:tblW w:w="0" w:type="auto"/>
        <w:jc w:val="left"/>
        <w:tblInd w:w="1129" w:type="dxa"/>
        <w:tblLayout w:type="fixed"/>
        <w:tblCellMar>
          <w:top w:w="0" w:type="dxa"/>
          <w:left w:w="0" w:type="dxa"/>
          <w:bottom w:w="0" w:type="dxa"/>
          <w:right w:w="0" w:type="dxa"/>
        </w:tblCellMar>
        <w:tblLook w:val="01E0"/>
      </w:tblPr>
      <w:tblGrid>
        <w:gridCol w:w="3706"/>
        <w:gridCol w:w="5863"/>
      </w:tblGrid>
      <w:tr>
        <w:trPr>
          <w:trHeight w:val="402" w:hRule="exact"/>
        </w:trPr>
        <w:tc>
          <w:tcPr>
            <w:tcW w:w="3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w:t>
            </w:r>
          </w:p>
        </w:tc>
      </w:tr>
      <w:tr>
        <w:trPr>
          <w:trHeight w:val="402" w:hRule="exact"/>
        </w:trPr>
        <w:tc>
          <w:tcPr>
            <w:tcW w:w="3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218,370,659</w:t>
            </w:r>
          </w:p>
        </w:tc>
      </w:tr>
      <w:tr>
        <w:trPr>
          <w:trHeight w:val="402" w:hRule="exact"/>
        </w:trPr>
        <w:tc>
          <w:tcPr>
            <w:tcW w:w="3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现金分红总额（元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22,273,807.22</w:t>
            </w:r>
          </w:p>
        </w:tc>
      </w:tr>
      <w:tr>
        <w:trPr>
          <w:trHeight w:val="402" w:hRule="exact"/>
        </w:trPr>
        <w:tc>
          <w:tcPr>
            <w:tcW w:w="3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221,472,976.73</w:t>
            </w:r>
          </w:p>
        </w:tc>
      </w:tr>
      <w:tr>
        <w:trPr>
          <w:trHeight w:val="402" w:hRule="exact"/>
        </w:trPr>
        <w:tc>
          <w:tcPr>
            <w:tcW w:w="3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现金分红占利润分配总额的比例</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714"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公司发展阶段属成长期且有重大资金支出安排的，进行利润分配时，现金分红在本次利润分配中所占比例最低应达到</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w:t>
            </w:r>
          </w:p>
        </w:tc>
      </w:tr>
      <w:tr>
        <w:trPr>
          <w:trHeight w:val="402"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88"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3642"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经天健会计师事务所（特殊普通合伙）审计，公司</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年度实现归属于上市公司股东的净利润</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111,185,107.71</w:t>
            </w:r>
            <w:r>
              <w:rPr>
                <w:rFonts w:ascii="Times New Roman" w:hAnsi="Times New Roman" w:cs="Times New Roman" w:eastAsia="Times New Roman" w:hint="default"/>
                <w:spacing w:val="38"/>
                <w:sz w:val="18"/>
                <w:szCs w:val="18"/>
              </w:rPr>
              <w:t> </w:t>
            </w:r>
            <w:r>
              <w:rPr>
                <w:rFonts w:ascii="宋体" w:hAnsi="宋体" w:cs="宋体" w:eastAsia="宋体" w:hint="default"/>
                <w:sz w:val="18"/>
                <w:szCs w:val="18"/>
              </w:rPr>
              <w:t>元，</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母公司实现净利润为 </w:t>
            </w:r>
            <w:r>
              <w:rPr>
                <w:rFonts w:ascii="Times New Roman" w:hAnsi="Times New Roman" w:cs="Times New Roman" w:eastAsia="Times New Roman" w:hint="default"/>
                <w:sz w:val="18"/>
                <w:szCs w:val="18"/>
              </w:rPr>
              <w:t>63,515,777.11 </w:t>
            </w:r>
            <w:r>
              <w:rPr>
                <w:rFonts w:ascii="宋体" w:hAnsi="宋体" w:cs="宋体" w:eastAsia="宋体" w:hint="default"/>
                <w:spacing w:val="-5"/>
                <w:sz w:val="18"/>
                <w:szCs w:val="18"/>
              </w:rPr>
              <w:t>元。根据公司章程有关规定，按母公司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年度公司实现净利润的</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提取法定盈余</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公积金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6,351,577.71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元，年初未分配利润为</w:t>
            </w:r>
            <w:r>
              <w:rPr>
                <w:rFonts w:ascii="宋体" w:hAnsi="宋体" w:cs="宋体" w:eastAsia="宋体" w:hint="default"/>
                <w:spacing w:val="-2"/>
                <w:sz w:val="18"/>
                <w:szCs w:val="18"/>
              </w:rPr>
              <w:t> </w:t>
            </w:r>
            <w:r>
              <w:rPr>
                <w:rFonts w:ascii="Times New Roman" w:hAnsi="Times New Roman" w:cs="Times New Roman" w:eastAsia="Times New Roman" w:hint="default"/>
                <w:sz w:val="18"/>
                <w:szCs w:val="18"/>
              </w:rPr>
              <w:t>181,910,314.29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元，扣除</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年向股东分配现金股利</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17,601,536.96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元，截至</w:t>
            </w:r>
          </w:p>
          <w:p>
            <w:pPr>
              <w:pStyle w:val="TableParagraph"/>
              <w:spacing w:line="338" w:lineRule="auto" w:before="64"/>
              <w:ind w:left="382" w:right="20" w:hanging="36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日母公司累计可供期末未分配利润为</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221,472,976.73</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元。 </w:t>
            </w:r>
            <w:r>
              <w:rPr>
                <w:rFonts w:ascii="宋体" w:hAnsi="宋体" w:cs="宋体" w:eastAsia="宋体" w:hint="default"/>
                <w:spacing w:val="-2"/>
                <w:sz w:val="18"/>
                <w:szCs w:val="18"/>
              </w:rPr>
              <w:t>为回报广大股东，使其与公司共享发展成果，同时综合考量公司未来业务的持续发展，</w:t>
            </w:r>
            <w:r>
              <w:rPr>
                <w:rFonts w:ascii="Times New Roman" w:hAnsi="Times New Roman" w:cs="Times New Roman" w:eastAsia="Times New Roman" w:hint="default"/>
                <w:spacing w:val="-2"/>
                <w:sz w:val="18"/>
                <w:szCs w:val="18"/>
              </w:rPr>
              <w:t>2017</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年年度公司利润分配预案</w:t>
            </w:r>
          </w:p>
          <w:p>
            <w:pPr>
              <w:pStyle w:val="TableParagraph"/>
              <w:spacing w:line="218" w:lineRule="exact"/>
              <w:ind w:left="22" w:right="0"/>
              <w:jc w:val="left"/>
              <w:rPr>
                <w:rFonts w:ascii="宋体" w:hAnsi="宋体" w:cs="宋体" w:eastAsia="宋体" w:hint="default"/>
                <w:sz w:val="18"/>
                <w:szCs w:val="18"/>
              </w:rPr>
            </w:pPr>
            <w:r>
              <w:rPr>
                <w:rFonts w:ascii="宋体" w:hAnsi="宋体" w:cs="宋体" w:eastAsia="宋体" w:hint="default"/>
                <w:sz w:val="18"/>
                <w:szCs w:val="18"/>
              </w:rPr>
              <w:t>如下：</w:t>
            </w:r>
          </w:p>
          <w:p>
            <w:pPr>
              <w:pStyle w:val="TableParagraph"/>
              <w:spacing w:line="240" w:lineRule="auto" w:before="115"/>
              <w:ind w:left="382" w:right="0"/>
              <w:jc w:val="left"/>
              <w:rPr>
                <w:rFonts w:ascii="宋体" w:hAnsi="宋体" w:cs="宋体" w:eastAsia="宋体" w:hint="default"/>
                <w:sz w:val="18"/>
                <w:szCs w:val="18"/>
              </w:rPr>
            </w:pPr>
            <w:r>
              <w:rPr>
                <w:rFonts w:ascii="宋体" w:hAnsi="宋体" w:cs="宋体" w:eastAsia="宋体" w:hint="default"/>
                <w:sz w:val="18"/>
                <w:szCs w:val="18"/>
              </w:rPr>
              <w:t>以截至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pacing w:val="1"/>
                <w:sz w:val="18"/>
                <w:szCs w:val="18"/>
              </w:rPr>
              <w:t>日</w:t>
            </w:r>
            <w:r>
              <w:rPr>
                <w:rFonts w:ascii="宋体" w:hAnsi="宋体" w:cs="宋体" w:eastAsia="宋体" w:hint="default"/>
                <w:sz w:val="18"/>
                <w:szCs w:val="18"/>
              </w:rPr>
              <w:t>的总股本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218,370,659 </w:t>
            </w:r>
            <w:r>
              <w:rPr>
                <w:rFonts w:ascii="宋体" w:hAnsi="宋体" w:cs="宋体" w:eastAsia="宋体" w:hint="default"/>
                <w:sz w:val="18"/>
                <w:szCs w:val="18"/>
              </w:rPr>
              <w:t>股为基数，向全体股东每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w:t>
            </w:r>
            <w:r>
              <w:rPr>
                <w:rFonts w:ascii="宋体" w:hAnsi="宋体" w:cs="宋体" w:eastAsia="宋体" w:hint="default"/>
                <w:spacing w:val="1"/>
                <w:sz w:val="18"/>
                <w:szCs w:val="18"/>
              </w:rPr>
              <w:t>发</w:t>
            </w:r>
            <w:r>
              <w:rPr>
                <w:rFonts w:ascii="宋体" w:hAnsi="宋体" w:cs="宋体" w:eastAsia="宋体" w:hint="default"/>
                <w:sz w:val="18"/>
                <w:szCs w:val="18"/>
              </w:rPr>
              <w:t>现金股利人民币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元（含税</w:t>
            </w:r>
            <w:r>
              <w:rPr>
                <w:rFonts w:ascii="宋体" w:hAnsi="宋体" w:cs="宋体" w:eastAsia="宋体" w:hint="default"/>
                <w:spacing w:val="-90"/>
                <w:sz w:val="18"/>
                <w:szCs w:val="18"/>
              </w:rPr>
              <w:t>）</w:t>
            </w:r>
            <w:r>
              <w:rPr>
                <w:rFonts w:ascii="宋体" w:hAnsi="宋体" w:cs="宋体" w:eastAsia="宋体" w:hint="default"/>
                <w:sz w:val="18"/>
                <w:szCs w:val="18"/>
              </w:rPr>
              <w:t>，</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合计派发现金股利</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22,273,80</w:t>
            </w:r>
            <w:r>
              <w:rPr>
                <w:rFonts w:ascii="Times New Roman" w:hAnsi="Times New Roman" w:cs="Times New Roman" w:eastAsia="Times New Roman" w:hint="default"/>
                <w:spacing w:val="-2"/>
                <w:sz w:val="18"/>
                <w:szCs w:val="18"/>
              </w:rPr>
              <w:t>7</w:t>
            </w:r>
            <w:r>
              <w:rPr>
                <w:rFonts w:ascii="Times New Roman" w:hAnsi="Times New Roman" w:cs="Times New Roman" w:eastAsia="Times New Roman" w:hint="default"/>
                <w:sz w:val="18"/>
                <w:szCs w:val="18"/>
              </w:rPr>
              <w:t>.22 </w:t>
            </w:r>
            <w:r>
              <w:rPr>
                <w:rFonts w:ascii="宋体" w:hAnsi="宋体" w:cs="宋体" w:eastAsia="宋体" w:hint="default"/>
                <w:spacing w:val="-8"/>
                <w:sz w:val="18"/>
                <w:szCs w:val="18"/>
              </w:rPr>
              <w:t>元</w:t>
            </w:r>
            <w:r>
              <w:rPr>
                <w:rFonts w:ascii="宋体" w:hAnsi="宋体" w:cs="宋体" w:eastAsia="宋体" w:hint="default"/>
                <w:sz w:val="18"/>
                <w:szCs w:val="18"/>
              </w:rPr>
              <w:t>（含税</w:t>
            </w:r>
            <w:r>
              <w:rPr>
                <w:rFonts w:ascii="宋体" w:hAnsi="宋体" w:cs="宋体" w:eastAsia="宋体" w:hint="default"/>
                <w:spacing w:val="-90"/>
                <w:sz w:val="18"/>
                <w:szCs w:val="18"/>
              </w:rPr>
              <w:t>）</w:t>
            </w:r>
            <w:r>
              <w:rPr>
                <w:rFonts w:ascii="宋体" w:hAnsi="宋体" w:cs="宋体" w:eastAsia="宋体" w:hint="default"/>
                <w:spacing w:val="-8"/>
                <w:sz w:val="18"/>
                <w:szCs w:val="18"/>
              </w:rPr>
              <w:t>，</w:t>
            </w:r>
            <w:r>
              <w:rPr>
                <w:rFonts w:ascii="宋体" w:hAnsi="宋体" w:cs="宋体" w:eastAsia="宋体" w:hint="default"/>
                <w:sz w:val="18"/>
                <w:szCs w:val="18"/>
              </w:rPr>
              <w:t>剩余未分配利润结转以后年度</w:t>
            </w:r>
            <w:r>
              <w:rPr>
                <w:rFonts w:ascii="宋体" w:hAnsi="宋体" w:cs="宋体" w:eastAsia="宋体" w:hint="default"/>
                <w:spacing w:val="-8"/>
                <w:sz w:val="18"/>
                <w:szCs w:val="18"/>
              </w:rPr>
              <w:t>；</w:t>
            </w:r>
            <w:r>
              <w:rPr>
                <w:rFonts w:ascii="宋体" w:hAnsi="宋体" w:cs="宋体" w:eastAsia="宋体" w:hint="default"/>
                <w:sz w:val="18"/>
                <w:szCs w:val="18"/>
              </w:rPr>
              <w:t>同时</w:t>
            </w:r>
            <w:r>
              <w:rPr>
                <w:rFonts w:ascii="宋体" w:hAnsi="宋体" w:cs="宋体" w:eastAsia="宋体" w:hint="default"/>
                <w:spacing w:val="-8"/>
                <w:sz w:val="18"/>
                <w:szCs w:val="18"/>
              </w:rPr>
              <w:t>，</w:t>
            </w:r>
            <w:r>
              <w:rPr>
                <w:rFonts w:ascii="宋体" w:hAnsi="宋体" w:cs="宋体" w:eastAsia="宋体" w:hint="default"/>
                <w:sz w:val="18"/>
                <w:szCs w:val="18"/>
              </w:rPr>
              <w:t>以资金公积向全体股东每</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股转增</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w:t>
            </w:r>
          </w:p>
          <w:p>
            <w:pPr>
              <w:pStyle w:val="TableParagraph"/>
              <w:spacing w:line="338" w:lineRule="auto" w:before="64"/>
              <w:ind w:left="382" w:right="21" w:hanging="360"/>
              <w:jc w:val="left"/>
              <w:rPr>
                <w:rFonts w:ascii="宋体" w:hAnsi="宋体" w:cs="宋体" w:eastAsia="宋体" w:hint="default"/>
                <w:sz w:val="18"/>
                <w:szCs w:val="18"/>
              </w:rPr>
            </w:pPr>
            <w:r>
              <w:rPr>
                <w:rFonts w:ascii="宋体" w:hAnsi="宋体" w:cs="宋体" w:eastAsia="宋体" w:hint="default"/>
                <w:sz w:val="18"/>
                <w:szCs w:val="18"/>
              </w:rPr>
              <w:t>股，合计转增股份数量为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174,696,527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 </w:t>
            </w:r>
            <w:r>
              <w:rPr>
                <w:rFonts w:ascii="宋体" w:hAnsi="宋体" w:cs="宋体" w:eastAsia="宋体" w:hint="default"/>
                <w:spacing w:val="-1"/>
                <w:sz w:val="18"/>
                <w:szCs w:val="18"/>
              </w:rPr>
              <w:t>上述利润分配预案披露后至权益分派实施公告确定的股权登记日前公司股本发生变动的，将按照分配总额不变的原则</w:t>
            </w:r>
          </w:p>
          <w:p>
            <w:pPr>
              <w:pStyle w:val="TableParagraph"/>
              <w:spacing w:line="240" w:lineRule="auto" w:before="4"/>
              <w:ind w:left="22" w:right="0"/>
              <w:jc w:val="left"/>
              <w:rPr>
                <w:rFonts w:ascii="宋体" w:hAnsi="宋体" w:cs="宋体" w:eastAsia="宋体" w:hint="default"/>
                <w:sz w:val="18"/>
                <w:szCs w:val="18"/>
              </w:rPr>
            </w:pPr>
            <w:r>
              <w:rPr>
                <w:rFonts w:ascii="宋体" w:hAnsi="宋体" w:cs="宋体" w:eastAsia="宋体" w:hint="default"/>
                <w:sz w:val="18"/>
                <w:szCs w:val="18"/>
              </w:rPr>
              <w:t>对各分配比例进行调整。</w:t>
            </w:r>
          </w:p>
        </w:tc>
      </w:tr>
    </w:tbl>
    <w:p>
      <w:pPr>
        <w:spacing w:line="240" w:lineRule="auto" w:before="6"/>
        <w:rPr>
          <w:rFonts w:ascii="宋体" w:hAnsi="宋体" w:cs="宋体" w:eastAsia="宋体" w:hint="default"/>
          <w:sz w:val="6"/>
          <w:szCs w:val="6"/>
        </w:rPr>
      </w:pPr>
    </w:p>
    <w:p>
      <w:pPr>
        <w:pStyle w:val="BodyText"/>
        <w:spacing w:line="240" w:lineRule="auto" w:before="44"/>
        <w:ind w:right="0"/>
        <w:jc w:val="left"/>
      </w:pPr>
      <w:r>
        <w:rPr/>
        <w:t>公司近</w:t>
      </w:r>
      <w:r>
        <w:rPr>
          <w:spacing w:val="-46"/>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年</w:t>
      </w:r>
      <w:r>
        <w:rPr>
          <w:spacing w:val="1"/>
        </w:rPr>
        <w:t>（</w:t>
      </w:r>
      <w:r>
        <w:rPr/>
        <w:t>包括本报告期）的普通股股利分配方案（预案</w:t>
      </w:r>
      <w:r>
        <w:rPr>
          <w:spacing w:val="-90"/>
        </w:rPr>
        <w:t>）</w:t>
      </w:r>
      <w:r>
        <w:rPr/>
        <w:t>、资本公积金转增股本方案（预案）情况</w:t>
      </w:r>
    </w:p>
    <w:p>
      <w:pPr>
        <w:spacing w:line="240" w:lineRule="auto" w:before="10"/>
        <w:rPr>
          <w:rFonts w:ascii="宋体" w:hAnsi="宋体" w:cs="宋体" w:eastAsia="宋体" w:hint="default"/>
          <w:sz w:val="19"/>
          <w:szCs w:val="19"/>
        </w:rPr>
      </w:pPr>
    </w:p>
    <w:p>
      <w:pPr>
        <w:pStyle w:val="BodyText"/>
        <w:spacing w:line="451" w:lineRule="auto"/>
        <w:ind w:left="1133" w:right="1123"/>
        <w:jc w:val="left"/>
      </w:pPr>
      <w:r>
        <w:rPr>
          <w:rFonts w:ascii="Times New Roman" w:hAnsi="Times New Roman" w:cs="Times New Roman" w:eastAsia="Times New Roman" w:hint="default"/>
          <w:spacing w:val="-2"/>
        </w:rPr>
        <w:t>1</w:t>
      </w:r>
      <w:r>
        <w:rPr>
          <w:spacing w:val="-2"/>
        </w:rPr>
        <w:t>、</w:t>
      </w:r>
      <w:r>
        <w:rPr>
          <w:rFonts w:ascii="Times New Roman" w:hAnsi="Times New Roman" w:cs="Times New Roman" w:eastAsia="Times New Roman" w:hint="default"/>
          <w:spacing w:val="-2"/>
        </w:rPr>
        <w:t>2015</w:t>
      </w:r>
      <w:r>
        <w:rPr>
          <w:spacing w:val="-2"/>
        </w:rPr>
        <w:t>年度，经</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10</w:t>
      </w:r>
      <w:r>
        <w:rPr>
          <w:spacing w:val="-2"/>
        </w:rPr>
        <w:t>日召开的公司</w:t>
      </w:r>
      <w:r>
        <w:rPr>
          <w:rFonts w:ascii="Times New Roman" w:hAnsi="Times New Roman" w:cs="Times New Roman" w:eastAsia="Times New Roman" w:hint="default"/>
          <w:spacing w:val="-2"/>
        </w:rPr>
        <w:t>2015</w:t>
      </w:r>
      <w:r>
        <w:rPr>
          <w:spacing w:val="-2"/>
        </w:rPr>
        <w:t>年年度股东大会审议批准，公司原</w:t>
      </w:r>
      <w:r>
        <w:rPr>
          <w:rFonts w:ascii="Times New Roman" w:hAnsi="Times New Roman" w:cs="Times New Roman" w:eastAsia="Times New Roman" w:hint="default"/>
          <w:spacing w:val="-2"/>
        </w:rPr>
        <w:t>2015</w:t>
      </w:r>
      <w:r>
        <w:rPr>
          <w:spacing w:val="-2"/>
        </w:rPr>
        <w:t>年度利润分配的方案为：以截至</w:t>
      </w:r>
      <w:r>
        <w:rPr>
          <w:rFonts w:ascii="Times New Roman" w:hAnsi="Times New Roman" w:cs="Times New Roman" w:eastAsia="Times New Roman" w:hint="default"/>
          <w:spacing w:val="-2"/>
        </w:rPr>
        <w:t>2015</w:t>
      </w:r>
      <w:r>
        <w:rPr>
          <w:rFonts w:ascii="Times New Roman" w:hAnsi="Times New Roman" w:cs="Times New Roman" w:eastAsia="Times New Roman" w:hint="default"/>
          <w:spacing w:val="1"/>
        </w:rPr>
        <w:t> </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日公司股份总数</w:t>
      </w:r>
      <w:r>
        <w:rPr>
          <w:rFonts w:ascii="Times New Roman" w:hAnsi="Times New Roman" w:cs="Times New Roman" w:eastAsia="Times New Roman" w:hint="default"/>
          <w:spacing w:val="-1"/>
        </w:rPr>
        <w:t>80,688,500</w:t>
      </w:r>
      <w:r>
        <w:rPr>
          <w:spacing w:val="-1"/>
        </w:rPr>
        <w:t>股为基数，向全体股东按每</w:t>
      </w:r>
      <w:r>
        <w:rPr>
          <w:rFonts w:ascii="Times New Roman" w:hAnsi="Times New Roman" w:cs="Times New Roman" w:eastAsia="Times New Roman" w:hint="default"/>
          <w:spacing w:val="-1"/>
        </w:rPr>
        <w:t>10</w:t>
      </w:r>
      <w:r>
        <w:rPr>
          <w:spacing w:val="-1"/>
        </w:rPr>
        <w:t>股派发现金股利</w:t>
      </w:r>
      <w:r>
        <w:rPr>
          <w:rFonts w:ascii="Times New Roman" w:hAnsi="Times New Roman" w:cs="Times New Roman" w:eastAsia="Times New Roman" w:hint="default"/>
          <w:spacing w:val="-1"/>
        </w:rPr>
        <w:t>1.5</w:t>
      </w:r>
      <w:r>
        <w:rPr>
          <w:spacing w:val="-1"/>
        </w:rPr>
        <w:t>元人民币（含税），合计现金分红总额</w:t>
      </w:r>
      <w:r>
        <w:rPr>
          <w:spacing w:val="-70"/>
        </w:rPr>
        <w:t> </w:t>
      </w:r>
      <w:r>
        <w:rPr>
          <w:spacing w:val="-70"/>
        </w:rPr>
      </w:r>
      <w:r>
        <w:rPr>
          <w:spacing w:val="-2"/>
        </w:rPr>
        <w:t>为</w:t>
      </w:r>
      <w:r>
        <w:rPr>
          <w:rFonts w:ascii="Times New Roman" w:hAnsi="Times New Roman" w:cs="Times New Roman" w:eastAsia="Times New Roman" w:hint="default"/>
          <w:spacing w:val="-2"/>
        </w:rPr>
        <w:t>12,103,275.00</w:t>
      </w:r>
      <w:r>
        <w:rPr>
          <w:spacing w:val="-2"/>
        </w:rPr>
        <w:t>元（含税），送红股</w:t>
      </w:r>
      <w:r>
        <w:rPr>
          <w:rFonts w:ascii="Times New Roman" w:hAnsi="Times New Roman" w:cs="Times New Roman" w:eastAsia="Times New Roman" w:hint="default"/>
          <w:spacing w:val="-2"/>
        </w:rPr>
        <w:t>5</w:t>
      </w:r>
      <w:r>
        <w:rPr>
          <w:spacing w:val="-2"/>
        </w:rPr>
        <w:t>股（含税），同时以资本公积金向全体股东每</w:t>
      </w:r>
      <w:r>
        <w:rPr>
          <w:rFonts w:ascii="Times New Roman" w:hAnsi="Times New Roman" w:cs="Times New Roman" w:eastAsia="Times New Roman" w:hint="default"/>
          <w:spacing w:val="-2"/>
        </w:rPr>
        <w:t>10</w:t>
      </w:r>
      <w:r>
        <w:rPr>
          <w:spacing w:val="-2"/>
        </w:rPr>
        <w:t>股转增</w:t>
      </w:r>
      <w:r>
        <w:rPr>
          <w:rFonts w:ascii="Times New Roman" w:hAnsi="Times New Roman" w:cs="Times New Roman" w:eastAsia="Times New Roman" w:hint="default"/>
          <w:spacing w:val="-2"/>
        </w:rPr>
        <w:t>10</w:t>
      </w:r>
      <w:r>
        <w:rPr>
          <w:spacing w:val="-2"/>
        </w:rPr>
        <w:t>股，合计送转股本</w:t>
      </w:r>
      <w:r>
        <w:rPr>
          <w:rFonts w:ascii="Times New Roman" w:hAnsi="Times New Roman" w:cs="Times New Roman" w:eastAsia="Times New Roman" w:hint="default"/>
          <w:spacing w:val="-2"/>
        </w:rPr>
        <w:t>121,032,750</w:t>
      </w:r>
      <w:r>
        <w:rPr>
          <w:rFonts w:ascii="Times New Roman" w:hAnsi="Times New Roman" w:cs="Times New Roman" w:eastAsia="Times New Roman" w:hint="default"/>
          <w:spacing w:val="-36"/>
        </w:rPr>
        <w:t> </w:t>
      </w:r>
      <w:r>
        <w:rPr>
          <w:rFonts w:ascii="Times New Roman" w:hAnsi="Times New Roman" w:cs="Times New Roman" w:eastAsia="Times New Roman" w:hint="default"/>
          <w:spacing w:val="-36"/>
        </w:rPr>
      </w:r>
      <w:r>
        <w:rPr/>
        <w:t>股。由于公司第二期限制性股票已于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5</w:t>
      </w:r>
      <w:r>
        <w:rPr/>
        <w:t>日完成授予并于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19</w:t>
      </w:r>
      <w:r>
        <w:rPr/>
        <w:t>日上市流通，截止</w:t>
      </w:r>
      <w:r>
        <w:rPr>
          <w:rFonts w:ascii="Times New Roman" w:hAnsi="Times New Roman" w:cs="Times New Roman" w:eastAsia="Times New Roman" w:hint="default"/>
        </w:rPr>
        <w:t>2015</w:t>
      </w:r>
      <w:r>
        <w:rPr/>
        <w:t>年度权益分派实施公告 披露之日，公司总股本变更为</w:t>
      </w:r>
      <w:r>
        <w:rPr>
          <w:rFonts w:ascii="Times New Roman" w:hAnsi="Times New Roman" w:cs="Times New Roman" w:eastAsia="Times New Roman" w:hint="default"/>
        </w:rPr>
        <w:t>81,169,500</w:t>
      </w:r>
      <w:r>
        <w:rPr/>
        <w:t>股，按照</w:t>
      </w:r>
      <w:r>
        <w:rPr>
          <w:rFonts w:ascii="Times New Roman" w:hAnsi="Times New Roman" w:cs="Times New Roman" w:eastAsia="Times New Roman" w:hint="default"/>
        </w:rPr>
        <w:t>“</w:t>
      </w:r>
      <w:r>
        <w:rPr/>
        <w:t>分配总额不变</w:t>
      </w:r>
      <w:r>
        <w:rPr>
          <w:rFonts w:ascii="Times New Roman" w:hAnsi="Times New Roman" w:cs="Times New Roman" w:eastAsia="Times New Roman" w:hint="default"/>
        </w:rPr>
        <w:t>”</w:t>
      </w:r>
      <w:r>
        <w:rPr/>
        <w:t>的原则，公司按照目前股本总额重新计算的</w:t>
      </w:r>
      <w:r>
        <w:rPr>
          <w:rFonts w:ascii="Times New Roman" w:hAnsi="Times New Roman" w:cs="Times New Roman" w:eastAsia="Times New Roman" w:hint="default"/>
        </w:rPr>
        <w:t>2015</w:t>
      </w:r>
      <w:r>
        <w:rPr/>
        <w:t>年度权益 </w:t>
      </w:r>
      <w:r>
        <w:rPr>
          <w:spacing w:val="-2"/>
        </w:rPr>
        <w:t>分派方案为：以公司现有总股本</w:t>
      </w:r>
      <w:r>
        <w:rPr>
          <w:rFonts w:ascii="Times New Roman" w:hAnsi="Times New Roman" w:cs="Times New Roman" w:eastAsia="Times New Roman" w:hint="default"/>
          <w:spacing w:val="-2"/>
        </w:rPr>
        <w:t>81,169,500</w:t>
      </w:r>
      <w:r>
        <w:rPr>
          <w:spacing w:val="-2"/>
        </w:rPr>
        <w:t>股为基数，向全体股东每</w:t>
      </w:r>
      <w:r>
        <w:rPr>
          <w:rFonts w:ascii="Times New Roman" w:hAnsi="Times New Roman" w:cs="Times New Roman" w:eastAsia="Times New Roman" w:hint="default"/>
          <w:spacing w:val="-2"/>
        </w:rPr>
        <w:t>10</w:t>
      </w:r>
      <w:r>
        <w:rPr>
          <w:spacing w:val="-2"/>
        </w:rPr>
        <w:t>股送红股</w:t>
      </w:r>
      <w:r>
        <w:rPr>
          <w:rFonts w:ascii="Times New Roman" w:hAnsi="Times New Roman" w:cs="Times New Roman" w:eastAsia="Times New Roman" w:hint="default"/>
          <w:spacing w:val="-2"/>
        </w:rPr>
        <w:t>4.970370</w:t>
      </w:r>
      <w:r>
        <w:rPr>
          <w:spacing w:val="-2"/>
        </w:rPr>
        <w:t>股，派</w:t>
      </w:r>
      <w:r>
        <w:rPr>
          <w:rFonts w:ascii="Times New Roman" w:hAnsi="Times New Roman" w:cs="Times New Roman" w:eastAsia="Times New Roman" w:hint="default"/>
          <w:spacing w:val="-2"/>
        </w:rPr>
        <w:t>1.491111</w:t>
      </w:r>
      <w:r>
        <w:rPr>
          <w:spacing w:val="-2"/>
        </w:rPr>
        <w:t>元人民币现金，同时</w:t>
      </w:r>
      <w:r>
        <w:rPr>
          <w:spacing w:val="-41"/>
        </w:rPr>
        <w:t> </w:t>
      </w:r>
      <w:r>
        <w:rPr>
          <w:spacing w:val="-41"/>
        </w:rPr>
      </w:r>
      <w:r>
        <w:rPr/>
        <w:t>以资本公积金向全体股东每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9.940741</w:t>
      </w:r>
      <w:r>
        <w:rPr/>
        <w:t>股。该方案已于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16</w:t>
      </w:r>
      <w:r>
        <w:rPr/>
        <w:t>日实施完毕。 </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2016</w:t>
      </w:r>
      <w:r>
        <w:rPr/>
        <w:t>年度，经</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21</w:t>
      </w:r>
      <w:r>
        <w:rPr/>
        <w:t>日召开的公司</w:t>
      </w:r>
      <w:r>
        <w:rPr>
          <w:rFonts w:ascii="Times New Roman" w:hAnsi="Times New Roman" w:cs="Times New Roman" w:eastAsia="Times New Roman" w:hint="default"/>
        </w:rPr>
        <w:t>2016</w:t>
      </w:r>
      <w:r>
        <w:rPr/>
        <w:t>年年度股东大会审议批准，公司</w:t>
      </w:r>
      <w:r>
        <w:rPr>
          <w:rFonts w:ascii="Times New Roman" w:hAnsi="Times New Roman" w:cs="Times New Roman" w:eastAsia="Times New Roman" w:hint="default"/>
        </w:rPr>
        <w:t>2016</w:t>
      </w:r>
      <w:r>
        <w:rPr/>
        <w:t>年度利润分配的方案为：以截至</w:t>
      </w:r>
      <w:r>
        <w:rPr>
          <w:rFonts w:ascii="Times New Roman" w:hAnsi="Times New Roman" w:cs="Times New Roman" w:eastAsia="Times New Roman" w:hint="default"/>
        </w:rPr>
        <w:t>2017 </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30</w:t>
      </w:r>
      <w:r>
        <w:rPr/>
        <w:t>日公司总股本</w:t>
      </w:r>
      <w:r>
        <w:rPr>
          <w:rFonts w:ascii="Times New Roman" w:hAnsi="Times New Roman" w:cs="Times New Roman" w:eastAsia="Times New Roman" w:hint="default"/>
        </w:rPr>
        <w:t>202,316,745</w:t>
      </w:r>
      <w:r>
        <w:rPr/>
        <w:t>股为基数，向全体股东按每</w:t>
      </w:r>
      <w:r>
        <w:rPr>
          <w:rFonts w:ascii="Times New Roman" w:hAnsi="Times New Roman" w:cs="Times New Roman" w:eastAsia="Times New Roman" w:hint="default"/>
        </w:rPr>
        <w:t>10</w:t>
      </w:r>
      <w:r>
        <w:rPr/>
        <w:t>股派发现金红利</w:t>
      </w:r>
      <w:r>
        <w:rPr>
          <w:rFonts w:ascii="Times New Roman" w:hAnsi="Times New Roman" w:cs="Times New Roman" w:eastAsia="Times New Roman" w:hint="default"/>
        </w:rPr>
        <w:t>0.87</w:t>
      </w:r>
      <w:r>
        <w:rPr/>
        <w:t>元（含税），合计派发现金红利 </w:t>
      </w:r>
      <w:r>
        <w:rPr>
          <w:rFonts w:ascii="Times New Roman" w:hAnsi="Times New Roman" w:cs="Times New Roman" w:eastAsia="Times New Roman" w:hint="default"/>
        </w:rPr>
        <w:t>17,601,556.82</w:t>
      </w:r>
      <w:r>
        <w:rPr/>
        <w:t>元。该方案已于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10</w:t>
      </w:r>
      <w:r>
        <w:rPr/>
        <w:t>日实施完毕。</w:t>
      </w:r>
    </w:p>
    <w:p>
      <w:pPr>
        <w:pStyle w:val="BodyText"/>
        <w:spacing w:line="451" w:lineRule="auto" w:before="44"/>
        <w:ind w:left="1133" w:right="0"/>
        <w:jc w:val="left"/>
      </w:pPr>
      <w:r>
        <w:rPr>
          <w:rFonts w:ascii="Times New Roman" w:hAnsi="Times New Roman" w:cs="Times New Roman" w:eastAsia="Times New Roman" w:hint="default"/>
          <w:spacing w:val="-2"/>
        </w:rPr>
        <w:t>3</w:t>
      </w:r>
      <w:r>
        <w:rPr>
          <w:spacing w:val="-2"/>
        </w:rPr>
        <w:t>、</w:t>
      </w:r>
      <w:r>
        <w:rPr>
          <w:rFonts w:ascii="Times New Roman" w:hAnsi="Times New Roman" w:cs="Times New Roman" w:eastAsia="Times New Roman" w:hint="default"/>
          <w:spacing w:val="-2"/>
        </w:rPr>
        <w:t>2017</w:t>
      </w:r>
      <w:r>
        <w:rPr>
          <w:spacing w:val="-2"/>
        </w:rPr>
        <w:t>年度，经</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17</w:t>
      </w:r>
      <w:r>
        <w:rPr>
          <w:spacing w:val="-2"/>
        </w:rPr>
        <w:t>日召开的第三届董事会第五次会议审议通过，公司</w:t>
      </w:r>
      <w:r>
        <w:rPr>
          <w:rFonts w:ascii="Times New Roman" w:hAnsi="Times New Roman" w:cs="Times New Roman" w:eastAsia="Times New Roman" w:hint="default"/>
          <w:spacing w:val="-2"/>
        </w:rPr>
        <w:t>2017</w:t>
      </w:r>
      <w:r>
        <w:rPr>
          <w:spacing w:val="-2"/>
        </w:rPr>
        <w:t>年度利润分配预案为：公司以截至</w:t>
      </w:r>
      <w:r>
        <w:rPr>
          <w:rFonts w:ascii="Times New Roman" w:hAnsi="Times New Roman" w:cs="Times New Roman" w:eastAsia="Times New Roman" w:hint="default"/>
          <w:spacing w:val="-2"/>
        </w:rPr>
        <w:t>2018 </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17</w:t>
      </w:r>
      <w:r>
        <w:rPr/>
        <w:t>日的总股本</w:t>
      </w:r>
      <w:r>
        <w:rPr>
          <w:rFonts w:ascii="Times New Roman" w:hAnsi="Times New Roman" w:cs="Times New Roman" w:eastAsia="Times New Roman" w:hint="default"/>
        </w:rPr>
        <w:t>218,370,659</w:t>
      </w:r>
      <w:r>
        <w:rPr/>
        <w:t>股为基数，向全体股东每</w:t>
      </w:r>
      <w:r>
        <w:rPr>
          <w:rFonts w:ascii="Times New Roman" w:hAnsi="Times New Roman" w:cs="Times New Roman" w:eastAsia="Times New Roman" w:hint="default"/>
        </w:rPr>
        <w:t>10</w:t>
      </w:r>
      <w:r>
        <w:rPr/>
        <w:t>股派发现金股利人民币</w:t>
      </w:r>
      <w:r>
        <w:rPr>
          <w:rFonts w:ascii="Times New Roman" w:hAnsi="Times New Roman" w:cs="Times New Roman" w:eastAsia="Times New Roman" w:hint="default"/>
        </w:rPr>
        <w:t>1.02</w:t>
      </w:r>
      <w:r>
        <w:rPr/>
        <w:t>元（含税），合计派发现金股利 </w:t>
      </w:r>
      <w:r>
        <w:rPr>
          <w:rFonts w:ascii="Times New Roman" w:hAnsi="Times New Roman" w:cs="Times New Roman" w:eastAsia="Times New Roman" w:hint="default"/>
        </w:rPr>
        <w:t>22,273,807.22</w:t>
      </w:r>
      <w:r>
        <w:rPr/>
        <w:t>元（含税），剩余未分配利润结转以后年度；同时，以资金公积向全体股东每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8</w:t>
      </w:r>
      <w:r>
        <w:rPr/>
        <w:t>股。前述利润分配预</w:t>
      </w:r>
    </w:p>
    <w:p>
      <w:pPr>
        <w:spacing w:after="0" w:line="451" w:lineRule="auto"/>
        <w:jc w:val="left"/>
        <w:sectPr>
          <w:pgSz w:w="11910" w:h="16840"/>
          <w:pgMar w:header="787" w:footer="640" w:top="1100" w:bottom="840" w:left="0" w:right="0"/>
        </w:sectPr>
      </w:pPr>
    </w:p>
    <w:p>
      <w:pPr>
        <w:spacing w:line="240" w:lineRule="auto" w:before="10"/>
        <w:rPr>
          <w:rFonts w:ascii="宋体" w:hAnsi="宋体" w:cs="宋体" w:eastAsia="宋体" w:hint="default"/>
          <w:sz w:val="28"/>
          <w:szCs w:val="28"/>
        </w:rPr>
      </w:pPr>
    </w:p>
    <w:p>
      <w:pPr>
        <w:pStyle w:val="BodyText"/>
        <w:spacing w:line="477" w:lineRule="auto" w:before="44"/>
        <w:ind w:right="1212"/>
        <w:jc w:val="left"/>
      </w:pPr>
      <w:r>
        <w:rPr/>
        <w:t>案披露后至权益分派实施公告确定的股权登记日前公司股本发生变动的，将按照分配总额不变的原则对各分配比例进行调 整。</w:t>
      </w:r>
    </w:p>
    <w:p>
      <w:pPr>
        <w:pStyle w:val="BodyText"/>
        <w:spacing w:line="240" w:lineRule="auto" w:before="95"/>
        <w:ind w:right="0"/>
        <w:jc w:val="left"/>
      </w:pPr>
      <w:r>
        <w:rPr/>
        <w:t>公司近三年（包括本报告期）普通股现金分红情况表</w:t>
      </w:r>
    </w:p>
    <w:p>
      <w:pPr>
        <w:spacing w:line="240" w:lineRule="auto" w:before="12"/>
        <w:rPr>
          <w:rFonts w:ascii="宋体" w:hAnsi="宋体" w:cs="宋体" w:eastAsia="宋体" w:hint="default"/>
          <w:sz w:val="20"/>
          <w:szCs w:val="20"/>
        </w:rPr>
      </w:pPr>
    </w:p>
    <w:p>
      <w:pPr>
        <w:pStyle w:val="BodyText"/>
        <w:spacing w:line="240" w:lineRule="auto"/>
        <w:ind w:left="0" w:right="1130"/>
        <w:jc w:val="right"/>
      </w:pPr>
      <w:r>
        <w:rPr/>
        <w:t>单位：元</w:t>
      </w:r>
    </w:p>
    <w:p>
      <w:pPr>
        <w:spacing w:line="240" w:lineRule="auto" w:before="12"/>
        <w:rPr>
          <w:rFonts w:ascii="宋体" w:hAnsi="宋体" w:cs="宋体" w:eastAsia="宋体" w:hint="default"/>
          <w:sz w:val="13"/>
          <w:szCs w:val="13"/>
        </w:rPr>
      </w:pPr>
    </w:p>
    <w:tbl>
      <w:tblPr>
        <w:tblW w:w="0" w:type="auto"/>
        <w:jc w:val="left"/>
        <w:tblInd w:w="112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317" w:hRule="exact"/>
        </w:trPr>
        <w:tc>
          <w:tcPr>
            <w:tcW w:w="1596" w:type="dxa"/>
            <w:vMerge w:val="restart"/>
            <w:tcBorders>
              <w:top w:val="single" w:sz="4" w:space="0" w:color="000000"/>
              <w:left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73" w:right="70"/>
              <w:jc w:val="center"/>
              <w:rPr>
                <w:rFonts w:ascii="宋体" w:hAnsi="宋体" w:cs="宋体" w:eastAsia="宋体" w:hint="default"/>
                <w:sz w:val="18"/>
                <w:szCs w:val="18"/>
              </w:rPr>
            </w:pPr>
            <w:r>
              <w:rPr>
                <w:rFonts w:ascii="宋体" w:hAnsi="宋体" w:cs="宋体" w:eastAsia="宋体" w:hint="default"/>
                <w:sz w:val="18"/>
                <w:szCs w:val="18"/>
              </w:rPr>
              <w:t>分红年度合并报表 中归属于上市公司 普通股股东的净利 润</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71" w:right="71"/>
              <w:jc w:val="center"/>
              <w:rPr>
                <w:rFonts w:ascii="宋体" w:hAnsi="宋体" w:cs="宋体" w:eastAsia="宋体" w:hint="default"/>
                <w:sz w:val="18"/>
                <w:szCs w:val="18"/>
              </w:rPr>
            </w:pPr>
            <w:r>
              <w:rPr>
                <w:rFonts w:ascii="宋体" w:hAnsi="宋体" w:cs="宋体" w:eastAsia="宋体" w:hint="default"/>
                <w:sz w:val="18"/>
                <w:szCs w:val="18"/>
              </w:rPr>
              <w:t>占合并报表中归属 于上市公司普通股 股东的净利润的比 率</w:t>
            </w: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6" w:hRule="exact"/>
        </w:trPr>
        <w:tc>
          <w:tcPr>
            <w:tcW w:w="1596" w:type="dxa"/>
            <w:vMerge/>
            <w:tcBorders>
              <w:left w:val="single" w:sz="4" w:space="0" w:color="000000"/>
              <w:bottom w:val="nil" w:sz="6" w:space="0" w:color="auto"/>
              <w:right w:val="single" w:sz="4" w:space="0" w:color="000000"/>
            </w:tcBorders>
            <w:shd w:val="clear" w:color="auto" w:fill="D2D2D2"/>
          </w:tcPr>
          <w:p>
            <w:pPr/>
          </w:p>
        </w:tc>
        <w:tc>
          <w:tcPr>
            <w:tcW w:w="1594"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612" w:right="71" w:hanging="540"/>
              <w:jc w:val="left"/>
              <w:rPr>
                <w:rFonts w:ascii="宋体" w:hAnsi="宋体" w:cs="宋体" w:eastAsia="宋体" w:hint="default"/>
                <w:sz w:val="18"/>
                <w:szCs w:val="18"/>
              </w:rPr>
            </w:pPr>
            <w:r>
              <w:rPr>
                <w:rFonts w:ascii="宋体" w:hAnsi="宋体" w:cs="宋体" w:eastAsia="宋体" w:hint="default"/>
                <w:sz w:val="18"/>
                <w:szCs w:val="18"/>
              </w:rPr>
              <w:t>现金分红金额（含 税）</w:t>
            </w:r>
          </w:p>
        </w:tc>
        <w:tc>
          <w:tcPr>
            <w:tcW w:w="1595"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432" w:right="70" w:hanging="360"/>
              <w:jc w:val="left"/>
              <w:rPr>
                <w:rFonts w:ascii="宋体" w:hAnsi="宋体" w:cs="宋体" w:eastAsia="宋体" w:hint="default"/>
                <w:sz w:val="18"/>
                <w:szCs w:val="18"/>
              </w:rPr>
            </w:pPr>
            <w:r>
              <w:rPr>
                <w:rFonts w:ascii="宋体" w:hAnsi="宋体" w:cs="宋体" w:eastAsia="宋体" w:hint="default"/>
                <w:sz w:val="18"/>
                <w:szCs w:val="18"/>
              </w:rPr>
              <w:t>以其他方式现金分 红的金额</w:t>
            </w:r>
          </w:p>
        </w:tc>
        <w:tc>
          <w:tcPr>
            <w:tcW w:w="159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433" w:right="71" w:hanging="360"/>
              <w:jc w:val="left"/>
              <w:rPr>
                <w:rFonts w:ascii="宋体" w:hAnsi="宋体" w:cs="宋体" w:eastAsia="宋体" w:hint="default"/>
                <w:sz w:val="18"/>
                <w:szCs w:val="18"/>
              </w:rPr>
            </w:pPr>
            <w:r>
              <w:rPr>
                <w:rFonts w:ascii="宋体" w:hAnsi="宋体" w:cs="宋体" w:eastAsia="宋体" w:hint="default"/>
                <w:sz w:val="18"/>
                <w:szCs w:val="18"/>
              </w:rPr>
              <w:t>以其他方式现金分 红的比例</w:t>
            </w:r>
          </w:p>
        </w:tc>
      </w:tr>
      <w:tr>
        <w:trPr>
          <w:trHeight w:val="392" w:hRule="exact"/>
        </w:trPr>
        <w:tc>
          <w:tcPr>
            <w:tcW w:w="15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594" w:type="dxa"/>
            <w:vMerge/>
            <w:tcBorders>
              <w:left w:val="single" w:sz="4" w:space="0" w:color="000000"/>
              <w:right w:val="single" w:sz="4" w:space="0" w:color="000000"/>
            </w:tcBorders>
            <w:shd w:val="clear" w:color="auto" w:fill="D2D2D2"/>
          </w:tcPr>
          <w:p>
            <w:pPr/>
          </w:p>
        </w:tc>
        <w:tc>
          <w:tcPr>
            <w:tcW w:w="1595"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5" w:type="dxa"/>
            <w:vMerge/>
            <w:tcBorders>
              <w:left w:val="single" w:sz="4" w:space="0" w:color="000000"/>
              <w:right w:val="single" w:sz="4" w:space="0" w:color="000000"/>
            </w:tcBorders>
            <w:shd w:val="clear" w:color="auto" w:fill="D2D2D2"/>
          </w:tcPr>
          <w:p>
            <w:pPr/>
          </w:p>
        </w:tc>
      </w:tr>
      <w:tr>
        <w:trPr>
          <w:trHeight w:val="156" w:hRule="exact"/>
        </w:trPr>
        <w:tc>
          <w:tcPr>
            <w:tcW w:w="1596" w:type="dxa"/>
            <w:vMerge w:val="restart"/>
            <w:tcBorders>
              <w:top w:val="nil" w:sz="6" w:space="0" w:color="auto"/>
              <w:left w:val="single" w:sz="4" w:space="0" w:color="000000"/>
              <w:right w:val="single" w:sz="4" w:space="0" w:color="000000"/>
            </w:tcBorders>
            <w:shd w:val="clear" w:color="auto" w:fill="D2D2D2"/>
          </w:tcPr>
          <w:p>
            <w:pPr/>
          </w:p>
        </w:tc>
        <w:tc>
          <w:tcPr>
            <w:tcW w:w="1594" w:type="dxa"/>
            <w:vMerge/>
            <w:tcBorders>
              <w:left w:val="single" w:sz="4" w:space="0" w:color="000000"/>
              <w:bottom w:val="nil" w:sz="6" w:space="0" w:color="auto"/>
              <w:right w:val="single" w:sz="4" w:space="0" w:color="000000"/>
            </w:tcBorders>
            <w:shd w:val="clear" w:color="auto" w:fill="D2D2D2"/>
          </w:tcPr>
          <w:p>
            <w:pPr/>
          </w:p>
        </w:tc>
        <w:tc>
          <w:tcPr>
            <w:tcW w:w="1595"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bottom w:val="nil" w:sz="6" w:space="0" w:color="auto"/>
              <w:right w:val="single" w:sz="4" w:space="0" w:color="000000"/>
            </w:tcBorders>
            <w:shd w:val="clear" w:color="auto" w:fill="D2D2D2"/>
          </w:tcPr>
          <w:p>
            <w:pPr/>
          </w:p>
        </w:tc>
        <w:tc>
          <w:tcPr>
            <w:tcW w:w="1595" w:type="dxa"/>
            <w:vMerge/>
            <w:tcBorders>
              <w:left w:val="single" w:sz="4" w:space="0" w:color="000000"/>
              <w:bottom w:val="nil" w:sz="6" w:space="0" w:color="auto"/>
              <w:right w:val="single" w:sz="4" w:space="0" w:color="000000"/>
            </w:tcBorders>
            <w:shd w:val="clear" w:color="auto" w:fill="D2D2D2"/>
          </w:tcPr>
          <w:p>
            <w:pPr/>
          </w:p>
        </w:tc>
      </w:tr>
      <w:tr>
        <w:trPr>
          <w:trHeight w:val="317"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22,273,807.22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111,185,107.71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17,601,536.96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87,160,102.19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20.19%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12,103,273.41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65,883,942.02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18.37%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6"/>
        <w:rPr>
          <w:rFonts w:ascii="宋体" w:hAnsi="宋体" w:cs="宋体" w:eastAsia="宋体" w:hint="default"/>
          <w:sz w:val="6"/>
          <w:szCs w:val="6"/>
        </w:rPr>
      </w:pPr>
    </w:p>
    <w:p>
      <w:pPr>
        <w:pStyle w:val="BodyText"/>
        <w:spacing w:line="240" w:lineRule="auto" w:before="44"/>
        <w:ind w:right="0"/>
        <w:jc w:val="left"/>
      </w:pPr>
      <w:r>
        <w:rPr/>
        <w:t>公司报告期内盈利且母公司可供普通股股东分配利润为正但未提出普通股现金红利分配预案</w:t>
      </w:r>
    </w:p>
    <w:p>
      <w:pPr>
        <w:spacing w:line="240" w:lineRule="auto" w:before="12"/>
        <w:rPr>
          <w:rFonts w:ascii="宋体" w:hAnsi="宋体" w:cs="宋体" w:eastAsia="宋体" w:hint="default"/>
          <w:sz w:val="20"/>
          <w:szCs w:val="20"/>
        </w:rPr>
      </w:pPr>
    </w:p>
    <w:p>
      <w:pPr>
        <w:pStyle w:val="BodyText"/>
        <w:spacing w:line="240" w:lineRule="auto"/>
        <w:ind w:left="113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7"/>
          <w:szCs w:val="17"/>
        </w:rPr>
      </w:pPr>
    </w:p>
    <w:p>
      <w:pPr>
        <w:pStyle w:val="Heading2"/>
        <w:spacing w:line="240" w:lineRule="auto"/>
        <w:ind w:right="0"/>
        <w:jc w:val="left"/>
        <w:rPr>
          <w:b w:val="0"/>
          <w:bCs w:val="0"/>
        </w:rPr>
      </w:pPr>
      <w:bookmarkStart w:name="二、承诺事项履行情况" w:id="63"/>
      <w:bookmarkEnd w:id="63"/>
      <w:r>
        <w:rPr>
          <w:b w:val="0"/>
          <w:bCs w:val="0"/>
        </w:rPr>
      </w:r>
      <w:r>
        <w:rPr/>
        <w:t>二、承诺事项履行情况</w:t>
      </w:r>
      <w:r>
        <w:rPr>
          <w:b w:val="0"/>
          <w:bCs w:val="0"/>
        </w:rPr>
      </w:r>
    </w:p>
    <w:p>
      <w:pPr>
        <w:spacing w:line="240" w:lineRule="auto" w:before="0"/>
        <w:rPr>
          <w:rFonts w:ascii="宋体" w:hAnsi="宋体" w:cs="宋体" w:eastAsia="宋体" w:hint="default"/>
          <w:b/>
          <w:bCs/>
          <w:sz w:val="24"/>
          <w:szCs w:val="24"/>
        </w:rPr>
      </w:pPr>
    </w:p>
    <w:p>
      <w:pPr>
        <w:pStyle w:val="Heading3"/>
        <w:spacing w:line="386" w:lineRule="auto" w:before="163"/>
        <w:ind w:left="1133" w:right="0"/>
        <w:jc w:val="left"/>
        <w:rPr>
          <w:b w:val="0"/>
          <w:bCs w:val="0"/>
        </w:rPr>
      </w:pPr>
      <w:bookmarkStart w:name="1、公司实际控制人、股东、关联方、收购人以及公司等承诺相关方在报告期内履行完毕及" w:id="64"/>
      <w:bookmarkEnd w:id="64"/>
      <w:r>
        <w:rPr>
          <w:b w:val="0"/>
          <w:bCs w:val="0"/>
        </w:rPr>
      </w:r>
      <w:r>
        <w:rPr>
          <w:rFonts w:ascii="Times New Roman" w:hAnsi="Times New Roman" w:cs="Times New Roman" w:eastAsia="Times New Roman" w:hint="default"/>
        </w:rPr>
        <w:t>1</w:t>
      </w:r>
      <w:r>
        <w:rPr/>
        <w:t>、公司实际控制人、股东、关联方、收购人以及公司等承诺相关方在报告期内履行完毕及截至报告期末</w:t>
      </w:r>
      <w:r>
        <w:rPr>
          <w:spacing w:val="-74"/>
        </w:rPr>
        <w:t> </w:t>
      </w:r>
      <w:r>
        <w:rPr>
          <w:spacing w:val="-74"/>
        </w:rPr>
      </w:r>
      <w:r>
        <w:rPr/>
        <w:t>尚未履行完毕的承诺事项</w:t>
      </w:r>
      <w:r>
        <w:rPr>
          <w:b w:val="0"/>
          <w:bCs w:val="0"/>
        </w:rPr>
      </w:r>
    </w:p>
    <w:p>
      <w:pPr>
        <w:spacing w:line="240" w:lineRule="auto" w:before="12"/>
        <w:rPr>
          <w:rFonts w:ascii="宋体" w:hAnsi="宋体" w:cs="宋体" w:eastAsia="宋体" w:hint="default"/>
          <w:b/>
          <w:bCs/>
          <w:sz w:val="29"/>
          <w:szCs w:val="29"/>
        </w:rPr>
      </w:pPr>
    </w:p>
    <w:p>
      <w:pPr>
        <w:pStyle w:val="BodyText"/>
        <w:spacing w:line="240" w:lineRule="auto"/>
        <w:ind w:left="113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825"/>
        <w:gridCol w:w="1137"/>
        <w:gridCol w:w="1126"/>
        <w:gridCol w:w="1127"/>
        <w:gridCol w:w="1126"/>
        <w:gridCol w:w="1121"/>
        <w:gridCol w:w="1108"/>
      </w:tblGrid>
      <w:tr>
        <w:trPr>
          <w:trHeight w:val="402" w:hRule="exact"/>
        </w:trPr>
        <w:tc>
          <w:tcPr>
            <w:tcW w:w="28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承诺来源</w:t>
            </w:r>
          </w:p>
        </w:tc>
        <w:tc>
          <w:tcPr>
            <w:tcW w:w="11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99"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97"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1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98" w:right="0"/>
              <w:jc w:val="left"/>
              <w:rPr>
                <w:rFonts w:ascii="宋体" w:hAnsi="宋体" w:cs="宋体" w:eastAsia="宋体" w:hint="default"/>
                <w:sz w:val="18"/>
                <w:szCs w:val="18"/>
              </w:rPr>
            </w:pPr>
            <w:r>
              <w:rPr>
                <w:rFonts w:ascii="宋体" w:hAnsi="宋体" w:cs="宋体" w:eastAsia="宋体" w:hint="default"/>
                <w:sz w:val="18"/>
                <w:szCs w:val="18"/>
              </w:rPr>
              <w:t>承诺内容</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97"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1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95"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1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88"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714" w:hRule="exact"/>
        </w:trPr>
        <w:tc>
          <w:tcPr>
            <w:tcW w:w="28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90"/>
              <w:jc w:val="left"/>
              <w:rPr>
                <w:rFonts w:ascii="宋体" w:hAnsi="宋体" w:cs="宋体" w:eastAsia="宋体" w:hint="default"/>
                <w:sz w:val="18"/>
                <w:szCs w:val="18"/>
              </w:rPr>
            </w:pPr>
            <w:r>
              <w:rPr>
                <w:rFonts w:ascii="宋体" w:hAnsi="宋体" w:cs="宋体" w:eastAsia="宋体" w:hint="default"/>
                <w:sz w:val="18"/>
                <w:szCs w:val="18"/>
              </w:rPr>
              <w:t>收购报告书或权益变动报告书中所 作承诺</w:t>
            </w:r>
          </w:p>
        </w:tc>
        <w:tc>
          <w:tcPr>
            <w:tcW w:w="1137" w:type="dxa"/>
            <w:tcBorders>
              <w:top w:val="single" w:sz="4" w:space="0" w:color="000000"/>
              <w:left w:val="single" w:sz="13" w:space="0" w:color="D2D2D2"/>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资产重组时所作承诺</w:t>
            </w:r>
          </w:p>
        </w:tc>
        <w:tc>
          <w:tcPr>
            <w:tcW w:w="1137" w:type="dxa"/>
            <w:tcBorders>
              <w:top w:val="single" w:sz="4" w:space="0" w:color="000000"/>
              <w:left w:val="single" w:sz="13" w:space="0" w:color="D2D2D2"/>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1702" w:hRule="exact"/>
        </w:trPr>
        <w:tc>
          <w:tcPr>
            <w:tcW w:w="2825" w:type="dxa"/>
            <w:tcBorders>
              <w:top w:val="single" w:sz="4" w:space="0" w:color="000000"/>
              <w:left w:val="single" w:sz="4" w:space="0" w:color="000000"/>
              <w:bottom w:val="nil" w:sz="6" w:space="0" w:color="auto"/>
              <w:right w:val="single" w:sz="4" w:space="0" w:color="000000"/>
            </w:tcBorders>
            <w:shd w:val="clear" w:color="auto" w:fill="D2D2D2"/>
          </w:tcPr>
          <w:p>
            <w:pPr/>
          </w:p>
        </w:tc>
        <w:tc>
          <w:tcPr>
            <w:tcW w:w="1137"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5"/>
                <w:szCs w:val="25"/>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茅庆江</w:t>
            </w:r>
          </w:p>
        </w:tc>
        <w:tc>
          <w:tcPr>
            <w:tcW w:w="112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127" w:type="dxa"/>
            <w:vMerge w:val="restart"/>
            <w:tcBorders>
              <w:top w:val="single" w:sz="4" w:space="0" w:color="000000"/>
              <w:left w:val="single" w:sz="4" w:space="0" w:color="000000"/>
              <w:right w:val="single" w:sz="4" w:space="0" w:color="000000"/>
            </w:tcBorders>
          </w:tcPr>
          <w:p>
            <w:pPr>
              <w:pStyle w:val="TableParagraph"/>
              <w:spacing w:line="316" w:lineRule="auto" w:before="52"/>
              <w:ind w:left="22" w:right="21"/>
              <w:jc w:val="left"/>
              <w:rPr>
                <w:rFonts w:ascii="宋体" w:hAnsi="宋体" w:cs="宋体" w:eastAsia="宋体" w:hint="default"/>
                <w:sz w:val="18"/>
                <w:szCs w:val="18"/>
              </w:rPr>
            </w:pPr>
            <w:r>
              <w:rPr>
                <w:rFonts w:ascii="宋体" w:hAnsi="宋体" w:cs="宋体" w:eastAsia="宋体" w:hint="default"/>
                <w:sz w:val="18"/>
                <w:szCs w:val="18"/>
              </w:rPr>
              <w:t>公司控股股 </w:t>
            </w:r>
            <w:r>
              <w:rPr>
                <w:rFonts w:ascii="宋体" w:hAnsi="宋体" w:cs="宋体" w:eastAsia="宋体" w:hint="default"/>
                <w:spacing w:val="-2"/>
                <w:sz w:val="18"/>
                <w:szCs w:val="18"/>
              </w:rPr>
              <w:t>东、实际控制</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人茅庆江根 据证监会的 </w:t>
            </w:r>
            <w:r>
              <w:rPr>
                <w:rFonts w:ascii="宋体" w:hAnsi="宋体" w:cs="宋体" w:eastAsia="宋体" w:hint="default"/>
                <w:spacing w:val="-2"/>
                <w:sz w:val="18"/>
                <w:szCs w:val="18"/>
              </w:rPr>
              <w:t>相关规定，对</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公司填补回 报措施能够 得到切实履 行作出如下 承诺：</w:t>
            </w:r>
            <w:r>
              <w:rPr>
                <w:rFonts w:ascii="Times New Roman" w:hAnsi="Times New Roman" w:cs="Times New Roman" w:eastAsia="Times New Roman" w:hint="default"/>
                <w:sz w:val="18"/>
                <w:szCs w:val="18"/>
              </w:rPr>
              <w:t>1</w:t>
            </w:r>
            <w:r>
              <w:rPr>
                <w:rFonts w:ascii="宋体" w:hAnsi="宋体" w:cs="宋体" w:eastAsia="宋体" w:hint="default"/>
                <w:sz w:val="18"/>
                <w:szCs w:val="18"/>
              </w:rPr>
              <w:t>、不 无偿或以不 公平条件向</w:t>
            </w:r>
          </w:p>
        </w:tc>
        <w:tc>
          <w:tcPr>
            <w:tcW w:w="112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2016.04.14-</w:t>
            </w:r>
            <w:r>
              <w:rPr>
                <w:rFonts w:ascii="宋体" w:hAnsi="宋体" w:cs="宋体" w:eastAsia="宋体" w:hint="default"/>
                <w:sz w:val="18"/>
                <w:szCs w:val="18"/>
              </w:rPr>
              <w:t>公</w:t>
            </w:r>
          </w:p>
          <w:p>
            <w:pPr>
              <w:pStyle w:val="TableParagraph"/>
              <w:spacing w:line="312" w:lineRule="auto" w:before="61"/>
              <w:ind w:left="22" w:right="143"/>
              <w:jc w:val="both"/>
              <w:rPr>
                <w:rFonts w:ascii="宋体" w:hAnsi="宋体" w:cs="宋体" w:eastAsia="宋体" w:hint="default"/>
                <w:sz w:val="18"/>
                <w:szCs w:val="18"/>
              </w:rPr>
            </w:pPr>
            <w:r>
              <w:rPr>
                <w:rFonts w:ascii="宋体" w:hAnsi="宋体" w:cs="宋体" w:eastAsia="宋体" w:hint="default"/>
                <w:sz w:val="18"/>
                <w:szCs w:val="18"/>
              </w:rPr>
              <w:t>司应对</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年度非公开 发行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股股 票摊薄即期 回报采取的 填补措施实 施完毕</w:t>
            </w:r>
          </w:p>
        </w:tc>
        <w:tc>
          <w:tcPr>
            <w:tcW w:w="110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316" w:lineRule="auto"/>
              <w:ind w:left="22" w:right="-5"/>
              <w:jc w:val="left"/>
              <w:rPr>
                <w:rFonts w:ascii="宋体" w:hAnsi="宋体" w:cs="宋体" w:eastAsia="宋体" w:hint="default"/>
                <w:sz w:val="18"/>
                <w:szCs w:val="18"/>
              </w:rPr>
            </w:pPr>
            <w:r>
              <w:rPr>
                <w:rFonts w:ascii="宋体" w:hAnsi="宋体" w:cs="宋体" w:eastAsia="宋体" w:hint="default"/>
                <w:spacing w:val="-5"/>
                <w:sz w:val="18"/>
                <w:szCs w:val="18"/>
              </w:rPr>
              <w:t>报告期内，承</w:t>
            </w:r>
            <w:r>
              <w:rPr>
                <w:rFonts w:ascii="宋体" w:hAnsi="宋体" w:cs="宋体" w:eastAsia="宋体" w:hint="default"/>
                <w:sz w:val="18"/>
                <w:szCs w:val="18"/>
              </w:rPr>
              <w:t> 诺人严格遵 </w:t>
            </w:r>
            <w:r>
              <w:rPr>
                <w:rFonts w:ascii="宋体" w:hAnsi="宋体" w:cs="宋体" w:eastAsia="宋体" w:hint="default"/>
                <w:spacing w:val="-5"/>
                <w:sz w:val="18"/>
                <w:szCs w:val="18"/>
              </w:rPr>
              <w:t>守承诺，未发</w:t>
            </w:r>
            <w:r>
              <w:rPr>
                <w:rFonts w:ascii="宋体" w:hAnsi="宋体" w:cs="宋体" w:eastAsia="宋体" w:hint="default"/>
                <w:sz w:val="18"/>
                <w:szCs w:val="18"/>
              </w:rPr>
              <w:t> 现存在违反 承诺的情况。</w:t>
            </w:r>
          </w:p>
        </w:tc>
      </w:tr>
      <w:tr>
        <w:trPr>
          <w:trHeight w:val="392" w:hRule="exact"/>
        </w:trPr>
        <w:tc>
          <w:tcPr>
            <w:tcW w:w="282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首次公开发行或再融资时所作承诺</w:t>
            </w:r>
          </w:p>
        </w:tc>
        <w:tc>
          <w:tcPr>
            <w:tcW w:w="1137" w:type="dxa"/>
            <w:vMerge/>
            <w:tcBorders>
              <w:left w:val="single" w:sz="9" w:space="0" w:color="D2D2D2"/>
              <w:right w:val="single" w:sz="4" w:space="0" w:color="000000"/>
            </w:tcBorders>
          </w:tcPr>
          <w:p>
            <w:pP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1701" w:hRule="exact"/>
        </w:trPr>
        <w:tc>
          <w:tcPr>
            <w:tcW w:w="2825" w:type="dxa"/>
            <w:tcBorders>
              <w:top w:val="nil" w:sz="6" w:space="0" w:color="auto"/>
              <w:left w:val="single" w:sz="4" w:space="0" w:color="000000"/>
              <w:bottom w:val="single" w:sz="4" w:space="0" w:color="000000"/>
              <w:right w:val="single" w:sz="4" w:space="0" w:color="000000"/>
            </w:tcBorders>
            <w:shd w:val="clear" w:color="auto" w:fill="D2D2D2"/>
          </w:tcPr>
          <w:p>
            <w:pPr/>
          </w:p>
        </w:tc>
        <w:tc>
          <w:tcPr>
            <w:tcW w:w="1137" w:type="dxa"/>
            <w:vMerge/>
            <w:tcBorders>
              <w:left w:val="single" w:sz="9" w:space="0" w:color="D2D2D2"/>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footerReference w:type="default" r:id="rId23"/>
          <w:pgSz w:w="11910" w:h="16840"/>
          <w:pgMar w:footer="640" w:header="787" w:top="1100" w:bottom="840" w:left="0" w:right="0"/>
        </w:sectPr>
      </w:pPr>
    </w:p>
    <w:p>
      <w:pPr>
        <w:spacing w:line="240" w:lineRule="auto" w:before="4"/>
        <w:rPr>
          <w:rFonts w:ascii="Times New Roman" w:hAnsi="Times New Roman" w:cs="Times New Roman" w:eastAsia="Times New Roman" w:hint="default"/>
          <w:sz w:val="3"/>
          <w:szCs w:val="3"/>
        </w:rPr>
      </w:pPr>
      <w:r>
        <w:rPr/>
        <w:pict>
          <v:shape style="position:absolute;margin-left:361.480011pt;margin-top:72.47998pt;width:62pt;height:686.5pt;mso-position-horizontal-relative:page;mso-position-vertical-relative:page;z-index:-1171192"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20"/>
                      <w:szCs w:val="20"/>
                    </w:rPr>
                  </w:pPr>
                </w:p>
                <w:p>
                  <w:pPr>
                    <w:pStyle w:val="BodyText"/>
                    <w:spacing w:line="240" w:lineRule="auto"/>
                    <w:ind w:left="0" w:right="0"/>
                    <w:jc w:val="left"/>
                  </w:pPr>
                  <w:r>
                    <w:rPr/>
                    <w:t>、</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3"/>
                    <w:rPr>
                      <w:rFonts w:ascii="Times New Roman" w:hAnsi="Times New Roman" w:cs="Times New Roman" w:eastAsia="Times New Roman" w:hint="default"/>
                      <w:sz w:val="26"/>
                      <w:szCs w:val="26"/>
                    </w:rPr>
                  </w:pPr>
                </w:p>
                <w:p>
                  <w:pPr>
                    <w:pStyle w:val="BodyText"/>
                    <w:spacing w:line="240" w:lineRule="auto"/>
                    <w:ind w:left="0" w:right="0"/>
                    <w:jc w:val="left"/>
                  </w:pPr>
                  <w:r>
                    <w:rPr/>
                    <w:t>、</w:t>
                  </w:r>
                </w:p>
              </w:txbxContent>
            </v:textbox>
            <w10:wrap type="none"/>
          </v:shape>
        </w:pict>
      </w:r>
    </w:p>
    <w:p>
      <w:pPr>
        <w:spacing w:line="20" w:lineRule="exact"/>
        <w:ind w:left="1096"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10"/>
        <w:rPr>
          <w:rFonts w:ascii="Times New Roman" w:hAnsi="Times New Roman" w:cs="Times New Roman" w:eastAsia="Times New Roman" w:hint="default"/>
          <w:sz w:val="23"/>
          <w:szCs w:val="23"/>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其他单位或</w:t>
            </w:r>
          </w:p>
        </w:tc>
        <w:tc>
          <w:tcPr>
            <w:tcW w:w="1126" w:type="dxa"/>
            <w:vMerge w:val="restart"/>
            <w:tcBorders>
              <w:top w:val="single" w:sz="4" w:space="0" w:color="000000"/>
              <w:left w:val="single" w:sz="4" w:space="0" w:color="000000"/>
              <w:right w:val="single" w:sz="4" w:space="0" w:color="000000"/>
            </w:tcBorders>
          </w:tcPr>
          <w:p>
            <w:pPr>
              <w:pStyle w:val="TableParagraph"/>
              <w:spacing w:line="13729"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74"/>
                <w:sz w:val="20"/>
                <w:szCs w:val="20"/>
              </w:rPr>
              <w:pict>
                <v:group style="width:55.85pt;height:686.5pt;mso-position-horizontal-relative:char;mso-position-vertical-relative:line" coordorigin="0,0" coordsize="1117,13730">
                  <v:group style="position:absolute;left:0;top:0;width:1117;height:13730" coordorigin="0,0" coordsize="1117,13730">
                    <v:shape style="position:absolute;left:0;top:0;width:1117;height:13730" coordorigin="0,0" coordsize="1117,13730" path="m0,13729l1116,13729,1116,0,0,0,0,13729xe" filled="true" fillcolor="#ffffff" stroked="false">
                      <v:path arrowok="t"/>
                      <v:fill type="solid"/>
                    </v:shape>
                  </v:group>
                </v:group>
              </w:pict>
            </w:r>
            <w:r>
              <w:rPr>
                <w:rFonts w:ascii="Times New Roman" w:hAnsi="Times New Roman" w:cs="Times New Roman" w:eastAsia="Times New Roman" w:hint="default"/>
                <w:position w:val="-274"/>
                <w:sz w:val="20"/>
                <w:szCs w:val="20"/>
              </w:rPr>
            </w: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者个人输送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利益，也不采</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用其他方式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损害浩云科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技利益。</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对个人的职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务消费行为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进行约束。</w:t>
            </w:r>
            <w:r>
              <w:rPr>
                <w:rFonts w:ascii="Times New Roman" w:hAnsi="Times New Roman" w:cs="Times New Roman" w:eastAsia="Times New Roman" w:hint="default"/>
                <w:sz w:val="18"/>
                <w:szCs w:val="18"/>
              </w:rPr>
              <w:t>3</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不动用浩云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科技资产从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事与履行职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责无关的投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资、消费活</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动。</w:t>
            </w:r>
            <w:r>
              <w:rPr>
                <w:rFonts w:ascii="Times New Roman" w:hAnsi="Times New Roman" w:cs="Times New Roman" w:eastAsia="Times New Roman" w:hint="default"/>
                <w:sz w:val="18"/>
                <w:szCs w:val="18"/>
              </w:rPr>
              <w:t>4</w:t>
            </w:r>
            <w:r>
              <w:rPr>
                <w:rFonts w:ascii="宋体" w:hAnsi="宋体" w:cs="宋体" w:eastAsia="宋体" w:hint="default"/>
                <w:sz w:val="18"/>
                <w:szCs w:val="18"/>
              </w:rPr>
              <w:t>、由董</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事会或薪酬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委员会制订</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的薪酬制度</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与浩云科技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填补回报措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施的执行情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况相挂钩。</w:t>
            </w:r>
            <w:r>
              <w:rPr>
                <w:rFonts w:ascii="Times New Roman" w:hAnsi="Times New Roman" w:cs="Times New Roman" w:eastAsia="Times New Roman" w:hint="default"/>
                <w:sz w:val="18"/>
                <w:szCs w:val="18"/>
              </w:rPr>
              <w:t>5</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若有新的股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权激励计划，</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则新的股权</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激励计划的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行权条件与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浩云科技填</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补回报措施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的执行情况</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相挂钩。</w:t>
            </w:r>
            <w:r>
              <w:rPr>
                <w:rFonts w:ascii="Times New Roman" w:hAnsi="Times New Roman" w:cs="Times New Roman" w:eastAsia="Times New Roman" w:hint="default"/>
                <w:sz w:val="18"/>
                <w:szCs w:val="18"/>
              </w:rPr>
              <w:t>6</w:t>
            </w:r>
            <w:r>
              <w:rPr>
                <w:rFonts w:ascii="宋体" w:hAnsi="宋体" w:cs="宋体" w:eastAsia="宋体"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不越权干预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浩云科技的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经营管理活</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动，不侵占浩</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云科技利益。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、若本人违</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背上述承诺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致使摊薄即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期回报的填</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补措施无法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得到有效落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实，从而损害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了浩云科技</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87" w:footer="640" w:top="1100" w:bottom="840" w:left="0" w:right="0"/>
        </w:sectPr>
      </w:pPr>
    </w:p>
    <w:p>
      <w:pPr>
        <w:spacing w:line="240" w:lineRule="auto" w:before="4"/>
        <w:rPr>
          <w:rFonts w:ascii="Times New Roman" w:hAnsi="Times New Roman" w:cs="Times New Roman" w:eastAsia="Times New Roman" w:hint="default"/>
          <w:sz w:val="3"/>
          <w:szCs w:val="3"/>
        </w:rPr>
      </w:pPr>
      <w:r>
        <w:rPr/>
        <w:pict>
          <v:shape style="position:absolute;margin-left:361.480011pt;margin-top:514.839966pt;width:62pt;height:248.6pt;mso-position-horizontal-relative:page;mso-position-vertical-relative:page;z-index:-1171144"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9"/>
                      <w:szCs w:val="19"/>
                    </w:rPr>
                  </w:pPr>
                </w:p>
                <w:p>
                  <w:pPr>
                    <w:pStyle w:val="BodyText"/>
                    <w:spacing w:line="240" w:lineRule="auto"/>
                    <w:ind w:left="0" w:right="0"/>
                    <w:jc w:val="left"/>
                  </w:pPr>
                  <w:r>
                    <w:rPr/>
                    <w:t>、</w:t>
                  </w:r>
                </w:p>
              </w:txbxContent>
            </v:textbox>
            <w10:wrap type="none"/>
          </v:shape>
        </w:pict>
      </w:r>
      <w:r>
        <w:rPr/>
        <w:pict>
          <v:group style="position:absolute;margin-left:367.660004pt;margin-top:514.839966pt;width:55.85pt;height:248.6pt;mso-position-horizontal-relative:page;mso-position-vertical-relative:page;z-index:-1171120" coordorigin="7353,10297" coordsize="1117,4972">
            <v:shape style="position:absolute;left:7353;top:10297;width:1117;height:4972" coordorigin="7353,10297" coordsize="1117,4972" path="m7353,15269l8470,15269,8470,10297,7353,10297,7353,15269xe" filled="true" fillcolor="#ffffff" stroked="false">
              <v:path arrowok="t"/>
              <v:fill type="solid"/>
            </v:shape>
            <w10:wrap type="none"/>
          </v:group>
        </w:pict>
      </w:r>
    </w:p>
    <w:p>
      <w:pPr>
        <w:spacing w:line="20" w:lineRule="exact"/>
        <w:ind w:left="1096"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10"/>
        <w:rPr>
          <w:rFonts w:ascii="Times New Roman" w:hAnsi="Times New Roman" w:cs="Times New Roman" w:eastAsia="Times New Roman" w:hint="default"/>
          <w:sz w:val="23"/>
          <w:szCs w:val="23"/>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和中小投资</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者的合法权</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益，浩云科技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和中小投资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者有权采取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一切合法手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段向本企业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就其遭受的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3"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损失进行追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5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偿。</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r>
        <w:trPr>
          <w:trHeight w:val="357" w:hRule="exact"/>
        </w:trPr>
        <w:tc>
          <w:tcPr>
            <w:tcW w:w="2836" w:type="dxa"/>
            <w:vMerge/>
            <w:tcBorders>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nil" w:sz="6" w:space="0" w:color="auto"/>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公司全体董</w:t>
            </w:r>
          </w:p>
        </w:tc>
        <w:tc>
          <w:tcPr>
            <w:tcW w:w="1126" w:type="dxa"/>
            <w:tcBorders>
              <w:top w:val="single" w:sz="4" w:space="0" w:color="000000"/>
              <w:left w:val="single" w:sz="4" w:space="0" w:color="000000"/>
              <w:bottom w:val="nil" w:sz="6" w:space="0" w:color="auto"/>
              <w:right w:val="single" w:sz="4" w:space="0" w:color="000000"/>
            </w:tcBorders>
          </w:tcPr>
          <w:p>
            <w:pPr/>
          </w:p>
        </w:tc>
        <w:tc>
          <w:tcPr>
            <w:tcW w:w="1121" w:type="dxa"/>
            <w:tcBorders>
              <w:top w:val="single" w:sz="4" w:space="0" w:color="000000"/>
              <w:left w:val="single" w:sz="4" w:space="0" w:color="000000"/>
              <w:bottom w:val="nil" w:sz="6" w:space="0" w:color="auto"/>
              <w:right w:val="single" w:sz="4" w:space="0" w:color="000000"/>
            </w:tcBorders>
          </w:tcPr>
          <w:p>
            <w:pPr/>
          </w:p>
        </w:tc>
        <w:tc>
          <w:tcPr>
            <w:tcW w:w="1108"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事、高级管理</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人员根据证</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监会的相关</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规定，对公司</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填补回报措</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施能够得到</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切实履行作</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出如下承诺：</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、不无偿或</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以不公平条</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件向其他单</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03"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位或者个人</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输送利益，也</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2016.04.14-</w:t>
            </w:r>
            <w:r>
              <w:rPr>
                <w:rFonts w:ascii="宋体" w:hAnsi="宋体" w:cs="宋体" w:eastAsia="宋体" w:hint="default"/>
                <w:sz w:val="18"/>
                <w:szCs w:val="18"/>
              </w:rPr>
              <w:t>公</w:t>
            </w:r>
          </w:p>
        </w:tc>
        <w:tc>
          <w:tcPr>
            <w:tcW w:w="1108" w:type="dxa"/>
            <w:tcBorders>
              <w:top w:val="nil" w:sz="6" w:space="0" w:color="auto"/>
              <w:left w:val="single" w:sz="4" w:space="0" w:color="000000"/>
              <w:bottom w:val="nil" w:sz="6" w:space="0" w:color="auto"/>
              <w:right w:val="single" w:sz="4" w:space="0" w:color="000000"/>
            </w:tcBorders>
          </w:tcPr>
          <w:p>
            <w:pPr/>
          </w:p>
        </w:tc>
      </w:tr>
      <w:tr>
        <w:trPr>
          <w:trHeight w:val="1873"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300" w:lineRule="auto" w:before="1"/>
              <w:ind w:left="23" w:right="89"/>
              <w:jc w:val="both"/>
              <w:rPr>
                <w:rFonts w:ascii="宋体" w:hAnsi="宋体" w:cs="宋体" w:eastAsia="宋体" w:hint="default"/>
                <w:sz w:val="18"/>
                <w:szCs w:val="18"/>
              </w:rPr>
            </w:pPr>
            <w:r>
              <w:rPr>
                <w:rFonts w:ascii="宋体" w:hAnsi="宋体" w:cs="宋体" w:eastAsia="宋体" w:hint="default"/>
                <w:sz w:val="18"/>
                <w:szCs w:val="18"/>
              </w:rPr>
              <w:t>茅庆江</w:t>
            </w:r>
            <w:r>
              <w:rPr>
                <w:rFonts w:ascii="Times New Roman" w:hAnsi="Times New Roman" w:cs="Times New Roman" w:eastAsia="Times New Roman" w:hint="default"/>
                <w:sz w:val="18"/>
                <w:szCs w:val="18"/>
              </w:rPr>
              <w:t>;</w:t>
            </w:r>
            <w:r>
              <w:rPr>
                <w:rFonts w:ascii="宋体" w:hAnsi="宋体" w:cs="宋体" w:eastAsia="宋体" w:hint="default"/>
                <w:sz w:val="18"/>
                <w:szCs w:val="18"/>
              </w:rPr>
              <w:t>雷洪 文</w:t>
            </w:r>
            <w:r>
              <w:rPr>
                <w:rFonts w:ascii="Times New Roman" w:hAnsi="Times New Roman" w:cs="Times New Roman" w:eastAsia="Times New Roman" w:hint="default"/>
                <w:sz w:val="18"/>
                <w:szCs w:val="18"/>
              </w:rPr>
              <w:t>;</w:t>
            </w:r>
            <w:r>
              <w:rPr>
                <w:rFonts w:ascii="宋体" w:hAnsi="宋体" w:cs="宋体" w:eastAsia="宋体" w:hint="default"/>
                <w:sz w:val="18"/>
                <w:szCs w:val="18"/>
              </w:rPr>
              <w:t>张勇</w:t>
            </w:r>
            <w:r>
              <w:rPr>
                <w:rFonts w:ascii="Times New Roman" w:hAnsi="Times New Roman" w:cs="Times New Roman" w:eastAsia="Times New Roman" w:hint="default"/>
                <w:sz w:val="18"/>
                <w:szCs w:val="18"/>
              </w:rPr>
              <w:t>;</w:t>
            </w:r>
            <w:r>
              <w:rPr>
                <w:rFonts w:ascii="宋体" w:hAnsi="宋体" w:cs="宋体" w:eastAsia="宋体" w:hint="default"/>
                <w:sz w:val="18"/>
                <w:szCs w:val="18"/>
              </w:rPr>
              <w:t>秦家 银</w:t>
            </w:r>
            <w:r>
              <w:rPr>
                <w:rFonts w:ascii="Times New Roman" w:hAnsi="Times New Roman" w:cs="Times New Roman" w:eastAsia="Times New Roman" w:hint="default"/>
                <w:sz w:val="18"/>
                <w:szCs w:val="18"/>
              </w:rPr>
              <w:t>;</w:t>
            </w:r>
            <w:r>
              <w:rPr>
                <w:rFonts w:ascii="宋体" w:hAnsi="宋体" w:cs="宋体" w:eastAsia="宋体" w:hint="default"/>
                <w:sz w:val="18"/>
                <w:szCs w:val="18"/>
              </w:rPr>
              <w:t>王朝曦</w:t>
            </w:r>
            <w:r>
              <w:rPr>
                <w:rFonts w:ascii="Times New Roman" w:hAnsi="Times New Roman" w:cs="Times New Roman" w:eastAsia="Times New Roman" w:hint="default"/>
                <w:sz w:val="18"/>
                <w:szCs w:val="18"/>
              </w:rPr>
              <w:t>;</w:t>
            </w:r>
            <w:r>
              <w:rPr>
                <w:rFonts w:ascii="宋体" w:hAnsi="宋体" w:cs="宋体" w:eastAsia="宋体" w:hint="default"/>
                <w:sz w:val="18"/>
                <w:szCs w:val="18"/>
              </w:rPr>
              <w:t>陈 翩</w:t>
            </w:r>
            <w:r>
              <w:rPr>
                <w:rFonts w:ascii="Times New Roman" w:hAnsi="Times New Roman" w:cs="Times New Roman" w:eastAsia="Times New Roman" w:hint="default"/>
                <w:sz w:val="18"/>
                <w:szCs w:val="18"/>
              </w:rPr>
              <w:t>;</w:t>
            </w:r>
            <w:r>
              <w:rPr>
                <w:rFonts w:ascii="宋体" w:hAnsi="宋体" w:cs="宋体" w:eastAsia="宋体" w:hint="default"/>
                <w:sz w:val="18"/>
                <w:szCs w:val="18"/>
              </w:rPr>
              <w:t>劳仲秀</w:t>
            </w:r>
            <w:r>
              <w:rPr>
                <w:rFonts w:ascii="Times New Roman" w:hAnsi="Times New Roman" w:cs="Times New Roman" w:eastAsia="Times New Roman" w:hint="default"/>
                <w:sz w:val="18"/>
                <w:szCs w:val="18"/>
              </w:rPr>
              <w:t>;</w:t>
            </w:r>
            <w:r>
              <w:rPr>
                <w:rFonts w:ascii="宋体" w:hAnsi="宋体" w:cs="宋体" w:eastAsia="宋体" w:hint="default"/>
                <w:sz w:val="18"/>
                <w:szCs w:val="18"/>
              </w:rPr>
              <w:t>龙 中胜</w:t>
            </w:r>
            <w:r>
              <w:rPr>
                <w:rFonts w:ascii="Times New Roman" w:hAnsi="Times New Roman" w:cs="Times New Roman" w:eastAsia="Times New Roman" w:hint="default"/>
                <w:sz w:val="18"/>
                <w:szCs w:val="18"/>
              </w:rPr>
              <w:t>;</w:t>
            </w:r>
            <w:r>
              <w:rPr>
                <w:rFonts w:ascii="宋体" w:hAnsi="宋体" w:cs="宋体" w:eastAsia="宋体" w:hint="default"/>
                <w:sz w:val="18"/>
                <w:szCs w:val="18"/>
              </w:rPr>
              <w:t>茅屏萍</w:t>
            </w:r>
            <w:r>
              <w:rPr>
                <w:rFonts w:ascii="Times New Roman" w:hAnsi="Times New Roman" w:cs="Times New Roman" w:eastAsia="Times New Roman" w:hint="default"/>
                <w:sz w:val="18"/>
                <w:szCs w:val="18"/>
              </w:rPr>
              <w:t>; </w:t>
            </w:r>
            <w:r>
              <w:rPr>
                <w:rFonts w:ascii="宋体" w:hAnsi="宋体" w:cs="宋体" w:eastAsia="宋体" w:hint="default"/>
                <w:sz w:val="18"/>
                <w:szCs w:val="18"/>
              </w:rPr>
              <w:t>徐彪</w:t>
            </w:r>
            <w:r>
              <w:rPr>
                <w:rFonts w:ascii="Times New Roman" w:hAnsi="Times New Roman" w:cs="Times New Roman" w:eastAsia="Times New Roman" w:hint="default"/>
                <w:sz w:val="18"/>
                <w:szCs w:val="18"/>
              </w:rPr>
              <w:t>;</w:t>
            </w:r>
            <w:r>
              <w:rPr>
                <w:rFonts w:ascii="宋体" w:hAnsi="宋体" w:cs="宋体" w:eastAsia="宋体" w:hint="default"/>
                <w:sz w:val="18"/>
                <w:szCs w:val="18"/>
              </w:rPr>
              <w:t>袁小康</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314" w:lineRule="auto" w:before="20"/>
              <w:ind w:left="22" w:right="12"/>
              <w:jc w:val="left"/>
              <w:rPr>
                <w:rFonts w:ascii="宋体" w:hAnsi="宋体" w:cs="宋体" w:eastAsia="宋体" w:hint="default"/>
                <w:sz w:val="18"/>
                <w:szCs w:val="18"/>
              </w:rPr>
            </w:pPr>
            <w:r>
              <w:rPr>
                <w:rFonts w:ascii="宋体" w:hAnsi="宋体" w:cs="宋体" w:eastAsia="宋体" w:hint="default"/>
                <w:sz w:val="18"/>
                <w:szCs w:val="18"/>
              </w:rPr>
              <w:t>不采用其他 方式损害浩 云科技利益。 </w:t>
            </w:r>
            <w:r>
              <w:rPr>
                <w:rFonts w:ascii="Times New Roman" w:hAnsi="Times New Roman" w:cs="Times New Roman" w:eastAsia="Times New Roman" w:hint="default"/>
                <w:sz w:val="18"/>
                <w:szCs w:val="18"/>
              </w:rPr>
              <w:t>2</w:t>
            </w:r>
            <w:r>
              <w:rPr>
                <w:rFonts w:ascii="宋体" w:hAnsi="宋体" w:cs="宋体" w:eastAsia="宋体" w:hint="default"/>
                <w:sz w:val="18"/>
                <w:szCs w:val="18"/>
              </w:rPr>
              <w:t>、对个人的 职务消费行 为进行约束。</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312" w:lineRule="auto" w:before="1"/>
              <w:ind w:left="22" w:right="143"/>
              <w:jc w:val="both"/>
              <w:rPr>
                <w:rFonts w:ascii="宋体" w:hAnsi="宋体" w:cs="宋体" w:eastAsia="宋体" w:hint="default"/>
                <w:sz w:val="18"/>
                <w:szCs w:val="18"/>
              </w:rPr>
            </w:pPr>
            <w:r>
              <w:rPr>
                <w:rFonts w:ascii="宋体" w:hAnsi="宋体" w:cs="宋体" w:eastAsia="宋体" w:hint="default"/>
                <w:sz w:val="18"/>
                <w:szCs w:val="18"/>
              </w:rPr>
              <w:t>司应对</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年度非公开 发行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股股 票摊薄即期 回报采取的 填补措施实</w:t>
            </w:r>
          </w:p>
        </w:tc>
        <w:tc>
          <w:tcPr>
            <w:tcW w:w="1108" w:type="dxa"/>
            <w:tcBorders>
              <w:top w:val="nil" w:sz="6" w:space="0" w:color="auto"/>
              <w:left w:val="single" w:sz="4" w:space="0" w:color="000000"/>
              <w:bottom w:val="nil" w:sz="6" w:space="0" w:color="auto"/>
              <w:right w:val="single" w:sz="4" w:space="0" w:color="000000"/>
            </w:tcBorders>
          </w:tcPr>
          <w:p>
            <w:pPr>
              <w:pStyle w:val="TableParagraph"/>
              <w:spacing w:line="319" w:lineRule="auto" w:before="157"/>
              <w:ind w:left="22" w:right="-5"/>
              <w:jc w:val="left"/>
              <w:rPr>
                <w:rFonts w:ascii="宋体" w:hAnsi="宋体" w:cs="宋体" w:eastAsia="宋体" w:hint="default"/>
                <w:sz w:val="18"/>
                <w:szCs w:val="18"/>
              </w:rPr>
            </w:pPr>
            <w:r>
              <w:rPr>
                <w:rFonts w:ascii="宋体" w:hAnsi="宋体" w:cs="宋体" w:eastAsia="宋体" w:hint="default"/>
                <w:spacing w:val="-5"/>
                <w:sz w:val="18"/>
                <w:szCs w:val="18"/>
              </w:rPr>
              <w:t>报告期内，承</w:t>
            </w:r>
            <w:r>
              <w:rPr>
                <w:rFonts w:ascii="宋体" w:hAnsi="宋体" w:cs="宋体" w:eastAsia="宋体" w:hint="default"/>
                <w:sz w:val="18"/>
                <w:szCs w:val="18"/>
              </w:rPr>
              <w:t> 诺人严格遵 </w:t>
            </w:r>
            <w:r>
              <w:rPr>
                <w:rFonts w:ascii="宋体" w:hAnsi="宋体" w:cs="宋体" w:eastAsia="宋体" w:hint="default"/>
                <w:spacing w:val="-5"/>
                <w:sz w:val="18"/>
                <w:szCs w:val="18"/>
              </w:rPr>
              <w:t>守承诺，未发</w:t>
            </w:r>
            <w:r>
              <w:rPr>
                <w:rFonts w:ascii="宋体" w:hAnsi="宋体" w:cs="宋体" w:eastAsia="宋体" w:hint="default"/>
                <w:sz w:val="18"/>
                <w:szCs w:val="18"/>
              </w:rPr>
              <w:t> 现存在违反 承诺的情况。</w:t>
            </w:r>
          </w:p>
        </w:tc>
      </w:tr>
      <w:tr>
        <w:trPr>
          <w:trHeight w:val="326"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、不动用浩</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2" w:right="0"/>
              <w:jc w:val="left"/>
              <w:rPr>
                <w:rFonts w:ascii="宋体" w:hAnsi="宋体" w:cs="宋体" w:eastAsia="宋体" w:hint="default"/>
                <w:sz w:val="18"/>
                <w:szCs w:val="18"/>
              </w:rPr>
            </w:pPr>
            <w:r>
              <w:rPr>
                <w:rFonts w:ascii="宋体" w:hAnsi="宋体" w:cs="宋体" w:eastAsia="宋体" w:hint="default"/>
                <w:sz w:val="18"/>
                <w:szCs w:val="18"/>
              </w:rPr>
              <w:t>施完毕</w:t>
            </w:r>
          </w:p>
        </w:tc>
        <w:tc>
          <w:tcPr>
            <w:tcW w:w="1108"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云科技资产</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从事与履行</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职责无关的</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投资、消费活</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动。</w:t>
            </w:r>
            <w:r>
              <w:rPr>
                <w:rFonts w:ascii="Times New Roman" w:hAnsi="Times New Roman" w:cs="Times New Roman" w:eastAsia="Times New Roman" w:hint="default"/>
                <w:sz w:val="18"/>
                <w:szCs w:val="18"/>
              </w:rPr>
              <w:t>4</w:t>
            </w:r>
            <w:r>
              <w:rPr>
                <w:rFonts w:ascii="宋体" w:hAnsi="宋体" w:cs="宋体" w:eastAsia="宋体" w:hint="default"/>
                <w:sz w:val="18"/>
                <w:szCs w:val="18"/>
              </w:rPr>
              <w:t>、由董</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事会或薪酬</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委员会制订</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的薪酬制度</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与浩云科技</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填补回报措</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施的执行情</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况相挂钩。</w:t>
            </w:r>
            <w:r>
              <w:rPr>
                <w:rFonts w:ascii="Times New Roman" w:hAnsi="Times New Roman" w:cs="Times New Roman" w:eastAsia="Times New Roman" w:hint="default"/>
                <w:sz w:val="18"/>
                <w:szCs w:val="18"/>
              </w:rPr>
              <w:t>5</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若有新的股</w:t>
            </w:r>
          </w:p>
        </w:tc>
        <w:tc>
          <w:tcPr>
            <w:tcW w:w="1126" w:type="dxa"/>
            <w:tcBorders>
              <w:top w:val="nil" w:sz="6" w:space="0" w:color="auto"/>
              <w:left w:val="single" w:sz="4" w:space="0" w:color="000000"/>
              <w:bottom w:val="single" w:sz="4" w:space="0" w:color="000000"/>
              <w:right w:val="single" w:sz="4" w:space="0" w:color="000000"/>
            </w:tcBorders>
          </w:tcPr>
          <w:p>
            <w:pPr/>
          </w:p>
        </w:tc>
        <w:tc>
          <w:tcPr>
            <w:tcW w:w="1121" w:type="dxa"/>
            <w:tcBorders>
              <w:top w:val="nil" w:sz="6" w:space="0" w:color="auto"/>
              <w:left w:val="single" w:sz="4" w:space="0" w:color="000000"/>
              <w:bottom w:val="single" w:sz="4" w:space="0" w:color="000000"/>
              <w:right w:val="single" w:sz="4" w:space="0" w:color="000000"/>
            </w:tcBorders>
          </w:tcPr>
          <w:p>
            <w:pPr/>
          </w:p>
        </w:tc>
        <w:tc>
          <w:tcPr>
            <w:tcW w:w="1108"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87" w:footer="640" w:top="1100" w:bottom="840" w:left="0" w:right="0"/>
        </w:sectPr>
      </w:pPr>
    </w:p>
    <w:p>
      <w:pPr>
        <w:spacing w:line="240" w:lineRule="auto" w:before="4"/>
        <w:rPr>
          <w:rFonts w:ascii="Times New Roman" w:hAnsi="Times New Roman" w:cs="Times New Roman" w:eastAsia="Times New Roman" w:hint="default"/>
          <w:sz w:val="3"/>
          <w:szCs w:val="3"/>
        </w:rPr>
      </w:pPr>
    </w:p>
    <w:p>
      <w:pPr>
        <w:spacing w:line="20" w:lineRule="exact"/>
        <w:ind w:left="1096"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10"/>
        <w:rPr>
          <w:rFonts w:ascii="Times New Roman" w:hAnsi="Times New Roman" w:cs="Times New Roman" w:eastAsia="Times New Roman" w:hint="default"/>
          <w:sz w:val="23"/>
          <w:szCs w:val="23"/>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10"/>
      </w:tblGrid>
      <w:tr>
        <w:trPr>
          <w:trHeight w:val="7851"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12"/>
              <w:jc w:val="left"/>
              <w:rPr>
                <w:rFonts w:ascii="宋体" w:hAnsi="宋体" w:cs="宋体" w:eastAsia="宋体" w:hint="default"/>
                <w:sz w:val="18"/>
                <w:szCs w:val="18"/>
              </w:rPr>
            </w:pPr>
            <w:r>
              <w:rPr>
                <w:rFonts w:ascii="宋体" w:hAnsi="宋体" w:cs="宋体" w:eastAsia="宋体" w:hint="default"/>
                <w:sz w:val="18"/>
                <w:szCs w:val="18"/>
              </w:rPr>
              <w:t>权激励计划， 则新的股权 激励计划的 行权条件与 浩云科技填 补回报措施 的执行情况 相挂钩。</w:t>
            </w:r>
            <w:r>
              <w:rPr>
                <w:rFonts w:ascii="Times New Roman" w:hAnsi="Times New Roman" w:cs="Times New Roman" w:eastAsia="Times New Roman" w:hint="default"/>
                <w:sz w:val="18"/>
                <w:szCs w:val="18"/>
              </w:rPr>
              <w:t>6</w:t>
            </w:r>
            <w:r>
              <w:rPr>
                <w:rFonts w:ascii="宋体" w:hAnsi="宋体" w:cs="宋体" w:eastAsia="宋体" w:hint="default"/>
                <w:sz w:val="18"/>
                <w:szCs w:val="18"/>
              </w:rPr>
              <w:t>、 若本人违背 上述承诺致 使摊薄即期 回报的填补 措施无法得 到有效落实， 从而损害了 浩云科技和 中小投资者 的合法权益， 浩云科技和 中小投资者 有权采取一 切合法手段 向本人就其 遭受的损失 进行追偿。</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r>
      <w:tr>
        <w:trPr>
          <w:trHeight w:val="60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314" w:lineRule="auto"/>
              <w:ind w:left="23" w:right="141"/>
              <w:jc w:val="both"/>
              <w:rPr>
                <w:rFonts w:ascii="宋体" w:hAnsi="宋体" w:cs="宋体" w:eastAsia="宋体" w:hint="default"/>
                <w:sz w:val="18"/>
                <w:szCs w:val="18"/>
              </w:rPr>
            </w:pPr>
            <w:r>
              <w:rPr>
                <w:rFonts w:ascii="宋体" w:hAnsi="宋体" w:cs="宋体" w:eastAsia="宋体" w:hint="default"/>
                <w:sz w:val="18"/>
                <w:szCs w:val="18"/>
              </w:rPr>
              <w:t>广州市碧天 投资咨询有 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广州 市常森投资 咨询有限责 任公司</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316" w:lineRule="auto"/>
              <w:ind w:left="22" w:right="191"/>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
              <w:jc w:val="left"/>
              <w:rPr>
                <w:rFonts w:ascii="宋体" w:hAnsi="宋体" w:cs="宋体" w:eastAsia="宋体" w:hint="default"/>
                <w:sz w:val="18"/>
                <w:szCs w:val="18"/>
              </w:rPr>
            </w:pPr>
            <w:r>
              <w:rPr>
                <w:rFonts w:ascii="宋体" w:hAnsi="宋体" w:cs="宋体" w:eastAsia="宋体" w:hint="default"/>
                <w:sz w:val="18"/>
                <w:szCs w:val="18"/>
              </w:rPr>
              <w:t>公司的法人 股东常森投 资、碧天投资 承诺：自公司 首次公开发 行（</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股）股 票并在创业 板上市之日 起三十六个 月内，本公司 不转让或者 委托他人管 理首次公开 发行前本公 司已持有的 公司的股份， 也不由公司 回购该部分 股份。</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2015.04.24-20</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18.04.24</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22" w:right="-3"/>
              <w:jc w:val="left"/>
              <w:rPr>
                <w:rFonts w:ascii="宋体" w:hAnsi="宋体" w:cs="宋体" w:eastAsia="宋体" w:hint="default"/>
                <w:sz w:val="18"/>
                <w:szCs w:val="18"/>
              </w:rPr>
            </w:pPr>
            <w:r>
              <w:rPr>
                <w:rFonts w:ascii="宋体" w:hAnsi="宋体" w:cs="宋体" w:eastAsia="宋体" w:hint="default"/>
                <w:spacing w:val="-5"/>
                <w:sz w:val="18"/>
                <w:szCs w:val="18"/>
              </w:rPr>
              <w:t>报告期内，承</w:t>
            </w:r>
            <w:r>
              <w:rPr>
                <w:rFonts w:ascii="宋体" w:hAnsi="宋体" w:cs="宋体" w:eastAsia="宋体" w:hint="default"/>
                <w:sz w:val="18"/>
                <w:szCs w:val="18"/>
              </w:rPr>
              <w:t> 诺人严格遵 </w:t>
            </w:r>
            <w:r>
              <w:rPr>
                <w:rFonts w:ascii="宋体" w:hAnsi="宋体" w:cs="宋体" w:eastAsia="宋体" w:hint="default"/>
                <w:spacing w:val="-5"/>
                <w:sz w:val="18"/>
                <w:szCs w:val="18"/>
              </w:rPr>
              <w:t>守承诺，未发</w:t>
            </w:r>
            <w:r>
              <w:rPr>
                <w:rFonts w:ascii="宋体" w:hAnsi="宋体" w:cs="宋体" w:eastAsia="宋体" w:hint="default"/>
                <w:sz w:val="18"/>
                <w:szCs w:val="18"/>
              </w:rPr>
              <w:t> 现存在违反 承诺的情况。</w:t>
            </w:r>
          </w:p>
        </w:tc>
      </w:tr>
    </w:tbl>
    <w:p>
      <w:pPr>
        <w:spacing w:after="0" w:line="316" w:lineRule="auto"/>
        <w:jc w:val="left"/>
        <w:rPr>
          <w:rFonts w:ascii="宋体" w:hAnsi="宋体" w:cs="宋体" w:eastAsia="宋体" w:hint="default"/>
          <w:sz w:val="18"/>
          <w:szCs w:val="18"/>
        </w:rPr>
        <w:sectPr>
          <w:pgSz w:w="11910" w:h="16840"/>
          <w:pgMar w:header="787" w:footer="640" w:top="1100" w:bottom="840" w:left="0" w:right="0"/>
        </w:sectPr>
      </w:pPr>
    </w:p>
    <w:p>
      <w:pPr>
        <w:spacing w:line="240" w:lineRule="auto" w:before="4"/>
        <w:rPr>
          <w:rFonts w:ascii="Times New Roman" w:hAnsi="Times New Roman" w:cs="Times New Roman" w:eastAsia="Times New Roman" w:hint="default"/>
          <w:sz w:val="3"/>
          <w:szCs w:val="3"/>
        </w:rPr>
      </w:pPr>
    </w:p>
    <w:p>
      <w:pPr>
        <w:spacing w:line="20" w:lineRule="exact"/>
        <w:ind w:left="1096"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10"/>
        <w:rPr>
          <w:rFonts w:ascii="Times New Roman" w:hAnsi="Times New Roman" w:cs="Times New Roman" w:eastAsia="Times New Roman" w:hint="default"/>
          <w:sz w:val="23"/>
          <w:szCs w:val="23"/>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10"/>
      </w:tblGrid>
      <w:tr>
        <w:trPr>
          <w:trHeight w:val="6954"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302" w:lineRule="auto"/>
              <w:ind w:left="23" w:right="141"/>
              <w:jc w:val="left"/>
              <w:rPr>
                <w:rFonts w:ascii="宋体" w:hAnsi="宋体" w:cs="宋体" w:eastAsia="宋体" w:hint="default"/>
                <w:sz w:val="18"/>
                <w:szCs w:val="18"/>
              </w:rPr>
            </w:pPr>
            <w:r>
              <w:rPr>
                <w:rFonts w:ascii="宋体" w:hAnsi="宋体" w:cs="宋体" w:eastAsia="宋体" w:hint="default"/>
                <w:sz w:val="18"/>
                <w:szCs w:val="18"/>
              </w:rPr>
              <w:t>茅屏萍</w:t>
            </w:r>
            <w:r>
              <w:rPr>
                <w:rFonts w:ascii="Times New Roman" w:hAnsi="Times New Roman" w:cs="Times New Roman" w:eastAsia="Times New Roman" w:hint="default"/>
                <w:sz w:val="18"/>
                <w:szCs w:val="18"/>
              </w:rPr>
              <w:t>;</w:t>
            </w:r>
            <w:r>
              <w:rPr>
                <w:rFonts w:ascii="宋体" w:hAnsi="宋体" w:cs="宋体" w:eastAsia="宋体" w:hint="default"/>
                <w:sz w:val="18"/>
                <w:szCs w:val="18"/>
              </w:rPr>
              <w:t>茅庆 江</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319" w:lineRule="auto"/>
              <w:ind w:left="22" w:right="191"/>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
              <w:jc w:val="left"/>
              <w:rPr>
                <w:rFonts w:ascii="宋体" w:hAnsi="宋体" w:cs="宋体" w:eastAsia="宋体" w:hint="default"/>
                <w:sz w:val="18"/>
                <w:szCs w:val="18"/>
              </w:rPr>
            </w:pPr>
            <w:r>
              <w:rPr>
                <w:rFonts w:ascii="宋体" w:hAnsi="宋体" w:cs="宋体" w:eastAsia="宋体" w:hint="default"/>
                <w:sz w:val="18"/>
                <w:szCs w:val="18"/>
              </w:rPr>
              <w:t>公司的控股 股东、实际控 制人茅庆江 及其姐姐茅 屏萍承诺：自 公司股票上 市之日起三 十六个月内， 本人不转让 或者委托他 人管理本人 持有（包括直 接或间接持 有）的公司公 开发行股票 前已发行的 股份，也不由 公司回购本 人持有的公 司公开发行 股票前已发 行的股份。</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7"/>
              <w:ind w:left="22" w:right="0"/>
              <w:jc w:val="left"/>
              <w:rPr>
                <w:rFonts w:ascii="Times New Roman" w:hAnsi="Times New Roman" w:cs="Times New Roman" w:eastAsia="Times New Roman" w:hint="default"/>
                <w:sz w:val="18"/>
                <w:szCs w:val="18"/>
              </w:rPr>
            </w:pPr>
            <w:r>
              <w:rPr>
                <w:rFonts w:ascii="Times New Roman"/>
                <w:sz w:val="18"/>
              </w:rPr>
              <w:t>2015.04.24-20</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18.04.24</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319" w:lineRule="auto"/>
              <w:ind w:left="22" w:right="-3"/>
              <w:jc w:val="left"/>
              <w:rPr>
                <w:rFonts w:ascii="宋体" w:hAnsi="宋体" w:cs="宋体" w:eastAsia="宋体" w:hint="default"/>
                <w:sz w:val="18"/>
                <w:szCs w:val="18"/>
              </w:rPr>
            </w:pPr>
            <w:r>
              <w:rPr>
                <w:rFonts w:ascii="宋体" w:hAnsi="宋体" w:cs="宋体" w:eastAsia="宋体" w:hint="default"/>
                <w:spacing w:val="-5"/>
                <w:sz w:val="18"/>
                <w:szCs w:val="18"/>
              </w:rPr>
              <w:t>报告期内，承</w:t>
            </w:r>
            <w:r>
              <w:rPr>
                <w:rFonts w:ascii="宋体" w:hAnsi="宋体" w:cs="宋体" w:eastAsia="宋体" w:hint="default"/>
                <w:sz w:val="18"/>
                <w:szCs w:val="18"/>
              </w:rPr>
              <w:t> 诺人严格遵 </w:t>
            </w:r>
            <w:r>
              <w:rPr>
                <w:rFonts w:ascii="宋体" w:hAnsi="宋体" w:cs="宋体" w:eastAsia="宋体" w:hint="default"/>
                <w:spacing w:val="-5"/>
                <w:sz w:val="18"/>
                <w:szCs w:val="18"/>
              </w:rPr>
              <w:t>守承诺，未发</w:t>
            </w:r>
            <w:r>
              <w:rPr>
                <w:rFonts w:ascii="宋体" w:hAnsi="宋体" w:cs="宋体" w:eastAsia="宋体" w:hint="default"/>
                <w:sz w:val="18"/>
                <w:szCs w:val="18"/>
              </w:rPr>
              <w:t> 现存在违反 承诺的情况。</w:t>
            </w:r>
          </w:p>
        </w:tc>
      </w:tr>
      <w:tr>
        <w:trPr>
          <w:trHeight w:val="6915"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300" w:lineRule="auto"/>
              <w:ind w:left="23" w:right="89"/>
              <w:jc w:val="both"/>
              <w:rPr>
                <w:rFonts w:ascii="宋体" w:hAnsi="宋体" w:cs="宋体" w:eastAsia="宋体" w:hint="default"/>
                <w:sz w:val="18"/>
                <w:szCs w:val="18"/>
              </w:rPr>
            </w:pPr>
            <w:r>
              <w:rPr>
                <w:rFonts w:ascii="宋体" w:hAnsi="宋体" w:cs="宋体" w:eastAsia="宋体" w:hint="default"/>
                <w:sz w:val="18"/>
                <w:szCs w:val="18"/>
              </w:rPr>
              <w:t>陈翩</w:t>
            </w:r>
            <w:r>
              <w:rPr>
                <w:rFonts w:ascii="Times New Roman" w:hAnsi="Times New Roman" w:cs="Times New Roman" w:eastAsia="Times New Roman" w:hint="default"/>
                <w:sz w:val="18"/>
                <w:szCs w:val="18"/>
              </w:rPr>
              <w:t>;</w:t>
            </w:r>
            <w:r>
              <w:rPr>
                <w:rFonts w:ascii="宋体" w:hAnsi="宋体" w:cs="宋体" w:eastAsia="宋体" w:hint="default"/>
                <w:sz w:val="18"/>
                <w:szCs w:val="18"/>
              </w:rPr>
              <w:t>段汉文</w:t>
            </w:r>
            <w:r>
              <w:rPr>
                <w:rFonts w:ascii="Times New Roman" w:hAnsi="Times New Roman" w:cs="Times New Roman" w:eastAsia="Times New Roman" w:hint="default"/>
                <w:sz w:val="18"/>
                <w:szCs w:val="18"/>
              </w:rPr>
              <w:t>; </w:t>
            </w:r>
            <w:r>
              <w:rPr>
                <w:rFonts w:ascii="宋体" w:hAnsi="宋体" w:cs="宋体" w:eastAsia="宋体" w:hint="default"/>
                <w:sz w:val="18"/>
                <w:szCs w:val="18"/>
              </w:rPr>
              <w:t>高传江</w:t>
            </w:r>
            <w:r>
              <w:rPr>
                <w:rFonts w:ascii="Times New Roman" w:hAnsi="Times New Roman" w:cs="Times New Roman" w:eastAsia="Times New Roman" w:hint="default"/>
                <w:sz w:val="18"/>
                <w:szCs w:val="18"/>
              </w:rPr>
              <w:t>;</w:t>
            </w:r>
            <w:r>
              <w:rPr>
                <w:rFonts w:ascii="宋体" w:hAnsi="宋体" w:cs="宋体" w:eastAsia="宋体" w:hint="default"/>
                <w:sz w:val="18"/>
                <w:szCs w:val="18"/>
              </w:rPr>
              <w:t>雷洪 文</w:t>
            </w:r>
            <w:r>
              <w:rPr>
                <w:rFonts w:ascii="Times New Roman" w:hAnsi="Times New Roman" w:cs="Times New Roman" w:eastAsia="Times New Roman" w:hint="default"/>
                <w:sz w:val="18"/>
                <w:szCs w:val="18"/>
              </w:rPr>
              <w:t>;</w:t>
            </w:r>
            <w:r>
              <w:rPr>
                <w:rFonts w:ascii="宋体" w:hAnsi="宋体" w:cs="宋体" w:eastAsia="宋体" w:hint="default"/>
                <w:sz w:val="18"/>
                <w:szCs w:val="18"/>
              </w:rPr>
              <w:t>龙罡</w:t>
            </w:r>
            <w:r>
              <w:rPr>
                <w:rFonts w:ascii="Times New Roman" w:hAnsi="Times New Roman" w:cs="Times New Roman" w:eastAsia="Times New Roman" w:hint="default"/>
                <w:sz w:val="18"/>
                <w:szCs w:val="18"/>
              </w:rPr>
              <w:t>;</w:t>
            </w:r>
            <w:r>
              <w:rPr>
                <w:rFonts w:ascii="宋体" w:hAnsi="宋体" w:cs="宋体" w:eastAsia="宋体" w:hint="default"/>
                <w:sz w:val="18"/>
                <w:szCs w:val="18"/>
              </w:rPr>
              <w:t>龙中 胜</w:t>
            </w:r>
            <w:r>
              <w:rPr>
                <w:rFonts w:ascii="Times New Roman" w:hAnsi="Times New Roman" w:cs="Times New Roman" w:eastAsia="Times New Roman" w:hint="default"/>
                <w:sz w:val="18"/>
                <w:szCs w:val="18"/>
              </w:rPr>
              <w:t>;</w:t>
            </w:r>
            <w:r>
              <w:rPr>
                <w:rFonts w:ascii="宋体" w:hAnsi="宋体" w:cs="宋体" w:eastAsia="宋体" w:hint="default"/>
                <w:sz w:val="18"/>
                <w:szCs w:val="18"/>
              </w:rPr>
              <w:t>茅屏萍</w:t>
            </w:r>
            <w:r>
              <w:rPr>
                <w:rFonts w:ascii="Times New Roman" w:hAnsi="Times New Roman" w:cs="Times New Roman" w:eastAsia="Times New Roman" w:hint="default"/>
                <w:sz w:val="18"/>
                <w:szCs w:val="18"/>
              </w:rPr>
              <w:t>;</w:t>
            </w:r>
            <w:r>
              <w:rPr>
                <w:rFonts w:ascii="宋体" w:hAnsi="宋体" w:cs="宋体" w:eastAsia="宋体" w:hint="default"/>
                <w:sz w:val="18"/>
                <w:szCs w:val="18"/>
              </w:rPr>
              <w:t>茅 庆江</w:t>
            </w:r>
            <w:r>
              <w:rPr>
                <w:rFonts w:ascii="Times New Roman" w:hAnsi="Times New Roman" w:cs="Times New Roman" w:eastAsia="Times New Roman" w:hint="default"/>
                <w:sz w:val="18"/>
                <w:szCs w:val="18"/>
              </w:rPr>
              <w:t>;</w:t>
            </w:r>
            <w:r>
              <w:rPr>
                <w:rFonts w:ascii="宋体" w:hAnsi="宋体" w:cs="宋体" w:eastAsia="宋体" w:hint="default"/>
                <w:sz w:val="18"/>
                <w:szCs w:val="18"/>
              </w:rPr>
              <w:t>徐彪</w:t>
            </w:r>
            <w:r>
              <w:rPr>
                <w:rFonts w:ascii="Times New Roman" w:hAnsi="Times New Roman" w:cs="Times New Roman" w:eastAsia="Times New Roman" w:hint="default"/>
                <w:sz w:val="18"/>
                <w:szCs w:val="18"/>
              </w:rPr>
              <w:t>;</w:t>
            </w:r>
            <w:r>
              <w:rPr>
                <w:rFonts w:ascii="宋体" w:hAnsi="宋体" w:cs="宋体" w:eastAsia="宋体" w:hint="default"/>
                <w:sz w:val="18"/>
                <w:szCs w:val="18"/>
              </w:rPr>
              <w:t>袁 小康</w:t>
            </w:r>
            <w:r>
              <w:rPr>
                <w:rFonts w:ascii="Times New Roman" w:hAnsi="Times New Roman" w:cs="Times New Roman" w:eastAsia="Times New Roman" w:hint="default"/>
                <w:sz w:val="18"/>
                <w:szCs w:val="18"/>
              </w:rPr>
              <w:t>;</w:t>
            </w:r>
            <w:r>
              <w:rPr>
                <w:rFonts w:ascii="宋体" w:hAnsi="宋体" w:cs="宋体" w:eastAsia="宋体" w:hint="default"/>
                <w:sz w:val="18"/>
                <w:szCs w:val="18"/>
              </w:rPr>
              <w:t>郑盛泰</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316" w:lineRule="auto"/>
              <w:ind w:left="22" w:right="191"/>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
              <w:jc w:val="left"/>
              <w:rPr>
                <w:rFonts w:ascii="宋体" w:hAnsi="宋体" w:cs="宋体" w:eastAsia="宋体" w:hint="default"/>
                <w:sz w:val="18"/>
                <w:szCs w:val="18"/>
              </w:rPr>
            </w:pPr>
            <w:r>
              <w:rPr>
                <w:rFonts w:ascii="宋体" w:hAnsi="宋体" w:cs="宋体" w:eastAsia="宋体" w:hint="default"/>
                <w:sz w:val="18"/>
                <w:szCs w:val="18"/>
              </w:rPr>
              <w:t>直接或间接 持有公司股 份的董事、监 事、高级管理 人员茅庆江、 雷洪文、袁小 康、徐彪、茅 屏萍、龙中 胜、段汉文、 龙罡、郑盛 泰、高传江、 陈翩承诺：本 人持有的公 司股份解禁 期满后，在本 人担任公司 董事</w:t>
            </w:r>
            <w:r>
              <w:rPr>
                <w:rFonts w:ascii="Times New Roman" w:hAnsi="Times New Roman" w:cs="Times New Roman" w:eastAsia="Times New Roman" w:hint="default"/>
                <w:sz w:val="18"/>
                <w:szCs w:val="18"/>
              </w:rPr>
              <w:t>/</w:t>
            </w:r>
            <w:r>
              <w:rPr>
                <w:rFonts w:ascii="宋体" w:hAnsi="宋体" w:cs="宋体" w:eastAsia="宋体" w:hint="default"/>
                <w:sz w:val="18"/>
                <w:szCs w:val="18"/>
              </w:rPr>
              <w:t>监事</w:t>
            </w:r>
            <w:r>
              <w:rPr>
                <w:rFonts w:ascii="Times New Roman" w:hAnsi="Times New Roman" w:cs="Times New Roman" w:eastAsia="Times New Roman" w:hint="default"/>
                <w:sz w:val="18"/>
                <w:szCs w:val="18"/>
              </w:rPr>
              <w:t>/</w:t>
            </w:r>
            <w:r>
              <w:rPr>
                <w:rFonts w:ascii="宋体" w:hAnsi="宋体" w:cs="宋体" w:eastAsia="宋体" w:hint="default"/>
                <w:sz w:val="18"/>
                <w:szCs w:val="18"/>
              </w:rPr>
              <w:t>高 级管理人员 期间，本人每 年转让持有 的公司股份 不超过本人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316" w:lineRule="auto"/>
              <w:ind w:left="22" w:right="-3"/>
              <w:jc w:val="left"/>
              <w:rPr>
                <w:rFonts w:ascii="宋体" w:hAnsi="宋体" w:cs="宋体" w:eastAsia="宋体" w:hint="default"/>
                <w:sz w:val="18"/>
                <w:szCs w:val="18"/>
              </w:rPr>
            </w:pPr>
            <w:r>
              <w:rPr>
                <w:rFonts w:ascii="宋体" w:hAnsi="宋体" w:cs="宋体" w:eastAsia="宋体" w:hint="default"/>
                <w:spacing w:val="-5"/>
                <w:sz w:val="18"/>
                <w:szCs w:val="18"/>
              </w:rPr>
              <w:t>报告期内，承</w:t>
            </w:r>
            <w:r>
              <w:rPr>
                <w:rFonts w:ascii="宋体" w:hAnsi="宋体" w:cs="宋体" w:eastAsia="宋体" w:hint="default"/>
                <w:sz w:val="18"/>
                <w:szCs w:val="18"/>
              </w:rPr>
              <w:t> 诺人严格遵 </w:t>
            </w:r>
            <w:r>
              <w:rPr>
                <w:rFonts w:ascii="宋体" w:hAnsi="宋体" w:cs="宋体" w:eastAsia="宋体" w:hint="default"/>
                <w:spacing w:val="-5"/>
                <w:sz w:val="18"/>
                <w:szCs w:val="18"/>
              </w:rPr>
              <w:t>守承诺，未发</w:t>
            </w:r>
            <w:r>
              <w:rPr>
                <w:rFonts w:ascii="宋体" w:hAnsi="宋体" w:cs="宋体" w:eastAsia="宋体" w:hint="default"/>
                <w:sz w:val="18"/>
                <w:szCs w:val="18"/>
              </w:rPr>
              <w:t> 现存在违反 承诺的情况。</w:t>
            </w:r>
          </w:p>
        </w:tc>
      </w:tr>
    </w:tbl>
    <w:p>
      <w:pPr>
        <w:spacing w:after="0" w:line="316" w:lineRule="auto"/>
        <w:jc w:val="left"/>
        <w:rPr>
          <w:rFonts w:ascii="宋体" w:hAnsi="宋体" w:cs="宋体" w:eastAsia="宋体" w:hint="default"/>
          <w:sz w:val="18"/>
          <w:szCs w:val="18"/>
        </w:rPr>
        <w:sectPr>
          <w:pgSz w:w="11910" w:h="16840"/>
          <w:pgMar w:header="787" w:footer="640" w:top="1100" w:bottom="840" w:left="0" w:right="0"/>
        </w:sectPr>
      </w:pPr>
    </w:p>
    <w:p>
      <w:pPr>
        <w:spacing w:line="240" w:lineRule="auto" w:before="4"/>
        <w:rPr>
          <w:rFonts w:ascii="Times New Roman" w:hAnsi="Times New Roman" w:cs="Times New Roman" w:eastAsia="Times New Roman" w:hint="default"/>
          <w:sz w:val="3"/>
          <w:szCs w:val="3"/>
        </w:rPr>
      </w:pPr>
      <w:r>
        <w:rPr/>
        <w:pict>
          <v:group style="position:absolute;margin-left:367.660004pt;margin-top:465.039978pt;width:55.85pt;height:149.25pt;mso-position-horizontal-relative:page;mso-position-vertical-relative:page;z-index:-1171024" coordorigin="7353,9301" coordsize="1117,2985">
            <v:group style="position:absolute;left:7353;top:9301;width:1117;height:2632" coordorigin="7353,9301" coordsize="1117,2632">
              <v:shape style="position:absolute;left:7353;top:9301;width:1117;height:2632" coordorigin="7353,9301" coordsize="1117,2632" path="m7353,11932l8470,11932,8470,9301,7353,9301,7353,11932xe" filled="true" fillcolor="#ffffff" stroked="false">
                <v:path arrowok="t"/>
                <v:fill type="solid"/>
              </v:shape>
            </v:group>
            <v:group style="position:absolute;left:7376;top:11932;width:1070;height:353" coordorigin="7376,11932" coordsize="1070,353">
              <v:shape style="position:absolute;left:7376;top:11932;width:1070;height:353" coordorigin="7376,11932" coordsize="1070,353" path="m7376,12285l8446,12285,8446,11932,7376,11932,7376,12285xe" filled="true" fillcolor="#ffffff" stroked="false">
                <v:path arrowok="t"/>
                <v:fill type="solid"/>
              </v:shape>
            </v:group>
            <w10:wrap type="none"/>
          </v:group>
        </w:pict>
      </w:r>
    </w:p>
    <w:p>
      <w:pPr>
        <w:spacing w:line="20" w:lineRule="exact"/>
        <w:ind w:left="1096"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10"/>
        <w:rPr>
          <w:rFonts w:ascii="Times New Roman" w:hAnsi="Times New Roman" w:cs="Times New Roman" w:eastAsia="Times New Roman" w:hint="default"/>
          <w:sz w:val="23"/>
          <w:szCs w:val="23"/>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持有公司股</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份总数的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宋体" w:hAnsi="宋体" w:cs="宋体" w:eastAsia="宋体" w:hint="default"/>
                <w:sz w:val="18"/>
                <w:szCs w:val="18"/>
              </w:rPr>
              <w:t>。本人如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在公司首次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公开发行股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票上市之日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起六个月内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申报离职，自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申报离职之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日起十八个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月内不转让</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本人持有的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公司股份；本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人如在公司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首次公开发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行股票上市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之日起第七</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个月至第十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二个月之间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申报离职，自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申报离职之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日起十二个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月内不转让</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3"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本人持有的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5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公司股份。</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r>
        <w:trPr>
          <w:trHeight w:val="362" w:hRule="exact"/>
        </w:trPr>
        <w:tc>
          <w:tcPr>
            <w:tcW w:w="2836" w:type="dxa"/>
            <w:vMerge/>
            <w:tcBorders>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nil" w:sz="6" w:space="0" w:color="auto"/>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持有公司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p>
        </w:tc>
        <w:tc>
          <w:tcPr>
            <w:tcW w:w="1126" w:type="dxa"/>
            <w:tcBorders>
              <w:top w:val="single" w:sz="4" w:space="0" w:color="000000"/>
              <w:left w:val="single" w:sz="4" w:space="0" w:color="000000"/>
              <w:bottom w:val="nil" w:sz="6" w:space="0" w:color="auto"/>
              <w:right w:val="single" w:sz="4" w:space="0" w:color="000000"/>
            </w:tcBorders>
          </w:tcPr>
          <w:p>
            <w:pPr/>
          </w:p>
        </w:tc>
        <w:tc>
          <w:tcPr>
            <w:tcW w:w="1121" w:type="dxa"/>
            <w:tcBorders>
              <w:top w:val="single" w:sz="4" w:space="0" w:color="000000"/>
              <w:left w:val="single" w:sz="4" w:space="0" w:color="000000"/>
              <w:bottom w:val="nil" w:sz="6" w:space="0" w:color="auto"/>
              <w:right w:val="single" w:sz="4" w:space="0" w:color="000000"/>
            </w:tcBorders>
          </w:tcPr>
          <w:p>
            <w:pPr/>
          </w:p>
        </w:tc>
        <w:tc>
          <w:tcPr>
            <w:tcW w:w="1108" w:type="dxa"/>
            <w:tcBorders>
              <w:top w:val="single" w:sz="4" w:space="0" w:color="000000"/>
              <w:left w:val="single" w:sz="4" w:space="0" w:color="000000"/>
              <w:bottom w:val="nil" w:sz="6" w:space="0" w:color="auto"/>
              <w:right w:val="single" w:sz="4" w:space="0" w:color="000000"/>
            </w:tcBorders>
          </w:tcPr>
          <w:p>
            <w:pPr/>
          </w:p>
        </w:tc>
      </w:tr>
      <w:tr>
        <w:trPr>
          <w:trHeight w:val="306"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以上股份的</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股东雷洪文、</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袁小康、徐</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彪、张忠民承</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诺</w:t>
            </w:r>
            <w:r>
              <w:rPr>
                <w:rFonts w:ascii="宋体" w:hAnsi="宋体" w:cs="宋体" w:eastAsia="宋体" w:hint="default"/>
                <w:spacing w:val="-95"/>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pacing w:val="-5"/>
                <w:sz w:val="18"/>
                <w:szCs w:val="18"/>
              </w:rPr>
              <w:t>）</w:t>
            </w:r>
            <w:r>
              <w:rPr>
                <w:rFonts w:ascii="宋体" w:hAnsi="宋体" w:cs="宋体" w:eastAsia="宋体" w:hint="default"/>
                <w:sz w:val="18"/>
                <w:szCs w:val="18"/>
              </w:rPr>
              <w:t>持有</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297"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股份的意向</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未来在不违</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2" w:right="0"/>
              <w:jc w:val="left"/>
              <w:rPr>
                <w:rFonts w:ascii="宋体" w:hAnsi="宋体" w:cs="宋体" w:eastAsia="宋体" w:hint="default"/>
                <w:sz w:val="18"/>
                <w:szCs w:val="18"/>
              </w:rPr>
            </w:pPr>
            <w:r>
              <w:rPr>
                <w:rFonts w:ascii="宋体" w:hAnsi="宋体" w:cs="宋体" w:eastAsia="宋体" w:hint="default"/>
                <w:spacing w:val="-5"/>
                <w:sz w:val="18"/>
                <w:szCs w:val="18"/>
              </w:rPr>
              <w:t>报告期内，承</w:t>
            </w:r>
          </w:p>
        </w:tc>
      </w:tr>
      <w:tr>
        <w:trPr>
          <w:trHeight w:val="937"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300" w:lineRule="auto" w:before="1"/>
              <w:ind w:left="23" w:right="89"/>
              <w:jc w:val="both"/>
              <w:rPr>
                <w:rFonts w:ascii="宋体" w:hAnsi="宋体" w:cs="宋体" w:eastAsia="宋体" w:hint="default"/>
                <w:sz w:val="18"/>
                <w:szCs w:val="18"/>
              </w:rPr>
            </w:pPr>
            <w:r>
              <w:rPr>
                <w:rFonts w:ascii="宋体" w:hAnsi="宋体" w:cs="宋体" w:eastAsia="宋体" w:hint="default"/>
                <w:sz w:val="18"/>
                <w:szCs w:val="18"/>
              </w:rPr>
              <w:t>雷洪文</w:t>
            </w:r>
            <w:r>
              <w:rPr>
                <w:rFonts w:ascii="Times New Roman" w:hAnsi="Times New Roman" w:cs="Times New Roman" w:eastAsia="Times New Roman" w:hint="default"/>
                <w:sz w:val="18"/>
                <w:szCs w:val="18"/>
              </w:rPr>
              <w:t>;</w:t>
            </w:r>
            <w:r>
              <w:rPr>
                <w:rFonts w:ascii="宋体" w:hAnsi="宋体" w:cs="宋体" w:eastAsia="宋体" w:hint="default"/>
                <w:sz w:val="18"/>
                <w:szCs w:val="18"/>
              </w:rPr>
              <w:t>徐彪</w:t>
            </w:r>
            <w:r>
              <w:rPr>
                <w:rFonts w:ascii="Times New Roman" w:hAnsi="Times New Roman" w:cs="Times New Roman" w:eastAsia="Times New Roman" w:hint="default"/>
                <w:sz w:val="18"/>
                <w:szCs w:val="18"/>
              </w:rPr>
              <w:t>; </w:t>
            </w:r>
            <w:r>
              <w:rPr>
                <w:rFonts w:ascii="宋体" w:hAnsi="宋体" w:cs="宋体" w:eastAsia="宋体" w:hint="default"/>
                <w:sz w:val="18"/>
                <w:szCs w:val="18"/>
              </w:rPr>
              <w:t>袁小康</w:t>
            </w:r>
            <w:r>
              <w:rPr>
                <w:rFonts w:ascii="Times New Roman" w:hAnsi="Times New Roman" w:cs="Times New Roman" w:eastAsia="Times New Roman" w:hint="default"/>
                <w:sz w:val="18"/>
                <w:szCs w:val="18"/>
              </w:rPr>
              <w:t>;</w:t>
            </w:r>
            <w:r>
              <w:rPr>
                <w:rFonts w:ascii="宋体" w:hAnsi="宋体" w:cs="宋体" w:eastAsia="宋体" w:hint="default"/>
                <w:sz w:val="18"/>
                <w:szCs w:val="18"/>
              </w:rPr>
              <w:t>张忠 民</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319" w:lineRule="auto" w:before="157"/>
              <w:ind w:left="22" w:right="191"/>
              <w:jc w:val="left"/>
              <w:rPr>
                <w:rFonts w:ascii="宋体" w:hAnsi="宋体" w:cs="宋体" w:eastAsia="宋体" w:hint="default"/>
                <w:sz w:val="18"/>
                <w:szCs w:val="18"/>
              </w:rPr>
            </w:pPr>
            <w:r>
              <w:rPr>
                <w:rFonts w:ascii="宋体" w:hAnsi="宋体" w:cs="宋体" w:eastAsia="宋体" w:hint="default"/>
                <w:sz w:val="18"/>
                <w:szCs w:val="18"/>
              </w:rPr>
              <w:t>股份减持承 诺</w:t>
            </w:r>
          </w:p>
        </w:tc>
        <w:tc>
          <w:tcPr>
            <w:tcW w:w="1127" w:type="dxa"/>
            <w:tcBorders>
              <w:top w:val="nil" w:sz="6" w:space="0" w:color="auto"/>
              <w:left w:val="single" w:sz="4" w:space="0" w:color="000000"/>
              <w:bottom w:val="nil" w:sz="6" w:space="0" w:color="auto"/>
              <w:right w:val="single" w:sz="13" w:space="0" w:color="FFFFFF"/>
            </w:tcBorders>
          </w:tcPr>
          <w:p>
            <w:pPr>
              <w:pStyle w:val="TableParagraph"/>
              <w:spacing w:line="316" w:lineRule="auto" w:before="20"/>
              <w:ind w:left="22" w:right="100"/>
              <w:jc w:val="left"/>
              <w:rPr>
                <w:rFonts w:ascii="宋体" w:hAnsi="宋体" w:cs="宋体" w:eastAsia="宋体" w:hint="default"/>
                <w:sz w:val="18"/>
                <w:szCs w:val="18"/>
              </w:rPr>
            </w:pPr>
            <w:r>
              <w:rPr>
                <w:rFonts w:ascii="宋体" w:hAnsi="宋体" w:cs="宋体" w:eastAsia="宋体" w:hint="default"/>
                <w:spacing w:val="-17"/>
                <w:sz w:val="18"/>
                <w:szCs w:val="18"/>
              </w:rPr>
              <w:t>反《证券法》</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交易所等相</w:t>
            </w:r>
            <w:r>
              <w:rPr>
                <w:rFonts w:ascii="宋体" w:hAnsi="宋体" w:cs="宋体" w:eastAsia="宋体" w:hint="default"/>
                <w:sz w:val="18"/>
                <w:szCs w:val="18"/>
              </w:rPr>
              <w:t> 关法律法规</w:t>
            </w:r>
          </w:p>
        </w:tc>
        <w:tc>
          <w:tcPr>
            <w:tcW w:w="1126" w:type="dxa"/>
            <w:tcBorders>
              <w:top w:val="nil" w:sz="6" w:space="0" w:color="auto"/>
              <w:left w:val="single" w:sz="13" w:space="0" w:color="FFFFFF"/>
              <w:bottom w:val="nil" w:sz="6" w:space="0" w:color="auto"/>
              <w:right w:val="single" w:sz="4" w:space="0" w:color="000000"/>
            </w:tcBorders>
          </w:tcPr>
          <w:p>
            <w:pPr>
              <w:pStyle w:val="TableParagraph"/>
              <w:spacing w:line="186" w:lineRule="exact" w:before="20"/>
              <w:ind w:left="-135"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00" w:lineRule="exact"/>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2015.04.24-20</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18.04.24</w:t>
            </w:r>
          </w:p>
        </w:tc>
        <w:tc>
          <w:tcPr>
            <w:tcW w:w="1108" w:type="dxa"/>
            <w:tcBorders>
              <w:top w:val="nil" w:sz="6" w:space="0" w:color="auto"/>
              <w:left w:val="single" w:sz="4" w:space="0" w:color="000000"/>
              <w:bottom w:val="nil" w:sz="6" w:space="0" w:color="auto"/>
              <w:right w:val="single" w:sz="4" w:space="0" w:color="000000"/>
            </w:tcBorders>
          </w:tcPr>
          <w:p>
            <w:pPr>
              <w:pStyle w:val="TableParagraph"/>
              <w:spacing w:line="316" w:lineRule="auto" w:before="1"/>
              <w:ind w:left="22" w:right="23"/>
              <w:jc w:val="left"/>
              <w:rPr>
                <w:rFonts w:ascii="宋体" w:hAnsi="宋体" w:cs="宋体" w:eastAsia="宋体" w:hint="default"/>
                <w:sz w:val="18"/>
                <w:szCs w:val="18"/>
              </w:rPr>
            </w:pPr>
            <w:r>
              <w:rPr>
                <w:rFonts w:ascii="宋体" w:hAnsi="宋体" w:cs="宋体" w:eastAsia="宋体" w:hint="default"/>
                <w:sz w:val="18"/>
                <w:szCs w:val="18"/>
              </w:rPr>
              <w:t>诺人严格遵 </w:t>
            </w:r>
            <w:r>
              <w:rPr>
                <w:rFonts w:ascii="宋体" w:hAnsi="宋体" w:cs="宋体" w:eastAsia="宋体" w:hint="default"/>
                <w:spacing w:val="-5"/>
                <w:sz w:val="18"/>
                <w:szCs w:val="18"/>
              </w:rPr>
              <w:t>守承诺，未发</w:t>
            </w:r>
            <w:r>
              <w:rPr>
                <w:rFonts w:ascii="宋体" w:hAnsi="宋体" w:cs="宋体" w:eastAsia="宋体" w:hint="default"/>
                <w:sz w:val="18"/>
                <w:szCs w:val="18"/>
              </w:rPr>
              <w:t> 现存在违反</w:t>
            </w:r>
          </w:p>
        </w:tc>
      </w:tr>
      <w:tr>
        <w:trPr>
          <w:trHeight w:val="321"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9"/>
              <w:ind w:left="22" w:right="0"/>
              <w:jc w:val="left"/>
              <w:rPr>
                <w:rFonts w:ascii="宋体" w:hAnsi="宋体" w:cs="宋体" w:eastAsia="宋体" w:hint="default"/>
                <w:sz w:val="18"/>
                <w:szCs w:val="18"/>
              </w:rPr>
            </w:pPr>
            <w:r>
              <w:rPr>
                <w:rFonts w:ascii="宋体" w:hAnsi="宋体" w:cs="宋体" w:eastAsia="宋体" w:hint="default"/>
                <w:sz w:val="18"/>
                <w:szCs w:val="18"/>
              </w:rPr>
              <w:t>以及不违背</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2" w:right="-5"/>
              <w:jc w:val="left"/>
              <w:rPr>
                <w:rFonts w:ascii="宋体" w:hAnsi="宋体" w:cs="宋体" w:eastAsia="宋体" w:hint="default"/>
                <w:sz w:val="18"/>
                <w:szCs w:val="18"/>
              </w:rPr>
            </w:pPr>
            <w:r>
              <w:rPr>
                <w:rFonts w:ascii="宋体" w:hAnsi="宋体" w:cs="宋体" w:eastAsia="宋体" w:hint="default"/>
                <w:sz w:val="18"/>
                <w:szCs w:val="18"/>
              </w:rPr>
              <w:t>承诺的情况。</w:t>
            </w: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个人就股份</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锁定所作出</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的有关承诺</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的前提下，本</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人将根据自</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身经济的实</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际状况和公</w:t>
            </w:r>
          </w:p>
        </w:tc>
        <w:tc>
          <w:tcPr>
            <w:tcW w:w="1126" w:type="dxa"/>
            <w:tcBorders>
              <w:top w:val="nil" w:sz="6" w:space="0" w:color="auto"/>
              <w:left w:val="single" w:sz="4" w:space="0" w:color="000000"/>
              <w:bottom w:val="single" w:sz="4" w:space="0" w:color="000000"/>
              <w:right w:val="single" w:sz="4" w:space="0" w:color="000000"/>
            </w:tcBorders>
          </w:tcPr>
          <w:p>
            <w:pPr/>
          </w:p>
        </w:tc>
        <w:tc>
          <w:tcPr>
            <w:tcW w:w="1121" w:type="dxa"/>
            <w:tcBorders>
              <w:top w:val="nil" w:sz="6" w:space="0" w:color="auto"/>
              <w:left w:val="single" w:sz="4" w:space="0" w:color="000000"/>
              <w:bottom w:val="single" w:sz="4" w:space="0" w:color="000000"/>
              <w:right w:val="single" w:sz="4" w:space="0" w:color="000000"/>
            </w:tcBorders>
          </w:tcPr>
          <w:p>
            <w:pPr/>
          </w:p>
        </w:tc>
        <w:tc>
          <w:tcPr>
            <w:tcW w:w="1108"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87" w:footer="640" w:top="1100" w:bottom="840" w:left="0" w:right="0"/>
        </w:sectPr>
      </w:pPr>
    </w:p>
    <w:p>
      <w:pPr>
        <w:spacing w:line="240" w:lineRule="auto" w:before="4"/>
        <w:rPr>
          <w:rFonts w:ascii="Times New Roman" w:hAnsi="Times New Roman" w:cs="Times New Roman" w:eastAsia="Times New Roman" w:hint="default"/>
          <w:sz w:val="3"/>
          <w:szCs w:val="3"/>
        </w:rPr>
      </w:pPr>
    </w:p>
    <w:p>
      <w:pPr>
        <w:spacing w:line="20" w:lineRule="exact"/>
        <w:ind w:left="1096"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10"/>
        <w:rPr>
          <w:rFonts w:ascii="Times New Roman" w:hAnsi="Times New Roman" w:cs="Times New Roman" w:eastAsia="Times New Roman" w:hint="default"/>
          <w:sz w:val="23"/>
          <w:szCs w:val="23"/>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司二级市场</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的交易表现，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有计划地就</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所持股份进</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行减持</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减持股份的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计划  本人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计划在锁定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期满后两年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内减持本人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持有的部分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公司股份，本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人承诺所持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股份的减持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计划如下：①</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减持满足的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条件  自公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司首次公开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发行股票并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上市之日起，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至本人就减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持股份发布</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提示性公告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之日，本人能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够及时有效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地履行首次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公开发行股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票时公开承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诺的各项义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务。②减持数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量  持有公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份的股东雷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洪文、袁小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康、徐彪承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诺：在上述锁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定期届满后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两年内，每年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转让的股份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不超过其直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接或间接持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有的公司股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份总数的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宋体" w:hAnsi="宋体" w:cs="宋体" w:eastAsia="宋体" w:hint="default"/>
                <w:sz w:val="18"/>
                <w:szCs w:val="18"/>
              </w:rPr>
              <w:t>。持有公</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87" w:footer="640" w:top="1100" w:bottom="840" w:left="0" w:right="0"/>
        </w:sectPr>
      </w:pPr>
    </w:p>
    <w:p>
      <w:pPr>
        <w:spacing w:line="240" w:lineRule="auto" w:before="4"/>
        <w:rPr>
          <w:rFonts w:ascii="Times New Roman" w:hAnsi="Times New Roman" w:cs="Times New Roman" w:eastAsia="Times New Roman" w:hint="default"/>
          <w:sz w:val="3"/>
          <w:szCs w:val="3"/>
        </w:rPr>
      </w:pPr>
      <w:r>
        <w:rPr/>
        <w:pict>
          <v:shape style="position:absolute;margin-left:334.420013pt;margin-top:72.47998pt;width:89.1pt;height:686.5pt;mso-position-horizontal-relative:page;mso-position-vertical-relative:page;z-index:-1170928"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pStyle w:val="BodyText"/>
                    <w:spacing w:line="240" w:lineRule="auto" w:before="131"/>
                    <w:ind w:left="0" w:right="0"/>
                    <w:jc w:val="left"/>
                  </w:pPr>
                  <w:r>
                    <w:rPr/>
                    <w:t>个月内，</w:t>
                  </w:r>
                </w:p>
              </w:txbxContent>
            </v:textbox>
            <w10:wrap type="none"/>
          </v:shape>
        </w:pict>
      </w:r>
    </w:p>
    <w:p>
      <w:pPr>
        <w:spacing w:line="20" w:lineRule="exact"/>
        <w:ind w:left="1096"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10"/>
        <w:rPr>
          <w:rFonts w:ascii="Times New Roman" w:hAnsi="Times New Roman" w:cs="Times New Roman" w:eastAsia="Times New Roman" w:hint="default"/>
          <w:sz w:val="23"/>
          <w:szCs w:val="23"/>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22"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以上股</w:t>
            </w:r>
          </w:p>
        </w:tc>
        <w:tc>
          <w:tcPr>
            <w:tcW w:w="1126" w:type="dxa"/>
            <w:vMerge w:val="restart"/>
            <w:tcBorders>
              <w:top w:val="single" w:sz="4" w:space="0" w:color="000000"/>
              <w:left w:val="single" w:sz="4" w:space="0" w:color="000000"/>
              <w:right w:val="single" w:sz="4" w:space="0" w:color="000000"/>
            </w:tcBorders>
          </w:tcPr>
          <w:p>
            <w:pPr>
              <w:pStyle w:val="TableParagraph"/>
              <w:spacing w:line="13729"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74"/>
                <w:sz w:val="20"/>
                <w:szCs w:val="20"/>
              </w:rPr>
              <w:pict>
                <v:group style="width:55.85pt;height:686.5pt;mso-position-horizontal-relative:char;mso-position-vertical-relative:line" coordorigin="0,0" coordsize="1117,13730">
                  <v:group style="position:absolute;left:0;top:0;width:1117;height:13730" coordorigin="0,0" coordsize="1117,13730">
                    <v:shape style="position:absolute;left:0;top:0;width:1117;height:13730" coordorigin="0,0" coordsize="1117,13730" path="m0,13729l1116,13729,1116,0,0,0,0,13729xe" filled="true" fillcolor="#ffffff" stroked="false">
                      <v:path arrowok="t"/>
                      <v:fill type="solid"/>
                    </v:shape>
                  </v:group>
                </v:group>
              </w:pict>
            </w:r>
            <w:r>
              <w:rPr>
                <w:rFonts w:ascii="Times New Roman" w:hAnsi="Times New Roman" w:cs="Times New Roman" w:eastAsia="Times New Roman" w:hint="default"/>
                <w:position w:val="-274"/>
                <w:sz w:val="20"/>
                <w:szCs w:val="20"/>
              </w:rPr>
            </w: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份的股东张</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忠民承诺：在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其所持公司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股份的锁定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期届满后两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年内，有意通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过深圳证券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交易所减持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公司股份，在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锁定期满后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的</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12</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减持股份数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量不超过其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直接或间接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持有公司股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份总数的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50%</w:t>
            </w:r>
            <w:r>
              <w:rPr>
                <w:rFonts w:ascii="宋体" w:hAnsi="宋体" w:cs="宋体" w:eastAsia="宋体" w:hint="default"/>
                <w:sz w:val="18"/>
                <w:szCs w:val="18"/>
              </w:rPr>
              <w:t>；在锁定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期满后的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个月内，减持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股份数量不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超过其直接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或间接持有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公司股份总</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数的</w:t>
            </w:r>
            <w:r>
              <w:rPr>
                <w:rFonts w:ascii="宋体" w:hAnsi="宋体" w:cs="宋体" w:eastAsia="宋体" w:hint="default"/>
                <w:spacing w:val="-42"/>
                <w:sz w:val="18"/>
                <w:szCs w:val="18"/>
              </w:rPr>
              <w:t> </w:t>
            </w:r>
            <w:r>
              <w:rPr>
                <w:rFonts w:ascii="Times New Roman" w:hAnsi="Times New Roman" w:cs="Times New Roman" w:eastAsia="Times New Roman" w:hint="default"/>
                <w:spacing w:val="-6"/>
                <w:sz w:val="18"/>
                <w:szCs w:val="18"/>
              </w:rPr>
              <w:t>80%</w:t>
            </w:r>
            <w:r>
              <w:rPr>
                <w:rFonts w:ascii="宋体" w:hAnsi="宋体" w:cs="宋体" w:eastAsia="宋体" w:hint="default"/>
                <w:spacing w:val="-6"/>
                <w:sz w:val="18"/>
                <w:szCs w:val="18"/>
              </w:rPr>
              <w:t>。③</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减持方式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本人所持公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司股份将通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过集中竞价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交易、大宗交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易、协议转让</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及</w:t>
            </w:r>
            <w:r>
              <w:rPr>
                <w:rFonts w:ascii="Times New Roman" w:hAnsi="Times New Roman" w:cs="Times New Roman" w:eastAsia="Times New Roman" w:hint="default"/>
                <w:sz w:val="18"/>
                <w:szCs w:val="18"/>
              </w:rPr>
              <w:t>/</w:t>
            </w:r>
            <w:r>
              <w:rPr>
                <w:rFonts w:ascii="宋体" w:hAnsi="宋体" w:cs="宋体" w:eastAsia="宋体" w:hint="default"/>
                <w:sz w:val="18"/>
                <w:szCs w:val="18"/>
              </w:rPr>
              <w:t>或其他合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法方式进行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减持，如本人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实施减持的，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将提前</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个交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易日予以公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告。④减持价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格  本人在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锁定期满后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两年内减持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的，减持价格</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不低于公司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首次公开发</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87" w:footer="640" w:top="1100" w:bottom="840" w:left="0" w:right="0"/>
        </w:sectPr>
      </w:pPr>
    </w:p>
    <w:p>
      <w:pPr>
        <w:spacing w:line="240" w:lineRule="auto" w:before="4"/>
        <w:rPr>
          <w:rFonts w:ascii="Times New Roman" w:hAnsi="Times New Roman" w:cs="Times New Roman" w:eastAsia="Times New Roman" w:hint="default"/>
          <w:sz w:val="3"/>
          <w:szCs w:val="3"/>
        </w:rPr>
      </w:pPr>
    </w:p>
    <w:p>
      <w:pPr>
        <w:spacing w:line="20" w:lineRule="exact"/>
        <w:ind w:left="1096"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10"/>
        <w:rPr>
          <w:rFonts w:ascii="Times New Roman" w:hAnsi="Times New Roman" w:cs="Times New Roman" w:eastAsia="Times New Roman" w:hint="default"/>
          <w:sz w:val="23"/>
          <w:szCs w:val="23"/>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10"/>
      </w:tblGrid>
      <w:tr>
        <w:trPr>
          <w:trHeight w:val="2859"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21"/>
              <w:jc w:val="left"/>
              <w:rPr>
                <w:rFonts w:ascii="宋体" w:hAnsi="宋体" w:cs="宋体" w:eastAsia="宋体" w:hint="default"/>
                <w:sz w:val="18"/>
                <w:szCs w:val="18"/>
              </w:rPr>
            </w:pPr>
            <w:r>
              <w:rPr>
                <w:rFonts w:ascii="宋体" w:hAnsi="宋体" w:cs="宋体" w:eastAsia="宋体" w:hint="default"/>
                <w:sz w:val="18"/>
                <w:szCs w:val="18"/>
              </w:rPr>
              <w:t>行股票的股 </w:t>
            </w:r>
            <w:r>
              <w:rPr>
                <w:rFonts w:ascii="宋体" w:hAnsi="宋体" w:cs="宋体" w:eastAsia="宋体" w:hint="default"/>
                <w:spacing w:val="-2"/>
                <w:sz w:val="18"/>
                <w:szCs w:val="18"/>
              </w:rPr>
              <w:t>票发行价。公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司发生派发 </w:t>
            </w:r>
            <w:r>
              <w:rPr>
                <w:rFonts w:ascii="宋体" w:hAnsi="宋体" w:cs="宋体" w:eastAsia="宋体" w:hint="default"/>
                <w:spacing w:val="-2"/>
                <w:sz w:val="18"/>
                <w:szCs w:val="18"/>
              </w:rPr>
              <w:t>股利、转增股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本等除息、除</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权行为的，上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述发行价格 亦将作相应 调整。</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r>
      <w:tr>
        <w:trPr>
          <w:trHeight w:val="10971"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1"/>
              <w:ind w:left="23" w:right="0"/>
              <w:jc w:val="left"/>
              <w:rPr>
                <w:rFonts w:ascii="宋体" w:hAnsi="宋体" w:cs="宋体" w:eastAsia="宋体" w:hint="default"/>
                <w:sz w:val="18"/>
                <w:szCs w:val="18"/>
              </w:rPr>
            </w:pPr>
            <w:r>
              <w:rPr>
                <w:rFonts w:ascii="宋体" w:hAnsi="宋体" w:cs="宋体" w:eastAsia="宋体" w:hint="default"/>
                <w:sz w:val="18"/>
                <w:szCs w:val="18"/>
              </w:rPr>
              <w:t>茅庆江</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19" w:lineRule="auto"/>
              <w:ind w:left="22" w:right="191"/>
              <w:jc w:val="left"/>
              <w:rPr>
                <w:rFonts w:ascii="宋体" w:hAnsi="宋体" w:cs="宋体" w:eastAsia="宋体" w:hint="default"/>
                <w:sz w:val="18"/>
                <w:szCs w:val="18"/>
              </w:rPr>
            </w:pPr>
            <w:r>
              <w:rPr>
                <w:rFonts w:ascii="宋体" w:hAnsi="宋体" w:cs="宋体" w:eastAsia="宋体" w:hint="default"/>
                <w:sz w:val="18"/>
                <w:szCs w:val="18"/>
              </w:rPr>
              <w:t>股份减持承 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持有公司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以上股份的 股东茅庆江 </w:t>
            </w:r>
            <w:r>
              <w:rPr>
                <w:rFonts w:ascii="宋体" w:hAnsi="宋体" w:cs="宋体" w:eastAsia="宋体" w:hint="default"/>
                <w:spacing w:val="-15"/>
                <w:sz w:val="18"/>
                <w:szCs w:val="18"/>
              </w:rPr>
              <w:t>承诺：（</w:t>
            </w:r>
            <w:r>
              <w:rPr>
                <w:rFonts w:ascii="Times New Roman" w:hAnsi="Times New Roman" w:cs="Times New Roman" w:eastAsia="Times New Roman" w:hint="default"/>
                <w:spacing w:val="-15"/>
                <w:sz w:val="18"/>
                <w:szCs w:val="18"/>
              </w:rPr>
              <w:t>1</w:t>
            </w:r>
            <w:r>
              <w:rPr>
                <w:rFonts w:ascii="宋体" w:hAnsi="宋体" w:cs="宋体" w:eastAsia="宋体" w:hint="default"/>
                <w:spacing w:val="-15"/>
                <w:sz w:val="18"/>
                <w:szCs w:val="18"/>
              </w:rPr>
              <w:t>）持</w:t>
            </w:r>
            <w:r>
              <w:rPr>
                <w:rFonts w:ascii="宋体" w:hAnsi="宋体" w:cs="宋体" w:eastAsia="宋体" w:hint="default"/>
                <w:spacing w:val="-5"/>
                <w:sz w:val="18"/>
                <w:szCs w:val="18"/>
              </w:rPr>
              <w:t> </w:t>
            </w:r>
            <w:r>
              <w:rPr>
                <w:rFonts w:ascii="宋体" w:hAnsi="宋体" w:cs="宋体" w:eastAsia="宋体" w:hint="default"/>
                <w:sz w:val="18"/>
                <w:szCs w:val="18"/>
              </w:rPr>
              <w:t>有股份的意</w:t>
            </w:r>
            <w:r>
              <w:rPr>
                <w:rFonts w:ascii="宋体" w:hAnsi="宋体" w:cs="宋体" w:eastAsia="宋体" w:hint="default"/>
                <w:sz w:val="18"/>
                <w:szCs w:val="18"/>
              </w:rPr>
              <w:t> 向 未来在 </w:t>
            </w:r>
            <w:r>
              <w:rPr>
                <w:rFonts w:ascii="宋体" w:hAnsi="宋体" w:cs="宋体" w:eastAsia="宋体" w:hint="default"/>
                <w:spacing w:val="-2"/>
                <w:sz w:val="18"/>
                <w:szCs w:val="18"/>
              </w:rPr>
              <w:t>不违反《证券</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5"/>
                <w:sz w:val="18"/>
                <w:szCs w:val="18"/>
              </w:rPr>
              <w:t>法》、交易所</w:t>
            </w:r>
            <w:r>
              <w:rPr>
                <w:rFonts w:ascii="宋体" w:hAnsi="宋体" w:cs="宋体" w:eastAsia="宋体" w:hint="default"/>
                <w:sz w:val="18"/>
                <w:szCs w:val="18"/>
              </w:rPr>
              <w:t> 等相关法律 法规以及不 违背个人就 股份锁定所 作出的有关 承诺的前提 </w:t>
            </w:r>
            <w:r>
              <w:rPr>
                <w:rFonts w:ascii="宋体" w:hAnsi="宋体" w:cs="宋体" w:eastAsia="宋体" w:hint="default"/>
                <w:spacing w:val="-2"/>
                <w:sz w:val="18"/>
                <w:szCs w:val="18"/>
              </w:rPr>
              <w:t>下，本人将根</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据自身经济 的实际状况 和公司二级 市场的交易 </w:t>
            </w:r>
            <w:r>
              <w:rPr>
                <w:rFonts w:ascii="宋体" w:hAnsi="宋体" w:cs="宋体" w:eastAsia="宋体" w:hint="default"/>
                <w:spacing w:val="-2"/>
                <w:sz w:val="18"/>
                <w:szCs w:val="18"/>
              </w:rPr>
              <w:t>表现，有计划</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地就所持股</w:t>
            </w:r>
          </w:p>
          <w:p>
            <w:pPr>
              <w:pStyle w:val="TableParagraph"/>
              <w:spacing w:line="240" w:lineRule="auto" w:before="19"/>
              <w:ind w:left="22" w:right="0"/>
              <w:jc w:val="left"/>
              <w:rPr>
                <w:rFonts w:ascii="宋体" w:hAnsi="宋体" w:cs="宋体" w:eastAsia="宋体" w:hint="default"/>
                <w:sz w:val="18"/>
                <w:szCs w:val="18"/>
              </w:rPr>
            </w:pPr>
            <w:r>
              <w:rPr>
                <w:rFonts w:ascii="宋体" w:hAnsi="宋体" w:cs="宋体" w:eastAsia="宋体" w:hint="default"/>
                <w:sz w:val="18"/>
                <w:szCs w:val="18"/>
              </w:rPr>
              <w:t>份进行减持。</w:t>
            </w:r>
          </w:p>
          <w:p>
            <w:pPr>
              <w:pStyle w:val="TableParagraph"/>
              <w:spacing w:line="316" w:lineRule="auto" w:before="76"/>
              <w:ind w:left="22" w:right="21"/>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）减持股 份的计划 本人计划在 锁定期满后 两年内减持 本人持有的 部分公司股 </w:t>
            </w:r>
            <w:r>
              <w:rPr>
                <w:rFonts w:ascii="宋体" w:hAnsi="宋体" w:cs="宋体" w:eastAsia="宋体" w:hint="default"/>
                <w:spacing w:val="-2"/>
                <w:sz w:val="18"/>
                <w:szCs w:val="18"/>
              </w:rPr>
              <w:t>份，本人承诺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所持股份的 减持计划如 </w:t>
            </w:r>
            <w:r>
              <w:rPr>
                <w:rFonts w:ascii="宋体" w:hAnsi="宋体" w:cs="宋体" w:eastAsia="宋体" w:hint="default"/>
                <w:spacing w:val="-2"/>
                <w:sz w:val="18"/>
                <w:szCs w:val="18"/>
              </w:rPr>
              <w:t>下：①减持满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足的条件 自公司首次</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2015.04.24-20</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20.04.24</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7"/>
              <w:ind w:left="22" w:right="-3"/>
              <w:jc w:val="left"/>
              <w:rPr>
                <w:rFonts w:ascii="宋体" w:hAnsi="宋体" w:cs="宋体" w:eastAsia="宋体" w:hint="default"/>
                <w:sz w:val="18"/>
                <w:szCs w:val="18"/>
              </w:rPr>
            </w:pPr>
            <w:r>
              <w:rPr>
                <w:rFonts w:ascii="宋体" w:hAnsi="宋体" w:cs="宋体" w:eastAsia="宋体" w:hint="default"/>
                <w:spacing w:val="-5"/>
                <w:sz w:val="18"/>
                <w:szCs w:val="18"/>
              </w:rPr>
              <w:t>报告期内，承</w:t>
            </w:r>
            <w:r>
              <w:rPr>
                <w:rFonts w:ascii="宋体" w:hAnsi="宋体" w:cs="宋体" w:eastAsia="宋体" w:hint="default"/>
                <w:sz w:val="18"/>
                <w:szCs w:val="18"/>
              </w:rPr>
              <w:t> 诺人严格遵 </w:t>
            </w:r>
            <w:r>
              <w:rPr>
                <w:rFonts w:ascii="宋体" w:hAnsi="宋体" w:cs="宋体" w:eastAsia="宋体" w:hint="default"/>
                <w:spacing w:val="-5"/>
                <w:sz w:val="18"/>
                <w:szCs w:val="18"/>
              </w:rPr>
              <w:t>守承诺，未发</w:t>
            </w:r>
            <w:r>
              <w:rPr>
                <w:rFonts w:ascii="宋体" w:hAnsi="宋体" w:cs="宋体" w:eastAsia="宋体" w:hint="default"/>
                <w:sz w:val="18"/>
                <w:szCs w:val="18"/>
              </w:rPr>
              <w:t> 现存在违反 承诺的情况。</w:t>
            </w:r>
          </w:p>
        </w:tc>
      </w:tr>
    </w:tbl>
    <w:p>
      <w:pPr>
        <w:spacing w:after="0" w:line="319" w:lineRule="auto"/>
        <w:jc w:val="left"/>
        <w:rPr>
          <w:rFonts w:ascii="宋体" w:hAnsi="宋体" w:cs="宋体" w:eastAsia="宋体" w:hint="default"/>
          <w:sz w:val="18"/>
          <w:szCs w:val="18"/>
        </w:rPr>
        <w:sectPr>
          <w:pgSz w:w="11910" w:h="16840"/>
          <w:pgMar w:header="787" w:footer="640" w:top="1100" w:bottom="840" w:left="0" w:right="0"/>
        </w:sectPr>
      </w:pPr>
    </w:p>
    <w:p>
      <w:pPr>
        <w:spacing w:line="240" w:lineRule="auto" w:before="4"/>
        <w:rPr>
          <w:rFonts w:ascii="Times New Roman" w:hAnsi="Times New Roman" w:cs="Times New Roman" w:eastAsia="Times New Roman" w:hint="default"/>
          <w:sz w:val="3"/>
          <w:szCs w:val="3"/>
        </w:rPr>
      </w:pPr>
    </w:p>
    <w:p>
      <w:pPr>
        <w:spacing w:line="20" w:lineRule="exact"/>
        <w:ind w:left="1096"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10"/>
        <w:rPr>
          <w:rFonts w:ascii="Times New Roman" w:hAnsi="Times New Roman" w:cs="Times New Roman" w:eastAsia="Times New Roman" w:hint="default"/>
          <w:sz w:val="23"/>
          <w:szCs w:val="23"/>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公开发行股</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票并上市之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日起，至本人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就减持股份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发布提示性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公告之日，本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人能够及时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有效地履行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首次公开发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行股票时公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开承诺的各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项义务。②减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持数量  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司控股股东</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茅庆江承诺：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锁定期满的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两年内，每年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内减持股份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不超过本人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直接或间接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持有公司股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份总量的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宋体" w:hAnsi="宋体" w:cs="宋体" w:eastAsia="宋体" w:hint="default"/>
                <w:sz w:val="18"/>
                <w:szCs w:val="18"/>
              </w:rPr>
              <w:t>。③减持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方式  本人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所持公司股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份将通过集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中竞价交易、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大宗交易、协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议转让及</w:t>
            </w:r>
            <w:r>
              <w:rPr>
                <w:rFonts w:ascii="Times New Roman" w:hAnsi="Times New Roman" w:cs="Times New Roman" w:eastAsia="Times New Roman" w:hint="default"/>
                <w:sz w:val="18"/>
                <w:szCs w:val="18"/>
              </w:rPr>
              <w:t>/</w:t>
            </w:r>
            <w:r>
              <w:rPr>
                <w:rFonts w:ascii="宋体" w:hAnsi="宋体" w:cs="宋体" w:eastAsia="宋体" w:hint="default"/>
                <w:sz w:val="18"/>
                <w:szCs w:val="18"/>
              </w:rPr>
              <w:t>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其他合法方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式进行减持，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如本人实施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减持的，将提</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个交易日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予以公告。④</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减持价格</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本人在锁定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期满后两年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内减持的，减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持价格不低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于公司首次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公开发行股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票的股票发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行价。公司发</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87" w:footer="640" w:top="1100" w:bottom="840" w:left="0" w:right="0"/>
        </w:sectPr>
      </w:pPr>
    </w:p>
    <w:p>
      <w:pPr>
        <w:spacing w:line="240" w:lineRule="auto" w:before="4"/>
        <w:rPr>
          <w:rFonts w:ascii="Times New Roman" w:hAnsi="Times New Roman" w:cs="Times New Roman" w:eastAsia="Times New Roman" w:hint="default"/>
          <w:sz w:val="3"/>
          <w:szCs w:val="3"/>
        </w:rPr>
      </w:pPr>
    </w:p>
    <w:p>
      <w:pPr>
        <w:spacing w:line="20" w:lineRule="exact"/>
        <w:ind w:left="1096"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10"/>
        <w:rPr>
          <w:rFonts w:ascii="Times New Roman" w:hAnsi="Times New Roman" w:cs="Times New Roman" w:eastAsia="Times New Roman" w:hint="default"/>
          <w:sz w:val="23"/>
          <w:szCs w:val="23"/>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10"/>
      </w:tblGrid>
      <w:tr>
        <w:trPr>
          <w:trHeight w:val="1923"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2"/>
              <w:jc w:val="left"/>
              <w:rPr>
                <w:rFonts w:ascii="宋体" w:hAnsi="宋体" w:cs="宋体" w:eastAsia="宋体" w:hint="default"/>
                <w:sz w:val="18"/>
                <w:szCs w:val="18"/>
              </w:rPr>
            </w:pPr>
            <w:r>
              <w:rPr>
                <w:rFonts w:ascii="宋体" w:hAnsi="宋体" w:cs="宋体" w:eastAsia="宋体" w:hint="default"/>
                <w:sz w:val="18"/>
                <w:szCs w:val="18"/>
              </w:rPr>
              <w:t>生派发股利、 转增股本等 除息、除权行 为的，上述发 行价格亦将 作相应调整。</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r>
      <w:tr>
        <w:trPr>
          <w:trHeight w:val="11907"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9" w:lineRule="auto" w:before="110"/>
              <w:ind w:left="23" w:right="141"/>
              <w:jc w:val="both"/>
              <w:rPr>
                <w:rFonts w:ascii="宋体" w:hAnsi="宋体" w:cs="宋体" w:eastAsia="宋体" w:hint="default"/>
                <w:sz w:val="18"/>
                <w:szCs w:val="18"/>
              </w:rPr>
            </w:pPr>
            <w:r>
              <w:rPr>
                <w:rFonts w:ascii="宋体" w:hAnsi="宋体" w:cs="宋体" w:eastAsia="宋体" w:hint="default"/>
                <w:sz w:val="18"/>
                <w:szCs w:val="18"/>
              </w:rPr>
              <w:t>浩云科技股 份有限公司</w:t>
            </w:r>
            <w:r>
              <w:rPr>
                <w:rFonts w:ascii="Times New Roman" w:hAnsi="Times New Roman" w:cs="Times New Roman" w:eastAsia="Times New Roman" w:hint="default"/>
                <w:sz w:val="18"/>
                <w:szCs w:val="18"/>
              </w:rPr>
              <w:t>; </w:t>
            </w:r>
            <w:r>
              <w:rPr>
                <w:rFonts w:ascii="宋体" w:hAnsi="宋体" w:cs="宋体" w:eastAsia="宋体" w:hint="default"/>
                <w:sz w:val="18"/>
                <w:szCs w:val="18"/>
              </w:rPr>
              <w:t>茅庆江</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319" w:lineRule="auto"/>
              <w:ind w:left="22" w:right="191"/>
              <w:jc w:val="left"/>
              <w:rPr>
                <w:rFonts w:ascii="宋体" w:hAnsi="宋体" w:cs="宋体" w:eastAsia="宋体" w:hint="default"/>
                <w:sz w:val="18"/>
                <w:szCs w:val="18"/>
              </w:rPr>
            </w:pPr>
            <w:r>
              <w:rPr>
                <w:rFonts w:ascii="宋体" w:hAnsi="宋体" w:cs="宋体" w:eastAsia="宋体" w:hint="default"/>
                <w:sz w:val="18"/>
                <w:szCs w:val="18"/>
              </w:rPr>
              <w:t>股份回购承 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
              <w:jc w:val="left"/>
              <w:rPr>
                <w:rFonts w:ascii="宋体" w:hAnsi="宋体" w:cs="宋体" w:eastAsia="宋体" w:hint="default"/>
                <w:sz w:val="18"/>
                <w:szCs w:val="18"/>
              </w:rPr>
            </w:pPr>
            <w:r>
              <w:rPr>
                <w:rFonts w:ascii="宋体" w:hAnsi="宋体" w:cs="宋体" w:eastAsia="宋体" w:hint="default"/>
                <w:sz w:val="18"/>
                <w:szCs w:val="18"/>
              </w:rPr>
              <w:t>公司承诺：如 公司《招股说 明书》有虚假 记载、误导性 陈述或者重 大遗漏，对判 断公司是否 符合法律规 定的发行条 件构成重大、 实质影响的， 并已由有权 部门作出行 政处罚或人 民法院作出 相关判决的， 在相关行政 处罚或判决 生效之日起</w:t>
            </w:r>
          </w:p>
          <w:p>
            <w:pPr>
              <w:pStyle w:val="TableParagraph"/>
              <w:spacing w:line="316" w:lineRule="auto" w:before="19"/>
              <w:ind w:left="22" w:right="12"/>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个交易日 内，本公司将 召开董事会 并作出决议， 通过回购首 次公开发行 所有新股的 具体方案的 议案，并进行 公告。本公司 将以不低于 发行价格回 购首次公开 发行的全部 </w:t>
            </w:r>
            <w:r>
              <w:rPr>
                <w:rFonts w:ascii="宋体" w:hAnsi="宋体" w:cs="宋体" w:eastAsia="宋体" w:hint="default"/>
                <w:spacing w:val="-15"/>
                <w:sz w:val="18"/>
                <w:szCs w:val="18"/>
              </w:rPr>
              <w:t>新股。（在公</w:t>
            </w:r>
            <w:r>
              <w:rPr>
                <w:rFonts w:ascii="宋体" w:hAnsi="宋体" w:cs="宋体" w:eastAsia="宋体" w:hint="default"/>
                <w:sz w:val="18"/>
                <w:szCs w:val="18"/>
              </w:rPr>
              <w:t> 司上市后至 上述期间内， 公司发生派 发股利、送红</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19" w:lineRule="auto"/>
              <w:ind w:left="22" w:right="-3"/>
              <w:jc w:val="left"/>
              <w:rPr>
                <w:rFonts w:ascii="宋体" w:hAnsi="宋体" w:cs="宋体" w:eastAsia="宋体" w:hint="default"/>
                <w:sz w:val="18"/>
                <w:szCs w:val="18"/>
              </w:rPr>
            </w:pPr>
            <w:r>
              <w:rPr>
                <w:rFonts w:ascii="宋体" w:hAnsi="宋体" w:cs="宋体" w:eastAsia="宋体" w:hint="default"/>
                <w:spacing w:val="-5"/>
                <w:sz w:val="18"/>
                <w:szCs w:val="18"/>
              </w:rPr>
              <w:t>报告期内，承</w:t>
            </w:r>
            <w:r>
              <w:rPr>
                <w:rFonts w:ascii="宋体" w:hAnsi="宋体" w:cs="宋体" w:eastAsia="宋体" w:hint="default"/>
                <w:sz w:val="18"/>
                <w:szCs w:val="18"/>
              </w:rPr>
              <w:t> 诺人严格遵 </w:t>
            </w:r>
            <w:r>
              <w:rPr>
                <w:rFonts w:ascii="宋体" w:hAnsi="宋体" w:cs="宋体" w:eastAsia="宋体" w:hint="default"/>
                <w:spacing w:val="-5"/>
                <w:sz w:val="18"/>
                <w:szCs w:val="18"/>
              </w:rPr>
              <w:t>守承诺，未发</w:t>
            </w:r>
            <w:r>
              <w:rPr>
                <w:rFonts w:ascii="宋体" w:hAnsi="宋体" w:cs="宋体" w:eastAsia="宋体" w:hint="default"/>
                <w:sz w:val="18"/>
                <w:szCs w:val="18"/>
              </w:rPr>
              <w:t> 现存在违反 承诺的情况。</w:t>
            </w:r>
          </w:p>
        </w:tc>
      </w:tr>
    </w:tbl>
    <w:p>
      <w:pPr>
        <w:spacing w:after="0" w:line="319" w:lineRule="auto"/>
        <w:jc w:val="left"/>
        <w:rPr>
          <w:rFonts w:ascii="宋体" w:hAnsi="宋体" w:cs="宋体" w:eastAsia="宋体" w:hint="default"/>
          <w:sz w:val="18"/>
          <w:szCs w:val="18"/>
        </w:rPr>
        <w:sectPr>
          <w:pgSz w:w="11910" w:h="16840"/>
          <w:pgMar w:header="787" w:footer="640" w:top="1100" w:bottom="840" w:left="0" w:right="0"/>
        </w:sectPr>
      </w:pPr>
    </w:p>
    <w:p>
      <w:pPr>
        <w:spacing w:line="240" w:lineRule="auto" w:before="4"/>
        <w:rPr>
          <w:rFonts w:ascii="Times New Roman" w:hAnsi="Times New Roman" w:cs="Times New Roman" w:eastAsia="Times New Roman" w:hint="default"/>
          <w:sz w:val="3"/>
          <w:szCs w:val="3"/>
        </w:rPr>
      </w:pPr>
    </w:p>
    <w:p>
      <w:pPr>
        <w:spacing w:line="20" w:lineRule="exact"/>
        <w:ind w:left="1096"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10"/>
        <w:rPr>
          <w:rFonts w:ascii="Times New Roman" w:hAnsi="Times New Roman" w:cs="Times New Roman" w:eastAsia="Times New Roman" w:hint="default"/>
          <w:sz w:val="23"/>
          <w:szCs w:val="23"/>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股、转增股</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本、增发新股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或配股等除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息、除权行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为，上述发行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价格亦将作</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相应调整</w:t>
            </w:r>
            <w:r>
              <w:rPr>
                <w:rFonts w:ascii="宋体" w:hAnsi="宋体" w:cs="宋体" w:eastAsia="宋体" w:hint="default"/>
                <w:spacing w:val="-90"/>
                <w:sz w:val="18"/>
                <w:szCs w:val="18"/>
              </w:rPr>
              <w:t>。</w:t>
            </w:r>
            <w:r>
              <w:rPr>
                <w:rFonts w:ascii="宋体" w:hAnsi="宋体" w:cs="宋体" w:eastAsia="宋体"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公司控股股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东茅庆江承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诺：如公司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《招股说明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书》有虚假记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载、误导性陈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述或者重大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遗漏，对判断</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公司是否符</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合法律规定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的发行条件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构成重大、实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质影响的，并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已由有权部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门作出行政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处罚或人民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法院作出相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关判决的，在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相关行政处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罚或判决生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效之日起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个交易日内，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本人将依法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提出购回已</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转让的原限</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售股份的具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体方案，并进</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行公告。本人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将以不低于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发行价格购</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回已转让的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原限售股份。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（在公司上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市后至上述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期间内，公司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发生派发股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利、送红股、</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87" w:footer="640" w:top="1100" w:bottom="840" w:left="0" w:right="0"/>
        </w:sectPr>
      </w:pPr>
    </w:p>
    <w:p>
      <w:pPr>
        <w:spacing w:line="240" w:lineRule="auto" w:before="4"/>
        <w:rPr>
          <w:rFonts w:ascii="Times New Roman" w:hAnsi="Times New Roman" w:cs="Times New Roman" w:eastAsia="Times New Roman" w:hint="default"/>
          <w:sz w:val="3"/>
          <w:szCs w:val="3"/>
        </w:rPr>
      </w:pPr>
    </w:p>
    <w:p>
      <w:pPr>
        <w:spacing w:line="20" w:lineRule="exact"/>
        <w:ind w:left="1096"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10"/>
        <w:rPr>
          <w:rFonts w:ascii="Times New Roman" w:hAnsi="Times New Roman" w:cs="Times New Roman" w:eastAsia="Times New Roman" w:hint="default"/>
          <w:sz w:val="23"/>
          <w:szCs w:val="23"/>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10"/>
      </w:tblGrid>
      <w:tr>
        <w:trPr>
          <w:trHeight w:val="2235"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21"/>
              <w:jc w:val="left"/>
              <w:rPr>
                <w:rFonts w:ascii="宋体" w:hAnsi="宋体" w:cs="宋体" w:eastAsia="宋体" w:hint="default"/>
                <w:sz w:val="18"/>
                <w:szCs w:val="18"/>
              </w:rPr>
            </w:pPr>
            <w:r>
              <w:rPr>
                <w:rFonts w:ascii="宋体" w:hAnsi="宋体" w:cs="宋体" w:eastAsia="宋体" w:hint="default"/>
                <w:spacing w:val="-2"/>
                <w:sz w:val="18"/>
                <w:szCs w:val="18"/>
              </w:rPr>
              <w:t>转增股本、增</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发新股或配 </w:t>
            </w:r>
            <w:r>
              <w:rPr>
                <w:rFonts w:ascii="宋体" w:hAnsi="宋体" w:cs="宋体" w:eastAsia="宋体" w:hint="default"/>
                <w:spacing w:val="-2"/>
                <w:sz w:val="18"/>
                <w:szCs w:val="18"/>
              </w:rPr>
              <w:t>股等除息、除</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权行为，上述</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发行价格亦 将作相应调 </w:t>
            </w:r>
            <w:r>
              <w:rPr>
                <w:rFonts w:ascii="宋体" w:hAnsi="宋体" w:cs="宋体" w:eastAsia="宋体" w:hint="default"/>
                <w:spacing w:val="-30"/>
                <w:sz w:val="18"/>
                <w:szCs w:val="18"/>
              </w:rPr>
              <w:t>整。）</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r>
      <w:tr>
        <w:trPr>
          <w:trHeight w:val="9138" w:hRule="exact"/>
        </w:trPr>
        <w:tc>
          <w:tcPr>
            <w:tcW w:w="2836" w:type="dxa"/>
            <w:vMerge/>
            <w:tcBorders>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309" w:lineRule="auto"/>
              <w:ind w:left="23" w:right="89"/>
              <w:jc w:val="both"/>
              <w:rPr>
                <w:rFonts w:ascii="宋体" w:hAnsi="宋体" w:cs="宋体" w:eastAsia="宋体" w:hint="default"/>
                <w:sz w:val="18"/>
                <w:szCs w:val="18"/>
              </w:rPr>
            </w:pPr>
            <w:r>
              <w:rPr>
                <w:rFonts w:ascii="宋体" w:hAnsi="宋体" w:cs="宋体" w:eastAsia="宋体" w:hint="default"/>
                <w:sz w:val="18"/>
                <w:szCs w:val="18"/>
              </w:rPr>
              <w:t>广州市碧天 投资咨询有 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广州 市常森投资 咨询有限责 任公司</w:t>
            </w:r>
            <w:r>
              <w:rPr>
                <w:rFonts w:ascii="Times New Roman" w:hAnsi="Times New Roman" w:cs="Times New Roman" w:eastAsia="Times New Roman" w:hint="default"/>
                <w:sz w:val="18"/>
                <w:szCs w:val="18"/>
              </w:rPr>
              <w:t>;</w:t>
            </w:r>
            <w:r>
              <w:rPr>
                <w:rFonts w:ascii="宋体" w:hAnsi="宋体" w:cs="宋体" w:eastAsia="宋体" w:hint="default"/>
                <w:sz w:val="18"/>
                <w:szCs w:val="18"/>
              </w:rPr>
              <w:t>浩云 科技股份有 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雷洪 文</w:t>
            </w:r>
            <w:r>
              <w:rPr>
                <w:rFonts w:ascii="Times New Roman" w:hAnsi="Times New Roman" w:cs="Times New Roman" w:eastAsia="Times New Roman" w:hint="default"/>
                <w:sz w:val="18"/>
                <w:szCs w:val="18"/>
              </w:rPr>
              <w:t>;</w:t>
            </w:r>
            <w:r>
              <w:rPr>
                <w:rFonts w:ascii="宋体" w:hAnsi="宋体" w:cs="宋体" w:eastAsia="宋体" w:hint="default"/>
                <w:sz w:val="18"/>
                <w:szCs w:val="18"/>
              </w:rPr>
              <w:t>龙中胜</w:t>
            </w:r>
            <w:r>
              <w:rPr>
                <w:rFonts w:ascii="Times New Roman" w:hAnsi="Times New Roman" w:cs="Times New Roman" w:eastAsia="Times New Roman" w:hint="default"/>
                <w:sz w:val="18"/>
                <w:szCs w:val="18"/>
              </w:rPr>
              <w:t>;</w:t>
            </w:r>
            <w:r>
              <w:rPr>
                <w:rFonts w:ascii="宋体" w:hAnsi="宋体" w:cs="宋体" w:eastAsia="宋体" w:hint="default"/>
                <w:sz w:val="18"/>
                <w:szCs w:val="18"/>
              </w:rPr>
              <w:t>茅 屏萍</w:t>
            </w:r>
            <w:r>
              <w:rPr>
                <w:rFonts w:ascii="Times New Roman" w:hAnsi="Times New Roman" w:cs="Times New Roman" w:eastAsia="Times New Roman" w:hint="default"/>
                <w:sz w:val="18"/>
                <w:szCs w:val="18"/>
              </w:rPr>
              <w:t>;</w:t>
            </w:r>
            <w:r>
              <w:rPr>
                <w:rFonts w:ascii="宋体" w:hAnsi="宋体" w:cs="宋体" w:eastAsia="宋体" w:hint="default"/>
                <w:sz w:val="18"/>
                <w:szCs w:val="18"/>
              </w:rPr>
              <w:t>茅庆江</w:t>
            </w:r>
            <w:r>
              <w:rPr>
                <w:rFonts w:ascii="Times New Roman" w:hAnsi="Times New Roman" w:cs="Times New Roman" w:eastAsia="Times New Roman" w:hint="default"/>
                <w:sz w:val="18"/>
                <w:szCs w:val="18"/>
              </w:rPr>
              <w:t>; </w:t>
            </w:r>
            <w:r>
              <w:rPr>
                <w:rFonts w:ascii="宋体" w:hAnsi="宋体" w:cs="宋体" w:eastAsia="宋体" w:hint="default"/>
                <w:sz w:val="18"/>
                <w:szCs w:val="18"/>
              </w:rPr>
              <w:t>徐彪</w:t>
            </w:r>
            <w:r>
              <w:rPr>
                <w:rFonts w:ascii="Times New Roman" w:hAnsi="Times New Roman" w:cs="Times New Roman" w:eastAsia="Times New Roman" w:hint="default"/>
                <w:sz w:val="18"/>
                <w:szCs w:val="18"/>
              </w:rPr>
              <w:t>;</w:t>
            </w:r>
            <w:r>
              <w:rPr>
                <w:rFonts w:ascii="宋体" w:hAnsi="宋体" w:cs="宋体" w:eastAsia="宋体" w:hint="default"/>
                <w:sz w:val="18"/>
                <w:szCs w:val="18"/>
              </w:rPr>
              <w:t>袁小康</w:t>
            </w:r>
            <w:r>
              <w:rPr>
                <w:rFonts w:ascii="Times New Roman" w:hAnsi="Times New Roman" w:cs="Times New Roman" w:eastAsia="Times New Roman" w:hint="default"/>
                <w:sz w:val="18"/>
                <w:szCs w:val="18"/>
              </w:rPr>
              <w:t>; </w:t>
            </w:r>
            <w:r>
              <w:rPr>
                <w:rFonts w:ascii="宋体" w:hAnsi="宋体" w:cs="宋体" w:eastAsia="宋体" w:hint="default"/>
                <w:sz w:val="18"/>
                <w:szCs w:val="18"/>
              </w:rPr>
              <w:t>张忠民</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分红承诺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公司及本次 发行前全体 </w:t>
            </w:r>
            <w:r>
              <w:rPr>
                <w:rFonts w:ascii="宋体" w:hAnsi="宋体" w:cs="宋体" w:eastAsia="宋体" w:hint="default"/>
                <w:spacing w:val="-2"/>
                <w:sz w:val="18"/>
                <w:szCs w:val="18"/>
              </w:rPr>
              <w:t>股东承诺：公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司将严格按 </w:t>
            </w:r>
            <w:r>
              <w:rPr>
                <w:rFonts w:ascii="宋体" w:hAnsi="宋体" w:cs="宋体" w:eastAsia="宋体" w:hint="default"/>
                <w:spacing w:val="-2"/>
                <w:sz w:val="18"/>
                <w:szCs w:val="18"/>
              </w:rPr>
              <w:t>照《公司章程</w:t>
            </w:r>
          </w:p>
          <w:p>
            <w:pPr>
              <w:pStyle w:val="TableParagraph"/>
              <w:spacing w:line="316" w:lineRule="auto" w:before="19"/>
              <w:ind w:left="22" w:right="12"/>
              <w:jc w:val="left"/>
              <w:rPr>
                <w:rFonts w:ascii="宋体" w:hAnsi="宋体" w:cs="宋体" w:eastAsia="宋体" w:hint="default"/>
                <w:sz w:val="18"/>
                <w:szCs w:val="18"/>
              </w:rPr>
            </w:pPr>
            <w:r>
              <w:rPr>
                <w:rFonts w:ascii="宋体" w:hAnsi="宋体" w:cs="宋体" w:eastAsia="宋体" w:hint="default"/>
                <w:spacing w:val="-15"/>
                <w:sz w:val="18"/>
                <w:szCs w:val="18"/>
              </w:rPr>
              <w:t>（草案）》规</w:t>
            </w:r>
            <w:r>
              <w:rPr>
                <w:rFonts w:ascii="宋体" w:hAnsi="宋体" w:cs="宋体" w:eastAsia="宋体" w:hint="default"/>
                <w:sz w:val="18"/>
                <w:szCs w:val="18"/>
              </w:rPr>
              <w:t> 定的利润分 配政策履行 利润分配决 策程序，并按 照相关法律 法规中关于 利润分配政 策（包括现金 分红）的规定 履行分红义 务。公司及本 次发行前全 体股东承诺 将从维护中 小投资者利 益的角度制 定利润分配 计划，充分考 虑公众投资 者的意见，保 护中小股东、 公众投资者 的利益。</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319" w:lineRule="auto"/>
              <w:ind w:left="22" w:right="-3"/>
              <w:jc w:val="left"/>
              <w:rPr>
                <w:rFonts w:ascii="宋体" w:hAnsi="宋体" w:cs="宋体" w:eastAsia="宋体" w:hint="default"/>
                <w:sz w:val="18"/>
                <w:szCs w:val="18"/>
              </w:rPr>
            </w:pPr>
            <w:r>
              <w:rPr>
                <w:rFonts w:ascii="宋体" w:hAnsi="宋体" w:cs="宋体" w:eastAsia="宋体" w:hint="default"/>
                <w:spacing w:val="-5"/>
                <w:sz w:val="18"/>
                <w:szCs w:val="18"/>
              </w:rPr>
              <w:t>报告期内，承</w:t>
            </w:r>
            <w:r>
              <w:rPr>
                <w:rFonts w:ascii="宋体" w:hAnsi="宋体" w:cs="宋体" w:eastAsia="宋体" w:hint="default"/>
                <w:sz w:val="18"/>
                <w:szCs w:val="18"/>
              </w:rPr>
              <w:t> 诺人严格遵 </w:t>
            </w:r>
            <w:r>
              <w:rPr>
                <w:rFonts w:ascii="宋体" w:hAnsi="宋体" w:cs="宋体" w:eastAsia="宋体" w:hint="default"/>
                <w:spacing w:val="-5"/>
                <w:sz w:val="18"/>
                <w:szCs w:val="18"/>
              </w:rPr>
              <w:t>守承诺，未发</w:t>
            </w:r>
            <w:r>
              <w:rPr>
                <w:rFonts w:ascii="宋体" w:hAnsi="宋体" w:cs="宋体" w:eastAsia="宋体" w:hint="default"/>
                <w:sz w:val="18"/>
                <w:szCs w:val="18"/>
              </w:rPr>
              <w:t> 现存在违反 承诺的情况。</w:t>
            </w:r>
          </w:p>
        </w:tc>
      </w:tr>
      <w:tr>
        <w:trPr>
          <w:trHeight w:val="2547"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茅庆江</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319" w:lineRule="auto"/>
              <w:ind w:left="22" w:right="20"/>
              <w:jc w:val="left"/>
              <w:rPr>
                <w:rFonts w:ascii="宋体" w:hAnsi="宋体" w:cs="宋体" w:eastAsia="宋体" w:hint="default"/>
                <w:sz w:val="18"/>
                <w:szCs w:val="18"/>
              </w:rPr>
            </w:pPr>
            <w:r>
              <w:rPr>
                <w:rFonts w:ascii="宋体" w:hAnsi="宋体" w:cs="宋体" w:eastAsia="宋体" w:hint="default"/>
                <w:sz w:val="18"/>
                <w:szCs w:val="18"/>
              </w:rPr>
              <w:t>关于同业竞 争、关联交 </w:t>
            </w:r>
            <w:r>
              <w:rPr>
                <w:rFonts w:ascii="宋体" w:hAnsi="宋体" w:cs="宋体" w:eastAsia="宋体" w:hint="default"/>
                <w:spacing w:val="-2"/>
                <w:sz w:val="18"/>
                <w:szCs w:val="18"/>
              </w:rPr>
              <w:t>易、资金占用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方面的承诺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为避免同业 </w:t>
            </w:r>
            <w:r>
              <w:rPr>
                <w:rFonts w:ascii="宋体" w:hAnsi="宋体" w:cs="宋体" w:eastAsia="宋体" w:hint="default"/>
                <w:spacing w:val="-2"/>
                <w:sz w:val="18"/>
                <w:szCs w:val="18"/>
              </w:rPr>
              <w:t>竞争，维护本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公司的利益 和保证公司 的长期稳定 </w:t>
            </w:r>
            <w:r>
              <w:rPr>
                <w:rFonts w:ascii="宋体" w:hAnsi="宋体" w:cs="宋体" w:eastAsia="宋体" w:hint="default"/>
                <w:spacing w:val="-2"/>
                <w:sz w:val="18"/>
                <w:szCs w:val="18"/>
              </w:rPr>
              <w:t>发展，控股股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东、实际控制</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人茅庆江出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319" w:lineRule="auto"/>
              <w:ind w:left="22" w:right="-3"/>
              <w:jc w:val="left"/>
              <w:rPr>
                <w:rFonts w:ascii="宋体" w:hAnsi="宋体" w:cs="宋体" w:eastAsia="宋体" w:hint="default"/>
                <w:sz w:val="18"/>
                <w:szCs w:val="18"/>
              </w:rPr>
            </w:pPr>
            <w:r>
              <w:rPr>
                <w:rFonts w:ascii="宋体" w:hAnsi="宋体" w:cs="宋体" w:eastAsia="宋体" w:hint="default"/>
                <w:spacing w:val="-5"/>
                <w:sz w:val="18"/>
                <w:szCs w:val="18"/>
              </w:rPr>
              <w:t>报告期内，承</w:t>
            </w:r>
            <w:r>
              <w:rPr>
                <w:rFonts w:ascii="宋体" w:hAnsi="宋体" w:cs="宋体" w:eastAsia="宋体" w:hint="default"/>
                <w:sz w:val="18"/>
                <w:szCs w:val="18"/>
              </w:rPr>
              <w:t> 诺人严格遵 </w:t>
            </w:r>
            <w:r>
              <w:rPr>
                <w:rFonts w:ascii="宋体" w:hAnsi="宋体" w:cs="宋体" w:eastAsia="宋体" w:hint="default"/>
                <w:spacing w:val="-5"/>
                <w:sz w:val="18"/>
                <w:szCs w:val="18"/>
              </w:rPr>
              <w:t>守承诺，未发</w:t>
            </w:r>
            <w:r>
              <w:rPr>
                <w:rFonts w:ascii="宋体" w:hAnsi="宋体" w:cs="宋体" w:eastAsia="宋体" w:hint="default"/>
                <w:sz w:val="18"/>
                <w:szCs w:val="18"/>
              </w:rPr>
              <w:t> 现存在违反 承诺的情况。</w:t>
            </w:r>
          </w:p>
        </w:tc>
      </w:tr>
    </w:tbl>
    <w:p>
      <w:pPr>
        <w:spacing w:after="0" w:line="319" w:lineRule="auto"/>
        <w:jc w:val="left"/>
        <w:rPr>
          <w:rFonts w:ascii="宋体" w:hAnsi="宋体" w:cs="宋体" w:eastAsia="宋体" w:hint="default"/>
          <w:sz w:val="18"/>
          <w:szCs w:val="18"/>
        </w:rPr>
        <w:sectPr>
          <w:pgSz w:w="11910" w:h="16840"/>
          <w:pgMar w:header="787" w:footer="640" w:top="1100" w:bottom="840" w:left="0" w:right="0"/>
        </w:sectPr>
      </w:pPr>
    </w:p>
    <w:p>
      <w:pPr>
        <w:spacing w:line="240" w:lineRule="auto" w:before="4"/>
        <w:rPr>
          <w:rFonts w:ascii="Times New Roman" w:hAnsi="Times New Roman" w:cs="Times New Roman" w:eastAsia="Times New Roman" w:hint="default"/>
          <w:sz w:val="3"/>
          <w:szCs w:val="3"/>
        </w:rPr>
      </w:pPr>
    </w:p>
    <w:p>
      <w:pPr>
        <w:spacing w:line="20" w:lineRule="exact"/>
        <w:ind w:left="1096"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10"/>
        <w:rPr>
          <w:rFonts w:ascii="Times New Roman" w:hAnsi="Times New Roman" w:cs="Times New Roman" w:eastAsia="Times New Roman" w:hint="default"/>
          <w:sz w:val="23"/>
          <w:szCs w:val="23"/>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具了《关于避</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免同业竞争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的承诺函</w:t>
            </w:r>
            <w:r>
              <w:rPr>
                <w:rFonts w:ascii="宋体" w:hAnsi="宋体" w:cs="宋体" w:eastAsia="宋体" w:hint="default"/>
                <w:spacing w:val="-90"/>
                <w:sz w:val="18"/>
                <w:szCs w:val="18"/>
              </w:rPr>
              <w:t>》</w:t>
            </w:r>
            <w:r>
              <w:rPr>
                <w:rFonts w:ascii="宋体" w:hAnsi="宋体" w:cs="宋体" w:eastAsia="宋体"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承诺：</w:t>
            </w:r>
            <w:r>
              <w:rPr>
                <w:rFonts w:ascii="Times New Roman" w:hAnsi="Times New Roman" w:cs="Times New Roman" w:eastAsia="Times New Roman" w:hint="default"/>
                <w:sz w:val="18"/>
                <w:szCs w:val="18"/>
              </w:rPr>
              <w:t>"1</w:t>
            </w:r>
            <w:r>
              <w:rPr>
                <w:rFonts w:ascii="宋体" w:hAnsi="宋体" w:cs="宋体" w:eastAsia="宋体" w:hint="default"/>
                <w:sz w:val="18"/>
                <w:szCs w:val="18"/>
              </w:rPr>
              <w:t>、截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至本承诺函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签署之日，本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人未直接或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间接经营（包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括但不限于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持有其他企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业股权、股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份、合伙份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额，在其他企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业担任董事、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高级管理人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员）与浩云科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技及其子公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司经营的业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务构成竞争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或可能构成</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竞争的业务。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、自本承诺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函签署之日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起，本人将不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直接或间接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经营（包括但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不限于持有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其他企业股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权、股份、合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伙份额，在其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他企业担任</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董事、高级管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理人员）与浩</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云科技及其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子公司目前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及未来经营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的业务构成</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竞争或可能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构成竞争的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业务。</w:t>
            </w:r>
            <w:r>
              <w:rPr>
                <w:rFonts w:ascii="Times New Roman" w:hAnsi="Times New Roman" w:cs="Times New Roman" w:eastAsia="Times New Roman" w:hint="default"/>
                <w:sz w:val="18"/>
                <w:szCs w:val="18"/>
              </w:rPr>
              <w:t>3</w:t>
            </w:r>
            <w:r>
              <w:rPr>
                <w:rFonts w:ascii="宋体" w:hAnsi="宋体" w:cs="宋体" w:eastAsia="宋体" w:hint="default"/>
                <w:sz w:val="18"/>
                <w:szCs w:val="18"/>
              </w:rPr>
              <w:t>、自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本承诺函签</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署之日起，凡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本人有任何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商业机会可</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87" w:footer="640" w:top="1100" w:bottom="840" w:left="0" w:right="0"/>
        </w:sectPr>
      </w:pPr>
    </w:p>
    <w:p>
      <w:pPr>
        <w:spacing w:line="240" w:lineRule="auto" w:before="4"/>
        <w:rPr>
          <w:rFonts w:ascii="Times New Roman" w:hAnsi="Times New Roman" w:cs="Times New Roman" w:eastAsia="Times New Roman" w:hint="default"/>
          <w:sz w:val="3"/>
          <w:szCs w:val="3"/>
        </w:rPr>
      </w:pPr>
      <w:r>
        <w:rPr/>
        <w:pict>
          <v:shape style="position:absolute;margin-left:361.480011pt;margin-top:655.23999pt;width:62pt;height:108.2pt;mso-position-horizontal-relative:page;mso-position-vertical-relative:page;z-index:-1170736"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10"/>
                    <w:rPr>
                      <w:rFonts w:ascii="Times New Roman" w:hAnsi="Times New Roman" w:cs="Times New Roman" w:eastAsia="Times New Roman" w:hint="default"/>
                      <w:sz w:val="26"/>
                      <w:szCs w:val="26"/>
                    </w:rPr>
                  </w:pPr>
                </w:p>
                <w:p>
                  <w:pPr>
                    <w:pStyle w:val="BodyText"/>
                    <w:spacing w:line="240" w:lineRule="auto"/>
                    <w:ind w:left="0" w:right="0"/>
                    <w:jc w:val="left"/>
                  </w:pPr>
                  <w:r>
                    <w:rPr/>
                    <w:t>、</w:t>
                  </w:r>
                </w:p>
              </w:txbxContent>
            </v:textbox>
            <w10:wrap type="none"/>
          </v:shape>
        </w:pict>
      </w:r>
      <w:r>
        <w:rPr/>
        <w:pict>
          <v:group style="position:absolute;margin-left:367.660004pt;margin-top:655.23999pt;width:55.85pt;height:108.2pt;mso-position-horizontal-relative:page;mso-position-vertical-relative:page;z-index:-1170712" coordorigin="7353,13105" coordsize="1117,2164">
            <v:shape style="position:absolute;left:7353;top:13105;width:1117;height:2164" coordorigin="7353,13105" coordsize="1117,2164" path="m7353,15269l8470,15269,8470,13105,7353,13105,7353,15269xe" filled="true" fillcolor="#ffffff" stroked="false">
              <v:path arrowok="t"/>
              <v:fill type="solid"/>
            </v:shape>
            <w10:wrap type="none"/>
          </v:group>
        </w:pict>
      </w:r>
    </w:p>
    <w:p>
      <w:pPr>
        <w:spacing w:line="20" w:lineRule="exact"/>
        <w:ind w:left="1096"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10"/>
        <w:rPr>
          <w:rFonts w:ascii="Times New Roman" w:hAnsi="Times New Roman" w:cs="Times New Roman" w:eastAsia="Times New Roman" w:hint="default"/>
          <w:sz w:val="23"/>
          <w:szCs w:val="23"/>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从事、参与或</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投资可能会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与浩云科技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及其子公司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目前及未来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的主营业务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构成竞争的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业务，本人会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将该等商业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机会让予浩</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云科技。</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本人将促使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本人直接或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间接控制的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其他经济实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体遵守上述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项承诺。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如本人或本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人直接或间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接控制的其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他经济实体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未履行上述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承诺而给浩</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云科技造成</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经济损失，本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人将承担相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3"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应的赔偿责</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5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任。</w:t>
            </w:r>
            <w:r>
              <w:rPr>
                <w:rFonts w:ascii="Times New Roman" w:hAnsi="Times New Roman" w:cs="Times New Roman" w:eastAsia="Times New Roman" w:hint="default"/>
                <w:sz w:val="18"/>
                <w:szCs w:val="18"/>
              </w:rPr>
              <w:t>"</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r>
        <w:trPr>
          <w:trHeight w:val="357" w:hRule="exact"/>
        </w:trPr>
        <w:tc>
          <w:tcPr>
            <w:tcW w:w="2836" w:type="dxa"/>
            <w:vMerge/>
            <w:tcBorders>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nil" w:sz="6" w:space="0" w:color="auto"/>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公司及其控</w:t>
            </w:r>
          </w:p>
        </w:tc>
        <w:tc>
          <w:tcPr>
            <w:tcW w:w="1126" w:type="dxa"/>
            <w:tcBorders>
              <w:top w:val="single" w:sz="4" w:space="0" w:color="000000"/>
              <w:left w:val="single" w:sz="4" w:space="0" w:color="000000"/>
              <w:bottom w:val="nil" w:sz="6" w:space="0" w:color="auto"/>
              <w:right w:val="single" w:sz="4" w:space="0" w:color="000000"/>
            </w:tcBorders>
          </w:tcPr>
          <w:p>
            <w:pPr/>
          </w:p>
        </w:tc>
        <w:tc>
          <w:tcPr>
            <w:tcW w:w="1121" w:type="dxa"/>
            <w:tcBorders>
              <w:top w:val="single" w:sz="4" w:space="0" w:color="000000"/>
              <w:left w:val="single" w:sz="4" w:space="0" w:color="000000"/>
              <w:bottom w:val="nil" w:sz="6" w:space="0" w:color="auto"/>
              <w:right w:val="single" w:sz="4" w:space="0" w:color="000000"/>
            </w:tcBorders>
          </w:tcPr>
          <w:p>
            <w:pPr/>
          </w:p>
        </w:tc>
        <w:tc>
          <w:tcPr>
            <w:tcW w:w="1108"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股股东茅庆</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江，直接或间</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接持有公司</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2496"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304" w:lineRule="auto" w:before="147"/>
              <w:ind w:left="23" w:right="89"/>
              <w:jc w:val="left"/>
              <w:rPr>
                <w:rFonts w:ascii="宋体" w:hAnsi="宋体" w:cs="宋体" w:eastAsia="宋体" w:hint="default"/>
                <w:sz w:val="18"/>
                <w:szCs w:val="18"/>
              </w:rPr>
            </w:pPr>
            <w:r>
              <w:rPr>
                <w:rFonts w:ascii="宋体" w:hAnsi="宋体" w:cs="宋体" w:eastAsia="宋体" w:hint="default"/>
                <w:sz w:val="18"/>
                <w:szCs w:val="18"/>
              </w:rPr>
              <w:t>陈翩</w:t>
            </w:r>
            <w:r>
              <w:rPr>
                <w:rFonts w:ascii="Times New Roman" w:hAnsi="Times New Roman" w:cs="Times New Roman" w:eastAsia="Times New Roman" w:hint="default"/>
                <w:sz w:val="18"/>
                <w:szCs w:val="18"/>
              </w:rPr>
              <w:t>;</w:t>
            </w:r>
            <w:r>
              <w:rPr>
                <w:rFonts w:ascii="宋体" w:hAnsi="宋体" w:cs="宋体" w:eastAsia="宋体" w:hint="default"/>
                <w:sz w:val="18"/>
                <w:szCs w:val="18"/>
              </w:rPr>
              <w:t>段汉文</w:t>
            </w:r>
            <w:r>
              <w:rPr>
                <w:rFonts w:ascii="Times New Roman" w:hAnsi="Times New Roman" w:cs="Times New Roman" w:eastAsia="Times New Roman" w:hint="default"/>
                <w:sz w:val="18"/>
                <w:szCs w:val="18"/>
              </w:rPr>
              <w:t>; </w:t>
            </w:r>
            <w:r>
              <w:rPr>
                <w:rFonts w:ascii="宋体" w:hAnsi="宋体" w:cs="宋体" w:eastAsia="宋体" w:hint="default"/>
                <w:sz w:val="18"/>
                <w:szCs w:val="18"/>
              </w:rPr>
              <w:t>浩云科技股 份有限公司</w:t>
            </w:r>
            <w:r>
              <w:rPr>
                <w:rFonts w:ascii="Times New Roman" w:hAnsi="Times New Roman" w:cs="Times New Roman" w:eastAsia="Times New Roman" w:hint="default"/>
                <w:sz w:val="18"/>
                <w:szCs w:val="18"/>
              </w:rPr>
              <w:t>; </w:t>
            </w:r>
            <w:r>
              <w:rPr>
                <w:rFonts w:ascii="宋体" w:hAnsi="宋体" w:cs="宋体" w:eastAsia="宋体" w:hint="default"/>
                <w:sz w:val="18"/>
                <w:szCs w:val="18"/>
              </w:rPr>
              <w:t>雷洪文</w:t>
            </w:r>
            <w:r>
              <w:rPr>
                <w:rFonts w:ascii="Times New Roman" w:hAnsi="Times New Roman" w:cs="Times New Roman" w:eastAsia="Times New Roman" w:hint="default"/>
                <w:sz w:val="18"/>
                <w:szCs w:val="18"/>
              </w:rPr>
              <w:t>;</w:t>
            </w:r>
            <w:r>
              <w:rPr>
                <w:rFonts w:ascii="宋体" w:hAnsi="宋体" w:cs="宋体" w:eastAsia="宋体" w:hint="default"/>
                <w:sz w:val="18"/>
                <w:szCs w:val="18"/>
              </w:rPr>
              <w:t>龙中 胜</w:t>
            </w:r>
            <w:r>
              <w:rPr>
                <w:rFonts w:ascii="Times New Roman" w:hAnsi="Times New Roman" w:cs="Times New Roman" w:eastAsia="Times New Roman" w:hint="default"/>
                <w:sz w:val="18"/>
                <w:szCs w:val="18"/>
              </w:rPr>
              <w:t>;</w:t>
            </w:r>
            <w:r>
              <w:rPr>
                <w:rFonts w:ascii="宋体" w:hAnsi="宋体" w:cs="宋体" w:eastAsia="宋体" w:hint="default"/>
                <w:sz w:val="18"/>
                <w:szCs w:val="18"/>
              </w:rPr>
              <w:t>茅屏萍</w:t>
            </w:r>
            <w:r>
              <w:rPr>
                <w:rFonts w:ascii="Times New Roman" w:hAnsi="Times New Roman" w:cs="Times New Roman" w:eastAsia="Times New Roman" w:hint="default"/>
                <w:sz w:val="18"/>
                <w:szCs w:val="18"/>
              </w:rPr>
              <w:t>;</w:t>
            </w:r>
            <w:r>
              <w:rPr>
                <w:rFonts w:ascii="宋体" w:hAnsi="宋体" w:cs="宋体" w:eastAsia="宋体" w:hint="default"/>
                <w:sz w:val="18"/>
                <w:szCs w:val="18"/>
              </w:rPr>
              <w:t>茅 庆江</w:t>
            </w:r>
            <w:r>
              <w:rPr>
                <w:rFonts w:ascii="Times New Roman" w:hAnsi="Times New Roman" w:cs="Times New Roman" w:eastAsia="Times New Roman" w:hint="default"/>
                <w:sz w:val="18"/>
                <w:szCs w:val="18"/>
              </w:rPr>
              <w:t>;</w:t>
            </w:r>
            <w:r>
              <w:rPr>
                <w:rFonts w:ascii="宋体" w:hAnsi="宋体" w:cs="宋体" w:eastAsia="宋体" w:hint="default"/>
                <w:sz w:val="18"/>
                <w:szCs w:val="18"/>
              </w:rPr>
              <w:t>徐彪</w:t>
            </w:r>
            <w:r>
              <w:rPr>
                <w:rFonts w:ascii="Times New Roman" w:hAnsi="Times New Roman" w:cs="Times New Roman" w:eastAsia="Times New Roman" w:hint="default"/>
                <w:sz w:val="18"/>
                <w:szCs w:val="18"/>
              </w:rPr>
              <w:t>;</w:t>
            </w:r>
            <w:r>
              <w:rPr>
                <w:rFonts w:ascii="宋体" w:hAnsi="宋体" w:cs="宋体" w:eastAsia="宋体" w:hint="default"/>
                <w:sz w:val="18"/>
                <w:szCs w:val="18"/>
              </w:rPr>
              <w:t>袁 小康</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302" w:lineRule="auto"/>
              <w:ind w:left="22" w:right="37"/>
              <w:jc w:val="left"/>
              <w:rPr>
                <w:rFonts w:ascii="宋体" w:hAnsi="宋体" w:cs="宋体" w:eastAsia="宋体" w:hint="default"/>
                <w:sz w:val="18"/>
                <w:szCs w:val="18"/>
              </w:rPr>
            </w:pPr>
            <w:r>
              <w:rPr>
                <w:rFonts w:ascii="Times New Roman" w:hAnsi="Times New Roman" w:cs="Times New Roman" w:eastAsia="Times New Roman" w:hint="default"/>
                <w:sz w:val="18"/>
                <w:szCs w:val="18"/>
              </w:rPr>
              <w:t>IPO</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稳定股价 承诺</w:t>
            </w: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股份的董事</w:t>
            </w:r>
          </w:p>
          <w:p>
            <w:pPr>
              <w:pStyle w:val="TableParagraph"/>
              <w:spacing w:line="316" w:lineRule="auto" w:before="76"/>
              <w:ind w:left="22" w:right="12"/>
              <w:jc w:val="left"/>
              <w:rPr>
                <w:rFonts w:ascii="宋体" w:hAnsi="宋体" w:cs="宋体" w:eastAsia="宋体" w:hint="default"/>
                <w:sz w:val="18"/>
                <w:szCs w:val="18"/>
              </w:rPr>
            </w:pPr>
            <w:r>
              <w:rPr>
                <w:rFonts w:ascii="宋体" w:hAnsi="宋体" w:cs="宋体" w:eastAsia="宋体" w:hint="default"/>
                <w:sz w:val="18"/>
                <w:szCs w:val="18"/>
              </w:rPr>
              <w:t>（外部董事、 独立董事除 </w:t>
            </w:r>
            <w:r>
              <w:rPr>
                <w:rFonts w:ascii="宋体" w:hAnsi="宋体" w:cs="宋体" w:eastAsia="宋体" w:hint="default"/>
                <w:spacing w:val="-15"/>
                <w:sz w:val="18"/>
                <w:szCs w:val="18"/>
              </w:rPr>
              <w:t>外，下同）、</w:t>
            </w:r>
            <w:r>
              <w:rPr>
                <w:rFonts w:ascii="宋体" w:hAnsi="宋体" w:cs="宋体" w:eastAsia="宋体" w:hint="default"/>
                <w:sz w:val="18"/>
                <w:szCs w:val="18"/>
              </w:rPr>
              <w:t> 高级管理人 员茅庆江、雷 洪文、袁小 康、徐彪、茅</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9"/>
              <w:ind w:left="22" w:right="0"/>
              <w:jc w:val="left"/>
              <w:rPr>
                <w:rFonts w:ascii="Times New Roman" w:hAnsi="Times New Roman" w:cs="Times New Roman" w:eastAsia="Times New Roman" w:hint="default"/>
                <w:sz w:val="18"/>
                <w:szCs w:val="18"/>
              </w:rPr>
            </w:pPr>
            <w:r>
              <w:rPr>
                <w:rFonts w:ascii="Times New Roman"/>
                <w:sz w:val="18"/>
              </w:rPr>
              <w:t>2015.04.24-20</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18.04.24</w:t>
            </w:r>
          </w:p>
        </w:tc>
        <w:tc>
          <w:tcPr>
            <w:tcW w:w="110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319" w:lineRule="auto"/>
              <w:ind w:left="22" w:right="-5"/>
              <w:jc w:val="left"/>
              <w:rPr>
                <w:rFonts w:ascii="宋体" w:hAnsi="宋体" w:cs="宋体" w:eastAsia="宋体" w:hint="default"/>
                <w:sz w:val="18"/>
                <w:szCs w:val="18"/>
              </w:rPr>
            </w:pPr>
            <w:r>
              <w:rPr>
                <w:rFonts w:ascii="宋体" w:hAnsi="宋体" w:cs="宋体" w:eastAsia="宋体" w:hint="default"/>
                <w:spacing w:val="-5"/>
                <w:sz w:val="18"/>
                <w:szCs w:val="18"/>
              </w:rPr>
              <w:t>报告期内，承</w:t>
            </w:r>
            <w:r>
              <w:rPr>
                <w:rFonts w:ascii="宋体" w:hAnsi="宋体" w:cs="宋体" w:eastAsia="宋体" w:hint="default"/>
                <w:sz w:val="18"/>
                <w:szCs w:val="18"/>
              </w:rPr>
              <w:t> 诺人严格遵 </w:t>
            </w:r>
            <w:r>
              <w:rPr>
                <w:rFonts w:ascii="宋体" w:hAnsi="宋体" w:cs="宋体" w:eastAsia="宋体" w:hint="default"/>
                <w:spacing w:val="-5"/>
                <w:sz w:val="18"/>
                <w:szCs w:val="18"/>
              </w:rPr>
              <w:t>守承诺，未发</w:t>
            </w:r>
            <w:r>
              <w:rPr>
                <w:rFonts w:ascii="宋体" w:hAnsi="宋体" w:cs="宋体" w:eastAsia="宋体" w:hint="default"/>
                <w:sz w:val="18"/>
                <w:szCs w:val="18"/>
              </w:rPr>
              <w:t> 现存在违反 承诺的情况。</w:t>
            </w: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屏萍、龙中</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胜、段汉文、</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陈翩承诺：</w:t>
            </w:r>
            <w:r>
              <w:rPr>
                <w:rFonts w:ascii="Times New Roman" w:hAnsi="Times New Roman" w:cs="Times New Roman" w:eastAsia="Times New Roman" w:hint="default"/>
                <w:sz w:val="18"/>
                <w:szCs w:val="18"/>
              </w:rPr>
              <w:t>1</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启动股价稳</w:t>
            </w:r>
          </w:p>
        </w:tc>
        <w:tc>
          <w:tcPr>
            <w:tcW w:w="1126" w:type="dxa"/>
            <w:tcBorders>
              <w:top w:val="nil" w:sz="6" w:space="0" w:color="auto"/>
              <w:left w:val="single" w:sz="4" w:space="0" w:color="000000"/>
              <w:bottom w:val="single" w:sz="4" w:space="0" w:color="000000"/>
              <w:right w:val="single" w:sz="4" w:space="0" w:color="000000"/>
            </w:tcBorders>
          </w:tcPr>
          <w:p>
            <w:pPr/>
          </w:p>
        </w:tc>
        <w:tc>
          <w:tcPr>
            <w:tcW w:w="1121" w:type="dxa"/>
            <w:tcBorders>
              <w:top w:val="nil" w:sz="6" w:space="0" w:color="auto"/>
              <w:left w:val="single" w:sz="4" w:space="0" w:color="000000"/>
              <w:bottom w:val="single" w:sz="4" w:space="0" w:color="000000"/>
              <w:right w:val="single" w:sz="4" w:space="0" w:color="000000"/>
            </w:tcBorders>
          </w:tcPr>
          <w:p>
            <w:pPr/>
          </w:p>
        </w:tc>
        <w:tc>
          <w:tcPr>
            <w:tcW w:w="1108"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87" w:footer="640" w:top="1100" w:bottom="840" w:left="0" w:right="0"/>
        </w:sectPr>
      </w:pPr>
    </w:p>
    <w:p>
      <w:pPr>
        <w:spacing w:line="240" w:lineRule="auto" w:before="4"/>
        <w:rPr>
          <w:rFonts w:ascii="Times New Roman" w:hAnsi="Times New Roman" w:cs="Times New Roman" w:eastAsia="Times New Roman" w:hint="default"/>
          <w:sz w:val="3"/>
          <w:szCs w:val="3"/>
        </w:rPr>
      </w:pPr>
      <w:r>
        <w:rPr/>
        <w:pict>
          <v:shape style="position:absolute;margin-left:361.480011pt;margin-top:72.47998pt;width:62pt;height:686.5pt;mso-position-horizontal-relative:page;mso-position-vertical-relative:page;z-index:-1170640"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pStyle w:val="BodyText"/>
                    <w:spacing w:line="240" w:lineRule="auto" w:before="115"/>
                    <w:ind w:left="0" w:right="0"/>
                    <w:jc w:val="left"/>
                  </w:pPr>
                  <w:r>
                    <w:rPr/>
                    <w:t>）</w:t>
                  </w:r>
                </w:p>
              </w:txbxContent>
            </v:textbox>
            <w10:wrap type="none"/>
          </v:shape>
        </w:pict>
      </w:r>
    </w:p>
    <w:p>
      <w:pPr>
        <w:spacing w:line="20" w:lineRule="exact"/>
        <w:ind w:left="1096"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10"/>
        <w:rPr>
          <w:rFonts w:ascii="Times New Roman" w:hAnsi="Times New Roman" w:cs="Times New Roman" w:eastAsia="Times New Roman" w:hint="default"/>
          <w:sz w:val="23"/>
          <w:szCs w:val="23"/>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定措施的具</w:t>
            </w:r>
          </w:p>
        </w:tc>
        <w:tc>
          <w:tcPr>
            <w:tcW w:w="1126" w:type="dxa"/>
            <w:vMerge w:val="restart"/>
            <w:tcBorders>
              <w:top w:val="single" w:sz="4" w:space="0" w:color="000000"/>
              <w:left w:val="single" w:sz="4" w:space="0" w:color="000000"/>
              <w:right w:val="single" w:sz="4" w:space="0" w:color="000000"/>
            </w:tcBorders>
          </w:tcPr>
          <w:p>
            <w:pPr>
              <w:pStyle w:val="TableParagraph"/>
              <w:spacing w:line="13729"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74"/>
                <w:sz w:val="20"/>
                <w:szCs w:val="20"/>
              </w:rPr>
              <w:pict>
                <v:group style="width:55.85pt;height:686.5pt;mso-position-horizontal-relative:char;mso-position-vertical-relative:line" coordorigin="0,0" coordsize="1117,13730">
                  <v:group style="position:absolute;left:0;top:0;width:1117;height:13730" coordorigin="0,0" coordsize="1117,13730">
                    <v:shape style="position:absolute;left:0;top:0;width:1117;height:13730" coordorigin="0,0" coordsize="1117,13730" path="m0,13729l1116,13729,1116,0,0,0,0,13729xe" filled="true" fillcolor="#ffffff" stroked="false">
                      <v:path arrowok="t"/>
                      <v:fill type="solid"/>
                    </v:shape>
                  </v:group>
                </v:group>
              </w:pict>
            </w:r>
            <w:r>
              <w:rPr>
                <w:rFonts w:ascii="Times New Roman" w:hAnsi="Times New Roman" w:cs="Times New Roman" w:eastAsia="Times New Roman" w:hint="default"/>
                <w:position w:val="-274"/>
                <w:sz w:val="20"/>
                <w:szCs w:val="20"/>
              </w:rPr>
            </w: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体条件</w:t>
            </w:r>
            <w:r>
              <w:rPr>
                <w:rFonts w:ascii="宋体" w:hAnsi="宋体" w:cs="宋体" w:eastAsia="宋体" w:hint="default"/>
                <w:spacing w:val="80"/>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预警条件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如果公司在</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A</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股股票正式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挂牌上市之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日起三年内，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公司股价连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日收盘价（如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果因派发现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金红利、送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股、转增股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本、增发新股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等原因进行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除权、除息</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的，须按照深</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圳证券交易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所的有关规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定作复权处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理，下同）低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于公司上一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个会计年度</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经审计的摊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薄每股净资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产（每股净资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产</w:t>
            </w:r>
            <w:r>
              <w:rPr>
                <w:rFonts w:ascii="Times New Roman" w:hAnsi="Times New Roman" w:cs="Times New Roman" w:eastAsia="Times New Roman" w:hint="default"/>
                <w:sz w:val="18"/>
                <w:szCs w:val="18"/>
              </w:rPr>
              <w:t>=</w:t>
            </w:r>
            <w:r>
              <w:rPr>
                <w:rFonts w:ascii="宋体" w:hAnsi="宋体" w:cs="宋体" w:eastAsia="宋体" w:hint="default"/>
                <w:sz w:val="18"/>
                <w:szCs w:val="18"/>
              </w:rPr>
              <w:t>合并财务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报表中归属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于母公司普</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通股股东权</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益合计数</w:t>
            </w:r>
            <w:r>
              <w:rPr>
                <w:rFonts w:ascii="Times New Roman" w:hAnsi="Times New Roman" w:cs="Times New Roman" w:eastAsia="Times New Roman" w:hint="default"/>
                <w:sz w:val="18"/>
                <w:szCs w:val="18"/>
              </w:rPr>
              <w:t>÷</w:t>
            </w:r>
            <w:r>
              <w:rPr>
                <w:rFonts w:ascii="宋体" w:hAnsi="宋体" w:cs="宋体" w:eastAsia="宋体" w:hint="default"/>
                <w:sz w:val="18"/>
                <w:szCs w:val="18"/>
              </w:rPr>
              <w:t>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末公司股份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总数，下同）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110%</w:t>
            </w:r>
            <w:r>
              <w:rPr>
                <w:rFonts w:ascii="宋体" w:hAnsi="宋体" w:cs="宋体" w:eastAsia="宋体" w:hint="default"/>
                <w:sz w:val="18"/>
                <w:szCs w:val="18"/>
              </w:rPr>
              <w:t>时，公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司、实际控制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人</w:t>
            </w:r>
            <w:r>
              <w:rPr>
                <w:rFonts w:ascii="Times New Roman" w:hAnsi="Times New Roman" w:cs="Times New Roman" w:eastAsia="Times New Roman" w:hint="default"/>
                <w:sz w:val="18"/>
                <w:szCs w:val="18"/>
              </w:rPr>
              <w:t>/</w:t>
            </w:r>
            <w:r>
              <w:rPr>
                <w:rFonts w:ascii="宋体" w:hAnsi="宋体" w:cs="宋体" w:eastAsia="宋体" w:hint="default"/>
                <w:sz w:val="18"/>
                <w:szCs w:val="18"/>
              </w:rPr>
              <w:t>控股股东</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及董事和高</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级管理人员</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将在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易日内讨论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并拟定关于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稳定股价的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预案</w:t>
            </w:r>
            <w:r>
              <w:rPr>
                <w:rFonts w:ascii="宋体" w:hAnsi="宋体" w:cs="宋体" w:eastAsia="宋体" w:hint="default"/>
                <w:spacing w:val="-95"/>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pacing w:val="-5"/>
                <w:sz w:val="18"/>
                <w:szCs w:val="18"/>
              </w:rPr>
              <w:t>）启</w:t>
            </w:r>
            <w:r>
              <w:rPr>
                <w:rFonts w:ascii="宋体" w:hAnsi="宋体" w:cs="宋体" w:eastAsia="宋体" w:hint="default"/>
                <w:sz w:val="18"/>
                <w:szCs w:val="18"/>
              </w:rPr>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3"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tabs>
                <w:tab w:pos="832" w:val="left" w:leader="none"/>
              </w:tabs>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动条件</w:t>
              <w:tab/>
              <w:t>如</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87" w:footer="640" w:top="1100" w:bottom="840" w:left="0" w:right="0"/>
        </w:sectPr>
      </w:pPr>
    </w:p>
    <w:p>
      <w:pPr>
        <w:spacing w:line="240" w:lineRule="auto" w:before="4"/>
        <w:rPr>
          <w:rFonts w:ascii="Times New Roman" w:hAnsi="Times New Roman" w:cs="Times New Roman" w:eastAsia="Times New Roman" w:hint="default"/>
          <w:sz w:val="3"/>
          <w:szCs w:val="3"/>
        </w:rPr>
      </w:pPr>
    </w:p>
    <w:p>
      <w:pPr>
        <w:spacing w:line="20" w:lineRule="exact"/>
        <w:ind w:left="1096"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10"/>
        <w:rPr>
          <w:rFonts w:ascii="Times New Roman" w:hAnsi="Times New Roman" w:cs="Times New Roman" w:eastAsia="Times New Roman" w:hint="default"/>
          <w:sz w:val="23"/>
          <w:szCs w:val="23"/>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22"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果公司在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A</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股股票正式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挂牌上市之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日起三年内，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公司股价连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日收盘价低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于公司上一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个会计年度</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经审计的摊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薄每股净资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产时，公司、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实际控制人</w:t>
            </w:r>
            <w:r>
              <w:rPr>
                <w:rFonts w:ascii="Times New Roman" w:hAnsi="Times New Roman" w:cs="Times New Roman" w:eastAsia="Times New Roman"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控股股东及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董事和高级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管理人员将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依据法律法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规、公司章程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规定制定并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实施股价稳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定措施，并应</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提前公告具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体实施方案。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、可能采取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的具体措施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当上述启动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股价稳定措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施的条件满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足时，将按顺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序采取如下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部分或全部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措施稳定公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司股价</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公司回购股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票  董事会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应在股价稳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定措施的启</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动条件所述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情形出现</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个交易日内</w:t>
            </w:r>
            <w:r>
              <w:rPr>
                <w:rFonts w:ascii="Times New Roman" w:hAnsi="Times New Roman" w:cs="Times New Roman" w:eastAsia="Times New Roman"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参照公司股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价表现并结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合公司经营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状况确定回</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87" w:footer="640" w:top="1100" w:bottom="840" w:left="0" w:right="0"/>
        </w:sectPr>
      </w:pPr>
    </w:p>
    <w:p>
      <w:pPr>
        <w:spacing w:line="240" w:lineRule="auto" w:before="4"/>
        <w:rPr>
          <w:rFonts w:ascii="Times New Roman" w:hAnsi="Times New Roman" w:cs="Times New Roman" w:eastAsia="Times New Roman" w:hint="default"/>
          <w:sz w:val="3"/>
          <w:szCs w:val="3"/>
        </w:rPr>
      </w:pPr>
    </w:p>
    <w:p>
      <w:pPr>
        <w:spacing w:line="20" w:lineRule="exact"/>
        <w:ind w:left="1096"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10"/>
        <w:rPr>
          <w:rFonts w:ascii="Times New Roman" w:hAnsi="Times New Roman" w:cs="Times New Roman" w:eastAsia="Times New Roman" w:hint="default"/>
          <w:sz w:val="23"/>
          <w:szCs w:val="23"/>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购价格和数</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量区间，拟定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回购股票的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方案，对外公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告</w:t>
            </w:r>
            <w:r>
              <w:rPr>
                <w:rFonts w:ascii="Times New Roman" w:hAnsi="Times New Roman" w:cs="Times New Roman" w:eastAsia="Times New Roman" w:hint="default"/>
                <w:sz w:val="18"/>
                <w:szCs w:val="18"/>
              </w:rPr>
              <w:t>;</w:t>
            </w:r>
            <w:r>
              <w:rPr>
                <w:rFonts w:ascii="宋体" w:hAnsi="宋体" w:cs="宋体" w:eastAsia="宋体" w:hint="default"/>
                <w:sz w:val="18"/>
                <w:szCs w:val="18"/>
              </w:rPr>
              <w:t>回购方案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经股东大会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审议通过后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个月内，由公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司按照相关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规定在二级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市场以集中</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竞价方式、要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约方式及</w:t>
            </w:r>
            <w:r>
              <w:rPr>
                <w:rFonts w:ascii="Times New Roman" w:hAnsi="Times New Roman" w:cs="Times New Roman" w:eastAsia="Times New Roman" w:hint="default"/>
                <w:sz w:val="18"/>
                <w:szCs w:val="18"/>
              </w:rPr>
              <w:t>/</w:t>
            </w:r>
            <w:r>
              <w:rPr>
                <w:rFonts w:ascii="宋体" w:hAnsi="宋体" w:cs="宋体" w:eastAsia="宋体" w:hint="default"/>
                <w:sz w:val="18"/>
                <w:szCs w:val="18"/>
              </w:rPr>
              <w:t>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其他合法方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式回购公司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股份，回购的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股份将予以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注销</w:t>
            </w:r>
            <w:r>
              <w:rPr>
                <w:rFonts w:ascii="宋体" w:hAnsi="宋体" w:cs="宋体" w:eastAsia="宋体" w:hint="default"/>
                <w:spacing w:val="-95"/>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pacing w:val="-5"/>
                <w:sz w:val="18"/>
                <w:szCs w:val="18"/>
              </w:rPr>
              <w:t>）控</w:t>
            </w:r>
            <w:r>
              <w:rPr>
                <w:rFonts w:ascii="宋体" w:hAnsi="宋体" w:cs="宋体" w:eastAsia="宋体" w:hint="default"/>
                <w:sz w:val="18"/>
                <w:szCs w:val="18"/>
              </w:rPr>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股股东、实际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控制人增持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公司股票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公司控股股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东、实际控制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人茅庆江承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诺：将于股价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稳定措施的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启动条件所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述情形出现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内，依照公司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内部决策程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序，拟定增持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计划，明确增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持数量、方式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和期限，对外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公告，并于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个月内完成</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增持计划。①</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增持方式：集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中竞价交易、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大宗交易、协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议转让及</w:t>
            </w:r>
            <w:r>
              <w:rPr>
                <w:rFonts w:ascii="Times New Roman" w:hAnsi="Times New Roman" w:cs="Times New Roman" w:eastAsia="Times New Roman" w:hint="default"/>
                <w:sz w:val="18"/>
                <w:szCs w:val="18"/>
              </w:rPr>
              <w:t>/</w:t>
            </w:r>
            <w:r>
              <w:rPr>
                <w:rFonts w:ascii="宋体" w:hAnsi="宋体" w:cs="宋体" w:eastAsia="宋体" w:hint="default"/>
                <w:sz w:val="18"/>
                <w:szCs w:val="18"/>
              </w:rPr>
              <w:t>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其他合法方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式；②增持股</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87" w:footer="640" w:top="1100" w:bottom="840" w:left="0" w:right="0"/>
        </w:sectPr>
      </w:pPr>
    </w:p>
    <w:p>
      <w:pPr>
        <w:spacing w:line="240" w:lineRule="auto" w:before="4"/>
        <w:rPr>
          <w:rFonts w:ascii="Times New Roman" w:hAnsi="Times New Roman" w:cs="Times New Roman" w:eastAsia="Times New Roman" w:hint="default"/>
          <w:sz w:val="3"/>
          <w:szCs w:val="3"/>
        </w:rPr>
      </w:pPr>
    </w:p>
    <w:p>
      <w:pPr>
        <w:spacing w:line="20" w:lineRule="exact"/>
        <w:ind w:left="1096"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10"/>
        <w:rPr>
          <w:rFonts w:ascii="Times New Roman" w:hAnsi="Times New Roman" w:cs="Times New Roman" w:eastAsia="Times New Roman" w:hint="default"/>
          <w:sz w:val="23"/>
          <w:szCs w:val="23"/>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份数量、比例</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及价格：计划</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增持股份数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量不低于公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司总股本的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pacing w:val="-10"/>
                <w:sz w:val="18"/>
                <w:szCs w:val="18"/>
              </w:rPr>
              <w:t>1%</w:t>
            </w:r>
            <w:r>
              <w:rPr>
                <w:rFonts w:ascii="宋体" w:hAnsi="宋体" w:cs="宋体" w:eastAsia="宋体" w:hint="default"/>
                <w:spacing w:val="-10"/>
                <w:sz w:val="18"/>
                <w:szCs w:val="18"/>
              </w:rPr>
              <w:t>，但不超过</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公司总股本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；增持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公司股份的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价格不高于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公司上一会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计年度经审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计的每股净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资产；③其他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事项：在实施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上述增持计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划过程中，如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公司股票连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日的收盘价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均高于当日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公司已公告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每股净资产，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则可中止实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施股份增持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计划。增持行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为严格遵守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《证券法</w:t>
            </w:r>
            <w:r>
              <w:rPr>
                <w:rFonts w:ascii="宋体" w:hAnsi="宋体" w:cs="宋体" w:eastAsia="宋体" w:hint="default"/>
                <w:spacing w:val="-90"/>
                <w:sz w:val="18"/>
                <w:szCs w:val="18"/>
              </w:rPr>
              <w:t>》</w:t>
            </w:r>
            <w:r>
              <w:rPr>
                <w:rFonts w:ascii="宋体" w:hAnsi="宋体" w:cs="宋体" w:eastAsia="宋体"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《公司法》以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及其他法律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法规的相关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规定，在增持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期间及法定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期限内不减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持其所持有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的公司股份。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）董事和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高级管理人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员增持公司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tabs>
                <w:tab w:pos="652" w:val="left" w:leader="none"/>
              </w:tabs>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股票</w:t>
              <w:tab/>
              <w:t>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董事（外部董</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事、独立董事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除外）和高级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管理人员承</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87" w:footer="640" w:top="1100" w:bottom="840" w:left="0" w:right="0"/>
        </w:sectPr>
      </w:pPr>
    </w:p>
    <w:p>
      <w:pPr>
        <w:spacing w:line="240" w:lineRule="auto" w:before="4"/>
        <w:rPr>
          <w:rFonts w:ascii="Times New Roman" w:hAnsi="Times New Roman" w:cs="Times New Roman" w:eastAsia="Times New Roman" w:hint="default"/>
          <w:sz w:val="3"/>
          <w:szCs w:val="3"/>
        </w:rPr>
      </w:pPr>
    </w:p>
    <w:p>
      <w:pPr>
        <w:spacing w:line="20" w:lineRule="exact"/>
        <w:ind w:left="1096"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10"/>
        <w:rPr>
          <w:rFonts w:ascii="Times New Roman" w:hAnsi="Times New Roman" w:cs="Times New Roman" w:eastAsia="Times New Roman" w:hint="default"/>
          <w:sz w:val="23"/>
          <w:szCs w:val="23"/>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诺：将于股价</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稳定措施的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启动条件所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述情形出现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内，依照公司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内部决策程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序，拟定增持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计划，明确增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持数量、方式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和期限，对外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公告，并于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个月内完成</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增持计划。①</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增持方式：集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中竞价交易、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大宗交易、协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议转让及</w:t>
            </w:r>
            <w:r>
              <w:rPr>
                <w:rFonts w:ascii="Times New Roman" w:hAnsi="Times New Roman" w:cs="Times New Roman" w:eastAsia="Times New Roman" w:hint="default"/>
                <w:sz w:val="18"/>
                <w:szCs w:val="18"/>
              </w:rPr>
              <w:t>/</w:t>
            </w:r>
            <w:r>
              <w:rPr>
                <w:rFonts w:ascii="宋体" w:hAnsi="宋体" w:cs="宋体" w:eastAsia="宋体" w:hint="default"/>
                <w:sz w:val="18"/>
                <w:szCs w:val="18"/>
              </w:rPr>
              <w:t>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其他合法方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式；②增持股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份数量、比例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及价格：用于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增持公司股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份的资金不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少于该等董</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事、高级管理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人员上年度</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自公司领取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薪酬总和（税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前，下同）的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宋体" w:hAnsi="宋体" w:cs="宋体" w:eastAsia="宋体" w:hint="default"/>
                <w:sz w:val="18"/>
                <w:szCs w:val="18"/>
              </w:rPr>
              <w:t>，但不超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过该等董事、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高级管理人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员上年度的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薪酬总和；增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持公司股份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的价格不高</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于公司上一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会计年度经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审计的每股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净资产；③其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他事项：在实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施上述增持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计划过程中，</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87" w:footer="640" w:top="1100" w:bottom="840" w:left="0" w:right="0"/>
        </w:sectPr>
      </w:pPr>
    </w:p>
    <w:p>
      <w:pPr>
        <w:spacing w:line="240" w:lineRule="auto" w:before="4"/>
        <w:rPr>
          <w:rFonts w:ascii="Times New Roman" w:hAnsi="Times New Roman" w:cs="Times New Roman" w:eastAsia="Times New Roman" w:hint="default"/>
          <w:sz w:val="3"/>
          <w:szCs w:val="3"/>
        </w:rPr>
      </w:pPr>
    </w:p>
    <w:p>
      <w:pPr>
        <w:spacing w:line="20" w:lineRule="exact"/>
        <w:ind w:left="1096"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10"/>
        <w:rPr>
          <w:rFonts w:ascii="Times New Roman" w:hAnsi="Times New Roman" w:cs="Times New Roman" w:eastAsia="Times New Roman" w:hint="default"/>
          <w:sz w:val="23"/>
          <w:szCs w:val="23"/>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10"/>
      </w:tblGrid>
      <w:tr>
        <w:trPr>
          <w:trHeight w:val="6291"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12"/>
              <w:jc w:val="left"/>
              <w:rPr>
                <w:rFonts w:ascii="宋体" w:hAnsi="宋体" w:cs="宋体" w:eastAsia="宋体" w:hint="default"/>
                <w:sz w:val="18"/>
                <w:szCs w:val="18"/>
              </w:rPr>
            </w:pPr>
            <w:r>
              <w:rPr>
                <w:rFonts w:ascii="宋体" w:hAnsi="宋体" w:cs="宋体" w:eastAsia="宋体" w:hint="default"/>
                <w:sz w:val="18"/>
                <w:szCs w:val="18"/>
              </w:rPr>
              <w:t>如公司股票 连续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 易日的收盘 价均高于当 日公司已公 告每股净资 产，则本人可 中止实施股 份增持计划。 增持行为严 格遵守《证券 </w:t>
            </w:r>
            <w:r>
              <w:rPr>
                <w:rFonts w:ascii="宋体" w:hAnsi="宋体" w:cs="宋体" w:eastAsia="宋体" w:hint="default"/>
                <w:spacing w:val="-30"/>
                <w:sz w:val="18"/>
                <w:szCs w:val="18"/>
              </w:rPr>
              <w:t>法》、《公司</w:t>
            </w:r>
            <w:r>
              <w:rPr>
                <w:rFonts w:ascii="宋体" w:hAnsi="宋体" w:cs="宋体" w:eastAsia="宋体" w:hint="default"/>
                <w:sz w:val="18"/>
                <w:szCs w:val="18"/>
              </w:rPr>
              <w:t> 法》以及其他 法律法规的 相关规定，在 增持期间及 法定期限内 不减持其所 持有的公司 股份。</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r>
      <w:tr>
        <w:trPr>
          <w:trHeight w:val="7539"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2" w:lineRule="auto" w:before="145"/>
              <w:ind w:left="23" w:right="89"/>
              <w:jc w:val="left"/>
              <w:rPr>
                <w:rFonts w:ascii="宋体" w:hAnsi="宋体" w:cs="宋体" w:eastAsia="宋体" w:hint="default"/>
                <w:sz w:val="18"/>
                <w:szCs w:val="18"/>
              </w:rPr>
            </w:pPr>
            <w:r>
              <w:rPr>
                <w:rFonts w:ascii="宋体" w:hAnsi="宋体" w:cs="宋体" w:eastAsia="宋体" w:hint="default"/>
                <w:sz w:val="18"/>
                <w:szCs w:val="18"/>
              </w:rPr>
              <w:t>陈翩</w:t>
            </w:r>
            <w:r>
              <w:rPr>
                <w:rFonts w:ascii="Times New Roman" w:hAnsi="Times New Roman" w:cs="Times New Roman" w:eastAsia="Times New Roman" w:hint="default"/>
                <w:sz w:val="18"/>
                <w:szCs w:val="18"/>
              </w:rPr>
              <w:t>;</w:t>
            </w:r>
            <w:r>
              <w:rPr>
                <w:rFonts w:ascii="宋体" w:hAnsi="宋体" w:cs="宋体" w:eastAsia="宋体" w:hint="default"/>
                <w:sz w:val="18"/>
                <w:szCs w:val="18"/>
              </w:rPr>
              <w:t>段汉文</w:t>
            </w:r>
            <w:r>
              <w:rPr>
                <w:rFonts w:ascii="Times New Roman" w:hAnsi="Times New Roman" w:cs="Times New Roman" w:eastAsia="Times New Roman" w:hint="default"/>
                <w:sz w:val="18"/>
                <w:szCs w:val="18"/>
              </w:rPr>
              <w:t>; </w:t>
            </w:r>
            <w:r>
              <w:rPr>
                <w:rFonts w:ascii="宋体" w:hAnsi="宋体" w:cs="宋体" w:eastAsia="宋体" w:hint="default"/>
                <w:sz w:val="18"/>
                <w:szCs w:val="18"/>
              </w:rPr>
              <w:t>高传江</w:t>
            </w:r>
            <w:r>
              <w:rPr>
                <w:rFonts w:ascii="Times New Roman" w:hAnsi="Times New Roman" w:cs="Times New Roman" w:eastAsia="Times New Roman" w:hint="default"/>
                <w:sz w:val="18"/>
                <w:szCs w:val="18"/>
              </w:rPr>
              <w:t>;</w:t>
            </w:r>
            <w:r>
              <w:rPr>
                <w:rFonts w:ascii="宋体" w:hAnsi="宋体" w:cs="宋体" w:eastAsia="宋体" w:hint="default"/>
                <w:sz w:val="18"/>
                <w:szCs w:val="18"/>
              </w:rPr>
              <w:t>浩云 科技股份有 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雷洪 文</w:t>
            </w:r>
            <w:r>
              <w:rPr>
                <w:rFonts w:ascii="Times New Roman" w:hAnsi="Times New Roman" w:cs="Times New Roman" w:eastAsia="Times New Roman" w:hint="default"/>
                <w:sz w:val="18"/>
                <w:szCs w:val="18"/>
              </w:rPr>
              <w:t>;</w:t>
            </w:r>
            <w:r>
              <w:rPr>
                <w:rFonts w:ascii="宋体" w:hAnsi="宋体" w:cs="宋体" w:eastAsia="宋体" w:hint="default"/>
                <w:sz w:val="18"/>
                <w:szCs w:val="18"/>
              </w:rPr>
              <w:t>龙罡</w:t>
            </w:r>
            <w:r>
              <w:rPr>
                <w:rFonts w:ascii="Times New Roman" w:hAnsi="Times New Roman" w:cs="Times New Roman" w:eastAsia="Times New Roman" w:hint="default"/>
                <w:sz w:val="18"/>
                <w:szCs w:val="18"/>
              </w:rPr>
              <w:t>;</w:t>
            </w:r>
            <w:r>
              <w:rPr>
                <w:rFonts w:ascii="宋体" w:hAnsi="宋体" w:cs="宋体" w:eastAsia="宋体" w:hint="default"/>
                <w:sz w:val="18"/>
                <w:szCs w:val="18"/>
              </w:rPr>
              <w:t>龙中 胜</w:t>
            </w:r>
            <w:r>
              <w:rPr>
                <w:rFonts w:ascii="Times New Roman" w:hAnsi="Times New Roman" w:cs="Times New Roman" w:eastAsia="Times New Roman" w:hint="default"/>
                <w:sz w:val="18"/>
                <w:szCs w:val="18"/>
              </w:rPr>
              <w:t>;</w:t>
            </w:r>
            <w:r>
              <w:rPr>
                <w:rFonts w:ascii="宋体" w:hAnsi="宋体" w:cs="宋体" w:eastAsia="宋体" w:hint="default"/>
                <w:sz w:val="18"/>
                <w:szCs w:val="18"/>
              </w:rPr>
              <w:t>茅屏萍</w:t>
            </w:r>
            <w:r>
              <w:rPr>
                <w:rFonts w:ascii="Times New Roman" w:hAnsi="Times New Roman" w:cs="Times New Roman" w:eastAsia="Times New Roman" w:hint="default"/>
                <w:sz w:val="18"/>
                <w:szCs w:val="18"/>
              </w:rPr>
              <w:t>;</w:t>
            </w:r>
            <w:r>
              <w:rPr>
                <w:rFonts w:ascii="宋体" w:hAnsi="宋体" w:cs="宋体" w:eastAsia="宋体" w:hint="default"/>
                <w:sz w:val="18"/>
                <w:szCs w:val="18"/>
              </w:rPr>
              <w:t>茅 庆江</w:t>
            </w:r>
            <w:r>
              <w:rPr>
                <w:rFonts w:ascii="Times New Roman" w:hAnsi="Times New Roman" w:cs="Times New Roman" w:eastAsia="Times New Roman" w:hint="default"/>
                <w:sz w:val="18"/>
                <w:szCs w:val="18"/>
              </w:rPr>
              <w:t>;</w:t>
            </w:r>
            <w:r>
              <w:rPr>
                <w:rFonts w:ascii="宋体" w:hAnsi="宋体" w:cs="宋体" w:eastAsia="宋体" w:hint="default"/>
                <w:sz w:val="18"/>
                <w:szCs w:val="18"/>
              </w:rPr>
              <w:t>秦家银</w:t>
            </w:r>
            <w:r>
              <w:rPr>
                <w:rFonts w:ascii="Times New Roman" w:hAnsi="Times New Roman" w:cs="Times New Roman" w:eastAsia="Times New Roman" w:hint="default"/>
                <w:sz w:val="18"/>
                <w:szCs w:val="18"/>
              </w:rPr>
              <w:t>; </w:t>
            </w:r>
            <w:r>
              <w:rPr>
                <w:rFonts w:ascii="宋体" w:hAnsi="宋体" w:cs="宋体" w:eastAsia="宋体" w:hint="default"/>
                <w:sz w:val="18"/>
                <w:szCs w:val="18"/>
              </w:rPr>
              <w:t>王朝曦</w:t>
            </w:r>
            <w:r>
              <w:rPr>
                <w:rFonts w:ascii="Times New Roman" w:hAnsi="Times New Roman" w:cs="Times New Roman" w:eastAsia="Times New Roman" w:hint="default"/>
                <w:sz w:val="18"/>
                <w:szCs w:val="18"/>
              </w:rPr>
              <w:t>;</w:t>
            </w:r>
            <w:r>
              <w:rPr>
                <w:rFonts w:ascii="宋体" w:hAnsi="宋体" w:cs="宋体" w:eastAsia="宋体" w:hint="default"/>
                <w:sz w:val="18"/>
                <w:szCs w:val="18"/>
              </w:rPr>
              <w:t>徐彪</w:t>
            </w:r>
            <w:r>
              <w:rPr>
                <w:rFonts w:ascii="Times New Roman" w:hAnsi="Times New Roman" w:cs="Times New Roman" w:eastAsia="Times New Roman" w:hint="default"/>
                <w:sz w:val="18"/>
                <w:szCs w:val="18"/>
              </w:rPr>
              <w:t>; </w:t>
            </w:r>
            <w:r>
              <w:rPr>
                <w:rFonts w:ascii="宋体" w:hAnsi="宋体" w:cs="宋体" w:eastAsia="宋体" w:hint="default"/>
                <w:sz w:val="18"/>
                <w:szCs w:val="18"/>
              </w:rPr>
              <w:t>袁小康</w:t>
            </w:r>
            <w:r>
              <w:rPr>
                <w:rFonts w:ascii="Times New Roman" w:hAnsi="Times New Roman" w:cs="Times New Roman" w:eastAsia="Times New Roman" w:hint="default"/>
                <w:sz w:val="18"/>
                <w:szCs w:val="18"/>
              </w:rPr>
              <w:t>;</w:t>
            </w:r>
            <w:r>
              <w:rPr>
                <w:rFonts w:ascii="宋体" w:hAnsi="宋体" w:cs="宋体" w:eastAsia="宋体" w:hint="default"/>
                <w:sz w:val="18"/>
                <w:szCs w:val="18"/>
              </w:rPr>
              <w:t>张勇</w:t>
            </w:r>
            <w:r>
              <w:rPr>
                <w:rFonts w:ascii="Times New Roman" w:hAnsi="Times New Roman" w:cs="Times New Roman" w:eastAsia="Times New Roman" w:hint="default"/>
                <w:sz w:val="18"/>
                <w:szCs w:val="18"/>
              </w:rPr>
              <w:t>; </w:t>
            </w:r>
            <w:r>
              <w:rPr>
                <w:rFonts w:ascii="宋体" w:hAnsi="宋体" w:cs="宋体" w:eastAsia="宋体" w:hint="default"/>
                <w:sz w:val="18"/>
                <w:szCs w:val="18"/>
              </w:rPr>
              <w:t>郑盛泰</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
              <w:jc w:val="left"/>
              <w:rPr>
                <w:rFonts w:ascii="宋体" w:hAnsi="宋体" w:cs="宋体" w:eastAsia="宋体" w:hint="default"/>
                <w:sz w:val="18"/>
                <w:szCs w:val="18"/>
              </w:rPr>
            </w:pPr>
            <w:r>
              <w:rPr>
                <w:rFonts w:ascii="宋体" w:hAnsi="宋体" w:cs="宋体" w:eastAsia="宋体" w:hint="default"/>
                <w:sz w:val="18"/>
                <w:szCs w:val="18"/>
              </w:rPr>
              <w:t>公司及其控 股股东、实际 控制人茅庆 江，全体董 事、监事、高 级管理人员 茅庆江、雷洪 文、张勇、王 朝曦、秦家 银、龙罡、郑 盛泰、高传 江、袁小康、 徐彪、茅屏 萍、龙中胜、 段汉文、陈翩 承诺：公司</w:t>
            </w:r>
          </w:p>
          <w:p>
            <w:pPr>
              <w:pStyle w:val="TableParagraph"/>
              <w:spacing w:line="316" w:lineRule="auto" w:before="19"/>
              <w:ind w:left="22" w:right="21"/>
              <w:jc w:val="left"/>
              <w:rPr>
                <w:rFonts w:ascii="宋体" w:hAnsi="宋体" w:cs="宋体" w:eastAsia="宋体" w:hint="default"/>
                <w:sz w:val="18"/>
                <w:szCs w:val="18"/>
              </w:rPr>
            </w:pPr>
            <w:r>
              <w:rPr>
                <w:rFonts w:ascii="宋体" w:hAnsi="宋体" w:cs="宋体" w:eastAsia="宋体" w:hint="default"/>
                <w:sz w:val="18"/>
                <w:szCs w:val="18"/>
              </w:rPr>
              <w:t>《招股说明 </w:t>
            </w:r>
            <w:r>
              <w:rPr>
                <w:rFonts w:ascii="宋体" w:hAnsi="宋体" w:cs="宋体" w:eastAsia="宋体" w:hint="default"/>
                <w:spacing w:val="-2"/>
                <w:sz w:val="18"/>
                <w:szCs w:val="18"/>
              </w:rPr>
              <w:t>书》有虚假记</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载、误导性陈</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述或者重大 </w:t>
            </w:r>
            <w:r>
              <w:rPr>
                <w:rFonts w:ascii="宋体" w:hAnsi="宋体" w:cs="宋体" w:eastAsia="宋体" w:hint="default"/>
                <w:spacing w:val="-2"/>
                <w:sz w:val="18"/>
                <w:szCs w:val="18"/>
              </w:rPr>
              <w:t>遗漏，并因此</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给投资者造 成直接损失 的，本公司</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319" w:lineRule="auto"/>
              <w:ind w:left="22" w:right="-3"/>
              <w:jc w:val="left"/>
              <w:rPr>
                <w:rFonts w:ascii="宋体" w:hAnsi="宋体" w:cs="宋体" w:eastAsia="宋体" w:hint="default"/>
                <w:sz w:val="18"/>
                <w:szCs w:val="18"/>
              </w:rPr>
            </w:pPr>
            <w:r>
              <w:rPr>
                <w:rFonts w:ascii="宋体" w:hAnsi="宋体" w:cs="宋体" w:eastAsia="宋体" w:hint="default"/>
                <w:spacing w:val="-5"/>
                <w:sz w:val="18"/>
                <w:szCs w:val="18"/>
              </w:rPr>
              <w:t>报告期内，承</w:t>
            </w:r>
            <w:r>
              <w:rPr>
                <w:rFonts w:ascii="宋体" w:hAnsi="宋体" w:cs="宋体" w:eastAsia="宋体" w:hint="default"/>
                <w:sz w:val="18"/>
                <w:szCs w:val="18"/>
              </w:rPr>
              <w:t> 诺人严格遵 </w:t>
            </w:r>
            <w:r>
              <w:rPr>
                <w:rFonts w:ascii="宋体" w:hAnsi="宋体" w:cs="宋体" w:eastAsia="宋体" w:hint="default"/>
                <w:spacing w:val="-5"/>
                <w:sz w:val="18"/>
                <w:szCs w:val="18"/>
              </w:rPr>
              <w:t>守承诺，未发</w:t>
            </w:r>
            <w:r>
              <w:rPr>
                <w:rFonts w:ascii="宋体" w:hAnsi="宋体" w:cs="宋体" w:eastAsia="宋体" w:hint="default"/>
                <w:sz w:val="18"/>
                <w:szCs w:val="18"/>
              </w:rPr>
              <w:t> 现存在违反 承诺的情况。</w:t>
            </w:r>
          </w:p>
        </w:tc>
      </w:tr>
    </w:tbl>
    <w:p>
      <w:pPr>
        <w:spacing w:after="0" w:line="319" w:lineRule="auto"/>
        <w:jc w:val="left"/>
        <w:rPr>
          <w:rFonts w:ascii="宋体" w:hAnsi="宋体" w:cs="宋体" w:eastAsia="宋体" w:hint="default"/>
          <w:sz w:val="18"/>
          <w:szCs w:val="18"/>
        </w:rPr>
        <w:sectPr>
          <w:pgSz w:w="11910" w:h="16840"/>
          <w:pgMar w:header="787" w:footer="640" w:top="1100" w:bottom="840" w:left="0" w:right="0"/>
        </w:sectPr>
      </w:pPr>
    </w:p>
    <w:p>
      <w:pPr>
        <w:spacing w:line="240" w:lineRule="auto" w:before="4"/>
        <w:rPr>
          <w:rFonts w:ascii="Times New Roman" w:hAnsi="Times New Roman" w:cs="Times New Roman" w:eastAsia="Times New Roman" w:hint="default"/>
          <w:sz w:val="3"/>
          <w:szCs w:val="3"/>
        </w:rPr>
      </w:pPr>
    </w:p>
    <w:p>
      <w:pPr>
        <w:spacing w:line="20" w:lineRule="exact"/>
        <w:ind w:left="1096"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10"/>
        <w:rPr>
          <w:rFonts w:ascii="Times New Roman" w:hAnsi="Times New Roman" w:cs="Times New Roman" w:eastAsia="Times New Roman" w:hint="default"/>
          <w:sz w:val="23"/>
          <w:szCs w:val="23"/>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10"/>
      </w:tblGrid>
      <w:tr>
        <w:trPr>
          <w:trHeight w:val="2859"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21"/>
              <w:jc w:val="left"/>
              <w:rPr>
                <w:rFonts w:ascii="宋体" w:hAnsi="宋体" w:cs="宋体" w:eastAsia="宋体" w:hint="default"/>
                <w:sz w:val="18"/>
                <w:szCs w:val="18"/>
              </w:rPr>
            </w:pPr>
            <w:r>
              <w:rPr>
                <w:rFonts w:ascii="宋体" w:hAnsi="宋体" w:cs="宋体" w:eastAsia="宋体" w:hint="default"/>
                <w:spacing w:val="-2"/>
                <w:sz w:val="18"/>
                <w:szCs w:val="18"/>
              </w:rPr>
              <w:t>（或本人）将</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依法就上述 事项向投资 者承担连带 </w:t>
            </w:r>
            <w:r>
              <w:rPr>
                <w:rFonts w:ascii="宋体" w:hAnsi="宋体" w:cs="宋体" w:eastAsia="宋体" w:hint="default"/>
                <w:spacing w:val="-2"/>
                <w:sz w:val="18"/>
                <w:szCs w:val="18"/>
              </w:rPr>
              <w:t>赔偿责任，但</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本公司（或本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人）能够证明</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自己没有过 错的除外。</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r>
      <w:tr>
        <w:trPr>
          <w:trHeight w:val="10971"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02" w:lineRule="auto"/>
              <w:ind w:left="23" w:right="89"/>
              <w:jc w:val="left"/>
              <w:rPr>
                <w:rFonts w:ascii="宋体" w:hAnsi="宋体" w:cs="宋体" w:eastAsia="宋体" w:hint="default"/>
                <w:sz w:val="18"/>
                <w:szCs w:val="18"/>
              </w:rPr>
            </w:pPr>
            <w:r>
              <w:rPr>
                <w:rFonts w:ascii="宋体" w:hAnsi="宋体" w:cs="宋体" w:eastAsia="宋体" w:hint="default"/>
                <w:sz w:val="18"/>
                <w:szCs w:val="18"/>
              </w:rPr>
              <w:t>陈翩</w:t>
            </w:r>
            <w:r>
              <w:rPr>
                <w:rFonts w:ascii="Times New Roman" w:hAnsi="Times New Roman" w:cs="Times New Roman" w:eastAsia="Times New Roman" w:hint="default"/>
                <w:sz w:val="18"/>
                <w:szCs w:val="18"/>
              </w:rPr>
              <w:t>;</w:t>
            </w:r>
            <w:r>
              <w:rPr>
                <w:rFonts w:ascii="宋体" w:hAnsi="宋体" w:cs="宋体" w:eastAsia="宋体" w:hint="default"/>
                <w:sz w:val="18"/>
                <w:szCs w:val="18"/>
              </w:rPr>
              <w:t>段汉文</w:t>
            </w:r>
            <w:r>
              <w:rPr>
                <w:rFonts w:ascii="Times New Roman" w:hAnsi="Times New Roman" w:cs="Times New Roman" w:eastAsia="Times New Roman" w:hint="default"/>
                <w:sz w:val="18"/>
                <w:szCs w:val="18"/>
              </w:rPr>
              <w:t>; </w:t>
            </w:r>
            <w:r>
              <w:rPr>
                <w:rFonts w:ascii="宋体" w:hAnsi="宋体" w:cs="宋体" w:eastAsia="宋体" w:hint="default"/>
                <w:sz w:val="18"/>
                <w:szCs w:val="18"/>
              </w:rPr>
              <w:t>高传江</w:t>
            </w:r>
            <w:r>
              <w:rPr>
                <w:rFonts w:ascii="Times New Roman" w:hAnsi="Times New Roman" w:cs="Times New Roman" w:eastAsia="Times New Roman" w:hint="default"/>
                <w:sz w:val="18"/>
                <w:szCs w:val="18"/>
              </w:rPr>
              <w:t>;</w:t>
            </w:r>
            <w:r>
              <w:rPr>
                <w:rFonts w:ascii="宋体" w:hAnsi="宋体" w:cs="宋体" w:eastAsia="宋体" w:hint="default"/>
                <w:sz w:val="18"/>
                <w:szCs w:val="18"/>
              </w:rPr>
              <w:t>浩云 科技股份有 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雷洪 文</w:t>
            </w:r>
            <w:r>
              <w:rPr>
                <w:rFonts w:ascii="Times New Roman" w:hAnsi="Times New Roman" w:cs="Times New Roman" w:eastAsia="Times New Roman" w:hint="default"/>
                <w:sz w:val="18"/>
                <w:szCs w:val="18"/>
              </w:rPr>
              <w:t>;</w:t>
            </w:r>
            <w:r>
              <w:rPr>
                <w:rFonts w:ascii="宋体" w:hAnsi="宋体" w:cs="宋体" w:eastAsia="宋体" w:hint="default"/>
                <w:sz w:val="18"/>
                <w:szCs w:val="18"/>
              </w:rPr>
              <w:t>龙罡</w:t>
            </w:r>
            <w:r>
              <w:rPr>
                <w:rFonts w:ascii="Times New Roman" w:hAnsi="Times New Roman" w:cs="Times New Roman" w:eastAsia="Times New Roman" w:hint="default"/>
                <w:sz w:val="18"/>
                <w:szCs w:val="18"/>
              </w:rPr>
              <w:t>;</w:t>
            </w:r>
            <w:r>
              <w:rPr>
                <w:rFonts w:ascii="宋体" w:hAnsi="宋体" w:cs="宋体" w:eastAsia="宋体" w:hint="default"/>
                <w:sz w:val="18"/>
                <w:szCs w:val="18"/>
              </w:rPr>
              <w:t>龙中 胜</w:t>
            </w:r>
            <w:r>
              <w:rPr>
                <w:rFonts w:ascii="Times New Roman" w:hAnsi="Times New Roman" w:cs="Times New Roman" w:eastAsia="Times New Roman" w:hint="default"/>
                <w:sz w:val="18"/>
                <w:szCs w:val="18"/>
              </w:rPr>
              <w:t>;</w:t>
            </w:r>
            <w:r>
              <w:rPr>
                <w:rFonts w:ascii="宋体" w:hAnsi="宋体" w:cs="宋体" w:eastAsia="宋体" w:hint="default"/>
                <w:sz w:val="18"/>
                <w:szCs w:val="18"/>
              </w:rPr>
              <w:t>茅屏萍</w:t>
            </w:r>
            <w:r>
              <w:rPr>
                <w:rFonts w:ascii="Times New Roman" w:hAnsi="Times New Roman" w:cs="Times New Roman" w:eastAsia="Times New Roman" w:hint="default"/>
                <w:sz w:val="18"/>
                <w:szCs w:val="18"/>
              </w:rPr>
              <w:t>;</w:t>
            </w:r>
            <w:r>
              <w:rPr>
                <w:rFonts w:ascii="宋体" w:hAnsi="宋体" w:cs="宋体" w:eastAsia="宋体" w:hint="default"/>
                <w:sz w:val="18"/>
                <w:szCs w:val="18"/>
              </w:rPr>
              <w:t>茅 庆江</w:t>
            </w:r>
            <w:r>
              <w:rPr>
                <w:rFonts w:ascii="Times New Roman" w:hAnsi="Times New Roman" w:cs="Times New Roman" w:eastAsia="Times New Roman" w:hint="default"/>
                <w:sz w:val="18"/>
                <w:szCs w:val="18"/>
              </w:rPr>
              <w:t>;</w:t>
            </w:r>
            <w:r>
              <w:rPr>
                <w:rFonts w:ascii="宋体" w:hAnsi="宋体" w:cs="宋体" w:eastAsia="宋体" w:hint="default"/>
                <w:sz w:val="18"/>
                <w:szCs w:val="18"/>
              </w:rPr>
              <w:t>秦家银</w:t>
            </w:r>
            <w:r>
              <w:rPr>
                <w:rFonts w:ascii="Times New Roman" w:hAnsi="Times New Roman" w:cs="Times New Roman" w:eastAsia="Times New Roman" w:hint="default"/>
                <w:sz w:val="18"/>
                <w:szCs w:val="18"/>
              </w:rPr>
              <w:t>; </w:t>
            </w:r>
            <w:r>
              <w:rPr>
                <w:rFonts w:ascii="宋体" w:hAnsi="宋体" w:cs="宋体" w:eastAsia="宋体" w:hint="default"/>
                <w:sz w:val="18"/>
                <w:szCs w:val="18"/>
              </w:rPr>
              <w:t>王朝曦</w:t>
            </w:r>
            <w:r>
              <w:rPr>
                <w:rFonts w:ascii="Times New Roman" w:hAnsi="Times New Roman" w:cs="Times New Roman" w:eastAsia="Times New Roman" w:hint="default"/>
                <w:sz w:val="18"/>
                <w:szCs w:val="18"/>
              </w:rPr>
              <w:t>;</w:t>
            </w:r>
            <w:r>
              <w:rPr>
                <w:rFonts w:ascii="宋体" w:hAnsi="宋体" w:cs="宋体" w:eastAsia="宋体" w:hint="default"/>
                <w:sz w:val="18"/>
                <w:szCs w:val="18"/>
              </w:rPr>
              <w:t>徐彪</w:t>
            </w:r>
            <w:r>
              <w:rPr>
                <w:rFonts w:ascii="Times New Roman" w:hAnsi="Times New Roman" w:cs="Times New Roman" w:eastAsia="Times New Roman" w:hint="default"/>
                <w:sz w:val="18"/>
                <w:szCs w:val="18"/>
              </w:rPr>
              <w:t>; </w:t>
            </w:r>
            <w:r>
              <w:rPr>
                <w:rFonts w:ascii="宋体" w:hAnsi="宋体" w:cs="宋体" w:eastAsia="宋体" w:hint="default"/>
                <w:sz w:val="18"/>
                <w:szCs w:val="18"/>
              </w:rPr>
              <w:t>袁小康</w:t>
            </w:r>
            <w:r>
              <w:rPr>
                <w:rFonts w:ascii="Times New Roman" w:hAnsi="Times New Roman" w:cs="Times New Roman" w:eastAsia="Times New Roman" w:hint="default"/>
                <w:sz w:val="18"/>
                <w:szCs w:val="18"/>
              </w:rPr>
              <w:t>;</w:t>
            </w:r>
            <w:r>
              <w:rPr>
                <w:rFonts w:ascii="宋体" w:hAnsi="宋体" w:cs="宋体" w:eastAsia="宋体" w:hint="default"/>
                <w:sz w:val="18"/>
                <w:szCs w:val="18"/>
              </w:rPr>
              <w:t>张勇</w:t>
            </w:r>
            <w:r>
              <w:rPr>
                <w:rFonts w:ascii="Times New Roman" w:hAnsi="Times New Roman" w:cs="Times New Roman" w:eastAsia="Times New Roman" w:hint="default"/>
                <w:sz w:val="18"/>
                <w:szCs w:val="18"/>
              </w:rPr>
              <w:t>; </w:t>
            </w:r>
            <w:r>
              <w:rPr>
                <w:rFonts w:ascii="宋体" w:hAnsi="宋体" w:cs="宋体" w:eastAsia="宋体" w:hint="default"/>
                <w:sz w:val="18"/>
                <w:szCs w:val="18"/>
              </w:rPr>
              <w:t>郑盛泰</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1"/>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
              <w:jc w:val="left"/>
              <w:rPr>
                <w:rFonts w:ascii="宋体" w:hAnsi="宋体" w:cs="宋体" w:eastAsia="宋体" w:hint="default"/>
                <w:sz w:val="18"/>
                <w:szCs w:val="18"/>
              </w:rPr>
            </w:pPr>
            <w:r>
              <w:rPr>
                <w:rFonts w:ascii="宋体" w:hAnsi="宋体" w:cs="宋体" w:eastAsia="宋体" w:hint="default"/>
                <w:sz w:val="18"/>
                <w:szCs w:val="18"/>
              </w:rPr>
              <w:t>关于未能履 行承诺的约 束措施 公 司及其控股 股东、实际控 制人茅庆江， 全体董事、监 事、高级管理 人员茅庆江、 雷洪文、张 勇、王朝曦、 秦家银、袁小 康、徐彪、茅 屏萍、龙中 胜、段汉文、 陈翩承诺：公 司如若不能 履行《招股说 明书》中列明 的承诺，则采 取或接受以 </w:t>
            </w:r>
            <w:r>
              <w:rPr>
                <w:rFonts w:ascii="宋体" w:hAnsi="宋体" w:cs="宋体" w:eastAsia="宋体" w:hint="default"/>
                <w:spacing w:val="-13"/>
                <w:sz w:val="18"/>
                <w:szCs w:val="18"/>
              </w:rPr>
              <w:t>下措施：（</w:t>
            </w:r>
            <w:r>
              <w:rPr>
                <w:rFonts w:ascii="Times New Roman" w:hAnsi="Times New Roman" w:cs="Times New Roman" w:eastAsia="Times New Roman" w:hint="default"/>
                <w:spacing w:val="-13"/>
                <w:sz w:val="18"/>
                <w:szCs w:val="18"/>
              </w:rPr>
              <w:t>1</w:t>
            </w:r>
            <w:r>
              <w:rPr>
                <w:rFonts w:ascii="宋体" w:hAnsi="宋体" w:cs="宋体" w:eastAsia="宋体" w:hint="default"/>
                <w:spacing w:val="-13"/>
                <w:sz w:val="18"/>
                <w:szCs w:val="18"/>
              </w:rPr>
              <w:t>）</w:t>
            </w:r>
            <w:r>
              <w:rPr>
                <w:rFonts w:ascii="宋体" w:hAnsi="宋体" w:cs="宋体" w:eastAsia="宋体" w:hint="default"/>
                <w:sz w:val="18"/>
                <w:szCs w:val="18"/>
              </w:rPr>
              <w:t> 在有关监管 机关要求的 期限内予以 </w:t>
            </w:r>
            <w:r>
              <w:rPr>
                <w:rFonts w:ascii="宋体" w:hAnsi="宋体" w:cs="宋体" w:eastAsia="宋体" w:hint="default"/>
                <w:spacing w:val="-15"/>
                <w:sz w:val="18"/>
                <w:szCs w:val="18"/>
              </w:rPr>
              <w:t>纠正；（</w:t>
            </w:r>
            <w:r>
              <w:rPr>
                <w:rFonts w:ascii="Times New Roman" w:hAnsi="Times New Roman" w:cs="Times New Roman" w:eastAsia="Times New Roman" w:hint="default"/>
                <w:spacing w:val="-15"/>
                <w:sz w:val="18"/>
                <w:szCs w:val="18"/>
              </w:rPr>
              <w:t>2</w:t>
            </w:r>
            <w:r>
              <w:rPr>
                <w:rFonts w:ascii="宋体" w:hAnsi="宋体" w:cs="宋体" w:eastAsia="宋体" w:hint="default"/>
                <w:spacing w:val="-15"/>
                <w:sz w:val="18"/>
                <w:szCs w:val="18"/>
              </w:rPr>
              <w:t>）给</w:t>
            </w:r>
            <w:r>
              <w:rPr>
                <w:rFonts w:ascii="宋体" w:hAnsi="宋体" w:cs="宋体" w:eastAsia="宋体" w:hint="default"/>
                <w:spacing w:val="-5"/>
                <w:sz w:val="18"/>
                <w:szCs w:val="18"/>
              </w:rPr>
              <w:t> </w:t>
            </w:r>
            <w:r>
              <w:rPr>
                <w:rFonts w:ascii="宋体" w:hAnsi="宋体" w:cs="宋体" w:eastAsia="宋体" w:hint="default"/>
                <w:sz w:val="18"/>
                <w:szCs w:val="18"/>
              </w:rPr>
              <w:t>投资者造成</w:t>
            </w:r>
            <w:r>
              <w:rPr>
                <w:rFonts w:ascii="宋体" w:hAnsi="宋体" w:cs="宋体" w:eastAsia="宋体" w:hint="default"/>
                <w:sz w:val="18"/>
                <w:szCs w:val="18"/>
              </w:rPr>
              <w:t> 直接损失的， 依法赔偿损 </w:t>
            </w:r>
            <w:r>
              <w:rPr>
                <w:rFonts w:ascii="宋体" w:hAnsi="宋体" w:cs="宋体" w:eastAsia="宋体" w:hint="default"/>
                <w:spacing w:val="-15"/>
                <w:sz w:val="18"/>
                <w:szCs w:val="18"/>
              </w:rPr>
              <w:t>失；（</w:t>
            </w:r>
            <w:r>
              <w:rPr>
                <w:rFonts w:ascii="Times New Roman" w:hAnsi="Times New Roman" w:cs="Times New Roman" w:eastAsia="Times New Roman" w:hint="default"/>
                <w:spacing w:val="-15"/>
                <w:sz w:val="18"/>
                <w:szCs w:val="18"/>
              </w:rPr>
              <w:t>3</w:t>
            </w:r>
            <w:r>
              <w:rPr>
                <w:rFonts w:ascii="宋体" w:hAnsi="宋体" w:cs="宋体" w:eastAsia="宋体" w:hint="default"/>
                <w:spacing w:val="-15"/>
                <w:sz w:val="18"/>
                <w:szCs w:val="18"/>
              </w:rPr>
              <w:t>）有违</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法所得的，按</w:t>
            </w:r>
            <w:r>
              <w:rPr>
                <w:rFonts w:ascii="宋体" w:hAnsi="宋体" w:cs="宋体" w:eastAsia="宋体" w:hint="default"/>
                <w:sz w:val="18"/>
                <w:szCs w:val="18"/>
              </w:rPr>
              <w:t> 相关法律法 </w:t>
            </w:r>
            <w:r>
              <w:rPr>
                <w:rFonts w:ascii="宋体" w:hAnsi="宋体" w:cs="宋体" w:eastAsia="宋体" w:hint="default"/>
                <w:spacing w:val="-13"/>
                <w:sz w:val="18"/>
                <w:szCs w:val="18"/>
              </w:rPr>
              <w:t>规处理；（</w:t>
            </w:r>
            <w:r>
              <w:rPr>
                <w:rFonts w:ascii="Times New Roman" w:hAnsi="Times New Roman" w:cs="Times New Roman" w:eastAsia="Times New Roman" w:hint="default"/>
                <w:spacing w:val="-13"/>
                <w:sz w:val="18"/>
                <w:szCs w:val="18"/>
              </w:rPr>
              <w:t>4</w:t>
            </w:r>
            <w:r>
              <w:rPr>
                <w:rFonts w:ascii="宋体" w:hAnsi="宋体" w:cs="宋体" w:eastAsia="宋体" w:hint="default"/>
                <w:spacing w:val="-13"/>
                <w:sz w:val="18"/>
                <w:szCs w:val="18"/>
              </w:rPr>
              <w:t>）</w:t>
            </w:r>
            <w:r>
              <w:rPr>
                <w:rFonts w:ascii="宋体" w:hAnsi="宋体" w:cs="宋体" w:eastAsia="宋体" w:hint="default"/>
                <w:sz w:val="18"/>
                <w:szCs w:val="18"/>
              </w:rPr>
              <w:t> 如该违反的 承诺属可以</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1"/>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7"/>
              <w:ind w:left="22" w:right="-3"/>
              <w:jc w:val="left"/>
              <w:rPr>
                <w:rFonts w:ascii="宋体" w:hAnsi="宋体" w:cs="宋体" w:eastAsia="宋体" w:hint="default"/>
                <w:sz w:val="18"/>
                <w:szCs w:val="18"/>
              </w:rPr>
            </w:pPr>
            <w:r>
              <w:rPr>
                <w:rFonts w:ascii="宋体" w:hAnsi="宋体" w:cs="宋体" w:eastAsia="宋体" w:hint="default"/>
                <w:spacing w:val="-5"/>
                <w:sz w:val="18"/>
                <w:szCs w:val="18"/>
              </w:rPr>
              <w:t>报告期内，承</w:t>
            </w:r>
            <w:r>
              <w:rPr>
                <w:rFonts w:ascii="宋体" w:hAnsi="宋体" w:cs="宋体" w:eastAsia="宋体" w:hint="default"/>
                <w:sz w:val="18"/>
                <w:szCs w:val="18"/>
              </w:rPr>
              <w:t> 诺人严格遵 </w:t>
            </w:r>
            <w:r>
              <w:rPr>
                <w:rFonts w:ascii="宋体" w:hAnsi="宋体" w:cs="宋体" w:eastAsia="宋体" w:hint="default"/>
                <w:spacing w:val="-5"/>
                <w:sz w:val="18"/>
                <w:szCs w:val="18"/>
              </w:rPr>
              <w:t>守承诺，未发</w:t>
            </w:r>
            <w:r>
              <w:rPr>
                <w:rFonts w:ascii="宋体" w:hAnsi="宋体" w:cs="宋体" w:eastAsia="宋体" w:hint="default"/>
                <w:sz w:val="18"/>
                <w:szCs w:val="18"/>
              </w:rPr>
              <w:t> 现存在违反 承诺的情况。</w:t>
            </w:r>
          </w:p>
        </w:tc>
      </w:tr>
    </w:tbl>
    <w:p>
      <w:pPr>
        <w:spacing w:after="0" w:line="319" w:lineRule="auto"/>
        <w:jc w:val="left"/>
        <w:rPr>
          <w:rFonts w:ascii="宋体" w:hAnsi="宋体" w:cs="宋体" w:eastAsia="宋体" w:hint="default"/>
          <w:sz w:val="18"/>
          <w:szCs w:val="18"/>
        </w:rPr>
        <w:sectPr>
          <w:pgSz w:w="11910" w:h="16840"/>
          <w:pgMar w:header="787" w:footer="640" w:top="1100" w:bottom="840" w:left="0" w:right="0"/>
        </w:sectPr>
      </w:pPr>
    </w:p>
    <w:p>
      <w:pPr>
        <w:spacing w:line="240" w:lineRule="auto" w:before="4"/>
        <w:rPr>
          <w:rFonts w:ascii="Times New Roman" w:hAnsi="Times New Roman" w:cs="Times New Roman" w:eastAsia="Times New Roman" w:hint="default"/>
          <w:sz w:val="3"/>
          <w:szCs w:val="3"/>
        </w:rPr>
      </w:pPr>
    </w:p>
    <w:p>
      <w:pPr>
        <w:spacing w:line="20" w:lineRule="exact"/>
        <w:ind w:left="1096"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10"/>
        <w:rPr>
          <w:rFonts w:ascii="Times New Roman" w:hAnsi="Times New Roman" w:cs="Times New Roman" w:eastAsia="Times New Roman" w:hint="default"/>
          <w:sz w:val="23"/>
          <w:szCs w:val="23"/>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4419"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12"/>
              <w:jc w:val="left"/>
              <w:rPr>
                <w:rFonts w:ascii="宋体" w:hAnsi="宋体" w:cs="宋体" w:eastAsia="宋体" w:hint="default"/>
                <w:sz w:val="18"/>
                <w:szCs w:val="18"/>
              </w:rPr>
            </w:pPr>
            <w:r>
              <w:rPr>
                <w:rFonts w:ascii="宋体" w:hAnsi="宋体" w:cs="宋体" w:eastAsia="宋体" w:hint="default"/>
                <w:sz w:val="18"/>
                <w:szCs w:val="18"/>
              </w:rPr>
              <w:t>继续履行的， 将继续履行 </w:t>
            </w:r>
            <w:r>
              <w:rPr>
                <w:rFonts w:ascii="宋体" w:hAnsi="宋体" w:cs="宋体" w:eastAsia="宋体" w:hint="default"/>
                <w:spacing w:val="-13"/>
                <w:sz w:val="18"/>
                <w:szCs w:val="18"/>
              </w:rPr>
              <w:t>该承诺；（</w:t>
            </w:r>
            <w:r>
              <w:rPr>
                <w:rFonts w:ascii="Times New Roman" w:hAnsi="Times New Roman" w:cs="Times New Roman" w:eastAsia="Times New Roman" w:hint="default"/>
                <w:spacing w:val="-13"/>
                <w:sz w:val="18"/>
                <w:szCs w:val="18"/>
              </w:rPr>
              <w:t>5</w:t>
            </w:r>
            <w:r>
              <w:rPr>
                <w:rFonts w:ascii="宋体" w:hAnsi="宋体" w:cs="宋体" w:eastAsia="宋体" w:hint="default"/>
                <w:spacing w:val="-13"/>
                <w:sz w:val="18"/>
                <w:szCs w:val="18"/>
              </w:rPr>
              <w:t>）</w:t>
            </w:r>
            <w:r>
              <w:rPr>
                <w:rFonts w:ascii="宋体" w:hAnsi="宋体" w:cs="宋体" w:eastAsia="宋体" w:hint="default"/>
                <w:sz w:val="18"/>
                <w:szCs w:val="18"/>
              </w:rPr>
              <w:t> 其他根据届 时规定可以 采取的其他 措施。公司董</w:t>
            </w:r>
            <w:r>
              <w:rPr>
                <w:rFonts w:ascii="宋体" w:hAnsi="宋体" w:cs="宋体" w:eastAsia="宋体" w:hint="default"/>
                <w:sz w:val="18"/>
                <w:szCs w:val="18"/>
              </w:rPr>
              <w:t> 事、监事、高 级管理人员 承诺不因职 务变更、离职 等原因而放 弃履行已作 出的承诺。</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3522" w:hRule="exact"/>
        </w:trPr>
        <w:tc>
          <w:tcPr>
            <w:tcW w:w="28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316" w:lineRule="auto"/>
              <w:ind w:left="23" w:right="190"/>
              <w:jc w:val="left"/>
              <w:rPr>
                <w:rFonts w:ascii="宋体" w:hAnsi="宋体" w:cs="宋体" w:eastAsia="宋体" w:hint="default"/>
                <w:sz w:val="18"/>
                <w:szCs w:val="18"/>
              </w:rPr>
            </w:pPr>
            <w:r>
              <w:rPr>
                <w:rFonts w:ascii="宋体" w:hAnsi="宋体" w:cs="宋体" w:eastAsia="宋体" w:hint="default"/>
                <w:sz w:val="18"/>
                <w:szCs w:val="18"/>
              </w:rPr>
              <w:t>浩云科技股 份有限公司</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公司承诺不 为激励对象 依本激励计 划获取有关 限制性股票 提供贷款以 及其他任何 形式的财务 </w:t>
            </w:r>
            <w:r>
              <w:rPr>
                <w:rFonts w:ascii="宋体" w:hAnsi="宋体" w:cs="宋体" w:eastAsia="宋体" w:hint="default"/>
                <w:spacing w:val="-2"/>
                <w:sz w:val="18"/>
                <w:szCs w:val="18"/>
              </w:rPr>
              <w:t>资助，包括为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其贷款提供 担保。</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2016.03.23-</w:t>
            </w:r>
            <w:r>
              <w:rPr>
                <w:rFonts w:ascii="宋体" w:hAnsi="宋体" w:cs="宋体" w:eastAsia="宋体" w:hint="default"/>
                <w:sz w:val="18"/>
                <w:szCs w:val="18"/>
              </w:rPr>
              <w:t>第</w:t>
            </w:r>
          </w:p>
          <w:p>
            <w:pPr>
              <w:pStyle w:val="TableParagraph"/>
              <w:spacing w:line="319" w:lineRule="auto" w:before="61"/>
              <w:ind w:left="22" w:right="186"/>
              <w:jc w:val="both"/>
              <w:rPr>
                <w:rFonts w:ascii="宋体" w:hAnsi="宋体" w:cs="宋体" w:eastAsia="宋体" w:hint="default"/>
                <w:sz w:val="18"/>
                <w:szCs w:val="18"/>
              </w:rPr>
            </w:pPr>
            <w:r>
              <w:rPr>
                <w:rFonts w:ascii="宋体" w:hAnsi="宋体" w:cs="宋体" w:eastAsia="宋体" w:hint="default"/>
                <w:sz w:val="18"/>
                <w:szCs w:val="18"/>
              </w:rPr>
              <w:t>二期股权激 励计划实施 完毕</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9"/>
              <w:ind w:left="22" w:right="-5"/>
              <w:jc w:val="left"/>
              <w:rPr>
                <w:rFonts w:ascii="宋体" w:hAnsi="宋体" w:cs="宋体" w:eastAsia="宋体" w:hint="default"/>
                <w:sz w:val="18"/>
                <w:szCs w:val="18"/>
              </w:rPr>
            </w:pPr>
            <w:r>
              <w:rPr>
                <w:rFonts w:ascii="宋体" w:hAnsi="宋体" w:cs="宋体" w:eastAsia="宋体" w:hint="default"/>
                <w:spacing w:val="-5"/>
                <w:sz w:val="18"/>
                <w:szCs w:val="18"/>
              </w:rPr>
              <w:t>报告期内，承</w:t>
            </w:r>
            <w:r>
              <w:rPr>
                <w:rFonts w:ascii="宋体" w:hAnsi="宋体" w:cs="宋体" w:eastAsia="宋体" w:hint="default"/>
                <w:sz w:val="18"/>
                <w:szCs w:val="18"/>
              </w:rPr>
              <w:t> 诺人严格遵 </w:t>
            </w:r>
            <w:r>
              <w:rPr>
                <w:rFonts w:ascii="宋体" w:hAnsi="宋体" w:cs="宋体" w:eastAsia="宋体" w:hint="default"/>
                <w:spacing w:val="-5"/>
                <w:sz w:val="18"/>
                <w:szCs w:val="18"/>
              </w:rPr>
              <w:t>守承诺，未发</w:t>
            </w:r>
            <w:r>
              <w:rPr>
                <w:rFonts w:ascii="宋体" w:hAnsi="宋体" w:cs="宋体" w:eastAsia="宋体" w:hint="default"/>
                <w:sz w:val="18"/>
                <w:szCs w:val="18"/>
              </w:rPr>
              <w:t> 现存在违反 承诺的情况。</w:t>
            </w:r>
          </w:p>
        </w:tc>
      </w:tr>
      <w:tr>
        <w:trPr>
          <w:trHeight w:val="3522"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316" w:lineRule="auto"/>
              <w:ind w:left="23" w:right="190"/>
              <w:jc w:val="left"/>
              <w:rPr>
                <w:rFonts w:ascii="宋体" w:hAnsi="宋体" w:cs="宋体" w:eastAsia="宋体" w:hint="default"/>
                <w:sz w:val="18"/>
                <w:szCs w:val="18"/>
              </w:rPr>
            </w:pPr>
            <w:r>
              <w:rPr>
                <w:rFonts w:ascii="宋体" w:hAnsi="宋体" w:cs="宋体" w:eastAsia="宋体" w:hint="default"/>
                <w:sz w:val="18"/>
                <w:szCs w:val="18"/>
              </w:rPr>
              <w:t>浩云科技股 份有限公司</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公司承诺不 为激励对象 依本激励计 划获取有关 限制性股票 提供贷款以 及其他任何 形式的财务 </w:t>
            </w:r>
            <w:r>
              <w:rPr>
                <w:rFonts w:ascii="宋体" w:hAnsi="宋体" w:cs="宋体" w:eastAsia="宋体" w:hint="default"/>
                <w:spacing w:val="-2"/>
                <w:sz w:val="18"/>
                <w:szCs w:val="18"/>
              </w:rPr>
              <w:t>资助，包括为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其贷款提供 担保。</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2015.09.28-</w:t>
            </w:r>
            <w:r>
              <w:rPr>
                <w:rFonts w:ascii="宋体" w:hAnsi="宋体" w:cs="宋体" w:eastAsia="宋体" w:hint="default"/>
                <w:sz w:val="18"/>
                <w:szCs w:val="18"/>
              </w:rPr>
              <w:t>第</w:t>
            </w:r>
          </w:p>
          <w:p>
            <w:pPr>
              <w:pStyle w:val="TableParagraph"/>
              <w:spacing w:line="319" w:lineRule="auto" w:before="61"/>
              <w:ind w:left="22" w:right="186"/>
              <w:jc w:val="both"/>
              <w:rPr>
                <w:rFonts w:ascii="宋体" w:hAnsi="宋体" w:cs="宋体" w:eastAsia="宋体" w:hint="default"/>
                <w:sz w:val="18"/>
                <w:szCs w:val="18"/>
              </w:rPr>
            </w:pPr>
            <w:r>
              <w:rPr>
                <w:rFonts w:ascii="宋体" w:hAnsi="宋体" w:cs="宋体" w:eastAsia="宋体" w:hint="default"/>
                <w:sz w:val="18"/>
                <w:szCs w:val="18"/>
              </w:rPr>
              <w:t>一期股权激 励计划实施 完毕</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9"/>
              <w:ind w:left="22" w:right="-5"/>
              <w:jc w:val="left"/>
              <w:rPr>
                <w:rFonts w:ascii="宋体" w:hAnsi="宋体" w:cs="宋体" w:eastAsia="宋体" w:hint="default"/>
                <w:sz w:val="18"/>
                <w:szCs w:val="18"/>
              </w:rPr>
            </w:pPr>
            <w:r>
              <w:rPr>
                <w:rFonts w:ascii="宋体" w:hAnsi="宋体" w:cs="宋体" w:eastAsia="宋体" w:hint="default"/>
                <w:spacing w:val="-5"/>
                <w:sz w:val="18"/>
                <w:szCs w:val="18"/>
              </w:rPr>
              <w:t>报告期内，承</w:t>
            </w:r>
            <w:r>
              <w:rPr>
                <w:rFonts w:ascii="宋体" w:hAnsi="宋体" w:cs="宋体" w:eastAsia="宋体" w:hint="default"/>
                <w:sz w:val="18"/>
                <w:szCs w:val="18"/>
              </w:rPr>
              <w:t> 诺人严格遵 </w:t>
            </w:r>
            <w:r>
              <w:rPr>
                <w:rFonts w:ascii="宋体" w:hAnsi="宋体" w:cs="宋体" w:eastAsia="宋体" w:hint="default"/>
                <w:spacing w:val="-5"/>
                <w:sz w:val="18"/>
                <w:szCs w:val="18"/>
              </w:rPr>
              <w:t>守承诺，未发</w:t>
            </w:r>
            <w:r>
              <w:rPr>
                <w:rFonts w:ascii="宋体" w:hAnsi="宋体" w:cs="宋体" w:eastAsia="宋体" w:hint="default"/>
                <w:sz w:val="18"/>
                <w:szCs w:val="18"/>
              </w:rPr>
              <w:t> 现存在违反 承诺的情况。</w:t>
            </w:r>
          </w:p>
        </w:tc>
      </w:tr>
      <w:tr>
        <w:trPr>
          <w:trHeight w:val="2235"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9"/>
              <w:ind w:left="22" w:right="0"/>
              <w:jc w:val="left"/>
              <w:rPr>
                <w:rFonts w:ascii="宋体" w:hAnsi="宋体" w:cs="宋体" w:eastAsia="宋体" w:hint="default"/>
                <w:sz w:val="18"/>
                <w:szCs w:val="18"/>
              </w:rPr>
            </w:pPr>
            <w:r>
              <w:rPr>
                <w:rFonts w:ascii="宋体" w:hAnsi="宋体" w:cs="宋体" w:eastAsia="宋体" w:hint="default"/>
                <w:sz w:val="18"/>
                <w:szCs w:val="18"/>
              </w:rPr>
              <w:t>其他对公司中小股东所作承诺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9"/>
              <w:ind w:left="23" w:right="0"/>
              <w:jc w:val="left"/>
              <w:rPr>
                <w:rFonts w:ascii="宋体" w:hAnsi="宋体" w:cs="宋体" w:eastAsia="宋体" w:hint="default"/>
                <w:sz w:val="18"/>
                <w:szCs w:val="18"/>
              </w:rPr>
            </w:pPr>
            <w:r>
              <w:rPr>
                <w:rFonts w:ascii="宋体" w:hAnsi="宋体" w:cs="宋体" w:eastAsia="宋体" w:hint="default"/>
                <w:sz w:val="18"/>
                <w:szCs w:val="18"/>
              </w:rPr>
              <w:t>茅庆江</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319" w:lineRule="auto"/>
              <w:ind w:left="22" w:right="191"/>
              <w:jc w:val="left"/>
              <w:rPr>
                <w:rFonts w:ascii="宋体" w:hAnsi="宋体" w:cs="宋体" w:eastAsia="宋体" w:hint="default"/>
                <w:sz w:val="18"/>
                <w:szCs w:val="18"/>
              </w:rPr>
            </w:pPr>
            <w:r>
              <w:rPr>
                <w:rFonts w:ascii="宋体" w:hAnsi="宋体" w:cs="宋体" w:eastAsia="宋体" w:hint="default"/>
                <w:sz w:val="18"/>
                <w:szCs w:val="18"/>
              </w:rPr>
              <w:t>股份增持承 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自</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p>
          <w:p>
            <w:pPr>
              <w:pStyle w:val="TableParagraph"/>
              <w:spacing w:line="314" w:lineRule="auto" w:before="61"/>
              <w:ind w:left="22" w:right="12"/>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日起</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个 月内（增持计 划实施期间， 公司股票如 因筹划重大 事项等情形，</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2018.02.08-20</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18.08.07</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36"/>
              <w:ind w:left="22" w:right="-5"/>
              <w:jc w:val="left"/>
              <w:rPr>
                <w:rFonts w:ascii="宋体" w:hAnsi="宋体" w:cs="宋体" w:eastAsia="宋体" w:hint="default"/>
                <w:sz w:val="18"/>
                <w:szCs w:val="18"/>
              </w:rPr>
            </w:pPr>
            <w:r>
              <w:rPr>
                <w:rFonts w:ascii="宋体" w:hAnsi="宋体" w:cs="宋体" w:eastAsia="宋体" w:hint="default"/>
                <w:spacing w:val="-5"/>
                <w:sz w:val="18"/>
                <w:szCs w:val="18"/>
              </w:rPr>
              <w:t>报告期内，承</w:t>
            </w:r>
            <w:r>
              <w:rPr>
                <w:rFonts w:ascii="宋体" w:hAnsi="宋体" w:cs="宋体" w:eastAsia="宋体" w:hint="default"/>
                <w:sz w:val="18"/>
                <w:szCs w:val="18"/>
              </w:rPr>
              <w:t> 诺人严格遵 </w:t>
            </w:r>
            <w:r>
              <w:rPr>
                <w:rFonts w:ascii="宋体" w:hAnsi="宋体" w:cs="宋体" w:eastAsia="宋体" w:hint="default"/>
                <w:spacing w:val="-5"/>
                <w:sz w:val="18"/>
                <w:szCs w:val="18"/>
              </w:rPr>
              <w:t>守承诺，未发</w:t>
            </w:r>
            <w:r>
              <w:rPr>
                <w:rFonts w:ascii="宋体" w:hAnsi="宋体" w:cs="宋体" w:eastAsia="宋体" w:hint="default"/>
                <w:sz w:val="18"/>
                <w:szCs w:val="18"/>
              </w:rPr>
              <w:t> 现存在违反 承诺的情况。</w:t>
            </w:r>
          </w:p>
        </w:tc>
      </w:tr>
    </w:tbl>
    <w:p>
      <w:pPr>
        <w:spacing w:after="0" w:line="319" w:lineRule="auto"/>
        <w:jc w:val="left"/>
        <w:rPr>
          <w:rFonts w:ascii="宋体" w:hAnsi="宋体" w:cs="宋体" w:eastAsia="宋体" w:hint="default"/>
          <w:sz w:val="18"/>
          <w:szCs w:val="18"/>
        </w:rPr>
        <w:sectPr>
          <w:pgSz w:w="11910" w:h="16840"/>
          <w:pgMar w:header="787" w:footer="640" w:top="1100" w:bottom="840" w:left="0" w:right="0"/>
        </w:sectPr>
      </w:pPr>
    </w:p>
    <w:p>
      <w:pPr>
        <w:spacing w:line="240" w:lineRule="auto" w:before="4"/>
        <w:rPr>
          <w:rFonts w:ascii="Times New Roman" w:hAnsi="Times New Roman" w:cs="Times New Roman" w:eastAsia="Times New Roman" w:hint="default"/>
          <w:sz w:val="3"/>
          <w:szCs w:val="3"/>
        </w:rPr>
      </w:pPr>
    </w:p>
    <w:p>
      <w:pPr>
        <w:spacing w:line="20" w:lineRule="exact"/>
        <w:ind w:left="1096"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10"/>
        <w:rPr>
          <w:rFonts w:ascii="Times New Roman" w:hAnsi="Times New Roman" w:cs="Times New Roman" w:eastAsia="Times New Roman" w:hint="default"/>
          <w:sz w:val="23"/>
          <w:szCs w:val="23"/>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10"/>
      </w:tblGrid>
      <w:tr>
        <w:trPr>
          <w:trHeight w:val="4419"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10"/>
              <w:ind w:left="22" w:right="21"/>
              <w:jc w:val="left"/>
              <w:rPr>
                <w:rFonts w:ascii="宋体" w:hAnsi="宋体" w:cs="宋体" w:eastAsia="宋体" w:hint="default"/>
                <w:sz w:val="18"/>
                <w:szCs w:val="18"/>
              </w:rPr>
            </w:pPr>
            <w:r>
              <w:rPr>
                <w:rFonts w:ascii="宋体" w:hAnsi="宋体" w:cs="宋体" w:eastAsia="宋体" w:hint="default"/>
                <w:sz w:val="18"/>
                <w:szCs w:val="18"/>
              </w:rPr>
              <w:t>出现连续停 牌 </w:t>
            </w:r>
            <w:r>
              <w:rPr>
                <w:rFonts w:ascii="Times New Roman" w:hAnsi="Times New Roman" w:cs="Times New Roman" w:eastAsia="Times New Roman" w:hint="default"/>
                <w:sz w:val="18"/>
                <w:szCs w:val="18"/>
              </w:rPr>
              <w:t>10 </w:t>
            </w:r>
            <w:r>
              <w:rPr>
                <w:rFonts w:ascii="宋体" w:hAnsi="宋体" w:cs="宋体" w:eastAsia="宋体" w:hint="default"/>
                <w:sz w:val="18"/>
                <w:szCs w:val="18"/>
              </w:rPr>
              <w:t>个交 易日以上的 </w:t>
            </w:r>
            <w:r>
              <w:rPr>
                <w:rFonts w:ascii="宋体" w:hAnsi="宋体" w:cs="宋体" w:eastAsia="宋体" w:hint="default"/>
                <w:spacing w:val="-2"/>
                <w:sz w:val="18"/>
                <w:szCs w:val="18"/>
              </w:rPr>
              <w:t>情况，增持期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限将相应顺 </w:t>
            </w:r>
            <w:r>
              <w:rPr>
                <w:rFonts w:ascii="宋体" w:hAnsi="宋体" w:cs="宋体" w:eastAsia="宋体" w:hint="default"/>
                <w:spacing w:val="-15"/>
                <w:sz w:val="18"/>
                <w:szCs w:val="18"/>
              </w:rPr>
              <w:t>延），累计增</w:t>
            </w:r>
            <w:r>
              <w:rPr>
                <w:rFonts w:ascii="宋体" w:hAnsi="宋体" w:cs="宋体" w:eastAsia="宋体" w:hint="default"/>
                <w:sz w:val="18"/>
                <w:szCs w:val="18"/>
              </w:rPr>
              <w:t> 持股份数量 不超过公司 总股本的 </w:t>
            </w:r>
            <w:r>
              <w:rPr>
                <w:rFonts w:ascii="Times New Roman" w:hAnsi="Times New Roman" w:cs="Times New Roman" w:eastAsia="Times New Roman" w:hint="default"/>
                <w:sz w:val="18"/>
                <w:szCs w:val="18"/>
              </w:rPr>
              <w:t>2% </w:t>
            </w:r>
            <w:r>
              <w:rPr>
                <w:rFonts w:ascii="宋体" w:hAnsi="宋体" w:cs="宋体" w:eastAsia="宋体" w:hint="default"/>
                <w:sz w:val="18"/>
                <w:szCs w:val="18"/>
              </w:rPr>
              <w:t>且累计增持 金额不低于 人民币 </w:t>
            </w:r>
            <w:r>
              <w:rPr>
                <w:rFonts w:ascii="Times New Roman" w:hAnsi="Times New Roman" w:cs="Times New Roman" w:eastAsia="Times New Roman" w:hint="default"/>
                <w:sz w:val="18"/>
                <w:szCs w:val="18"/>
              </w:rPr>
              <w:t>2,000.00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p>
            <w:pPr>
              <w:pStyle w:val="TableParagraph"/>
              <w:spacing w:line="240" w:lineRule="auto" w:before="2"/>
              <w:ind w:left="2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r>
      <w:tr>
        <w:trPr>
          <w:trHeight w:val="9411"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茅庆江</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319" w:lineRule="auto"/>
              <w:ind w:left="22" w:right="191"/>
              <w:jc w:val="left"/>
              <w:rPr>
                <w:rFonts w:ascii="宋体" w:hAnsi="宋体" w:cs="宋体" w:eastAsia="宋体" w:hint="default"/>
                <w:sz w:val="18"/>
                <w:szCs w:val="18"/>
              </w:rPr>
            </w:pPr>
            <w:r>
              <w:rPr>
                <w:rFonts w:ascii="宋体" w:hAnsi="宋体" w:cs="宋体" w:eastAsia="宋体" w:hint="default"/>
                <w:sz w:val="18"/>
                <w:szCs w:val="18"/>
              </w:rPr>
              <w:t>股份减持承 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102"/>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、承诺在未 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w:t>
            </w:r>
          </w:p>
          <w:p>
            <w:pPr>
              <w:pStyle w:val="TableParagraph"/>
              <w:spacing w:line="240" w:lineRule="auto" w:before="13"/>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8 </w:t>
            </w:r>
            <w:r>
              <w:rPr>
                <w:rFonts w:ascii="宋体" w:hAnsi="宋体" w:cs="宋体" w:eastAsia="宋体" w:hint="default"/>
                <w:sz w:val="18"/>
                <w:szCs w:val="18"/>
              </w:rPr>
              <w:t>日</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7</w:t>
            </w:r>
          </w:p>
          <w:p>
            <w:pPr>
              <w:pStyle w:val="TableParagraph"/>
              <w:spacing w:line="316" w:lineRule="auto" w:before="63"/>
              <w:ind w:left="22" w:right="12"/>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日）不减</w:t>
            </w:r>
            <w:r>
              <w:rPr>
                <w:rFonts w:ascii="宋体" w:hAnsi="宋体" w:cs="宋体" w:eastAsia="宋体" w:hint="default"/>
                <w:sz w:val="18"/>
                <w:szCs w:val="18"/>
              </w:rPr>
              <w:t> 持所持公司 股份，以实际 行动切实维 护市场稳定， 保护投资者 利益；</w:t>
            </w:r>
            <w:r>
              <w:rPr>
                <w:rFonts w:ascii="宋体" w:hAnsi="宋体" w:cs="宋体" w:eastAsia="宋体" w:hint="default"/>
                <w:spacing w:val="-4"/>
                <w:sz w:val="18"/>
                <w:szCs w:val="18"/>
              </w:rPr>
              <w:t> </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、承</w:t>
            </w:r>
            <w:r>
              <w:rPr>
                <w:rFonts w:ascii="宋体" w:hAnsi="宋体" w:cs="宋体" w:eastAsia="宋体" w:hint="default"/>
                <w:spacing w:val="-5"/>
                <w:sz w:val="18"/>
                <w:szCs w:val="18"/>
              </w:rPr>
              <w:t> </w:t>
            </w:r>
            <w:r>
              <w:rPr>
                <w:rFonts w:ascii="宋体" w:hAnsi="宋体" w:cs="宋体" w:eastAsia="宋体" w:hint="default"/>
                <w:sz w:val="18"/>
                <w:szCs w:val="18"/>
              </w:rPr>
              <w:t>诺将根据市</w:t>
            </w:r>
            <w:r>
              <w:rPr>
                <w:rFonts w:ascii="宋体" w:hAnsi="宋体" w:cs="宋体" w:eastAsia="宋体" w:hint="default"/>
                <w:sz w:val="18"/>
                <w:szCs w:val="18"/>
              </w:rPr>
              <w:t> 场情况，在法 律、法规允许 的范围内，积 极探索采取 增持、股权激 励等措施； </w:t>
            </w:r>
            <w:r>
              <w:rPr>
                <w:rFonts w:ascii="Times New Roman" w:hAnsi="Times New Roman" w:cs="Times New Roman" w:eastAsia="Times New Roman" w:hint="default"/>
                <w:sz w:val="18"/>
                <w:szCs w:val="18"/>
              </w:rPr>
              <w:t>3</w:t>
            </w:r>
            <w:r>
              <w:rPr>
                <w:rFonts w:ascii="宋体" w:hAnsi="宋体" w:cs="宋体" w:eastAsia="宋体" w:hint="default"/>
                <w:sz w:val="18"/>
                <w:szCs w:val="18"/>
              </w:rPr>
              <w:t>、承诺将立 足长远扎实 做好实业发 展，努力强化 企业核心竞 争力，充分利 用好改革机 遇，发挥好资 本市场功能， 率先实现企 业转型发展， 以真实稳定</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2015.07.08-20</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18.07.07</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9" w:lineRule="auto"/>
              <w:ind w:left="22" w:right="-3"/>
              <w:jc w:val="left"/>
              <w:rPr>
                <w:rFonts w:ascii="宋体" w:hAnsi="宋体" w:cs="宋体" w:eastAsia="宋体" w:hint="default"/>
                <w:sz w:val="18"/>
                <w:szCs w:val="18"/>
              </w:rPr>
            </w:pPr>
            <w:r>
              <w:rPr>
                <w:rFonts w:ascii="宋体" w:hAnsi="宋体" w:cs="宋体" w:eastAsia="宋体" w:hint="default"/>
                <w:spacing w:val="-5"/>
                <w:sz w:val="18"/>
                <w:szCs w:val="18"/>
              </w:rPr>
              <w:t>报告期内，承</w:t>
            </w:r>
            <w:r>
              <w:rPr>
                <w:rFonts w:ascii="宋体" w:hAnsi="宋体" w:cs="宋体" w:eastAsia="宋体" w:hint="default"/>
                <w:sz w:val="18"/>
                <w:szCs w:val="18"/>
              </w:rPr>
              <w:t> 诺人严格遵 </w:t>
            </w:r>
            <w:r>
              <w:rPr>
                <w:rFonts w:ascii="宋体" w:hAnsi="宋体" w:cs="宋体" w:eastAsia="宋体" w:hint="default"/>
                <w:spacing w:val="-5"/>
                <w:sz w:val="18"/>
                <w:szCs w:val="18"/>
              </w:rPr>
              <w:t>守承诺，未发</w:t>
            </w:r>
            <w:r>
              <w:rPr>
                <w:rFonts w:ascii="宋体" w:hAnsi="宋体" w:cs="宋体" w:eastAsia="宋体" w:hint="default"/>
                <w:sz w:val="18"/>
                <w:szCs w:val="18"/>
              </w:rPr>
              <w:t> 现存在违反 承诺的情况。</w:t>
            </w:r>
          </w:p>
        </w:tc>
      </w:tr>
    </w:tbl>
    <w:p>
      <w:pPr>
        <w:spacing w:after="0" w:line="319" w:lineRule="auto"/>
        <w:jc w:val="left"/>
        <w:rPr>
          <w:rFonts w:ascii="宋体" w:hAnsi="宋体" w:cs="宋体" w:eastAsia="宋体" w:hint="default"/>
          <w:sz w:val="18"/>
          <w:szCs w:val="18"/>
        </w:rPr>
        <w:sectPr>
          <w:pgSz w:w="11910" w:h="16840"/>
          <w:pgMar w:header="787" w:footer="640" w:top="1100" w:bottom="840" w:left="0" w:right="0"/>
        </w:sectPr>
      </w:pPr>
    </w:p>
    <w:p>
      <w:pPr>
        <w:spacing w:line="240" w:lineRule="auto" w:before="4"/>
        <w:rPr>
          <w:rFonts w:ascii="Times New Roman" w:hAnsi="Times New Roman" w:cs="Times New Roman" w:eastAsia="Times New Roman" w:hint="default"/>
          <w:sz w:val="3"/>
          <w:szCs w:val="3"/>
        </w:rPr>
      </w:pPr>
      <w:r>
        <w:rPr/>
        <w:pict>
          <v:shape style="position:absolute;margin-left:361.480011pt;margin-top:72.47998pt;width:62pt;height:282.9pt;mso-position-horizontal-relative:page;mso-position-vertical-relative:page;z-index:-1170376" type="#_x0000_t202" filled="false" stroked="false">
            <v:textbox inset="0,0,0,0">
              <w:txbxContent>
                <w:p>
                  <w:pPr>
                    <w:spacing w:line="240" w:lineRule="auto" w:before="9"/>
                    <w:rPr>
                      <w:rFonts w:ascii="宋体" w:hAnsi="宋体" w:cs="宋体" w:eastAsia="宋体" w:hint="default"/>
                      <w:sz w:val="24"/>
                      <w:szCs w:val="24"/>
                    </w:rPr>
                  </w:pPr>
                </w:p>
                <w:p>
                  <w:pPr>
                    <w:pStyle w:val="BodyText"/>
                    <w:spacing w:line="240" w:lineRule="auto"/>
                    <w:ind w:left="0" w:right="0"/>
                    <w:jc w:val="left"/>
                  </w:pPr>
                  <w:r>
                    <w:rPr/>
                    <w:t>、</w:t>
                  </w:r>
                </w:p>
              </w:txbxContent>
            </v:textbox>
            <w10:wrap type="none"/>
          </v:shape>
        </w:pict>
      </w:r>
    </w:p>
    <w:p>
      <w:pPr>
        <w:spacing w:line="20" w:lineRule="exact"/>
        <w:ind w:left="1096"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10"/>
        <w:rPr>
          <w:rFonts w:ascii="Times New Roman" w:hAnsi="Times New Roman" w:cs="Times New Roman" w:eastAsia="Times New Roman" w:hint="default"/>
          <w:sz w:val="23"/>
          <w:szCs w:val="23"/>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的业绩回报</w:t>
            </w:r>
          </w:p>
        </w:tc>
        <w:tc>
          <w:tcPr>
            <w:tcW w:w="1126" w:type="dxa"/>
            <w:vMerge w:val="restart"/>
            <w:tcBorders>
              <w:top w:val="single" w:sz="4" w:space="0" w:color="000000"/>
              <w:left w:val="single" w:sz="4" w:space="0" w:color="000000"/>
              <w:right w:val="single" w:sz="4" w:space="0" w:color="000000"/>
            </w:tcBorders>
          </w:tcPr>
          <w:p>
            <w:pPr>
              <w:pStyle w:val="TableParagraph"/>
              <w:spacing w:line="5657"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12"/>
                <w:sz w:val="20"/>
                <w:szCs w:val="20"/>
              </w:rPr>
              <w:pict>
                <v:group style="width:55.85pt;height:282.9pt;mso-position-horizontal-relative:char;mso-position-vertical-relative:line" coordorigin="0,0" coordsize="1117,5658">
                  <v:group style="position:absolute;left:0;top:0;width:1117;height:5658" coordorigin="0,0" coordsize="1117,5658">
                    <v:shape style="position:absolute;left:0;top:0;width:1117;height:5658" coordorigin="0,0" coordsize="1117,5658" path="m0,5657l1116,5657,1116,0,0,0,0,5657xe" filled="true" fillcolor="#ffffff" stroked="false">
                      <v:path arrowok="t"/>
                      <v:fill type="solid"/>
                    </v:shape>
                  </v:group>
                </v:group>
              </w:pict>
            </w:r>
            <w:r>
              <w:rPr>
                <w:rFonts w:ascii="Times New Roman" w:hAnsi="Times New Roman" w:cs="Times New Roman" w:eastAsia="Times New Roman" w:hint="default"/>
                <w:position w:val="-112"/>
                <w:sz w:val="20"/>
                <w:szCs w:val="20"/>
              </w:rPr>
            </w: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广大股东；</w:t>
            </w:r>
            <w:r>
              <w:rPr>
                <w:rFonts w:ascii="Times New Roman" w:hAnsi="Times New Roman" w:cs="Times New Roman" w:eastAsia="Times New Roman" w:hint="default"/>
                <w:sz w:val="18"/>
                <w:szCs w:val="18"/>
              </w:rPr>
              <w:t>4</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承诺诚信经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营规范发展，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持续提高公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司信息披露</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质量，积极践</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行投资者 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系管理，切实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保护投资者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合法权益，努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力推动中小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股东参与公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司治理和重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大决策，为股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东提供真实、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3"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准确的投资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57"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决策依据。</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承诺是否按时履行</w:t>
            </w:r>
          </w:p>
        </w:tc>
        <w:tc>
          <w:tcPr>
            <w:tcW w:w="1126"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2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0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57" w:hRule="exact"/>
        </w:trPr>
        <w:tc>
          <w:tcPr>
            <w:tcW w:w="2836"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如承诺超期未履行完毕的，应当详</w:t>
            </w:r>
          </w:p>
        </w:tc>
        <w:tc>
          <w:tcPr>
            <w:tcW w:w="6733" w:type="dxa"/>
            <w:gridSpan w:val="6"/>
            <w:tcBorders>
              <w:top w:val="single" w:sz="4" w:space="0" w:color="000000"/>
              <w:left w:val="single" w:sz="13" w:space="0" w:color="D2D2D2"/>
              <w:bottom w:val="nil" w:sz="6" w:space="0" w:color="auto"/>
              <w:right w:val="single" w:sz="4" w:space="0" w:color="000000"/>
            </w:tcBorders>
          </w:tcPr>
          <w:p>
            <w:pPr/>
          </w:p>
        </w:tc>
      </w:tr>
      <w:tr>
        <w:trPr>
          <w:trHeight w:val="313" w:hRule="exact"/>
        </w:trPr>
        <w:tc>
          <w:tcPr>
            <w:tcW w:w="283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细说明未完成履行的具体原因及下</w:t>
            </w:r>
          </w:p>
        </w:tc>
        <w:tc>
          <w:tcPr>
            <w:tcW w:w="6733" w:type="dxa"/>
            <w:gridSpan w:val="6"/>
            <w:tcBorders>
              <w:top w:val="nil" w:sz="6" w:space="0" w:color="auto"/>
              <w:left w:val="single" w:sz="13" w:space="0" w:color="D2D2D2"/>
              <w:bottom w:val="nil" w:sz="6" w:space="0" w:color="auto"/>
              <w:right w:val="single" w:sz="4" w:space="0" w:color="000000"/>
            </w:tcBorders>
          </w:tcPr>
          <w:p>
            <w:pPr>
              <w:pStyle w:val="TableParagraph"/>
              <w:spacing w:line="240" w:lineRule="auto" w:before="11"/>
              <w:ind w:left="1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357" w:hRule="exact"/>
        </w:trPr>
        <w:tc>
          <w:tcPr>
            <w:tcW w:w="2836"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一步的工作计划</w:t>
            </w:r>
          </w:p>
        </w:tc>
        <w:tc>
          <w:tcPr>
            <w:tcW w:w="6733" w:type="dxa"/>
            <w:gridSpan w:val="6"/>
            <w:tcBorders>
              <w:top w:val="nil" w:sz="6" w:space="0" w:color="auto"/>
              <w:left w:val="single" w:sz="13" w:space="0" w:color="D2D2D2"/>
              <w:bottom w:val="single" w:sz="4" w:space="0" w:color="000000"/>
              <w:right w:val="single" w:sz="4" w:space="0" w:color="000000"/>
            </w:tcBorders>
          </w:tcPr>
          <w:p>
            <w:pP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733" w:type="dxa"/>
            <w:gridSpan w:val="6"/>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line="240" w:lineRule="auto" w:before="6"/>
        <w:rPr>
          <w:rFonts w:ascii="Times New Roman" w:hAnsi="Times New Roman" w:cs="Times New Roman" w:eastAsia="Times New Roman" w:hint="default"/>
          <w:sz w:val="28"/>
          <w:szCs w:val="28"/>
        </w:rPr>
      </w:pPr>
    </w:p>
    <w:p>
      <w:pPr>
        <w:pStyle w:val="Heading3"/>
        <w:spacing w:line="386" w:lineRule="auto" w:before="35"/>
        <w:ind w:right="0"/>
        <w:jc w:val="left"/>
        <w:rPr>
          <w:b w:val="0"/>
          <w:bCs w:val="0"/>
        </w:rPr>
      </w:pPr>
      <w:bookmarkStart w:name="2、公司资产或项目存在盈利预测，且报告期仍处在盈利预测期间，公司就资产或项目达到" w:id="65"/>
      <w:bookmarkEnd w:id="65"/>
      <w:r>
        <w:rPr>
          <w:b w:val="0"/>
          <w:bCs w:val="0"/>
        </w:rPr>
      </w: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74"/>
        </w:rPr>
        <w:t> </w:t>
      </w:r>
      <w:r>
        <w:rPr>
          <w:spacing w:val="-74"/>
        </w:rPr>
      </w:r>
      <w:r>
        <w:rPr/>
        <w:t>其原因做出说明</w:t>
      </w:r>
      <w:r>
        <w:rPr>
          <w:b w:val="0"/>
          <w:bCs w:val="0"/>
        </w:rPr>
      </w:r>
    </w:p>
    <w:p>
      <w:pPr>
        <w:spacing w:line="240" w:lineRule="auto" w:before="12"/>
        <w:rPr>
          <w:rFonts w:ascii="宋体" w:hAnsi="宋体" w:cs="宋体" w:eastAsia="宋体" w:hint="default"/>
          <w:b/>
          <w:bCs/>
          <w:sz w:val="29"/>
          <w:szCs w:val="29"/>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194"/>
        <w:gridCol w:w="1196"/>
        <w:gridCol w:w="1195"/>
        <w:gridCol w:w="1197"/>
        <w:gridCol w:w="1196"/>
        <w:gridCol w:w="1196"/>
        <w:gridCol w:w="1199"/>
        <w:gridCol w:w="1195"/>
      </w:tblGrid>
      <w:tr>
        <w:trPr>
          <w:trHeight w:val="713"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41" w:right="51" w:hanging="90"/>
              <w:jc w:val="left"/>
              <w:rPr>
                <w:rFonts w:ascii="宋体" w:hAnsi="宋体" w:cs="宋体" w:eastAsia="宋体" w:hint="default"/>
                <w:sz w:val="18"/>
                <w:szCs w:val="18"/>
              </w:rPr>
            </w:pPr>
            <w:r>
              <w:rPr>
                <w:rFonts w:ascii="宋体" w:hAnsi="宋体" w:cs="宋体" w:eastAsia="宋体" w:hint="default"/>
                <w:sz w:val="18"/>
                <w:szCs w:val="18"/>
              </w:rPr>
              <w:t>盈利预测资产 或项目名称</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预测起始时间</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预测终止时间</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当期预测业绩</w:t>
            </w:r>
          </w:p>
          <w:p>
            <w:pPr>
              <w:pStyle w:val="TableParagraph"/>
              <w:spacing w:line="240" w:lineRule="auto" w:before="76"/>
              <w:ind w:left="1"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当期实际业绩</w:t>
            </w:r>
          </w:p>
          <w:p>
            <w:pPr>
              <w:pStyle w:val="TableParagraph"/>
              <w:spacing w:line="240" w:lineRule="auto" w:before="76"/>
              <w:ind w:right="1"/>
              <w:jc w:val="center"/>
              <w:rPr>
                <w:rFonts w:ascii="宋体" w:hAnsi="宋体" w:cs="宋体" w:eastAsia="宋体" w:hint="default"/>
                <w:sz w:val="18"/>
                <w:szCs w:val="18"/>
              </w:rPr>
            </w:pPr>
            <w:r>
              <w:rPr>
                <w:rFonts w:ascii="宋体" w:hAnsi="宋体" w:cs="宋体" w:eastAsia="宋体" w:hint="default"/>
                <w:sz w:val="18"/>
                <w:szCs w:val="18"/>
              </w:rPr>
              <w:t>（万元）</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2" w:right="51"/>
              <w:jc w:val="left"/>
              <w:rPr>
                <w:rFonts w:ascii="宋体" w:hAnsi="宋体" w:cs="宋体" w:eastAsia="宋体" w:hint="default"/>
                <w:sz w:val="18"/>
                <w:szCs w:val="18"/>
              </w:rPr>
            </w:pPr>
            <w:r>
              <w:rPr>
                <w:rFonts w:ascii="宋体" w:hAnsi="宋体" w:cs="宋体" w:eastAsia="宋体" w:hint="default"/>
                <w:sz w:val="18"/>
                <w:szCs w:val="18"/>
              </w:rPr>
              <w:t>未达预测的原 因（如适用）</w:t>
            </w:r>
          </w:p>
        </w:tc>
        <w:tc>
          <w:tcPr>
            <w:tcW w:w="11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05" w:right="53" w:hanging="450"/>
              <w:jc w:val="left"/>
              <w:rPr>
                <w:rFonts w:ascii="宋体" w:hAnsi="宋体" w:cs="宋体" w:eastAsia="宋体" w:hint="default"/>
                <w:sz w:val="18"/>
                <w:szCs w:val="18"/>
              </w:rPr>
            </w:pPr>
            <w:r>
              <w:rPr>
                <w:rFonts w:ascii="宋体" w:hAnsi="宋体" w:cs="宋体" w:eastAsia="宋体" w:hint="default"/>
                <w:sz w:val="18"/>
                <w:szCs w:val="18"/>
              </w:rPr>
              <w:t>原预测披露日 期</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02" w:right="50" w:hanging="450"/>
              <w:jc w:val="left"/>
              <w:rPr>
                <w:rFonts w:ascii="宋体" w:hAnsi="宋体" w:cs="宋体" w:eastAsia="宋体" w:hint="default"/>
                <w:sz w:val="18"/>
                <w:szCs w:val="18"/>
              </w:rPr>
            </w:pPr>
            <w:r>
              <w:rPr>
                <w:rFonts w:ascii="宋体" w:hAnsi="宋体" w:cs="宋体" w:eastAsia="宋体" w:hint="default"/>
                <w:sz w:val="18"/>
                <w:szCs w:val="18"/>
              </w:rPr>
              <w:t>原预测披露索 引</w:t>
            </w:r>
          </w:p>
        </w:tc>
      </w:tr>
      <w:tr>
        <w:trPr>
          <w:trHeight w:val="2900" w:hRule="exact"/>
        </w:trPr>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2" w:right="81"/>
              <w:jc w:val="both"/>
              <w:rPr>
                <w:rFonts w:ascii="宋体" w:hAnsi="宋体" w:cs="宋体" w:eastAsia="宋体" w:hint="default"/>
                <w:sz w:val="18"/>
                <w:szCs w:val="18"/>
              </w:rPr>
            </w:pPr>
            <w:r>
              <w:rPr>
                <w:rFonts w:ascii="宋体" w:hAnsi="宋体" w:cs="宋体" w:eastAsia="宋体" w:hint="default"/>
                <w:sz w:val="18"/>
                <w:szCs w:val="18"/>
              </w:rPr>
              <w:t>深圳市润安科 技发展有限公 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760" w:right="0"/>
              <w:jc w:val="left"/>
              <w:rPr>
                <w:rFonts w:ascii="Times New Roman" w:hAnsi="Times New Roman" w:cs="Times New Roman" w:eastAsia="Times New Roman" w:hint="default"/>
                <w:sz w:val="18"/>
                <w:szCs w:val="18"/>
              </w:rPr>
            </w:pPr>
            <w:r>
              <w:rPr>
                <w:rFonts w:ascii="Times New Roman"/>
                <w:sz w:val="18"/>
              </w:rPr>
              <w:t>1,400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532" w:right="0"/>
              <w:jc w:val="left"/>
              <w:rPr>
                <w:rFonts w:ascii="Times New Roman" w:hAnsi="Times New Roman" w:cs="Times New Roman" w:eastAsia="Times New Roman" w:hint="default"/>
                <w:sz w:val="18"/>
                <w:szCs w:val="18"/>
              </w:rPr>
            </w:pPr>
            <w:r>
              <w:rPr>
                <w:rFonts w:ascii="Times New Roman"/>
                <w:sz w:val="18"/>
              </w:rPr>
              <w:t>1,404.67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66"/>
              <w:jc w:val="both"/>
              <w:rPr>
                <w:rFonts w:ascii="Times New Roman" w:hAnsi="Times New Roman" w:cs="Times New Roman" w:eastAsia="Times New Roman" w:hint="default"/>
                <w:sz w:val="18"/>
                <w:szCs w:val="18"/>
              </w:rPr>
            </w:pPr>
            <w:r>
              <w:rPr>
                <w:rFonts w:ascii="宋体" w:hAnsi="宋体" w:cs="宋体" w:eastAsia="宋体" w:hint="default"/>
                <w:sz w:val="18"/>
                <w:szCs w:val="18"/>
              </w:rPr>
              <w:t>关于支付现金 购买深圳市润 安科技发展有 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51%</w:t>
            </w:r>
            <w:r>
              <w:rPr>
                <w:rFonts w:ascii="宋体" w:hAnsi="宋体" w:cs="宋体" w:eastAsia="宋体" w:hint="default"/>
                <w:sz w:val="18"/>
                <w:szCs w:val="18"/>
              </w:rPr>
              <w:t>股 权的公告及相 关文件。披露 网站：巨潮资 讯网，公告编 号：</w:t>
            </w:r>
            <w:r>
              <w:rPr>
                <w:rFonts w:ascii="Times New Roman" w:hAnsi="Times New Roman" w:cs="Times New Roman" w:eastAsia="Times New Roman" w:hint="default"/>
                <w:sz w:val="18"/>
                <w:szCs w:val="18"/>
              </w:rPr>
              <w:t>2016-007</w:t>
            </w:r>
          </w:p>
        </w:tc>
      </w:tr>
    </w:tbl>
    <w:p>
      <w:pPr>
        <w:spacing w:line="240" w:lineRule="auto" w:before="6"/>
        <w:rPr>
          <w:rFonts w:ascii="宋体" w:hAnsi="宋体" w:cs="宋体" w:eastAsia="宋体" w:hint="default"/>
          <w:sz w:val="6"/>
          <w:szCs w:val="6"/>
        </w:rPr>
      </w:pPr>
    </w:p>
    <w:p>
      <w:pPr>
        <w:pStyle w:val="BodyText"/>
        <w:spacing w:line="240" w:lineRule="auto" w:before="44"/>
        <w:ind w:right="0"/>
        <w:jc w:val="left"/>
      </w:pPr>
      <w:r>
        <w:rPr/>
        <w:t>公司股东、交易对手方对公司或相关资产年度经营业绩作出的承诺情况</w:t>
      </w:r>
    </w:p>
    <w:p>
      <w:pPr>
        <w:spacing w:after="0" w:line="240" w:lineRule="auto"/>
        <w:jc w:val="left"/>
        <w:sectPr>
          <w:pgSz w:w="11910" w:h="16840"/>
          <w:pgMar w:header="787" w:footer="640" w:top="1100" w:bottom="840" w:left="0" w:right="0"/>
        </w:sectPr>
      </w:pPr>
    </w:p>
    <w:p>
      <w:pPr>
        <w:spacing w:line="240" w:lineRule="auto" w:before="11"/>
        <w:rPr>
          <w:rFonts w:ascii="宋体" w:hAnsi="宋体" w:cs="宋体" w:eastAsia="宋体" w:hint="default"/>
          <w:sz w:val="28"/>
          <w:szCs w:val="28"/>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19"/>
          <w:szCs w:val="19"/>
        </w:rPr>
      </w:pPr>
    </w:p>
    <w:p>
      <w:pPr>
        <w:pStyle w:val="BodyText"/>
        <w:spacing w:line="451" w:lineRule="auto"/>
        <w:ind w:left="1133" w:right="0"/>
        <w:jc w:val="left"/>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7</w:t>
      </w:r>
      <w:r>
        <w:rPr/>
        <w:t>日，公司与新余市彤富创投资合伙企业（有限合伙）（以下简称</w:t>
      </w:r>
      <w:r>
        <w:rPr>
          <w:rFonts w:ascii="Times New Roman" w:hAnsi="Times New Roman" w:cs="Times New Roman" w:eastAsia="Times New Roman" w:hint="default"/>
        </w:rPr>
        <w:t>“</w:t>
      </w:r>
      <w:r>
        <w:rPr/>
        <w:t>新余彤富创</w:t>
      </w:r>
      <w:r>
        <w:rPr>
          <w:rFonts w:ascii="Times New Roman" w:hAnsi="Times New Roman" w:cs="Times New Roman" w:eastAsia="Times New Roman" w:hint="default"/>
        </w:rPr>
        <w:t>”</w:t>
      </w:r>
      <w:r>
        <w:rPr/>
        <w:t>）、钟裕山、深圳市彤富创投 资合伙企业（有限合伙）（以下简称</w:t>
      </w:r>
      <w:r>
        <w:rPr>
          <w:rFonts w:ascii="Times New Roman" w:hAnsi="Times New Roman" w:cs="Times New Roman" w:eastAsia="Times New Roman" w:hint="default"/>
        </w:rPr>
        <w:t>“</w:t>
      </w:r>
      <w:r>
        <w:rPr/>
        <w:t>深圳彤富创</w:t>
      </w:r>
      <w:r>
        <w:rPr>
          <w:rFonts w:ascii="Times New Roman" w:hAnsi="Times New Roman" w:cs="Times New Roman" w:eastAsia="Times New Roman" w:hint="default"/>
        </w:rPr>
        <w:t>”</w:t>
      </w:r>
      <w:r>
        <w:rPr/>
        <w:t>）签署《现金购买资产协议》（以下简称</w:t>
      </w:r>
      <w:r>
        <w:rPr>
          <w:rFonts w:ascii="Times New Roman" w:hAnsi="Times New Roman" w:cs="Times New Roman" w:eastAsia="Times New Roman" w:hint="default"/>
        </w:rPr>
        <w:t>“</w:t>
      </w:r>
      <w:r>
        <w:rPr/>
        <w:t>协议</w:t>
      </w:r>
      <w:r>
        <w:rPr>
          <w:rFonts w:ascii="Times New Roman" w:hAnsi="Times New Roman" w:cs="Times New Roman" w:eastAsia="Times New Roman" w:hint="default"/>
        </w:rPr>
        <w:t>”</w:t>
      </w:r>
      <w:r>
        <w:rPr/>
        <w:t>），协议约定公司以人民 </w:t>
      </w:r>
      <w:r>
        <w:rPr>
          <w:spacing w:val="-2"/>
        </w:rPr>
        <w:t>币</w:t>
      </w:r>
      <w:r>
        <w:rPr>
          <w:rFonts w:ascii="Times New Roman" w:hAnsi="Times New Roman" w:cs="Times New Roman" w:eastAsia="Times New Roman" w:hint="default"/>
          <w:spacing w:val="-2"/>
        </w:rPr>
        <w:t>6,630.00</w:t>
      </w:r>
      <w:r>
        <w:rPr>
          <w:spacing w:val="-2"/>
        </w:rPr>
        <w:t>万元购买新余彤富创持有的深圳市润安科技发展有限公司（以下简称</w:t>
      </w:r>
      <w:r>
        <w:rPr>
          <w:rFonts w:ascii="Times New Roman" w:hAnsi="Times New Roman" w:cs="Times New Roman" w:eastAsia="Times New Roman" w:hint="default"/>
          <w:spacing w:val="-2"/>
        </w:rPr>
        <w:t>“</w:t>
      </w:r>
      <w:r>
        <w:rPr>
          <w:spacing w:val="-2"/>
        </w:rPr>
        <w:t>润安科技</w:t>
      </w:r>
      <w:r>
        <w:rPr>
          <w:rFonts w:ascii="Times New Roman" w:hAnsi="Times New Roman" w:cs="Times New Roman" w:eastAsia="Times New Roman" w:hint="default"/>
          <w:spacing w:val="-2"/>
        </w:rPr>
        <w:t>”</w:t>
      </w:r>
      <w:r>
        <w:rPr>
          <w:spacing w:val="-2"/>
        </w:rPr>
        <w:t>）</w:t>
      </w:r>
      <w:r>
        <w:rPr>
          <w:rFonts w:ascii="Times New Roman" w:hAnsi="Times New Roman" w:cs="Times New Roman" w:eastAsia="Times New Roman" w:hint="default"/>
          <w:spacing w:val="-2"/>
        </w:rPr>
        <w:t>51.00%</w:t>
      </w:r>
      <w:r>
        <w:rPr>
          <w:spacing w:val="-2"/>
        </w:rPr>
        <w:t>的股权，并新余彤富创、</w:t>
      </w:r>
      <w:r>
        <w:rPr>
          <w:spacing w:val="-45"/>
        </w:rPr>
        <w:t> </w:t>
      </w:r>
      <w:r>
        <w:rPr>
          <w:spacing w:val="-45"/>
        </w:rPr>
      </w:r>
      <w:r>
        <w:rPr/>
        <w:t>钟裕山和深圳彤富创在协议中承诺如下：</w:t>
      </w:r>
    </w:p>
    <w:p>
      <w:pPr>
        <w:pStyle w:val="BodyText"/>
        <w:spacing w:line="451" w:lineRule="auto" w:before="74"/>
        <w:ind w:left="1133" w:right="1143"/>
        <w:jc w:val="left"/>
      </w:pPr>
      <w:r>
        <w:rPr/>
        <w:t>（</w:t>
      </w:r>
      <w:r>
        <w:rPr>
          <w:rFonts w:ascii="Times New Roman" w:hAnsi="Times New Roman" w:cs="Times New Roman" w:eastAsia="Times New Roman" w:hint="default"/>
        </w:rPr>
        <w:t>1</w:t>
      </w:r>
      <w:r>
        <w:rPr/>
        <w:t>）盈利承诺：新余彤富创、深圳彤富创、钟裕山（以下简称</w:t>
      </w:r>
      <w:r>
        <w:rPr>
          <w:rFonts w:ascii="Times New Roman" w:hAnsi="Times New Roman" w:cs="Times New Roman" w:eastAsia="Times New Roman" w:hint="default"/>
        </w:rPr>
        <w:t>“</w:t>
      </w:r>
      <w:r>
        <w:rPr/>
        <w:t>业绩承诺补偿方</w:t>
      </w:r>
      <w:r>
        <w:rPr>
          <w:rFonts w:ascii="Times New Roman" w:hAnsi="Times New Roman" w:cs="Times New Roman" w:eastAsia="Times New Roman" w:hint="default"/>
        </w:rPr>
        <w:t>”</w:t>
      </w:r>
      <w:r>
        <w:rPr/>
        <w:t>）共同承诺，润安科技合并报表中</w:t>
      </w:r>
      <w:r>
        <w:rPr>
          <w:rFonts w:ascii="Times New Roman" w:hAnsi="Times New Roman" w:cs="Times New Roman" w:eastAsia="Times New Roman" w:hint="default"/>
        </w:rPr>
        <w:t>2016</w:t>
      </w:r>
      <w:r>
        <w:rPr/>
        <w:t>年 度、</w:t>
      </w:r>
      <w:r>
        <w:rPr>
          <w:rFonts w:ascii="Times New Roman" w:hAnsi="Times New Roman" w:cs="Times New Roman" w:eastAsia="Times New Roman" w:hint="default"/>
        </w:rPr>
        <w:t>2017</w:t>
      </w:r>
      <w:r>
        <w:rPr/>
        <w:t>年度和</w:t>
      </w:r>
      <w:r>
        <w:rPr>
          <w:rFonts w:ascii="Times New Roman" w:hAnsi="Times New Roman" w:cs="Times New Roman" w:eastAsia="Times New Roman" w:hint="default"/>
        </w:rPr>
        <w:t>2018</w:t>
      </w:r>
      <w:r>
        <w:rPr/>
        <w:t>年度扣除非经常性损益后的净利润分别不低于人民币</w:t>
      </w:r>
      <w:r>
        <w:rPr>
          <w:rFonts w:ascii="Times New Roman" w:hAnsi="Times New Roman" w:cs="Times New Roman" w:eastAsia="Times New Roman" w:hint="default"/>
        </w:rPr>
        <w:t>1,000.00</w:t>
      </w:r>
      <w:r>
        <w:rPr/>
        <w:t>万元、</w:t>
      </w:r>
      <w:r>
        <w:rPr>
          <w:rFonts w:ascii="Times New Roman" w:hAnsi="Times New Roman" w:cs="Times New Roman" w:eastAsia="Times New Roman" w:hint="default"/>
        </w:rPr>
        <w:t>1,400.00</w:t>
      </w:r>
      <w:r>
        <w:rPr/>
        <w:t>万元、</w:t>
      </w:r>
      <w:r>
        <w:rPr>
          <w:rFonts w:ascii="Times New Roman" w:hAnsi="Times New Roman" w:cs="Times New Roman" w:eastAsia="Times New Roman" w:hint="default"/>
        </w:rPr>
        <w:t>1,960.00</w:t>
      </w:r>
      <w:r>
        <w:rPr/>
        <w:t>万元。</w:t>
      </w:r>
    </w:p>
    <w:p>
      <w:pPr>
        <w:pStyle w:val="BodyText"/>
        <w:spacing w:line="451" w:lineRule="auto" w:before="43"/>
        <w:ind w:right="0"/>
        <w:jc w:val="left"/>
      </w:pPr>
      <w:r>
        <w:rPr>
          <w:spacing w:val="-2"/>
        </w:rPr>
        <w:t>（</w:t>
      </w:r>
      <w:r>
        <w:rPr>
          <w:rFonts w:ascii="Times New Roman" w:hAnsi="Times New Roman" w:cs="Times New Roman" w:eastAsia="Times New Roman" w:hint="default"/>
          <w:spacing w:val="-2"/>
        </w:rPr>
        <w:t>2</w:t>
      </w:r>
      <w:r>
        <w:rPr>
          <w:spacing w:val="-2"/>
        </w:rPr>
        <w:t>）盈利补偿的条件：若润安科技在盈利承诺期间内截至当期期末累计实际净利润未达到截至当期期末累计承诺净利润的，</w:t>
      </w:r>
      <w:r>
        <w:rPr>
          <w:spacing w:val="-62"/>
        </w:rPr>
        <w:t> </w:t>
      </w:r>
      <w:r>
        <w:rPr>
          <w:spacing w:val="-62"/>
        </w:rPr>
      </w:r>
      <w:r>
        <w:rPr/>
        <w:t>新余彤富创将根据约定逐年承担相应补偿义务。</w:t>
      </w:r>
    </w:p>
    <w:p>
      <w:pPr>
        <w:pStyle w:val="BodyText"/>
        <w:spacing w:line="460" w:lineRule="auto" w:before="74"/>
        <w:ind w:left="1133" w:right="1132"/>
        <w:jc w:val="both"/>
      </w:pPr>
      <w:r>
        <w:rPr/>
        <w:t>（</w:t>
      </w:r>
      <w:r>
        <w:rPr>
          <w:rFonts w:ascii="Times New Roman" w:hAnsi="Times New Roman" w:cs="Times New Roman" w:eastAsia="Times New Roman" w:hint="default"/>
        </w:rPr>
        <w:t>3</w:t>
      </w:r>
      <w:r>
        <w:rPr/>
        <w:t>）盈利补偿的方式：新余彤富创首先应以尚未支付的现金对价进行补偿，仍不足的以通过本次交易取得的现金对价进行 </w:t>
      </w:r>
      <w:r>
        <w:rPr>
          <w:spacing w:val="-2"/>
        </w:rPr>
        <w:t>补偿；如现金方式不足以补偿时，由钟裕山及深圳彤富创以其持有的润安科技股权作价进行补足。为确保业绩承诺补偿方履</w:t>
      </w:r>
      <w:r>
        <w:rPr>
          <w:spacing w:val="-66"/>
        </w:rPr>
        <w:t> </w:t>
      </w:r>
      <w:r>
        <w:rPr>
          <w:spacing w:val="-66"/>
        </w:rPr>
      </w:r>
      <w:r>
        <w:rPr>
          <w:spacing w:val="-2"/>
        </w:rPr>
        <w:t>行盈利补偿义务，钟裕山同意在浩云科技向新余彤富创支付首期转让款后</w:t>
      </w:r>
      <w:r>
        <w:rPr>
          <w:rFonts w:ascii="Times New Roman" w:hAnsi="Times New Roman" w:cs="Times New Roman" w:eastAsia="Times New Roman" w:hint="default"/>
          <w:spacing w:val="-2"/>
        </w:rPr>
        <w:t>10</w:t>
      </w:r>
      <w:r>
        <w:rPr>
          <w:spacing w:val="-2"/>
        </w:rPr>
        <w:t>个工作日内将原质押予金诺（天津）商业保理有</w:t>
      </w:r>
      <w:r>
        <w:rPr>
          <w:spacing w:val="-64"/>
        </w:rPr>
        <w:t> </w:t>
      </w:r>
      <w:r>
        <w:rPr>
          <w:spacing w:val="-64"/>
        </w:rPr>
      </w:r>
      <w:r>
        <w:rPr>
          <w:spacing w:val="-2"/>
        </w:rPr>
        <w:t>限公司的全部股权质押予浩云科技并办理质押登记，在新余彤富创依约履行完毕盈利补偿义务后，浩云科技应配合办理全部</w:t>
      </w:r>
      <w:r>
        <w:rPr>
          <w:spacing w:val="-64"/>
        </w:rPr>
        <w:t> </w:t>
      </w:r>
      <w:r>
        <w:rPr>
          <w:spacing w:val="-64"/>
        </w:rPr>
      </w:r>
      <w:r>
        <w:rPr>
          <w:spacing w:val="-2"/>
        </w:rPr>
        <w:t>质押股权的解押手续。盈利补偿金额的计算：当期应补偿金额</w:t>
      </w:r>
      <w:r>
        <w:rPr>
          <w:rFonts w:ascii="Times New Roman" w:hAnsi="Times New Roman" w:cs="Times New Roman" w:eastAsia="Times New Roman" w:hint="default"/>
          <w:spacing w:val="-2"/>
        </w:rPr>
        <w:t>=</w:t>
      </w:r>
      <w:r>
        <w:rPr>
          <w:spacing w:val="-2"/>
        </w:rPr>
        <w:t>（交易基准日至当期期末累积承诺净利润数</w:t>
      </w:r>
      <w:r>
        <w:rPr>
          <w:rFonts w:ascii="Times New Roman" w:hAnsi="Times New Roman" w:cs="Times New Roman" w:eastAsia="Times New Roman" w:hint="default"/>
          <w:spacing w:val="-2"/>
        </w:rPr>
        <w:t>-</w:t>
      </w:r>
      <w:r>
        <w:rPr>
          <w:spacing w:val="-2"/>
        </w:rPr>
        <w:t>交易基准日至当</w:t>
      </w:r>
      <w:r>
        <w:rPr>
          <w:spacing w:val="-46"/>
        </w:rPr>
        <w:t> </w:t>
      </w:r>
      <w:r>
        <w:rPr/>
        <w:t>期期末累积实际净利润数）</w:t>
      </w:r>
      <w:r>
        <w:rPr>
          <w:rFonts w:ascii="Times New Roman" w:hAnsi="Times New Roman" w:cs="Times New Roman" w:eastAsia="Times New Roman" w:hint="default"/>
        </w:rPr>
        <w:t>÷</w:t>
      </w:r>
      <w:r>
        <w:rPr/>
        <w:t>盈利承诺期间累计承诺净利润数</w:t>
      </w:r>
      <w:r>
        <w:rPr>
          <w:rFonts w:ascii="Times New Roman" w:hAnsi="Times New Roman" w:cs="Times New Roman" w:eastAsia="Times New Roman" w:hint="default"/>
        </w:rPr>
        <w:t>×</w:t>
      </w:r>
      <w:r>
        <w:rPr/>
        <w:t>本次交易合计支付的对价</w:t>
      </w:r>
      <w:r>
        <w:rPr>
          <w:rFonts w:ascii="Times New Roman" w:hAnsi="Times New Roman" w:cs="Times New Roman" w:eastAsia="Times New Roman" w:hint="default"/>
        </w:rPr>
        <w:t>-</w:t>
      </w:r>
      <w:r>
        <w:rPr/>
        <w:t>已补偿金额。</w:t>
      </w:r>
    </w:p>
    <w:p>
      <w:pPr>
        <w:pStyle w:val="BodyText"/>
        <w:spacing w:line="465" w:lineRule="auto" w:before="36"/>
        <w:ind w:left="1133" w:right="1123"/>
        <w:jc w:val="left"/>
      </w:pPr>
      <w:r>
        <w:rPr/>
        <w:t>（</w:t>
      </w:r>
      <w:r>
        <w:rPr>
          <w:rFonts w:ascii="Times New Roman" w:hAnsi="Times New Roman" w:cs="Times New Roman" w:eastAsia="Times New Roman" w:hint="default"/>
        </w:rPr>
        <w:t>4</w:t>
      </w:r>
      <w:r>
        <w:rPr/>
        <w:t>）盈利补偿的实施：各方应在盈利承诺期内每个会计年度结束后计算新余彤富创该年度须补偿的金额，新余彤富创须当 </w:t>
      </w:r>
      <w:r>
        <w:rPr>
          <w:spacing w:val="-2"/>
        </w:rPr>
        <w:t>期支付。按前述公式计算的新余彤富创该年度应补偿的金额小于或等于</w:t>
      </w:r>
      <w:r>
        <w:rPr>
          <w:rFonts w:ascii="Times New Roman" w:hAnsi="Times New Roman" w:cs="Times New Roman" w:eastAsia="Times New Roman" w:hint="default"/>
          <w:spacing w:val="-2"/>
        </w:rPr>
        <w:t>0</w:t>
      </w:r>
      <w:r>
        <w:rPr>
          <w:spacing w:val="-2"/>
        </w:rPr>
        <w:t>时，取值为</w:t>
      </w:r>
      <w:r>
        <w:rPr>
          <w:rFonts w:ascii="Times New Roman" w:hAnsi="Times New Roman" w:cs="Times New Roman" w:eastAsia="Times New Roman" w:hint="default"/>
          <w:spacing w:val="-2"/>
        </w:rPr>
        <w:t>0</w:t>
      </w:r>
      <w:r>
        <w:rPr>
          <w:spacing w:val="-2"/>
        </w:rPr>
        <w:t>，新余彤富创当年无需进行补偿，同时</w:t>
      </w:r>
      <w:r>
        <w:rPr>
          <w:spacing w:val="-65"/>
        </w:rPr>
        <w:t> </w:t>
      </w:r>
      <w:r>
        <w:rPr>
          <w:spacing w:val="-65"/>
        </w:rPr>
      </w:r>
      <w:r>
        <w:rPr/>
        <w:t>此前年度已计算的补偿金额也不进行冲回。本补偿金额首先从浩云科技最近一期应支付给新余彤富创的本次转让价款中扣 </w:t>
      </w:r>
      <w:r>
        <w:rPr>
          <w:spacing w:val="-2"/>
        </w:rPr>
        <w:t>除，剩余部分由新余彤富创收到浩云科技相关书面通知之日起三十个工作日内补齐。深圳彤富创和钟裕山应对上述补偿义务</w:t>
      </w:r>
      <w:r>
        <w:rPr>
          <w:spacing w:val="-63"/>
        </w:rPr>
        <w:t> </w:t>
      </w:r>
      <w:r>
        <w:rPr>
          <w:spacing w:val="-63"/>
        </w:rPr>
      </w:r>
      <w:r>
        <w:rPr>
          <w:spacing w:val="-2"/>
        </w:rPr>
        <w:t>承担连带责任。如果有业绩承诺补偿方违反协议关于任期及竞业禁止期限的规定的，其盈利补偿义务在其离职后依然需要履</w:t>
      </w:r>
      <w:r>
        <w:rPr>
          <w:spacing w:val="-64"/>
        </w:rPr>
        <w:t> </w:t>
      </w:r>
      <w:r>
        <w:rPr>
          <w:spacing w:val="-64"/>
        </w:rPr>
      </w:r>
      <w:r>
        <w:rPr/>
        <w:t>行。</w:t>
      </w:r>
    </w:p>
    <w:p>
      <w:pPr>
        <w:pStyle w:val="BodyText"/>
        <w:spacing w:line="434" w:lineRule="auto" w:before="69"/>
        <w:ind w:right="1107"/>
        <w:jc w:val="left"/>
      </w:pPr>
      <w:r>
        <w:rPr>
          <w:rFonts w:ascii="Times New Roman" w:hAnsi="Times New Roman" w:cs="Times New Roman" w:eastAsia="Times New Roman" w:hint="default"/>
        </w:rPr>
        <w:t>2</w:t>
      </w:r>
      <w:r>
        <w:rPr/>
        <w:t>、根据润安科技经审计的</w:t>
      </w:r>
      <w:r>
        <w:rPr>
          <w:rFonts w:ascii="Times New Roman" w:hAnsi="Times New Roman" w:cs="Times New Roman" w:eastAsia="Times New Roman" w:hint="default"/>
        </w:rPr>
        <w:t>2017</w:t>
      </w:r>
      <w:r>
        <w:rPr/>
        <w:t>年度财务报告显示，其在</w:t>
      </w:r>
      <w:r>
        <w:rPr>
          <w:rFonts w:ascii="Times New Roman" w:hAnsi="Times New Roman" w:cs="Times New Roman" w:eastAsia="Times New Roman" w:hint="default"/>
        </w:rPr>
        <w:t>2017</w:t>
      </w:r>
      <w:r>
        <w:rPr/>
        <w:t>年度内实现的扣除非经常性损益后的净利润为</w:t>
      </w:r>
      <w:r>
        <w:rPr>
          <w:rFonts w:ascii="Times New Roman" w:hAnsi="Times New Roman" w:cs="Times New Roman" w:eastAsia="Times New Roman" w:hint="default"/>
          <w:sz w:val="21"/>
          <w:szCs w:val="21"/>
        </w:rPr>
        <w:t>1,404.67</w:t>
      </w:r>
      <w:r>
        <w:rPr/>
        <w:t>万元， 不低于其预先承诺的人民币</w:t>
      </w:r>
      <w:r>
        <w:rPr>
          <w:rFonts w:ascii="Times New Roman" w:hAnsi="Times New Roman" w:cs="Times New Roman" w:eastAsia="Times New Roman" w:hint="default"/>
        </w:rPr>
        <w:t>1,400.00</w:t>
      </w:r>
      <w:r>
        <w:rPr/>
        <w:t>万元，严格履行了其在协议中的承诺。</w:t>
      </w:r>
    </w:p>
    <w:p>
      <w:pPr>
        <w:spacing w:line="240" w:lineRule="auto" w:before="8"/>
        <w:rPr>
          <w:rFonts w:ascii="宋体" w:hAnsi="宋体" w:cs="宋体" w:eastAsia="宋体" w:hint="default"/>
          <w:sz w:val="23"/>
          <w:szCs w:val="23"/>
        </w:rPr>
      </w:pPr>
    </w:p>
    <w:p>
      <w:pPr>
        <w:pStyle w:val="Heading2"/>
        <w:spacing w:line="240" w:lineRule="auto"/>
        <w:ind w:left="1134" w:right="0"/>
        <w:jc w:val="left"/>
        <w:rPr>
          <w:b w:val="0"/>
          <w:bCs w:val="0"/>
        </w:rPr>
      </w:pPr>
      <w:bookmarkStart w:name="三、控股股东及其关联方对上市公司的非经营性占用资金情况" w:id="66"/>
      <w:bookmarkEnd w:id="66"/>
      <w:r>
        <w:rPr>
          <w:b w:val="0"/>
          <w:bCs w:val="0"/>
        </w:rPr>
      </w:r>
      <w:r>
        <w:rPr/>
        <w:t>三、控股股东及其关联方对上市公司的非经营性占用资金情况</w:t>
      </w:r>
      <w:r>
        <w:rPr>
          <w:b w:val="0"/>
          <w:bCs w:val="0"/>
        </w:rPr>
      </w:r>
    </w:p>
    <w:p>
      <w:pPr>
        <w:spacing w:line="240" w:lineRule="auto" w:before="0"/>
        <w:rPr>
          <w:rFonts w:ascii="宋体" w:hAnsi="宋体" w:cs="宋体" w:eastAsia="宋体" w:hint="default"/>
          <w:b/>
          <w:bCs/>
          <w:sz w:val="24"/>
          <w:szCs w:val="24"/>
        </w:rPr>
      </w:pPr>
    </w:p>
    <w:p>
      <w:pPr>
        <w:pStyle w:val="BodyText"/>
        <w:spacing w:line="489" w:lineRule="auto" w:before="189"/>
        <w:ind w:left="1133" w:right="49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公司报告期不存在控股股东及其关联方对上市公司的非经营性占用资金。</w:t>
      </w:r>
    </w:p>
    <w:p>
      <w:pPr>
        <w:spacing w:after="0" w:line="489" w:lineRule="auto"/>
        <w:jc w:val="left"/>
        <w:sectPr>
          <w:pgSz w:w="11910" w:h="16840"/>
          <w:pgMar w:header="787" w:footer="640" w:top="1100" w:bottom="840" w:left="0" w:right="0"/>
        </w:sectPr>
      </w:pPr>
    </w:p>
    <w:p>
      <w:pPr>
        <w:spacing w:line="240" w:lineRule="auto" w:before="6"/>
        <w:rPr>
          <w:rFonts w:ascii="宋体" w:hAnsi="宋体" w:cs="宋体" w:eastAsia="宋体" w:hint="default"/>
          <w:sz w:val="26"/>
          <w:szCs w:val="26"/>
        </w:rPr>
      </w:pPr>
    </w:p>
    <w:p>
      <w:pPr>
        <w:pStyle w:val="Heading2"/>
        <w:spacing w:line="240" w:lineRule="auto" w:before="26"/>
        <w:ind w:left="1134" w:right="0"/>
        <w:jc w:val="left"/>
        <w:rPr>
          <w:b w:val="0"/>
          <w:bCs w:val="0"/>
        </w:rPr>
      </w:pPr>
      <w:bookmarkStart w:name="四、董事会对最近一期“非标准审计报告”相关情况的说明" w:id="67"/>
      <w:bookmarkEnd w:id="67"/>
      <w:r>
        <w:rPr>
          <w:b w:val="0"/>
          <w:bCs w:val="0"/>
        </w:rPr>
      </w:r>
      <w:r>
        <w:rPr/>
        <w:t>四、董事会对最近一期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相关情况的说明</w:t>
      </w:r>
      <w:r>
        <w:rPr>
          <w:b w:val="0"/>
          <w:bCs w:val="0"/>
        </w:rPr>
      </w:r>
    </w:p>
    <w:p>
      <w:pPr>
        <w:spacing w:line="240" w:lineRule="auto" w:before="0"/>
        <w:rPr>
          <w:rFonts w:ascii="宋体" w:hAnsi="宋体" w:cs="宋体" w:eastAsia="宋体" w:hint="default"/>
          <w:b/>
          <w:bCs/>
          <w:sz w:val="24"/>
          <w:szCs w:val="24"/>
        </w:rPr>
      </w:pPr>
    </w:p>
    <w:p>
      <w:pPr>
        <w:pStyle w:val="BodyText"/>
        <w:spacing w:line="240" w:lineRule="auto" w:before="171"/>
        <w:ind w:left="113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7"/>
          <w:szCs w:val="17"/>
        </w:rPr>
      </w:pPr>
    </w:p>
    <w:p>
      <w:pPr>
        <w:pStyle w:val="Heading2"/>
        <w:spacing w:line="240" w:lineRule="auto"/>
        <w:ind w:right="0"/>
        <w:jc w:val="left"/>
        <w:rPr>
          <w:b w:val="0"/>
          <w:bCs w:val="0"/>
        </w:rPr>
      </w:pPr>
      <w:bookmarkStart w:name="五、董事会、监事会、独立董事（如有）对会计师事务所本报告期“非标准审计报告”的说" w:id="68"/>
      <w:bookmarkEnd w:id="68"/>
      <w:r>
        <w:rPr>
          <w:b w:val="0"/>
          <w:bCs w:val="0"/>
        </w:rPr>
      </w: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0"/>
        <w:rPr>
          <w:rFonts w:ascii="宋体" w:hAnsi="宋体" w:cs="宋体" w:eastAsia="宋体" w:hint="default"/>
          <w:b/>
          <w:bCs/>
          <w:sz w:val="24"/>
          <w:szCs w:val="24"/>
        </w:rPr>
      </w:pPr>
    </w:p>
    <w:p>
      <w:pPr>
        <w:pStyle w:val="BodyText"/>
        <w:spacing w:line="240" w:lineRule="auto" w:before="171"/>
        <w:ind w:left="113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7"/>
          <w:szCs w:val="17"/>
        </w:rPr>
      </w:pPr>
    </w:p>
    <w:p>
      <w:pPr>
        <w:pStyle w:val="Heading2"/>
        <w:spacing w:line="240" w:lineRule="auto"/>
        <w:ind w:right="0"/>
        <w:jc w:val="left"/>
        <w:rPr>
          <w:b w:val="0"/>
          <w:bCs w:val="0"/>
        </w:rPr>
      </w:pPr>
      <w:bookmarkStart w:name="六、董事会关于报告期会计政策、会计估计变更或重大会计差错更正的说明" w:id="69"/>
      <w:bookmarkEnd w:id="69"/>
      <w:r>
        <w:rPr>
          <w:b w:val="0"/>
          <w:bCs w:val="0"/>
        </w:rPr>
      </w:r>
      <w:r>
        <w:rPr/>
        <w:t>六、董事会关于报告期会计政策、会计估计变更或重大会计差错更正的说明</w:t>
      </w:r>
      <w:r>
        <w:rPr>
          <w:b w:val="0"/>
          <w:bCs w:val="0"/>
        </w:rPr>
      </w:r>
    </w:p>
    <w:p>
      <w:pPr>
        <w:spacing w:line="240" w:lineRule="auto" w:before="0"/>
        <w:rPr>
          <w:rFonts w:ascii="宋体" w:hAnsi="宋体" w:cs="宋体" w:eastAsia="宋体" w:hint="default"/>
          <w:b/>
          <w:bCs/>
          <w:sz w:val="24"/>
          <w:szCs w:val="24"/>
        </w:rPr>
      </w:pPr>
    </w:p>
    <w:p>
      <w:pPr>
        <w:pStyle w:val="BodyText"/>
        <w:spacing w:line="240" w:lineRule="auto" w:before="189"/>
        <w:ind w:left="113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19"/>
          <w:szCs w:val="19"/>
        </w:rPr>
      </w:pPr>
    </w:p>
    <w:p>
      <w:pPr>
        <w:pStyle w:val="BodyText"/>
        <w:spacing w:line="451" w:lineRule="auto"/>
        <w:ind w:left="1133" w:right="1039"/>
        <w:jc w:val="left"/>
      </w:pPr>
      <w:r>
        <w:rPr>
          <w:rFonts w:ascii="Times New Roman" w:hAnsi="Times New Roman" w:cs="Times New Roman" w:eastAsia="Times New Roman" w:hint="default"/>
          <w:spacing w:val="-2"/>
        </w:rPr>
        <w:t>1</w:t>
      </w:r>
      <w:r>
        <w:rPr>
          <w:spacing w:val="-2"/>
        </w:rPr>
        <w:t>、公司依照会计准则等相关规定并结合公司实际情况，公司于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30</w:t>
      </w:r>
      <w:r>
        <w:rPr>
          <w:spacing w:val="-2"/>
        </w:rPr>
        <w:t>日召开第二届董事会第三十五次会议，审议通过</w:t>
      </w:r>
      <w:r>
        <w:rPr>
          <w:spacing w:val="-58"/>
        </w:rPr>
        <w:t> </w:t>
      </w:r>
      <w:r>
        <w:rPr>
          <w:spacing w:val="-58"/>
        </w:rPr>
      </w:r>
      <w:r>
        <w:rPr/>
        <w:t>了《关于会计估计变更的议案》，将固定资产中的房屋建筑物</w:t>
      </w:r>
      <w:r>
        <w:rPr>
          <w:rFonts w:ascii="Times New Roman" w:hAnsi="Times New Roman" w:cs="Times New Roman" w:eastAsia="Times New Roman" w:hint="default"/>
        </w:rPr>
        <w:t>20</w:t>
      </w:r>
      <w:r>
        <w:rPr/>
        <w:t>年的折旧年限改成</w:t>
      </w:r>
      <w:r>
        <w:rPr>
          <w:rFonts w:ascii="Times New Roman" w:hAnsi="Times New Roman" w:cs="Times New Roman" w:eastAsia="Times New Roman" w:hint="default"/>
        </w:rPr>
        <w:t>20-40</w:t>
      </w:r>
      <w:r>
        <w:rPr/>
        <w:t>年进行核算及应收账款的坏账准备 </w:t>
      </w:r>
      <w:r>
        <w:rPr>
          <w:spacing w:val="-1"/>
        </w:rPr>
        <w:t>计提比例由原来的</w:t>
      </w:r>
      <w:r>
        <w:rPr>
          <w:rFonts w:ascii="Times New Roman" w:hAnsi="Times New Roman" w:cs="Times New Roman" w:eastAsia="Times New Roman" w:hint="default"/>
          <w:spacing w:val="-1"/>
        </w:rPr>
        <w:t>1</w:t>
      </w:r>
      <w:r>
        <w:rPr>
          <w:spacing w:val="-1"/>
        </w:rPr>
        <w:t>年以内</w:t>
      </w:r>
      <w:r>
        <w:rPr>
          <w:rFonts w:ascii="Times New Roman" w:hAnsi="Times New Roman" w:cs="Times New Roman" w:eastAsia="Times New Roman" w:hint="default"/>
          <w:spacing w:val="-1"/>
        </w:rPr>
        <w:t>5%</w:t>
      </w:r>
      <w:r>
        <w:rPr>
          <w:spacing w:val="-1"/>
        </w:rPr>
        <w:t>、</w:t>
      </w:r>
      <w:r>
        <w:rPr>
          <w:rFonts w:ascii="Times New Roman" w:hAnsi="Times New Roman" w:cs="Times New Roman" w:eastAsia="Times New Roman" w:hint="default"/>
          <w:spacing w:val="-1"/>
        </w:rPr>
        <w:t>1-2</w:t>
      </w:r>
      <w:r>
        <w:rPr>
          <w:spacing w:val="-1"/>
        </w:rPr>
        <w:t>年</w:t>
      </w:r>
      <w:r>
        <w:rPr>
          <w:rFonts w:ascii="Times New Roman" w:hAnsi="Times New Roman" w:cs="Times New Roman" w:eastAsia="Times New Roman" w:hint="default"/>
          <w:spacing w:val="-1"/>
        </w:rPr>
        <w:t>10%</w:t>
      </w:r>
      <w:r>
        <w:rPr>
          <w:spacing w:val="-1"/>
        </w:rPr>
        <w:t>、</w:t>
      </w:r>
      <w:r>
        <w:rPr>
          <w:rFonts w:ascii="Times New Roman" w:hAnsi="Times New Roman" w:cs="Times New Roman" w:eastAsia="Times New Roman" w:hint="default"/>
          <w:spacing w:val="-1"/>
        </w:rPr>
        <w:t>2-3</w:t>
      </w:r>
      <w:r>
        <w:rPr>
          <w:spacing w:val="-1"/>
        </w:rPr>
        <w:t>年</w:t>
      </w:r>
      <w:r>
        <w:rPr>
          <w:rFonts w:ascii="Times New Roman" w:hAnsi="Times New Roman" w:cs="Times New Roman" w:eastAsia="Times New Roman" w:hint="default"/>
          <w:spacing w:val="-1"/>
        </w:rPr>
        <w:t>30%</w:t>
      </w:r>
      <w:r>
        <w:rPr>
          <w:spacing w:val="-1"/>
        </w:rPr>
        <w:t>、</w:t>
      </w:r>
      <w:r>
        <w:rPr>
          <w:rFonts w:ascii="Times New Roman" w:hAnsi="Times New Roman" w:cs="Times New Roman" w:eastAsia="Times New Roman" w:hint="default"/>
          <w:spacing w:val="-1"/>
        </w:rPr>
        <w:t>3</w:t>
      </w:r>
      <w:r>
        <w:rPr>
          <w:spacing w:val="-1"/>
        </w:rPr>
        <w:t>年以上</w:t>
      </w:r>
      <w:r>
        <w:rPr>
          <w:rFonts w:ascii="Times New Roman" w:hAnsi="Times New Roman" w:cs="Times New Roman" w:eastAsia="Times New Roman" w:hint="default"/>
          <w:spacing w:val="-1"/>
        </w:rPr>
        <w:t>100%</w:t>
      </w:r>
      <w:r>
        <w:rPr>
          <w:spacing w:val="-1"/>
        </w:rPr>
        <w:t>改成按</w:t>
      </w:r>
      <w:r>
        <w:rPr>
          <w:rFonts w:ascii="Times New Roman" w:hAnsi="Times New Roman" w:cs="Times New Roman" w:eastAsia="Times New Roman" w:hint="default"/>
          <w:spacing w:val="-1"/>
        </w:rPr>
        <w:t>1</w:t>
      </w:r>
      <w:r>
        <w:rPr>
          <w:spacing w:val="-1"/>
        </w:rPr>
        <w:t>年以内</w:t>
      </w:r>
      <w:r>
        <w:rPr>
          <w:rFonts w:ascii="Times New Roman" w:hAnsi="Times New Roman" w:cs="Times New Roman" w:eastAsia="Times New Roman" w:hint="default"/>
          <w:spacing w:val="-1"/>
        </w:rPr>
        <w:t>3%</w:t>
      </w:r>
      <w:r>
        <w:rPr>
          <w:spacing w:val="-1"/>
        </w:rPr>
        <w:t>、</w:t>
      </w:r>
      <w:r>
        <w:rPr>
          <w:rFonts w:ascii="Times New Roman" w:hAnsi="Times New Roman" w:cs="Times New Roman" w:eastAsia="Times New Roman" w:hint="default"/>
          <w:spacing w:val="-1"/>
        </w:rPr>
        <w:t>1-2</w:t>
      </w:r>
      <w:r>
        <w:rPr>
          <w:spacing w:val="-1"/>
        </w:rPr>
        <w:t>年</w:t>
      </w:r>
      <w:r>
        <w:rPr>
          <w:rFonts w:ascii="Times New Roman" w:hAnsi="Times New Roman" w:cs="Times New Roman" w:eastAsia="Times New Roman" w:hint="default"/>
          <w:spacing w:val="-1"/>
        </w:rPr>
        <w:t>10%</w:t>
      </w:r>
      <w:r>
        <w:rPr>
          <w:spacing w:val="-1"/>
        </w:rPr>
        <w:t>、</w:t>
      </w:r>
      <w:r>
        <w:rPr>
          <w:rFonts w:ascii="Times New Roman" w:hAnsi="Times New Roman" w:cs="Times New Roman" w:eastAsia="Times New Roman" w:hint="default"/>
          <w:spacing w:val="-1"/>
        </w:rPr>
        <w:t>2-3</w:t>
      </w:r>
      <w:r>
        <w:rPr>
          <w:spacing w:val="-1"/>
        </w:rPr>
        <w:t>年</w:t>
      </w:r>
      <w:r>
        <w:rPr>
          <w:rFonts w:ascii="Times New Roman" w:hAnsi="Times New Roman" w:cs="Times New Roman" w:eastAsia="Times New Roman" w:hint="default"/>
          <w:spacing w:val="-1"/>
        </w:rPr>
        <w:t>20%</w:t>
      </w:r>
      <w:r>
        <w:rPr>
          <w:spacing w:val="-1"/>
        </w:rPr>
        <w:t>、</w:t>
      </w:r>
      <w:r>
        <w:rPr>
          <w:rFonts w:ascii="Times New Roman" w:hAnsi="Times New Roman" w:cs="Times New Roman" w:eastAsia="Times New Roman" w:hint="default"/>
          <w:spacing w:val="-1"/>
        </w:rPr>
        <w:t>3-4</w:t>
      </w:r>
      <w:r>
        <w:rPr>
          <w:spacing w:val="-1"/>
        </w:rPr>
        <w:t>年</w:t>
      </w:r>
      <w:r>
        <w:rPr>
          <w:rFonts w:ascii="Times New Roman" w:hAnsi="Times New Roman" w:cs="Times New Roman" w:eastAsia="Times New Roman" w:hint="default"/>
          <w:spacing w:val="-1"/>
        </w:rPr>
        <w:t>50%</w:t>
      </w:r>
      <w:r>
        <w:rPr>
          <w:spacing w:val="-1"/>
        </w:rPr>
        <w:t>、</w:t>
      </w:r>
      <w:r>
        <w:rPr>
          <w:spacing w:val="-71"/>
        </w:rPr>
        <w:t> </w:t>
      </w:r>
      <w:r>
        <w:rPr>
          <w:rFonts w:ascii="Times New Roman" w:hAnsi="Times New Roman" w:cs="Times New Roman" w:eastAsia="Times New Roman" w:hint="default"/>
          <w:spacing w:val="-2"/>
        </w:rPr>
        <w:t>4-5</w:t>
      </w:r>
      <w:r>
        <w:rPr>
          <w:spacing w:val="-2"/>
        </w:rPr>
        <w:t>年</w:t>
      </w:r>
      <w:r>
        <w:rPr>
          <w:rFonts w:ascii="Times New Roman" w:hAnsi="Times New Roman" w:cs="Times New Roman" w:eastAsia="Times New Roman" w:hint="default"/>
          <w:spacing w:val="-2"/>
        </w:rPr>
        <w:t>50%</w:t>
      </w:r>
      <w:r>
        <w:rPr>
          <w:spacing w:val="-2"/>
        </w:rPr>
        <w:t>、</w:t>
      </w:r>
      <w:r>
        <w:rPr>
          <w:rFonts w:ascii="Times New Roman" w:hAnsi="Times New Roman" w:cs="Times New Roman" w:eastAsia="Times New Roman" w:hint="default"/>
          <w:spacing w:val="-2"/>
        </w:rPr>
        <w:t>5</w:t>
      </w:r>
      <w:r>
        <w:rPr>
          <w:spacing w:val="-2"/>
        </w:rPr>
        <w:t>年以上</w:t>
      </w:r>
      <w:r>
        <w:rPr>
          <w:rFonts w:ascii="Times New Roman" w:hAnsi="Times New Roman" w:cs="Times New Roman" w:eastAsia="Times New Roman" w:hint="default"/>
          <w:spacing w:val="-2"/>
        </w:rPr>
        <w:t>100%</w:t>
      </w:r>
      <w:r>
        <w:rPr>
          <w:spacing w:val="-2"/>
        </w:rPr>
        <w:t>。本次会计估计变更不会对以前年度财务状况和经营成果产生影响，无须对已披露的财务报告进行</w:t>
      </w:r>
      <w:r>
        <w:rPr>
          <w:spacing w:val="-56"/>
        </w:rPr>
        <w:t> </w:t>
      </w:r>
      <w:r>
        <w:rPr>
          <w:spacing w:val="-56"/>
        </w:rPr>
      </w:r>
      <w:r>
        <w:rPr/>
        <w:t>追溯调整。具体详见公司于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30</w:t>
      </w:r>
      <w:r>
        <w:rPr/>
        <w:t>日在巨潮资讯网披露的《关于会计估计变更的公告》（公告编号：</w:t>
      </w:r>
      <w:r>
        <w:rPr>
          <w:rFonts w:ascii="Times New Roman" w:hAnsi="Times New Roman" w:cs="Times New Roman" w:eastAsia="Times New Roman" w:hint="default"/>
        </w:rPr>
        <w:t>2017-026</w:t>
      </w:r>
      <w:r>
        <w:rPr/>
        <w:t>）。 </w:t>
      </w:r>
      <w:r>
        <w:rPr>
          <w:rFonts w:ascii="Times New Roman" w:hAnsi="Times New Roman" w:cs="Times New Roman" w:eastAsia="Times New Roman" w:hint="default"/>
        </w:rPr>
        <w:t>2</w:t>
      </w:r>
      <w:r>
        <w:rPr/>
        <w:t>、根据国家财政部《关于印发修订</w:t>
      </w:r>
      <w:r>
        <w:rPr>
          <w:rFonts w:ascii="Times New Roman" w:hAnsi="Times New Roman" w:cs="Times New Roman" w:eastAsia="Times New Roman" w:hint="default"/>
        </w:rPr>
        <w:t>&lt;</w:t>
      </w:r>
      <w:r>
        <w:rPr/>
        <w:t>企业会计准则第</w:t>
      </w:r>
      <w:r>
        <w:rPr>
          <w:rFonts w:ascii="Times New Roman" w:hAnsi="Times New Roman" w:cs="Times New Roman" w:eastAsia="Times New Roman" w:hint="default"/>
        </w:rPr>
        <w:t>16</w:t>
      </w:r>
      <w:r>
        <w:rPr/>
        <w:t>号</w:t>
      </w:r>
      <w:r>
        <w:rPr>
          <w:rFonts w:ascii="Times New Roman" w:hAnsi="Times New Roman" w:cs="Times New Roman" w:eastAsia="Times New Roman" w:hint="default"/>
        </w:rPr>
        <w:t>——</w:t>
      </w:r>
      <w:r>
        <w:rPr/>
        <w:t>政府补助</w:t>
      </w:r>
      <w:r>
        <w:rPr>
          <w:rFonts w:ascii="Times New Roman" w:hAnsi="Times New Roman" w:cs="Times New Roman" w:eastAsia="Times New Roman" w:hint="default"/>
        </w:rPr>
        <w:t>&gt;</w:t>
      </w:r>
      <w:r>
        <w:rPr/>
        <w:t>的通知》（财会【</w:t>
      </w:r>
      <w:r>
        <w:rPr>
          <w:rFonts w:ascii="Times New Roman" w:hAnsi="Times New Roman" w:cs="Times New Roman" w:eastAsia="Times New Roman" w:hint="default"/>
        </w:rPr>
        <w:t>2017</w:t>
      </w:r>
      <w:r>
        <w:rPr/>
        <w:t>】</w:t>
      </w:r>
      <w:r>
        <w:rPr>
          <w:rFonts w:ascii="Times New Roman" w:hAnsi="Times New Roman" w:cs="Times New Roman" w:eastAsia="Times New Roman" w:hint="default"/>
        </w:rPr>
        <w:t>15</w:t>
      </w:r>
      <w:r>
        <w:rPr/>
        <w:t>号）和《增值税会计处 理规定》（财会【</w:t>
      </w:r>
      <w:r>
        <w:rPr>
          <w:rFonts w:ascii="Times New Roman" w:hAnsi="Times New Roman" w:cs="Times New Roman" w:eastAsia="Times New Roman" w:hint="default"/>
        </w:rPr>
        <w:t>2016</w:t>
      </w:r>
      <w:r>
        <w:rPr/>
        <w:t>】</w:t>
      </w:r>
      <w:r>
        <w:rPr>
          <w:rFonts w:ascii="Times New Roman" w:hAnsi="Times New Roman" w:cs="Times New Roman" w:eastAsia="Times New Roman" w:hint="default"/>
        </w:rPr>
        <w:t>22</w:t>
      </w:r>
      <w:r>
        <w:rPr/>
        <w:t>号）的要求，公司于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17</w:t>
      </w:r>
      <w:r>
        <w:rPr/>
        <w:t>日召开第二届董事会第三十七次会议，审议通过了《关于会计 政策变更的议案》，将</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日之后与企业日常活动有关的政府补助计入</w:t>
      </w:r>
      <w:r>
        <w:rPr>
          <w:rFonts w:ascii="Times New Roman" w:hAnsi="Times New Roman" w:cs="Times New Roman" w:eastAsia="Times New Roman" w:hint="default"/>
        </w:rPr>
        <w:t>“</w:t>
      </w:r>
      <w:r>
        <w:rPr/>
        <w:t>其他收益</w:t>
      </w:r>
      <w:r>
        <w:rPr>
          <w:rFonts w:ascii="Times New Roman" w:hAnsi="Times New Roman" w:cs="Times New Roman" w:eastAsia="Times New Roman" w:hint="default"/>
        </w:rPr>
        <w:t>”</w:t>
      </w:r>
      <w:r>
        <w:rPr/>
        <w:t>或冲减相关成本费用，与企业日常 </w:t>
      </w:r>
      <w:r>
        <w:rPr>
          <w:spacing w:val="-2"/>
        </w:rPr>
        <w:t>活动无关的政府计入营业外收入；及将</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1</w:t>
      </w:r>
      <w:r>
        <w:rPr>
          <w:spacing w:val="-2"/>
        </w:rPr>
        <w:t>日之后企业经营活动发生的房产税、土地使用税、车船使用税、印花税从</w:t>
      </w:r>
      <w:r>
        <w:rPr>
          <w:spacing w:val="-60"/>
        </w:rPr>
        <w:t> </w:t>
      </w:r>
      <w:r>
        <w:rPr>
          <w:spacing w:val="-60"/>
        </w:rPr>
      </w:r>
      <w:r>
        <w:rPr>
          <w:rFonts w:ascii="Times New Roman" w:hAnsi="Times New Roman" w:cs="Times New Roman" w:eastAsia="Times New Roman" w:hint="default"/>
        </w:rPr>
        <w:t>“</w:t>
      </w:r>
      <w:r>
        <w:rPr/>
        <w:t>管理费用</w:t>
      </w:r>
      <w:r>
        <w:rPr>
          <w:rFonts w:ascii="Times New Roman" w:hAnsi="Times New Roman" w:cs="Times New Roman" w:eastAsia="Times New Roman" w:hint="default"/>
        </w:rPr>
        <w:t>”</w:t>
      </w:r>
      <w:r>
        <w:rPr/>
        <w:t>项目重分类至</w:t>
      </w:r>
      <w:r>
        <w:rPr>
          <w:rFonts w:ascii="Times New Roman" w:hAnsi="Times New Roman" w:cs="Times New Roman" w:eastAsia="Times New Roman" w:hint="default"/>
        </w:rPr>
        <w:t>“</w:t>
      </w:r>
      <w:r>
        <w:rPr/>
        <w:t>税金及附加</w:t>
      </w:r>
      <w:r>
        <w:rPr>
          <w:rFonts w:ascii="Times New Roman" w:hAnsi="Times New Roman" w:cs="Times New Roman" w:eastAsia="Times New Roman" w:hint="default"/>
        </w:rPr>
        <w:t>”</w:t>
      </w:r>
      <w:r>
        <w:rPr/>
        <w:t>项目，对于该日期之前取得的相关金额不再进行追溯调整。本次会计政策的变更对公 司</w:t>
      </w:r>
      <w:r>
        <w:rPr>
          <w:rFonts w:ascii="Times New Roman" w:hAnsi="Times New Roman" w:cs="Times New Roman" w:eastAsia="Times New Roman" w:hint="default"/>
        </w:rPr>
        <w:t>2017</w:t>
      </w:r>
      <w:r>
        <w:rPr/>
        <w:t>年度所有者权益和净利润无影响。具体详见公司于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18</w:t>
      </w:r>
      <w:r>
        <w:rPr/>
        <w:t>日在巨潮资讯网披露的《关于会计政策变更的公告》</w:t>
      </w:r>
    </w:p>
    <w:p>
      <w:pPr>
        <w:pStyle w:val="BodyText"/>
        <w:spacing w:line="451" w:lineRule="auto" w:before="43"/>
        <w:ind w:left="1133" w:right="1139"/>
        <w:jc w:val="left"/>
      </w:pPr>
      <w:r>
        <w:rPr/>
        <w:t>（公告编号：</w:t>
      </w:r>
      <w:r>
        <w:rPr>
          <w:rFonts w:ascii="Times New Roman" w:hAnsi="Times New Roman" w:cs="Times New Roman" w:eastAsia="Times New Roman" w:hint="default"/>
        </w:rPr>
        <w:t>2017-037</w:t>
      </w:r>
      <w:r>
        <w:rPr/>
        <w:t>）。 </w:t>
      </w:r>
      <w:r>
        <w:rPr>
          <w:rFonts w:ascii="Times New Roman" w:hAnsi="Times New Roman" w:cs="Times New Roman" w:eastAsia="Times New Roman" w:hint="default"/>
        </w:rPr>
        <w:t>3</w:t>
      </w:r>
      <w:r>
        <w:rPr/>
        <w:t>、根据国家财政部《企业会计准则第</w:t>
      </w:r>
      <w:r>
        <w:rPr>
          <w:rFonts w:ascii="Times New Roman" w:hAnsi="Times New Roman" w:cs="Times New Roman" w:eastAsia="Times New Roman" w:hint="default"/>
        </w:rPr>
        <w:t>42</w:t>
      </w:r>
      <w:r>
        <w:rPr/>
        <w:t>号</w:t>
      </w:r>
      <w:r>
        <w:rPr>
          <w:rFonts w:ascii="Times New Roman" w:hAnsi="Times New Roman" w:cs="Times New Roman" w:eastAsia="Times New Roman" w:hint="default"/>
        </w:rPr>
        <w:t>——</w:t>
      </w:r>
      <w:r>
        <w:rPr/>
        <w:t>持有待售的非流动资产、处置组和终止经营》（财会【</w:t>
      </w:r>
      <w:r>
        <w:rPr>
          <w:rFonts w:ascii="Times New Roman" w:hAnsi="Times New Roman" w:cs="Times New Roman" w:eastAsia="Times New Roman" w:hint="default"/>
        </w:rPr>
        <w:t>2017</w:t>
      </w:r>
      <w:r>
        <w:rPr/>
        <w:t>】</w:t>
      </w:r>
      <w:r>
        <w:rPr>
          <w:rFonts w:ascii="Times New Roman" w:hAnsi="Times New Roman" w:cs="Times New Roman" w:eastAsia="Times New Roman" w:hint="default"/>
        </w:rPr>
        <w:t>13</w:t>
      </w:r>
      <w:r>
        <w:rPr/>
        <w:t>号）和《关 于修订印发一般企业财务报表格式的通知》（财会【</w:t>
      </w:r>
      <w:r>
        <w:rPr>
          <w:rFonts w:ascii="Times New Roman" w:hAnsi="Times New Roman" w:cs="Times New Roman" w:eastAsia="Times New Roman" w:hint="default"/>
        </w:rPr>
        <w:t>2017</w:t>
      </w:r>
      <w:r>
        <w:rPr/>
        <w:t>】</w:t>
      </w:r>
      <w:r>
        <w:rPr>
          <w:rFonts w:ascii="Times New Roman" w:hAnsi="Times New Roman" w:cs="Times New Roman" w:eastAsia="Times New Roman" w:hint="default"/>
        </w:rPr>
        <w:t>30</w:t>
      </w:r>
      <w:r>
        <w:rPr/>
        <w:t>号）的要求，公司于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17</w:t>
      </w:r>
      <w:r>
        <w:rPr/>
        <w:t>日召开第三届董事会第五次 会议，审议通过了《关于会计政策变更的议案》，自</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28</w:t>
      </w:r>
      <w:r>
        <w:rPr/>
        <w:t>日起在所有执行企业会计准则的企业范围内施行，对于施 行日存在的持有待售的非流动资产、处置组和终止经营，要求采用未来适用法处理及将原列报于</w:t>
      </w:r>
      <w:r>
        <w:rPr>
          <w:rFonts w:ascii="Times New Roman" w:hAnsi="Times New Roman" w:cs="Times New Roman" w:eastAsia="Times New Roman" w:hint="default"/>
        </w:rPr>
        <w:t>“</w:t>
      </w:r>
      <w:r>
        <w:rPr/>
        <w:t>营业外收入</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营业外支 出</w:t>
      </w:r>
      <w:r>
        <w:rPr>
          <w:rFonts w:ascii="Times New Roman" w:hAnsi="Times New Roman" w:cs="Times New Roman" w:eastAsia="Times New Roman" w:hint="default"/>
        </w:rPr>
        <w:t>”</w:t>
      </w:r>
      <w:r>
        <w:rPr/>
        <w:t>的非流动资产处置利得和损失和非货币性资产交换利得和损失变更为列报于</w:t>
      </w:r>
      <w:r>
        <w:rPr>
          <w:rFonts w:ascii="Times New Roman" w:hAnsi="Times New Roman" w:cs="Times New Roman" w:eastAsia="Times New Roman" w:hint="default"/>
        </w:rPr>
        <w:t>“</w:t>
      </w:r>
      <w:r>
        <w:rPr/>
        <w:t>资产处置收益</w:t>
      </w:r>
      <w:r>
        <w:rPr>
          <w:rFonts w:ascii="Times New Roman" w:hAnsi="Times New Roman" w:cs="Times New Roman" w:eastAsia="Times New Roman" w:hint="default"/>
        </w:rPr>
        <w:t>”</w:t>
      </w:r>
      <w:r>
        <w:rPr/>
        <w:t>。本次会计政策变更对公司 </w:t>
      </w:r>
      <w:r>
        <w:rPr>
          <w:rFonts w:ascii="Times New Roman" w:hAnsi="Times New Roman" w:cs="Times New Roman" w:eastAsia="Times New Roman" w:hint="default"/>
        </w:rPr>
        <w:t>2017</w:t>
      </w:r>
      <w:r>
        <w:rPr/>
        <w:t>年度财务报表不产生影响。具体详见公司于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18</w:t>
      </w:r>
      <w:r>
        <w:rPr/>
        <w:t>日在巨潮资讯网披露的《关于会计政策变更的公告》（公告编 号：</w:t>
      </w:r>
      <w:r>
        <w:rPr>
          <w:rFonts w:ascii="Times New Roman" w:hAnsi="Times New Roman" w:cs="Times New Roman" w:eastAsia="Times New Roman" w:hint="default"/>
        </w:rPr>
        <w:t>2018-018</w:t>
      </w:r>
      <w:r>
        <w:rPr/>
        <w:t>）。</w:t>
      </w:r>
    </w:p>
    <w:p>
      <w:pPr>
        <w:spacing w:after="0" w:line="451" w:lineRule="auto"/>
        <w:jc w:val="left"/>
        <w:sectPr>
          <w:pgSz w:w="11910" w:h="16840"/>
          <w:pgMar w:header="787" w:footer="640" w:top="1100" w:bottom="840" w:left="0" w:right="0"/>
        </w:sectPr>
      </w:pPr>
    </w:p>
    <w:p>
      <w:pPr>
        <w:spacing w:line="240" w:lineRule="auto" w:before="6"/>
        <w:rPr>
          <w:rFonts w:ascii="宋体" w:hAnsi="宋体" w:cs="宋体" w:eastAsia="宋体" w:hint="default"/>
          <w:sz w:val="26"/>
          <w:szCs w:val="26"/>
        </w:rPr>
      </w:pPr>
    </w:p>
    <w:p>
      <w:pPr>
        <w:pStyle w:val="Heading2"/>
        <w:spacing w:line="240" w:lineRule="auto" w:before="26"/>
        <w:ind w:left="1134" w:right="0"/>
        <w:jc w:val="left"/>
        <w:rPr>
          <w:b w:val="0"/>
          <w:bCs w:val="0"/>
        </w:rPr>
      </w:pPr>
      <w:bookmarkStart w:name="七、与上年度财务报告相比，合并报表范围发生变化的情况说明" w:id="70"/>
      <w:bookmarkEnd w:id="70"/>
      <w:r>
        <w:rPr>
          <w:b w:val="0"/>
          <w:bCs w:val="0"/>
        </w:rPr>
      </w:r>
      <w:r>
        <w:rPr/>
        <w:t>七、与上年度财务报告相比，合并报表范围发生变化的情况说明</w:t>
      </w:r>
      <w:r>
        <w:rPr>
          <w:b w:val="0"/>
          <w:bCs w:val="0"/>
        </w:rPr>
      </w:r>
    </w:p>
    <w:p>
      <w:pPr>
        <w:spacing w:line="240" w:lineRule="auto" w:before="0"/>
        <w:rPr>
          <w:rFonts w:ascii="宋体" w:hAnsi="宋体" w:cs="宋体" w:eastAsia="宋体" w:hint="default"/>
          <w:b/>
          <w:bCs/>
          <w:sz w:val="24"/>
          <w:szCs w:val="24"/>
        </w:rPr>
      </w:pPr>
    </w:p>
    <w:p>
      <w:pPr>
        <w:pStyle w:val="BodyText"/>
        <w:spacing w:line="487" w:lineRule="auto" w:before="189"/>
        <w:ind w:left="1279" w:right="4217" w:hanging="14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与上年度财务报告相比，本报告期新增武汉浩立威保安服务有限公司</w:t>
      </w:r>
      <w:r>
        <w:rPr>
          <w:rFonts w:ascii="Times New Roman" w:hAnsi="Times New Roman" w:cs="Times New Roman" w:eastAsia="Times New Roman" w:hint="default"/>
        </w:rPr>
        <w:t>1</w:t>
      </w:r>
      <w:r>
        <w:rPr/>
        <w:t>家子公司。</w:t>
      </w:r>
    </w:p>
    <w:p>
      <w:pPr>
        <w:spacing w:line="240" w:lineRule="auto" w:before="3"/>
        <w:rPr>
          <w:rFonts w:ascii="宋体" w:hAnsi="宋体" w:cs="宋体" w:eastAsia="宋体" w:hint="default"/>
          <w:sz w:val="20"/>
          <w:szCs w:val="20"/>
        </w:rPr>
      </w:pPr>
    </w:p>
    <w:p>
      <w:pPr>
        <w:pStyle w:val="Heading2"/>
        <w:spacing w:line="240" w:lineRule="auto"/>
        <w:ind w:right="0"/>
        <w:jc w:val="left"/>
        <w:rPr>
          <w:b w:val="0"/>
          <w:bCs w:val="0"/>
        </w:rPr>
      </w:pPr>
      <w:bookmarkStart w:name="八、聘任、解聘会计师事务所情况" w:id="71"/>
      <w:bookmarkEnd w:id="71"/>
      <w:r>
        <w:rPr>
          <w:b w:val="0"/>
          <w:bCs w:val="0"/>
        </w:rPr>
      </w:r>
      <w:r>
        <w:rPr/>
        <w:t>八、聘任、解聘会计师事务所情况</w:t>
      </w:r>
      <w:r>
        <w:rPr>
          <w:b w:val="0"/>
          <w:bCs w:val="0"/>
        </w:rPr>
      </w:r>
    </w:p>
    <w:p>
      <w:pPr>
        <w:spacing w:line="240" w:lineRule="auto" w:before="0"/>
        <w:rPr>
          <w:rFonts w:ascii="宋体" w:hAnsi="宋体" w:cs="宋体" w:eastAsia="宋体" w:hint="default"/>
          <w:b/>
          <w:bCs/>
          <w:sz w:val="24"/>
          <w:szCs w:val="24"/>
        </w:rPr>
      </w:pPr>
    </w:p>
    <w:p>
      <w:pPr>
        <w:pStyle w:val="BodyText"/>
        <w:spacing w:line="240" w:lineRule="auto" w:before="189"/>
        <w:ind w:left="1133" w:right="0"/>
        <w:jc w:val="left"/>
      </w:pPr>
      <w:r>
        <w:rPr/>
        <w:t>现聘任的会计事务所</w:t>
      </w:r>
    </w:p>
    <w:p>
      <w:pPr>
        <w:spacing w:line="240" w:lineRule="auto" w:before="0"/>
        <w:rPr>
          <w:rFonts w:ascii="宋体" w:hAnsi="宋体" w:cs="宋体" w:eastAsia="宋体" w:hint="default"/>
          <w:sz w:val="14"/>
          <w:szCs w:val="14"/>
        </w:rPr>
      </w:pPr>
    </w:p>
    <w:tbl>
      <w:tblPr>
        <w:tblW w:w="0" w:type="auto"/>
        <w:jc w:val="left"/>
        <w:tblInd w:w="1129" w:type="dxa"/>
        <w:tblLayout w:type="fixed"/>
        <w:tblCellMar>
          <w:top w:w="0" w:type="dxa"/>
          <w:left w:w="0" w:type="dxa"/>
          <w:bottom w:w="0" w:type="dxa"/>
          <w:right w:w="0" w:type="dxa"/>
        </w:tblCellMar>
        <w:tblLook w:val="01E0"/>
      </w:tblPr>
      <w:tblGrid>
        <w:gridCol w:w="4792"/>
        <w:gridCol w:w="4777"/>
      </w:tblGrid>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天健会计师事务所（特殊普通合伙）</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禤文欣、卢玲玉</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境内会计师事务所注册会计师审计服务的连续年限</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禤文欣</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年、卢玲玉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境外会计师事务所名称（如有）</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境外会计师事务所报酬（万元</w:t>
            </w:r>
            <w:r>
              <w:rPr>
                <w:rFonts w:ascii="宋体" w:hAnsi="宋体" w:cs="宋体" w:eastAsia="宋体" w:hint="default"/>
                <w:spacing w:val="-90"/>
                <w:sz w:val="18"/>
                <w:szCs w:val="18"/>
              </w:rPr>
              <w:t>）</w:t>
            </w:r>
            <w:r>
              <w:rPr>
                <w:rFonts w:ascii="宋体" w:hAnsi="宋体" w:cs="宋体" w:eastAsia="宋体" w:hint="default"/>
                <w:sz w:val="18"/>
                <w:szCs w:val="18"/>
              </w:rPr>
              <w:t>（如有）</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境外会计师事务所审计服务的连续年限（如有）</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境外会计师事务所注册会计师姓名（如有）</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境外会计师事务所注册会计师审计服务的连续年限（如有）</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6"/>
        <w:rPr>
          <w:rFonts w:ascii="宋体" w:hAnsi="宋体" w:cs="宋体" w:eastAsia="宋体" w:hint="default"/>
          <w:sz w:val="6"/>
          <w:szCs w:val="6"/>
        </w:rPr>
      </w:pPr>
    </w:p>
    <w:p>
      <w:pPr>
        <w:pStyle w:val="BodyText"/>
        <w:spacing w:line="240" w:lineRule="auto" w:before="44"/>
        <w:ind w:right="0"/>
        <w:jc w:val="left"/>
      </w:pPr>
      <w:r>
        <w:rPr/>
        <w:t>是否改聘会计师事务所</w:t>
      </w:r>
    </w:p>
    <w:p>
      <w:pPr>
        <w:spacing w:line="240" w:lineRule="auto" w:before="12"/>
        <w:rPr>
          <w:rFonts w:ascii="宋体" w:hAnsi="宋体" w:cs="宋体" w:eastAsia="宋体" w:hint="default"/>
          <w:sz w:val="20"/>
          <w:szCs w:val="20"/>
        </w:rPr>
      </w:pPr>
    </w:p>
    <w:p>
      <w:pPr>
        <w:pStyle w:val="BodyText"/>
        <w:spacing w:line="489" w:lineRule="auto"/>
        <w:ind w:left="1133" w:right="625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聘请内部控制审计会计师事务所、财务顾问或保荐人情况</w:t>
      </w:r>
    </w:p>
    <w:p>
      <w:pPr>
        <w:pStyle w:val="BodyText"/>
        <w:spacing w:line="240" w:lineRule="auto" w:before="85"/>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7"/>
          <w:szCs w:val="17"/>
        </w:rPr>
      </w:pPr>
    </w:p>
    <w:p>
      <w:pPr>
        <w:pStyle w:val="Heading2"/>
        <w:spacing w:line="240" w:lineRule="auto"/>
        <w:ind w:right="0"/>
        <w:jc w:val="left"/>
        <w:rPr>
          <w:b w:val="0"/>
          <w:bCs w:val="0"/>
        </w:rPr>
      </w:pPr>
      <w:bookmarkStart w:name="九、年度报告披露后面临暂停上市和终止上市情况" w:id="72"/>
      <w:bookmarkEnd w:id="72"/>
      <w:r>
        <w:rPr>
          <w:b w:val="0"/>
          <w:bCs w:val="0"/>
        </w:rPr>
      </w:r>
      <w:r>
        <w:rPr/>
        <w:t>九、年度报告披露后面临暂停上市和终止上市情况</w:t>
      </w:r>
      <w:r>
        <w:rPr>
          <w:b w:val="0"/>
          <w:bCs w:val="0"/>
        </w:rPr>
      </w:r>
    </w:p>
    <w:p>
      <w:pPr>
        <w:spacing w:line="240" w:lineRule="auto" w:before="0"/>
        <w:rPr>
          <w:rFonts w:ascii="宋体" w:hAnsi="宋体" w:cs="宋体" w:eastAsia="宋体" w:hint="default"/>
          <w:b/>
          <w:bCs/>
          <w:sz w:val="24"/>
          <w:szCs w:val="24"/>
        </w:rPr>
      </w:pPr>
    </w:p>
    <w:p>
      <w:pPr>
        <w:pStyle w:val="BodyText"/>
        <w:spacing w:line="240" w:lineRule="auto" w:before="188"/>
        <w:ind w:left="113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7"/>
          <w:szCs w:val="17"/>
        </w:rPr>
      </w:pPr>
    </w:p>
    <w:p>
      <w:pPr>
        <w:pStyle w:val="Heading2"/>
        <w:spacing w:line="240" w:lineRule="auto"/>
        <w:ind w:right="0"/>
        <w:jc w:val="left"/>
        <w:rPr>
          <w:b w:val="0"/>
          <w:bCs w:val="0"/>
        </w:rPr>
      </w:pPr>
      <w:bookmarkStart w:name="十、破产重整相关事项" w:id="73"/>
      <w:bookmarkEnd w:id="73"/>
      <w:r>
        <w:rPr>
          <w:b w:val="0"/>
          <w:bCs w:val="0"/>
        </w:rPr>
      </w:r>
      <w:r>
        <w:rPr/>
        <w:t>十、破产重整相关事项</w:t>
      </w:r>
      <w:r>
        <w:rPr>
          <w:b w:val="0"/>
          <w:bCs w:val="0"/>
        </w:rPr>
      </w:r>
    </w:p>
    <w:p>
      <w:pPr>
        <w:spacing w:line="240" w:lineRule="auto" w:before="0"/>
        <w:rPr>
          <w:rFonts w:ascii="宋体" w:hAnsi="宋体" w:cs="宋体" w:eastAsia="宋体" w:hint="default"/>
          <w:b/>
          <w:bCs/>
          <w:sz w:val="24"/>
          <w:szCs w:val="24"/>
        </w:rPr>
      </w:pPr>
    </w:p>
    <w:p>
      <w:pPr>
        <w:pStyle w:val="BodyText"/>
        <w:spacing w:line="489" w:lineRule="auto" w:before="188"/>
        <w:ind w:left="1133" w:right="76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公司报告期未发生破产重整相关事项。</w:t>
      </w:r>
    </w:p>
    <w:p>
      <w:pPr>
        <w:spacing w:after="0" w:line="489" w:lineRule="auto"/>
        <w:jc w:val="left"/>
        <w:sectPr>
          <w:pgSz w:w="11910" w:h="16840"/>
          <w:pgMar w:header="787" w:footer="640" w:top="1100" w:bottom="840" w:left="0" w:right="0"/>
        </w:sectPr>
      </w:pPr>
    </w:p>
    <w:p>
      <w:pPr>
        <w:spacing w:line="240" w:lineRule="auto" w:before="6"/>
        <w:rPr>
          <w:rFonts w:ascii="宋体" w:hAnsi="宋体" w:cs="宋体" w:eastAsia="宋体" w:hint="default"/>
          <w:sz w:val="26"/>
          <w:szCs w:val="26"/>
        </w:rPr>
      </w:pPr>
    </w:p>
    <w:p>
      <w:pPr>
        <w:pStyle w:val="Heading2"/>
        <w:spacing w:line="240" w:lineRule="auto" w:before="26"/>
        <w:ind w:left="1134" w:right="0"/>
        <w:jc w:val="left"/>
        <w:rPr>
          <w:b w:val="0"/>
          <w:bCs w:val="0"/>
        </w:rPr>
      </w:pPr>
      <w:bookmarkStart w:name="十一、重大诉讼、仲裁事项" w:id="74"/>
      <w:bookmarkEnd w:id="74"/>
      <w:r>
        <w:rPr>
          <w:b w:val="0"/>
          <w:bCs w:val="0"/>
        </w:rPr>
      </w:r>
      <w:r>
        <w:rPr/>
        <w:t>十一、重大诉讼、仲裁事项</w:t>
      </w:r>
      <w:r>
        <w:rPr>
          <w:b w:val="0"/>
          <w:bCs w:val="0"/>
        </w:rPr>
      </w:r>
    </w:p>
    <w:p>
      <w:pPr>
        <w:spacing w:line="240" w:lineRule="auto" w:before="0"/>
        <w:rPr>
          <w:rFonts w:ascii="宋体" w:hAnsi="宋体" w:cs="宋体" w:eastAsia="宋体" w:hint="default"/>
          <w:b/>
          <w:bCs/>
          <w:sz w:val="24"/>
          <w:szCs w:val="24"/>
        </w:rPr>
      </w:pPr>
    </w:p>
    <w:p>
      <w:pPr>
        <w:pStyle w:val="BodyText"/>
        <w:spacing w:line="489" w:lineRule="auto" w:before="189"/>
        <w:ind w:left="1133" w:right="78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本年度公司无重大诉讼、仲裁事项。</w:t>
      </w:r>
    </w:p>
    <w:p>
      <w:pPr>
        <w:spacing w:line="240" w:lineRule="auto" w:before="9"/>
        <w:rPr>
          <w:rFonts w:ascii="宋体" w:hAnsi="宋体" w:cs="宋体" w:eastAsia="宋体" w:hint="default"/>
          <w:sz w:val="22"/>
          <w:szCs w:val="22"/>
        </w:rPr>
      </w:pPr>
    </w:p>
    <w:p>
      <w:pPr>
        <w:pStyle w:val="Heading2"/>
        <w:spacing w:line="240" w:lineRule="auto"/>
        <w:ind w:right="0"/>
        <w:jc w:val="left"/>
        <w:rPr>
          <w:b w:val="0"/>
          <w:bCs w:val="0"/>
        </w:rPr>
      </w:pPr>
      <w:bookmarkStart w:name="十二、处罚及整改情况" w:id="75"/>
      <w:bookmarkEnd w:id="75"/>
      <w:r>
        <w:rPr>
          <w:b w:val="0"/>
          <w:bCs w:val="0"/>
        </w:rPr>
      </w:r>
      <w:r>
        <w:rPr/>
        <w:t>十二、处罚及整改情况</w:t>
      </w:r>
      <w:r>
        <w:rPr>
          <w:b w:val="0"/>
          <w:bCs w:val="0"/>
        </w:rPr>
      </w:r>
    </w:p>
    <w:p>
      <w:pPr>
        <w:spacing w:line="240" w:lineRule="auto" w:before="0"/>
        <w:rPr>
          <w:rFonts w:ascii="宋体" w:hAnsi="宋体" w:cs="宋体" w:eastAsia="宋体" w:hint="default"/>
          <w:b/>
          <w:bCs/>
          <w:sz w:val="24"/>
          <w:szCs w:val="24"/>
        </w:rPr>
      </w:pPr>
    </w:p>
    <w:p>
      <w:pPr>
        <w:pStyle w:val="BodyText"/>
        <w:spacing w:line="489" w:lineRule="auto" w:before="188"/>
        <w:ind w:left="1133" w:right="78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公司报告期不存在处罚及整改情况。</w:t>
      </w:r>
    </w:p>
    <w:p>
      <w:pPr>
        <w:spacing w:line="240" w:lineRule="auto" w:before="8"/>
        <w:rPr>
          <w:rFonts w:ascii="宋体" w:hAnsi="宋体" w:cs="宋体" w:eastAsia="宋体" w:hint="default"/>
          <w:sz w:val="22"/>
          <w:szCs w:val="22"/>
        </w:rPr>
      </w:pPr>
    </w:p>
    <w:p>
      <w:pPr>
        <w:pStyle w:val="Heading2"/>
        <w:spacing w:line="240" w:lineRule="auto"/>
        <w:ind w:right="0"/>
        <w:jc w:val="left"/>
        <w:rPr>
          <w:b w:val="0"/>
          <w:bCs w:val="0"/>
        </w:rPr>
      </w:pPr>
      <w:bookmarkStart w:name="十三、公司及其控股股东、实际控制人的诚信状况" w:id="76"/>
      <w:bookmarkEnd w:id="76"/>
      <w:r>
        <w:rPr>
          <w:b w:val="0"/>
          <w:bCs w:val="0"/>
        </w:rPr>
      </w:r>
      <w:r>
        <w:rPr/>
        <w:t>十三、公司及其控股股东、实际控制人的诚信状况</w:t>
      </w:r>
      <w:r>
        <w:rPr>
          <w:b w:val="0"/>
          <w:bCs w:val="0"/>
        </w:rPr>
      </w:r>
    </w:p>
    <w:p>
      <w:pPr>
        <w:spacing w:line="240" w:lineRule="auto" w:before="0"/>
        <w:rPr>
          <w:rFonts w:ascii="宋体" w:hAnsi="宋体" w:cs="宋体" w:eastAsia="宋体" w:hint="default"/>
          <w:b/>
          <w:bCs/>
          <w:sz w:val="24"/>
          <w:szCs w:val="24"/>
        </w:rPr>
      </w:pPr>
    </w:p>
    <w:p>
      <w:pPr>
        <w:pStyle w:val="BodyText"/>
        <w:spacing w:line="240" w:lineRule="auto" w:before="189"/>
        <w:ind w:left="113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7"/>
          <w:szCs w:val="17"/>
        </w:rPr>
      </w:pPr>
    </w:p>
    <w:p>
      <w:pPr>
        <w:pStyle w:val="Heading2"/>
        <w:spacing w:line="240" w:lineRule="auto"/>
        <w:ind w:right="0"/>
        <w:jc w:val="left"/>
        <w:rPr>
          <w:b w:val="0"/>
          <w:bCs w:val="0"/>
        </w:rPr>
      </w:pPr>
      <w:bookmarkStart w:name="十四、公司股权激励计划、员工持股计划或其他员工激励措施的实施情况" w:id="77"/>
      <w:bookmarkEnd w:id="77"/>
      <w:r>
        <w:rPr>
          <w:b w:val="0"/>
          <w:bCs w:val="0"/>
        </w:rPr>
      </w:r>
      <w:r>
        <w:rPr/>
        <w:t>十四、公司股权激励计划、员工持股计划或其他员工激励措施的实施情况</w:t>
      </w:r>
      <w:r>
        <w:rPr>
          <w:b w:val="0"/>
          <w:bCs w:val="0"/>
        </w:rPr>
      </w:r>
    </w:p>
    <w:p>
      <w:pPr>
        <w:spacing w:line="240" w:lineRule="auto" w:before="0"/>
        <w:rPr>
          <w:rFonts w:ascii="宋体" w:hAnsi="宋体" w:cs="宋体" w:eastAsia="宋体" w:hint="default"/>
          <w:b/>
          <w:bCs/>
          <w:sz w:val="24"/>
          <w:szCs w:val="24"/>
        </w:rPr>
      </w:pPr>
    </w:p>
    <w:p>
      <w:pPr>
        <w:pStyle w:val="BodyText"/>
        <w:spacing w:line="470" w:lineRule="auto" w:before="189"/>
        <w:ind w:left="1133" w:right="112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14</w:t>
      </w:r>
      <w:r>
        <w:rPr/>
        <w:t>日，公司完成回购注销部分已不符合激励条件的激励对象已获授但尚未解锁的限制性股票事宜，回购注销</w:t>
      </w:r>
      <w:r>
        <w:rPr>
          <w:rFonts w:ascii="Times New Roman" w:hAnsi="Times New Roman" w:cs="Times New Roman" w:eastAsia="Times New Roman" w:hint="default"/>
        </w:rPr>
        <w:t>3 </w:t>
      </w:r>
      <w:r>
        <w:rPr/>
        <w:t>名人员的</w:t>
      </w:r>
      <w:r>
        <w:rPr>
          <w:rFonts w:ascii="Times New Roman" w:hAnsi="Times New Roman" w:cs="Times New Roman" w:eastAsia="Times New Roman" w:hint="default"/>
        </w:rPr>
        <w:t>84,697</w:t>
      </w:r>
      <w:r>
        <w:rPr/>
        <w:t>股限制性股票。</w:t>
      </w:r>
    </w:p>
    <w:p>
      <w:pPr>
        <w:pStyle w:val="BodyText"/>
        <w:spacing w:line="456" w:lineRule="auto" w:before="27"/>
        <w:ind w:left="1133" w:right="1078"/>
        <w:jc w:val="left"/>
      </w:pPr>
      <w:r>
        <w:rPr>
          <w:rFonts w:ascii="Times New Roman" w:hAnsi="Times New Roman" w:cs="Times New Roman" w:eastAsia="Times New Roman" w:hint="default"/>
          <w:spacing w:val="-2"/>
        </w:rPr>
        <w:t>2</w:t>
      </w:r>
      <w:r>
        <w:rPr>
          <w:spacing w:val="-2"/>
        </w:rPr>
        <w:t>、</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26</w:t>
      </w:r>
      <w:r>
        <w:rPr>
          <w:spacing w:val="-2"/>
        </w:rPr>
        <w:t>日，经公司第二届董事会第三十二次会议审议通过了《关于向激励对象授予第二期激励计划预留部分限制性</w:t>
      </w:r>
      <w:r>
        <w:rPr>
          <w:spacing w:val="-58"/>
        </w:rPr>
        <w:t> </w:t>
      </w:r>
      <w:r>
        <w:rPr>
          <w:spacing w:val="-58"/>
        </w:rPr>
      </w:r>
      <w:r>
        <w:rPr/>
        <w:t>股票的议案》，同意公司向</w:t>
      </w:r>
      <w:r>
        <w:rPr>
          <w:rFonts w:ascii="Times New Roman" w:hAnsi="Times New Roman" w:cs="Times New Roman" w:eastAsia="Times New Roman" w:hint="default"/>
        </w:rPr>
        <w:t>2</w:t>
      </w:r>
      <w:r>
        <w:rPr/>
        <w:t>名符合激励条件的激励对象授予第二期限制性股票预留部分共</w:t>
      </w:r>
      <w:r>
        <w:rPr>
          <w:rFonts w:ascii="Times New Roman" w:hAnsi="Times New Roman" w:cs="Times New Roman" w:eastAsia="Times New Roman" w:hint="default"/>
        </w:rPr>
        <w:t>149,400</w:t>
      </w:r>
      <w:r>
        <w:rPr/>
        <w:t>股，并确定了</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4</w:t>
      </w:r>
      <w:r>
        <w:rPr/>
        <w:t>月 </w:t>
      </w:r>
      <w:r>
        <w:rPr>
          <w:rFonts w:ascii="Times New Roman" w:hAnsi="Times New Roman" w:cs="Times New Roman" w:eastAsia="Times New Roman" w:hint="default"/>
          <w:spacing w:val="-2"/>
        </w:rPr>
        <w:t>26</w:t>
      </w:r>
      <w:r>
        <w:rPr>
          <w:spacing w:val="-2"/>
        </w:rPr>
        <w:t>日为授予日。公司独立董事对公司上述预留部分授予事项发表了同意的独立意见，公司监事会亦对该议案发表了明确的审</w:t>
      </w:r>
      <w:r>
        <w:rPr>
          <w:spacing w:val="-62"/>
        </w:rPr>
        <w:t> </w:t>
      </w:r>
      <w:r>
        <w:rPr>
          <w:spacing w:val="-62"/>
        </w:rPr>
      </w:r>
      <w:r>
        <w:rPr/>
        <w:t>核意见。律师事务所就前述授予事项出具了法律意见书。 </w:t>
      </w:r>
      <w:r>
        <w:rPr>
          <w:rFonts w:ascii="Times New Roman" w:hAnsi="Times New Roman" w:cs="Times New Roman" w:eastAsia="Times New Roman" w:hint="default"/>
        </w:rPr>
        <w:t>3</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16</w:t>
      </w:r>
      <w:r>
        <w:rPr/>
        <w:t>日，公司收到</w:t>
      </w:r>
      <w:r>
        <w:rPr>
          <w:rFonts w:ascii="Times New Roman" w:hAnsi="Times New Roman" w:cs="Times New Roman" w:eastAsia="Times New Roman" w:hint="default"/>
        </w:rPr>
        <w:t>2</w:t>
      </w:r>
      <w:r>
        <w:rPr/>
        <w:t>位激励对象缴纳的出资款，共计人民币</w:t>
      </w:r>
      <w:r>
        <w:rPr>
          <w:rFonts w:ascii="Times New Roman" w:hAnsi="Times New Roman" w:cs="Times New Roman" w:eastAsia="Times New Roman" w:hint="default"/>
        </w:rPr>
        <w:t>1,817,152.20</w:t>
      </w:r>
      <w:r>
        <w:rPr/>
        <w:t>元。天健会计师事务所（特殊普通合伙） 就激励对象缴款事项出具了验资报告。本次</w:t>
      </w:r>
      <w:r>
        <w:rPr>
          <w:rFonts w:ascii="Times New Roman" w:hAnsi="Times New Roman" w:cs="Times New Roman" w:eastAsia="Times New Roman" w:hint="default"/>
        </w:rPr>
        <w:t>149,400</w:t>
      </w:r>
      <w:r>
        <w:rPr/>
        <w:t>股股票已于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6</w:t>
      </w:r>
      <w:r>
        <w:rPr/>
        <w:t>日公司在中国证券登记结算公司深圳分公司办理 完登记手续并上市。 </w:t>
      </w:r>
      <w:r>
        <w:rPr>
          <w:rFonts w:ascii="Times New Roman" w:hAnsi="Times New Roman" w:cs="Times New Roman" w:eastAsia="Times New Roman" w:hint="default"/>
          <w:spacing w:val="-2"/>
        </w:rPr>
        <w:t>4</w:t>
      </w:r>
      <w:r>
        <w:rPr>
          <w:spacing w:val="-2"/>
        </w:rPr>
        <w:t>、</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11</w:t>
      </w:r>
      <w:r>
        <w:rPr>
          <w:spacing w:val="-2"/>
        </w:rPr>
        <w:t>日，经公司第二届董事会第三十四次会议审议通过了《关于公司第二期激励计划首次授予的限制性股票第一</w:t>
      </w:r>
      <w:r>
        <w:rPr>
          <w:spacing w:val="-58"/>
        </w:rPr>
        <w:t> </w:t>
      </w:r>
      <w:r>
        <w:rPr>
          <w:spacing w:val="-58"/>
        </w:rPr>
      </w:r>
      <w:r>
        <w:rPr/>
        <w:t>个解锁期可解锁的议案》</w:t>
      </w:r>
      <w:r>
        <w:rPr>
          <w:rFonts w:ascii="Times New Roman" w:hAnsi="Times New Roman" w:cs="Times New Roman" w:eastAsia="Times New Roman" w:hint="default"/>
        </w:rPr>
        <w:t>,</w:t>
      </w:r>
      <w:r>
        <w:rPr/>
        <w:t>同意公司按照相关规定为</w:t>
      </w:r>
      <w:r>
        <w:rPr>
          <w:rFonts w:ascii="Times New Roman" w:hAnsi="Times New Roman" w:cs="Times New Roman" w:eastAsia="Times New Roman" w:hint="default"/>
        </w:rPr>
        <w:t>67</w:t>
      </w:r>
      <w:r>
        <w:rPr/>
        <w:t>名激励对象第一个解锁期的</w:t>
      </w:r>
      <w:r>
        <w:rPr>
          <w:rFonts w:ascii="Times New Roman" w:hAnsi="Times New Roman" w:cs="Times New Roman" w:eastAsia="Times New Roman" w:hint="default"/>
        </w:rPr>
        <w:t>438,412</w:t>
      </w:r>
      <w:r>
        <w:rPr/>
        <w:t>股限制性股票办理解锁相关事宜， 上述股票已于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22</w:t>
      </w:r>
      <w:r>
        <w:rPr/>
        <w:t>日上市流通。同日，审议通过了《关于回购注销部分限制性股票的议案》，对不符合激励条件的 激励对象已获授但尚未解锁的共</w:t>
      </w:r>
      <w:r>
        <w:rPr>
          <w:rFonts w:ascii="Times New Roman" w:hAnsi="Times New Roman" w:cs="Times New Roman" w:eastAsia="Times New Roman" w:hint="default"/>
        </w:rPr>
        <w:t>40,854</w:t>
      </w:r>
      <w:r>
        <w:rPr/>
        <w:t>股限制性股票进行回购注销。 </w:t>
      </w:r>
      <w:r>
        <w:rPr>
          <w:rFonts w:ascii="Times New Roman" w:hAnsi="Times New Roman" w:cs="Times New Roman" w:eastAsia="Times New Roman" w:hint="default"/>
        </w:rPr>
        <w:t>5</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16</w:t>
      </w:r>
      <w:r>
        <w:rPr/>
        <w:t>日，公司完成回购注销部分已不符合激励条件的激励对象已获授但尚未解锁的限制性股票事宜，回购注销</w:t>
      </w:r>
      <w:r>
        <w:rPr>
          <w:rFonts w:ascii="Times New Roman" w:hAnsi="Times New Roman" w:cs="Times New Roman" w:eastAsia="Times New Roman" w:hint="default"/>
        </w:rPr>
        <w:t>3 </w:t>
      </w:r>
      <w:r>
        <w:rPr/>
        <w:t>名人员的</w:t>
      </w:r>
      <w:r>
        <w:rPr>
          <w:rFonts w:ascii="Times New Roman" w:hAnsi="Times New Roman" w:cs="Times New Roman" w:eastAsia="Times New Roman" w:hint="default"/>
        </w:rPr>
        <w:t>40,854</w:t>
      </w:r>
      <w:r>
        <w:rPr/>
        <w:t>股限制性股票，公司总股本由</w:t>
      </w:r>
      <w:r>
        <w:rPr>
          <w:rFonts w:ascii="Times New Roman" w:hAnsi="Times New Roman" w:cs="Times New Roman" w:eastAsia="Times New Roman" w:hint="default"/>
        </w:rPr>
        <w:t>218,411,513</w:t>
      </w:r>
      <w:r>
        <w:rPr/>
        <w:t>股减少至</w:t>
      </w:r>
      <w:r>
        <w:rPr>
          <w:rFonts w:ascii="Times New Roman" w:hAnsi="Times New Roman" w:cs="Times New Roman" w:eastAsia="Times New Roman" w:hint="default"/>
        </w:rPr>
        <w:t>218,370,659</w:t>
      </w:r>
      <w:r>
        <w:rPr/>
        <w:t>股。</w:t>
      </w:r>
    </w:p>
    <w:p>
      <w:pPr>
        <w:spacing w:after="0" w:line="456" w:lineRule="auto"/>
        <w:jc w:val="left"/>
        <w:sectPr>
          <w:pgSz w:w="11910" w:h="16840"/>
          <w:pgMar w:header="787" w:footer="640" w:top="1100" w:bottom="840" w:left="0" w:right="0"/>
        </w:sectPr>
      </w:pPr>
    </w:p>
    <w:p>
      <w:pPr>
        <w:spacing w:line="240" w:lineRule="auto" w:before="10"/>
        <w:rPr>
          <w:rFonts w:ascii="宋体" w:hAnsi="宋体" w:cs="宋体" w:eastAsia="宋体" w:hint="default"/>
          <w:sz w:val="28"/>
          <w:szCs w:val="28"/>
        </w:rPr>
      </w:pPr>
    </w:p>
    <w:p>
      <w:pPr>
        <w:pStyle w:val="BodyText"/>
        <w:spacing w:line="458" w:lineRule="auto" w:before="44"/>
        <w:ind w:right="1122"/>
        <w:jc w:val="left"/>
      </w:pPr>
      <w:r>
        <w:rPr>
          <w:rFonts w:ascii="Times New Roman" w:hAnsi="Times New Roman" w:cs="Times New Roman" w:eastAsia="Times New Roman" w:hint="default"/>
          <w:spacing w:val="-2"/>
        </w:rPr>
        <w:t>6</w:t>
      </w:r>
      <w:r>
        <w:rPr>
          <w:spacing w:val="-2"/>
        </w:rPr>
        <w:t>、</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7</w:t>
      </w:r>
      <w:r>
        <w:rPr>
          <w:spacing w:val="-2"/>
        </w:rPr>
        <w:t>日，经公司第二届董事会第四十次会议、第二届监事会第三十四次会议审议通过了《关于公司首期激励计划</w:t>
      </w:r>
      <w:r>
        <w:rPr>
          <w:spacing w:val="-58"/>
        </w:rPr>
        <w:t> </w:t>
      </w:r>
      <w:r>
        <w:rPr>
          <w:spacing w:val="-58"/>
        </w:rPr>
      </w:r>
      <w:r>
        <w:rPr>
          <w:spacing w:val="-2"/>
        </w:rPr>
        <w:t>首次授予的限制性股票第二个解锁期可解锁的议案》和《关于公司首期激励计划预留部分的限制性股票第一个解锁期可解锁</w:t>
      </w:r>
      <w:r>
        <w:rPr>
          <w:spacing w:val="-64"/>
        </w:rPr>
        <w:t> </w:t>
      </w:r>
      <w:r>
        <w:rPr>
          <w:spacing w:val="-64"/>
        </w:rPr>
      </w:r>
      <w:r>
        <w:rPr>
          <w:spacing w:val="-1"/>
        </w:rPr>
        <w:t>的议案》，同意公司按照相关规定为</w:t>
      </w:r>
      <w:r>
        <w:rPr>
          <w:rFonts w:ascii="Times New Roman" w:hAnsi="Times New Roman" w:cs="Times New Roman" w:eastAsia="Times New Roman" w:hint="default"/>
          <w:spacing w:val="-1"/>
        </w:rPr>
        <w:t>109</w:t>
      </w:r>
      <w:r>
        <w:rPr>
          <w:spacing w:val="-1"/>
        </w:rPr>
        <w:t>名激励对象共</w:t>
      </w:r>
      <w:r>
        <w:rPr>
          <w:rFonts w:ascii="Times New Roman" w:hAnsi="Times New Roman" w:cs="Times New Roman" w:eastAsia="Times New Roman" w:hint="default"/>
          <w:spacing w:val="-1"/>
        </w:rPr>
        <w:t>571,575</w:t>
      </w:r>
      <w:r>
        <w:rPr>
          <w:spacing w:val="-1"/>
        </w:rPr>
        <w:t>股股票办理解锁相关事宜。公司独立董事对前述事项发表了独</w:t>
      </w:r>
      <w:r>
        <w:rPr>
          <w:spacing w:val="-73"/>
        </w:rPr>
        <w:t> </w:t>
      </w:r>
      <w:r>
        <w:rPr>
          <w:spacing w:val="-73"/>
        </w:rPr>
      </w:r>
      <w:r>
        <w:rPr/>
        <w:t>立意见，广东信达律师事务所出具了法律意见书。 </w:t>
      </w:r>
      <w:r>
        <w:rPr>
          <w:rFonts w:ascii="Times New Roman" w:hAnsi="Times New Roman" w:cs="Times New Roman" w:eastAsia="Times New Roman" w:hint="default"/>
        </w:rPr>
        <w:t>7</w:t>
      </w:r>
      <w:r>
        <w:rPr/>
        <w:t>、截至本报告期末，公司共实施了两期限制性股票激励计划（包括首次授予与预留部分），公司确认前述限制性股票激励 计划在本报告期内的股权激励成本共计</w:t>
      </w:r>
      <w:r>
        <w:rPr>
          <w:rFonts w:ascii="Times New Roman" w:hAnsi="Times New Roman" w:cs="Times New Roman" w:eastAsia="Times New Roman" w:hint="default"/>
        </w:rPr>
        <w:t>1,649.09</w:t>
      </w:r>
      <w:r>
        <w:rPr/>
        <w:t>万元。 上述本次股权激励相关事项及进展均已披露于公司信息披露指定媒体巨潮资讯网。</w:t>
      </w:r>
    </w:p>
    <w:p>
      <w:pPr>
        <w:spacing w:line="240" w:lineRule="auto" w:before="6"/>
        <w:rPr>
          <w:rFonts w:ascii="宋体" w:hAnsi="宋体" w:cs="宋体" w:eastAsia="宋体" w:hint="default"/>
          <w:sz w:val="24"/>
          <w:szCs w:val="24"/>
        </w:rPr>
      </w:pPr>
    </w:p>
    <w:p>
      <w:pPr>
        <w:pStyle w:val="Heading2"/>
        <w:spacing w:line="240" w:lineRule="auto"/>
        <w:ind w:right="0"/>
        <w:jc w:val="left"/>
        <w:rPr>
          <w:b w:val="0"/>
          <w:bCs w:val="0"/>
        </w:rPr>
      </w:pPr>
      <w:bookmarkStart w:name="十五、重大关联交易" w:id="78"/>
      <w:bookmarkEnd w:id="78"/>
      <w:r>
        <w:rPr>
          <w:b w:val="0"/>
          <w:bCs w:val="0"/>
        </w:rPr>
      </w:r>
      <w:r>
        <w:rPr/>
        <w:t>十五、重大关联交易</w:t>
      </w:r>
      <w:r>
        <w:rPr>
          <w:b w:val="0"/>
          <w:bCs w:val="0"/>
        </w:rPr>
      </w:r>
    </w:p>
    <w:p>
      <w:pPr>
        <w:spacing w:line="240" w:lineRule="auto" w:before="0"/>
        <w:rPr>
          <w:rFonts w:ascii="宋体" w:hAnsi="宋体" w:cs="宋体" w:eastAsia="宋体" w:hint="default"/>
          <w:b/>
          <w:bCs/>
          <w:sz w:val="24"/>
          <w:szCs w:val="24"/>
        </w:rPr>
      </w:pPr>
    </w:p>
    <w:p>
      <w:pPr>
        <w:pStyle w:val="Heading3"/>
        <w:spacing w:line="240" w:lineRule="auto" w:before="163"/>
        <w:ind w:left="1133" w:right="0"/>
        <w:jc w:val="left"/>
        <w:rPr>
          <w:b w:val="0"/>
          <w:bCs w:val="0"/>
        </w:rPr>
      </w:pPr>
      <w:bookmarkStart w:name="1、与日常经营相关的关联交易" w:id="79"/>
      <w:bookmarkEnd w:id="79"/>
      <w:r>
        <w:rPr>
          <w:b w:val="0"/>
          <w:bCs w:val="0"/>
        </w:rPr>
      </w:r>
      <w:r>
        <w:rPr>
          <w:rFonts w:ascii="Times New Roman" w:hAnsi="Times New Roman" w:cs="Times New Roman" w:eastAsia="Times New Roman" w:hint="default"/>
        </w:rPr>
        <w:t>1</w:t>
      </w:r>
      <w:r>
        <w:rPr/>
        <w:t>、与日常经营相关的关联交易</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pStyle w:val="BodyText"/>
        <w:spacing w:line="489" w:lineRule="auto"/>
        <w:ind w:left="1133"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公司报告期未发生与日常经营相关的关联交易。</w:t>
      </w:r>
    </w:p>
    <w:p>
      <w:pPr>
        <w:spacing w:line="240" w:lineRule="auto" w:before="6"/>
        <w:rPr>
          <w:rFonts w:ascii="宋体" w:hAnsi="宋体" w:cs="宋体" w:eastAsia="宋体" w:hint="default"/>
          <w:sz w:val="24"/>
          <w:szCs w:val="24"/>
        </w:rPr>
      </w:pPr>
    </w:p>
    <w:p>
      <w:pPr>
        <w:pStyle w:val="Heading3"/>
        <w:spacing w:line="240" w:lineRule="auto"/>
        <w:ind w:left="1133" w:right="0"/>
        <w:jc w:val="left"/>
        <w:rPr>
          <w:b w:val="0"/>
          <w:bCs w:val="0"/>
        </w:rPr>
      </w:pPr>
      <w:bookmarkStart w:name="2、资产或股权收购、出售发生的关联交易" w:id="80"/>
      <w:bookmarkEnd w:id="80"/>
      <w:r>
        <w:rPr>
          <w:b w:val="0"/>
          <w:bCs w:val="0"/>
        </w:rPr>
      </w: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0"/>
        <w:rPr>
          <w:rFonts w:ascii="宋体" w:hAnsi="宋体" w:cs="宋体" w:eastAsia="宋体" w:hint="default"/>
          <w:b/>
          <w:bCs/>
          <w:sz w:val="22"/>
          <w:szCs w:val="22"/>
        </w:rPr>
      </w:pPr>
    </w:p>
    <w:p>
      <w:pPr>
        <w:spacing w:line="240" w:lineRule="auto" w:before="6"/>
        <w:rPr>
          <w:rFonts w:ascii="宋体" w:hAnsi="宋体" w:cs="宋体" w:eastAsia="宋体" w:hint="default"/>
          <w:b/>
          <w:bCs/>
          <w:sz w:val="16"/>
          <w:szCs w:val="16"/>
        </w:rPr>
      </w:pPr>
    </w:p>
    <w:p>
      <w:pPr>
        <w:pStyle w:val="BodyText"/>
        <w:spacing w:line="489" w:lineRule="auto"/>
        <w:ind w:left="1133" w:right="64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公司报告期未发生资产或股权收购、出售的关联交易。</w:t>
      </w:r>
    </w:p>
    <w:p>
      <w:pPr>
        <w:spacing w:line="240" w:lineRule="auto" w:before="5"/>
        <w:rPr>
          <w:rFonts w:ascii="宋体" w:hAnsi="宋体" w:cs="宋体" w:eastAsia="宋体" w:hint="default"/>
          <w:sz w:val="24"/>
          <w:szCs w:val="24"/>
        </w:rPr>
      </w:pPr>
    </w:p>
    <w:p>
      <w:pPr>
        <w:pStyle w:val="Heading3"/>
        <w:spacing w:line="240" w:lineRule="auto"/>
        <w:ind w:right="0"/>
        <w:jc w:val="left"/>
        <w:rPr>
          <w:b w:val="0"/>
          <w:bCs w:val="0"/>
        </w:rPr>
      </w:pPr>
      <w:bookmarkStart w:name="3、共同对外投资的关联交易" w:id="81"/>
      <w:bookmarkEnd w:id="81"/>
      <w:r>
        <w:rPr>
          <w:b w:val="0"/>
          <w:bCs w:val="0"/>
        </w:rPr>
      </w:r>
      <w:r>
        <w:rPr>
          <w:rFonts w:ascii="Times New Roman" w:hAnsi="Times New Roman" w:cs="Times New Roman" w:eastAsia="Times New Roman" w:hint="default"/>
        </w:rPr>
        <w:t>3</w:t>
      </w:r>
      <w:r>
        <w:rPr/>
        <w:t>、共同对外投资的关联交易</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pStyle w:val="BodyText"/>
        <w:spacing w:line="489" w:lineRule="auto"/>
        <w:ind w:left="1133" w:right="7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公司报告期未发生共同对外投资的关联交易。</w:t>
      </w:r>
    </w:p>
    <w:p>
      <w:pPr>
        <w:spacing w:line="240" w:lineRule="auto" w:before="5"/>
        <w:rPr>
          <w:rFonts w:ascii="宋体" w:hAnsi="宋体" w:cs="宋体" w:eastAsia="宋体" w:hint="default"/>
          <w:sz w:val="24"/>
          <w:szCs w:val="24"/>
        </w:rPr>
      </w:pPr>
    </w:p>
    <w:p>
      <w:pPr>
        <w:pStyle w:val="Heading3"/>
        <w:spacing w:line="240" w:lineRule="auto"/>
        <w:ind w:left="1133" w:right="0"/>
        <w:jc w:val="left"/>
        <w:rPr>
          <w:b w:val="0"/>
          <w:bCs w:val="0"/>
        </w:rPr>
      </w:pPr>
      <w:bookmarkStart w:name="4、关联债权债务往来" w:id="82"/>
      <w:bookmarkEnd w:id="82"/>
      <w:r>
        <w:rPr>
          <w:b w:val="0"/>
          <w:bCs w:val="0"/>
        </w:rPr>
      </w:r>
      <w:r>
        <w:rPr>
          <w:rFonts w:ascii="Times New Roman" w:hAnsi="Times New Roman" w:cs="Times New Roman" w:eastAsia="Times New Roman" w:hint="default"/>
        </w:rPr>
        <w:t>4</w:t>
      </w:r>
      <w:r>
        <w:rPr/>
        <w:t>、关联债权债务往来</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pStyle w:val="BodyText"/>
        <w:spacing w:line="489" w:lineRule="auto"/>
        <w:ind w:left="1133" w:right="76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公司报告期不存在关联债权债务往来。</w:t>
      </w:r>
    </w:p>
    <w:p>
      <w:pPr>
        <w:spacing w:line="240" w:lineRule="auto" w:before="6"/>
        <w:rPr>
          <w:rFonts w:ascii="宋体" w:hAnsi="宋体" w:cs="宋体" w:eastAsia="宋体" w:hint="default"/>
          <w:sz w:val="24"/>
          <w:szCs w:val="24"/>
        </w:rPr>
      </w:pPr>
    </w:p>
    <w:p>
      <w:pPr>
        <w:pStyle w:val="Heading3"/>
        <w:spacing w:line="240" w:lineRule="auto"/>
        <w:ind w:left="1133" w:right="0"/>
        <w:jc w:val="left"/>
        <w:rPr>
          <w:b w:val="0"/>
          <w:bCs w:val="0"/>
        </w:rPr>
      </w:pPr>
      <w:bookmarkStart w:name="5、其他重大关联交易" w:id="83"/>
      <w:bookmarkEnd w:id="83"/>
      <w:r>
        <w:rPr>
          <w:b w:val="0"/>
          <w:bCs w:val="0"/>
        </w:rPr>
      </w:r>
      <w:r>
        <w:rPr>
          <w:rFonts w:ascii="Times New Roman" w:hAnsi="Times New Roman" w:cs="Times New Roman" w:eastAsia="Times New Roman" w:hint="default"/>
        </w:rPr>
        <w:t>5</w:t>
      </w:r>
      <w:r>
        <w:rPr/>
        <w:t>、其他重大关联交易</w:t>
      </w:r>
      <w:r>
        <w:rPr>
          <w:b w:val="0"/>
          <w:bCs w:val="0"/>
        </w:rPr>
      </w:r>
    </w:p>
    <w:p>
      <w:pPr>
        <w:spacing w:line="240" w:lineRule="auto" w:before="0"/>
        <w:rPr>
          <w:rFonts w:ascii="宋体" w:hAnsi="宋体" w:cs="宋体" w:eastAsia="宋体" w:hint="default"/>
          <w:b/>
          <w:bCs/>
          <w:sz w:val="22"/>
          <w:szCs w:val="22"/>
        </w:rPr>
      </w:pPr>
    </w:p>
    <w:p>
      <w:pPr>
        <w:spacing w:line="240" w:lineRule="auto" w:before="5"/>
        <w:rPr>
          <w:rFonts w:ascii="宋体" w:hAnsi="宋体" w:cs="宋体" w:eastAsia="宋体" w:hint="default"/>
          <w:b/>
          <w:bCs/>
          <w:sz w:val="16"/>
          <w:szCs w:val="16"/>
        </w:rPr>
      </w:pPr>
    </w:p>
    <w:p>
      <w:pPr>
        <w:pStyle w:val="BodyText"/>
        <w:spacing w:line="240" w:lineRule="auto"/>
        <w:ind w:left="113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footerReference w:type="default" r:id="rId24"/>
          <w:pgSz w:w="11910" w:h="16840"/>
          <w:pgMar w:footer="640" w:header="787" w:top="1100" w:bottom="840" w:left="0" w:right="0"/>
        </w:sectPr>
      </w:pPr>
    </w:p>
    <w:p>
      <w:pPr>
        <w:spacing w:line="240" w:lineRule="auto" w:before="10"/>
        <w:rPr>
          <w:rFonts w:ascii="宋体" w:hAnsi="宋体" w:cs="宋体" w:eastAsia="宋体" w:hint="default"/>
          <w:sz w:val="28"/>
          <w:szCs w:val="28"/>
        </w:rPr>
      </w:pPr>
    </w:p>
    <w:p>
      <w:pPr>
        <w:pStyle w:val="BodyText"/>
        <w:spacing w:line="451" w:lineRule="auto" w:before="44"/>
        <w:ind w:left="1133" w:right="1131"/>
        <w:jc w:val="both"/>
      </w:pPr>
      <w:r>
        <w:rPr/>
        <w:t>（</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13</w:t>
      </w:r>
      <w:r>
        <w:rPr/>
        <w:t>日，茅庆江与中国银行广州番禺支行签订了《最高额保证合同》（编号为</w:t>
      </w:r>
      <w:r>
        <w:rPr>
          <w:rFonts w:ascii="Times New Roman" w:hAnsi="Times New Roman" w:cs="Times New Roman" w:eastAsia="Times New Roman" w:hint="default"/>
        </w:rPr>
        <w:t>GBZ476780120170141</w:t>
      </w:r>
      <w:r>
        <w:rPr/>
        <w:t>），约定 </w:t>
      </w:r>
      <w:r>
        <w:rPr>
          <w:spacing w:val="-3"/>
        </w:rPr>
        <w:t>茅庆江为本公司向中国银行广州番禺支行申请银行授信项下借款提供担保，担保的最高债权额为</w:t>
      </w:r>
      <w:r>
        <w:rPr>
          <w:rFonts w:ascii="Times New Roman" w:hAnsi="Times New Roman" w:cs="Times New Roman" w:eastAsia="Times New Roman" w:hint="default"/>
          <w:spacing w:val="-3"/>
        </w:rPr>
        <w:t>3,000</w:t>
      </w:r>
      <w:r>
        <w:rPr>
          <w:spacing w:val="-3"/>
        </w:rPr>
        <w:t>万元，担保期间为</w:t>
      </w:r>
      <w:r>
        <w:rPr>
          <w:rFonts w:ascii="Times New Roman" w:hAnsi="Times New Roman" w:cs="Times New Roman" w:eastAsia="Times New Roman" w:hint="default"/>
          <w:spacing w:val="-3"/>
        </w:rPr>
        <w:t>2016</w:t>
      </w:r>
      <w:r>
        <w:rPr>
          <w:rFonts w:ascii="Times New Roman" w:hAnsi="Times New Roman" w:cs="Times New Roman" w:eastAsia="Times New Roman" w:hint="default"/>
          <w:spacing w:val="3"/>
        </w:rPr>
        <w:t> </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5</w:t>
      </w:r>
      <w:r>
        <w:rPr/>
        <w:t>日至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28</w:t>
      </w:r>
      <w:r>
        <w:rPr/>
        <w:t>日，担保方式为连带责任保证。</w:t>
      </w:r>
    </w:p>
    <w:p>
      <w:pPr>
        <w:pStyle w:val="BodyText"/>
        <w:spacing w:line="451" w:lineRule="auto" w:before="44"/>
        <w:ind w:left="1133" w:right="1131"/>
        <w:jc w:val="both"/>
      </w:pP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13</w:t>
      </w:r>
      <w:r>
        <w:rPr/>
        <w:t>日，雷洪文与中国银行广州番禺支行签订了《最高额保证合同》（编号为</w:t>
      </w:r>
      <w:r>
        <w:rPr>
          <w:rFonts w:ascii="Times New Roman" w:hAnsi="Times New Roman" w:cs="Times New Roman" w:eastAsia="Times New Roman" w:hint="default"/>
        </w:rPr>
        <w:t>GBZ476780120170140</w:t>
      </w:r>
      <w:r>
        <w:rPr/>
        <w:t>），约定 </w:t>
      </w:r>
      <w:r>
        <w:rPr>
          <w:spacing w:val="-3"/>
        </w:rPr>
        <w:t>雷洪文为本公司向中国银行广州番禺支行申请银行授信项下借款提供担保，担保的最高债权额为</w:t>
      </w:r>
      <w:r>
        <w:rPr>
          <w:rFonts w:ascii="Times New Roman" w:hAnsi="Times New Roman" w:cs="Times New Roman" w:eastAsia="Times New Roman" w:hint="default"/>
          <w:spacing w:val="-3"/>
        </w:rPr>
        <w:t>3,000</w:t>
      </w:r>
      <w:r>
        <w:rPr>
          <w:spacing w:val="-3"/>
        </w:rPr>
        <w:t>万元，担保期间为</w:t>
      </w:r>
      <w:r>
        <w:rPr>
          <w:rFonts w:ascii="Times New Roman" w:hAnsi="Times New Roman" w:cs="Times New Roman" w:eastAsia="Times New Roman" w:hint="default"/>
          <w:spacing w:val="-3"/>
        </w:rPr>
        <w:t>2016</w:t>
      </w:r>
      <w:r>
        <w:rPr>
          <w:rFonts w:ascii="Times New Roman" w:hAnsi="Times New Roman" w:cs="Times New Roman" w:eastAsia="Times New Roman" w:hint="default"/>
          <w:spacing w:val="2"/>
        </w:rPr>
        <w:t> </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5</w:t>
      </w:r>
      <w:r>
        <w:rPr/>
        <w:t>日至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28</w:t>
      </w:r>
      <w:r>
        <w:rPr/>
        <w:t>日，担保方式为连带责任保证。</w:t>
      </w:r>
    </w:p>
    <w:p>
      <w:pPr>
        <w:pStyle w:val="BodyText"/>
        <w:spacing w:line="240" w:lineRule="auto" w:before="84"/>
        <w:ind w:right="0"/>
        <w:jc w:val="both"/>
      </w:pPr>
      <w:r>
        <w:rPr/>
        <w:t>重大关联交易临时报告披露网站相关查询</w:t>
      </w:r>
    </w:p>
    <w:p>
      <w:pPr>
        <w:spacing w:line="240" w:lineRule="auto" w:before="0"/>
        <w:rPr>
          <w:rFonts w:ascii="宋体" w:hAnsi="宋体" w:cs="宋体" w:eastAsia="宋体" w:hint="default"/>
          <w:sz w:val="14"/>
          <w:szCs w:val="14"/>
        </w:rPr>
      </w:pPr>
    </w:p>
    <w:tbl>
      <w:tblPr>
        <w:tblW w:w="0" w:type="auto"/>
        <w:jc w:val="left"/>
        <w:tblInd w:w="1129" w:type="dxa"/>
        <w:tblLayout w:type="fixed"/>
        <w:tblCellMar>
          <w:top w:w="0" w:type="dxa"/>
          <w:left w:w="0" w:type="dxa"/>
          <w:bottom w:w="0" w:type="dxa"/>
          <w:right w:w="0" w:type="dxa"/>
        </w:tblCellMar>
        <w:tblLook w:val="01E0"/>
      </w:tblPr>
      <w:tblGrid>
        <w:gridCol w:w="3460"/>
        <w:gridCol w:w="2650"/>
        <w:gridCol w:w="3459"/>
      </w:tblGrid>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临时公告名称</w:t>
            </w:r>
          </w:p>
        </w:tc>
        <w:tc>
          <w:tcPr>
            <w:tcW w:w="2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0" w:right="0"/>
              <w:jc w:val="left"/>
              <w:rPr>
                <w:rFonts w:ascii="宋体" w:hAnsi="宋体" w:cs="宋体" w:eastAsia="宋体" w:hint="default"/>
                <w:sz w:val="18"/>
                <w:szCs w:val="18"/>
              </w:rPr>
            </w:pPr>
            <w:r>
              <w:rPr>
                <w:rFonts w:ascii="宋体" w:hAnsi="宋体" w:cs="宋体" w:eastAsia="宋体" w:hint="default"/>
                <w:sz w:val="18"/>
                <w:szCs w:val="18"/>
              </w:rPr>
              <w:t>临时公告披露日期</w:t>
            </w:r>
          </w:p>
        </w:tc>
        <w:tc>
          <w:tcPr>
            <w:tcW w:w="3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4" w:right="0"/>
              <w:jc w:val="left"/>
              <w:rPr>
                <w:rFonts w:ascii="宋体" w:hAnsi="宋体" w:cs="宋体" w:eastAsia="宋体" w:hint="default"/>
                <w:sz w:val="18"/>
                <w:szCs w:val="18"/>
              </w:rPr>
            </w:pPr>
            <w:r>
              <w:rPr>
                <w:rFonts w:ascii="宋体" w:hAnsi="宋体" w:cs="宋体" w:eastAsia="宋体" w:hint="default"/>
                <w:sz w:val="18"/>
                <w:szCs w:val="18"/>
              </w:rPr>
              <w:t>临时公告披露网站名称</w:t>
            </w:r>
          </w:p>
        </w:tc>
      </w:tr>
      <w:tr>
        <w:trPr>
          <w:trHeight w:val="714"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1"/>
                <w:sz w:val="18"/>
                <w:szCs w:val="18"/>
              </w:rPr>
              <w:t>浩云科技：关于关联自然人为公司向银行申</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请授信提供关联担保的公告</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w:t>
            </w:r>
            <w:hyperlink r:id="rId25">
              <w:r>
                <w:rPr>
                  <w:rFonts w:ascii="Times New Roman" w:hAnsi="Times New Roman" w:cs="Times New Roman" w:eastAsia="Times New Roman" w:hint="default"/>
                  <w:sz w:val="18"/>
                  <w:szCs w:val="18"/>
                </w:rPr>
                <w:t>http://www.cninfo.com.cn</w:t>
              </w:r>
            </w:hyperlink>
          </w:p>
        </w:tc>
      </w:tr>
      <w:tr>
        <w:trPr>
          <w:trHeight w:val="714"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1"/>
                <w:sz w:val="18"/>
                <w:szCs w:val="18"/>
              </w:rPr>
              <w:t>浩云科技：关于关联自然人为公司提供担保</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事项的进展公告</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w:t>
            </w:r>
            <w:hyperlink r:id="rId25">
              <w:r>
                <w:rPr>
                  <w:rFonts w:ascii="Times New Roman" w:hAnsi="Times New Roman" w:cs="Times New Roman" w:eastAsia="Times New Roman" w:hint="default"/>
                  <w:sz w:val="18"/>
                  <w:szCs w:val="18"/>
                </w:rPr>
                <w:t>http://www.cninfo.com.cn</w:t>
              </w:r>
            </w:hyperlink>
          </w:p>
        </w:tc>
      </w:tr>
    </w:tbl>
    <w:p>
      <w:pPr>
        <w:spacing w:line="240" w:lineRule="auto" w:before="0"/>
        <w:rPr>
          <w:rFonts w:ascii="宋体" w:hAnsi="宋体" w:cs="宋体" w:eastAsia="宋体" w:hint="default"/>
          <w:sz w:val="24"/>
          <w:szCs w:val="24"/>
        </w:rPr>
      </w:pPr>
    </w:p>
    <w:p>
      <w:pPr>
        <w:pStyle w:val="Heading2"/>
        <w:spacing w:line="240" w:lineRule="auto" w:before="26"/>
        <w:ind w:left="1134" w:right="0"/>
        <w:jc w:val="left"/>
        <w:rPr>
          <w:b w:val="0"/>
          <w:bCs w:val="0"/>
        </w:rPr>
      </w:pPr>
      <w:bookmarkStart w:name="十六、重大合同及其履行情况" w:id="84"/>
      <w:bookmarkEnd w:id="84"/>
      <w:r>
        <w:rPr>
          <w:b w:val="0"/>
          <w:bCs w:val="0"/>
        </w:rPr>
      </w:r>
      <w:r>
        <w:rPr/>
        <w:t>十六、重大合同及其履行情况</w:t>
      </w:r>
      <w:r>
        <w:rPr>
          <w:b w:val="0"/>
          <w:bCs w:val="0"/>
        </w:rPr>
      </w:r>
    </w:p>
    <w:p>
      <w:pPr>
        <w:spacing w:line="240" w:lineRule="auto" w:before="0"/>
        <w:rPr>
          <w:rFonts w:ascii="宋体" w:hAnsi="宋体" w:cs="宋体" w:eastAsia="宋体" w:hint="default"/>
          <w:b/>
          <w:bCs/>
          <w:sz w:val="24"/>
          <w:szCs w:val="24"/>
        </w:rPr>
      </w:pPr>
    </w:p>
    <w:p>
      <w:pPr>
        <w:pStyle w:val="Heading3"/>
        <w:spacing w:line="240" w:lineRule="auto" w:before="163"/>
        <w:ind w:left="1133" w:right="0"/>
        <w:jc w:val="left"/>
        <w:rPr>
          <w:b w:val="0"/>
          <w:bCs w:val="0"/>
        </w:rPr>
      </w:pPr>
      <w:bookmarkStart w:name="1、托管、承包、租赁事项情况" w:id="85"/>
      <w:bookmarkEnd w:id="85"/>
      <w:r>
        <w:rPr>
          <w:b w:val="0"/>
          <w:bCs w:val="0"/>
        </w:rPr>
      </w:r>
      <w:r>
        <w:rPr>
          <w:rFonts w:ascii="Times New Roman" w:hAnsi="Times New Roman" w:cs="Times New Roman" w:eastAsia="Times New Roman" w:hint="default"/>
        </w:rPr>
        <w:t>1</w:t>
      </w:r>
      <w:r>
        <w:rPr/>
        <w:t>、托管、承包、租赁事项情况</w:t>
      </w:r>
      <w:r>
        <w:rPr>
          <w:b w:val="0"/>
          <w:bCs w:val="0"/>
        </w:rPr>
      </w:r>
    </w:p>
    <w:p>
      <w:pPr>
        <w:spacing w:line="240" w:lineRule="auto" w:before="0"/>
        <w:rPr>
          <w:rFonts w:ascii="宋体" w:hAnsi="宋体" w:cs="宋体" w:eastAsia="宋体" w:hint="default"/>
          <w:b/>
          <w:bCs/>
          <w:sz w:val="22"/>
          <w:szCs w:val="22"/>
        </w:rPr>
      </w:pPr>
    </w:p>
    <w:p>
      <w:pPr>
        <w:pStyle w:val="Heading3"/>
        <w:spacing w:line="240" w:lineRule="auto" w:before="190"/>
        <w:ind w:left="1133" w:right="0"/>
        <w:jc w:val="left"/>
        <w:rPr>
          <w:b w:val="0"/>
          <w:bCs w:val="0"/>
        </w:rPr>
      </w:pPr>
      <w:bookmarkStart w:name="（1）托管情况" w:id="86"/>
      <w:bookmarkEnd w:id="86"/>
      <w:r>
        <w:rPr>
          <w:b w:val="0"/>
          <w:bCs w:val="0"/>
        </w:rPr>
      </w:r>
      <w:r>
        <w:rPr/>
        <w:t>（</w:t>
      </w:r>
      <w:r>
        <w:rPr>
          <w:rFonts w:ascii="Times New Roman" w:hAnsi="Times New Roman" w:cs="Times New Roman" w:eastAsia="Times New Roman" w:hint="default"/>
        </w:rPr>
        <w:t>1</w:t>
      </w:r>
      <w:r>
        <w:rPr/>
        <w:t>）托管情况</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pStyle w:val="BodyText"/>
        <w:spacing w:line="489" w:lineRule="auto"/>
        <w:ind w:left="1133"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公司报告期不存在托管情况。</w:t>
      </w:r>
    </w:p>
    <w:p>
      <w:pPr>
        <w:spacing w:line="240" w:lineRule="auto" w:before="6"/>
        <w:rPr>
          <w:rFonts w:ascii="宋体" w:hAnsi="宋体" w:cs="宋体" w:eastAsia="宋体" w:hint="default"/>
          <w:sz w:val="24"/>
          <w:szCs w:val="24"/>
        </w:rPr>
      </w:pPr>
    </w:p>
    <w:p>
      <w:pPr>
        <w:pStyle w:val="Heading3"/>
        <w:spacing w:line="240" w:lineRule="auto"/>
        <w:ind w:left="1133" w:right="0"/>
        <w:jc w:val="left"/>
        <w:rPr>
          <w:b w:val="0"/>
          <w:bCs w:val="0"/>
        </w:rPr>
      </w:pPr>
      <w:bookmarkStart w:name="（2）承包情况" w:id="87"/>
      <w:bookmarkEnd w:id="87"/>
      <w:r>
        <w:rPr>
          <w:b w:val="0"/>
          <w:bCs w:val="0"/>
        </w:rPr>
      </w:r>
      <w:r>
        <w:rPr/>
        <w:t>（</w:t>
      </w:r>
      <w:r>
        <w:rPr>
          <w:rFonts w:ascii="Times New Roman" w:hAnsi="Times New Roman" w:cs="Times New Roman" w:eastAsia="Times New Roman" w:hint="default"/>
        </w:rPr>
        <w:t>2</w:t>
      </w:r>
      <w:r>
        <w:rPr/>
        <w:t>）承包情况</w:t>
      </w:r>
      <w:r>
        <w:rPr>
          <w:b w:val="0"/>
          <w:bCs w:val="0"/>
        </w:rPr>
      </w:r>
    </w:p>
    <w:p>
      <w:pPr>
        <w:spacing w:line="240" w:lineRule="auto" w:before="0"/>
        <w:rPr>
          <w:rFonts w:ascii="宋体" w:hAnsi="宋体" w:cs="宋体" w:eastAsia="宋体" w:hint="default"/>
          <w:b/>
          <w:bCs/>
          <w:sz w:val="22"/>
          <w:szCs w:val="22"/>
        </w:rPr>
      </w:pPr>
    </w:p>
    <w:p>
      <w:pPr>
        <w:spacing w:line="240" w:lineRule="auto" w:before="5"/>
        <w:rPr>
          <w:rFonts w:ascii="宋体" w:hAnsi="宋体" w:cs="宋体" w:eastAsia="宋体" w:hint="default"/>
          <w:b/>
          <w:bCs/>
          <w:sz w:val="16"/>
          <w:szCs w:val="16"/>
        </w:rPr>
      </w:pPr>
    </w:p>
    <w:p>
      <w:pPr>
        <w:pStyle w:val="BodyText"/>
        <w:spacing w:line="489" w:lineRule="auto"/>
        <w:ind w:left="1133"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公司报告期不存在承包情况。</w:t>
      </w:r>
    </w:p>
    <w:p>
      <w:pPr>
        <w:spacing w:line="240" w:lineRule="auto" w:before="5"/>
        <w:rPr>
          <w:rFonts w:ascii="宋体" w:hAnsi="宋体" w:cs="宋体" w:eastAsia="宋体" w:hint="default"/>
          <w:sz w:val="24"/>
          <w:szCs w:val="24"/>
        </w:rPr>
      </w:pPr>
    </w:p>
    <w:p>
      <w:pPr>
        <w:pStyle w:val="Heading3"/>
        <w:spacing w:line="240" w:lineRule="auto"/>
        <w:ind w:left="1133" w:right="0"/>
        <w:jc w:val="left"/>
        <w:rPr>
          <w:b w:val="0"/>
          <w:bCs w:val="0"/>
        </w:rPr>
      </w:pPr>
      <w:bookmarkStart w:name="（3）租赁情况" w:id="88"/>
      <w:bookmarkEnd w:id="88"/>
      <w:r>
        <w:rPr>
          <w:b w:val="0"/>
          <w:bCs w:val="0"/>
        </w:rPr>
      </w:r>
      <w:r>
        <w:rPr/>
        <w:t>（</w:t>
      </w:r>
      <w:r>
        <w:rPr>
          <w:rFonts w:ascii="Times New Roman" w:hAnsi="Times New Roman" w:cs="Times New Roman" w:eastAsia="Times New Roman" w:hint="default"/>
        </w:rPr>
        <w:t>3</w:t>
      </w:r>
      <w:r>
        <w:rPr/>
        <w:t>）租赁情况</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pStyle w:val="BodyText"/>
        <w:spacing w:line="489" w:lineRule="auto"/>
        <w:ind w:left="1133"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公司报告期不存在租赁情况。</w:t>
      </w:r>
    </w:p>
    <w:p>
      <w:pPr>
        <w:spacing w:after="0" w:line="489" w:lineRule="auto"/>
        <w:jc w:val="left"/>
        <w:sectPr>
          <w:pgSz w:w="11910" w:h="16840"/>
          <w:pgMar w:header="787" w:footer="640" w:top="1100" w:bottom="840" w:left="0" w:right="0"/>
        </w:sectPr>
      </w:pPr>
    </w:p>
    <w:p>
      <w:pPr>
        <w:spacing w:line="240" w:lineRule="auto" w:before="7"/>
        <w:rPr>
          <w:rFonts w:ascii="宋体" w:hAnsi="宋体" w:cs="宋体" w:eastAsia="宋体" w:hint="default"/>
          <w:sz w:val="27"/>
          <w:szCs w:val="27"/>
        </w:rPr>
      </w:pPr>
    </w:p>
    <w:p>
      <w:pPr>
        <w:pStyle w:val="Heading3"/>
        <w:spacing w:line="240" w:lineRule="auto" w:before="35"/>
        <w:ind w:right="0"/>
        <w:jc w:val="left"/>
        <w:rPr>
          <w:b w:val="0"/>
          <w:bCs w:val="0"/>
        </w:rPr>
      </w:pPr>
      <w:bookmarkStart w:name="2、重大担保" w:id="89"/>
      <w:bookmarkEnd w:id="89"/>
      <w:r>
        <w:rPr>
          <w:b w:val="0"/>
          <w:bCs w:val="0"/>
        </w:rPr>
      </w:r>
      <w:r>
        <w:rPr>
          <w:rFonts w:ascii="Times New Roman" w:hAnsi="Times New Roman" w:cs="Times New Roman" w:eastAsia="Times New Roman" w:hint="default"/>
        </w:rPr>
        <w:t>2</w:t>
      </w:r>
      <w:r>
        <w:rPr/>
        <w:t>、重大担保</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9"/>
          <w:szCs w:val="19"/>
        </w:rPr>
      </w:pPr>
    </w:p>
    <w:p>
      <w:pPr>
        <w:pStyle w:val="Heading3"/>
        <w:spacing w:line="240" w:lineRule="auto"/>
        <w:ind w:left="1133" w:right="0"/>
        <w:jc w:val="left"/>
        <w:rPr>
          <w:b w:val="0"/>
          <w:bCs w:val="0"/>
        </w:rPr>
      </w:pPr>
      <w:bookmarkStart w:name="（1）担保情况" w:id="90"/>
      <w:bookmarkEnd w:id="90"/>
      <w:r>
        <w:rPr>
          <w:b w:val="0"/>
          <w:bCs w:val="0"/>
        </w:rPr>
      </w:r>
      <w:r>
        <w:rPr/>
        <w:t>（</w:t>
      </w:r>
      <w:r>
        <w:rPr>
          <w:rFonts w:ascii="Times New Roman" w:hAnsi="Times New Roman" w:cs="Times New Roman" w:eastAsia="Times New Roman" w:hint="default"/>
        </w:rPr>
        <w:t>1</w:t>
      </w:r>
      <w:r>
        <w:rPr/>
        <w:t>）担保情况</w:t>
      </w:r>
      <w:r>
        <w:rPr>
          <w:b w:val="0"/>
          <w:bCs w:val="0"/>
        </w:rPr>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5"/>
          <w:szCs w:val="15"/>
        </w:rPr>
      </w:pPr>
    </w:p>
    <w:p>
      <w:pPr>
        <w:pStyle w:val="BodyText"/>
        <w:spacing w:line="240" w:lineRule="auto" w:before="44"/>
        <w:ind w:left="0" w:right="1130"/>
        <w:jc w:val="right"/>
      </w:pPr>
      <w:r>
        <w:rPr/>
        <w:t>单位：万元</w:t>
      </w:r>
    </w:p>
    <w:p>
      <w:pPr>
        <w:spacing w:line="240" w:lineRule="auto" w:before="13"/>
        <w:rPr>
          <w:rFonts w:ascii="宋体" w:hAnsi="宋体" w:cs="宋体" w:eastAsia="宋体" w:hint="default"/>
          <w:sz w:val="13"/>
          <w:szCs w:val="13"/>
        </w:rPr>
      </w:pPr>
    </w:p>
    <w:tbl>
      <w:tblPr>
        <w:tblW w:w="0" w:type="auto"/>
        <w:jc w:val="left"/>
        <w:tblInd w:w="1140" w:type="dxa"/>
        <w:tblLayout w:type="fixed"/>
        <w:tblCellMar>
          <w:top w:w="0" w:type="dxa"/>
          <w:left w:w="0" w:type="dxa"/>
          <w:bottom w:w="0" w:type="dxa"/>
          <w:right w:w="0" w:type="dxa"/>
        </w:tblCellMar>
        <w:tblLook w:val="01E0"/>
      </w:tblPr>
      <w:tblGrid>
        <w:gridCol w:w="1698"/>
        <w:gridCol w:w="920"/>
        <w:gridCol w:w="929"/>
        <w:gridCol w:w="1298"/>
        <w:gridCol w:w="1057"/>
        <w:gridCol w:w="1038"/>
        <w:gridCol w:w="1051"/>
        <w:gridCol w:w="790"/>
        <w:gridCol w:w="783"/>
      </w:tblGrid>
      <w:tr>
        <w:trPr>
          <w:trHeight w:val="402" w:hRule="exact"/>
        </w:trPr>
        <w:tc>
          <w:tcPr>
            <w:tcW w:w="9563"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19" w:right="0"/>
              <w:jc w:val="left"/>
              <w:rPr>
                <w:rFonts w:ascii="宋体" w:hAnsi="宋体" w:cs="宋体" w:eastAsia="宋体" w:hint="default"/>
                <w:sz w:val="18"/>
                <w:szCs w:val="18"/>
              </w:rPr>
            </w:pPr>
            <w:r>
              <w:rPr>
                <w:rFonts w:ascii="宋体" w:hAnsi="宋体" w:cs="宋体" w:eastAsia="宋体" w:hint="default"/>
                <w:sz w:val="18"/>
                <w:szCs w:val="18"/>
              </w:rPr>
              <w:t>公司及其子公司对外担保情况（不包括对子公司的担保）</w:t>
            </w:r>
          </w:p>
        </w:tc>
      </w:tr>
      <w:tr>
        <w:trPr>
          <w:trHeight w:val="1026" w:hRule="exact"/>
        </w:trPr>
        <w:tc>
          <w:tcPr>
            <w:tcW w:w="16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2"/>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99" w:right="88"/>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4"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（协议签署日）</w:t>
            </w:r>
          </w:p>
        </w:tc>
        <w:tc>
          <w:tcPr>
            <w:tcW w:w="1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435" w:right="69"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9"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6" w:right="0"/>
              <w:jc w:val="center"/>
              <w:rPr>
                <w:rFonts w:ascii="宋体" w:hAnsi="宋体" w:cs="宋体" w:eastAsia="宋体" w:hint="default"/>
                <w:sz w:val="18"/>
                <w:szCs w:val="18"/>
              </w:rPr>
            </w:pPr>
            <w:r>
              <w:rPr>
                <w:rFonts w:ascii="宋体" w:hAnsi="宋体" w:cs="宋体" w:eastAsia="宋体" w:hint="default"/>
                <w:sz w:val="18"/>
                <w:szCs w:val="18"/>
              </w:rPr>
              <w:t>担保期</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13" w:right="24"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8" w:right="23"/>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402" w:hRule="exact"/>
        </w:trPr>
        <w:tc>
          <w:tcPr>
            <w:tcW w:w="9563"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1"/>
              <w:jc w:val="center"/>
              <w:rPr>
                <w:rFonts w:ascii="宋体" w:hAnsi="宋体" w:cs="宋体" w:eastAsia="宋体" w:hint="default"/>
                <w:sz w:val="18"/>
                <w:szCs w:val="18"/>
              </w:rPr>
            </w:pPr>
            <w:r>
              <w:rPr>
                <w:rFonts w:ascii="宋体" w:hAnsi="宋体" w:cs="宋体" w:eastAsia="宋体" w:hint="default"/>
                <w:sz w:val="18"/>
                <w:szCs w:val="18"/>
              </w:rPr>
              <w:t>公司对子公司的担保情况</w:t>
            </w:r>
          </w:p>
        </w:tc>
      </w:tr>
      <w:tr>
        <w:trPr>
          <w:trHeight w:val="1025" w:hRule="exact"/>
        </w:trPr>
        <w:tc>
          <w:tcPr>
            <w:tcW w:w="16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2"/>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96" w:right="92"/>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2"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（协议签署日）</w:t>
            </w:r>
          </w:p>
        </w:tc>
        <w:tc>
          <w:tcPr>
            <w:tcW w:w="1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435" w:right="69"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9"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担保期</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09" w:right="28"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8" w:right="23"/>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1338" w:hRule="exact"/>
        </w:trPr>
        <w:tc>
          <w:tcPr>
            <w:tcW w:w="1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11" w:right="54"/>
              <w:jc w:val="left"/>
              <w:rPr>
                <w:rFonts w:ascii="宋体" w:hAnsi="宋体" w:cs="宋体" w:eastAsia="宋体" w:hint="default"/>
                <w:sz w:val="18"/>
                <w:szCs w:val="18"/>
              </w:rPr>
            </w:pPr>
            <w:r>
              <w:rPr>
                <w:rFonts w:ascii="宋体" w:hAnsi="宋体" w:cs="宋体" w:eastAsia="宋体" w:hint="default"/>
                <w:sz w:val="18"/>
                <w:szCs w:val="18"/>
              </w:rPr>
              <w:t>深圳市润安科技发展 有限公司</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493" w:right="0"/>
              <w:jc w:val="left"/>
              <w:rPr>
                <w:rFonts w:ascii="Times New Roman" w:hAnsi="Times New Roman" w:cs="Times New Roman" w:eastAsia="Times New Roman" w:hint="default"/>
                <w:sz w:val="18"/>
                <w:szCs w:val="18"/>
              </w:rPr>
            </w:pPr>
            <w:r>
              <w:rPr>
                <w:rFonts w:ascii="Times New Roman"/>
                <w:sz w:val="18"/>
              </w:rPr>
              <w:t>1,500</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625" w:right="0"/>
              <w:jc w:val="left"/>
              <w:rPr>
                <w:rFonts w:ascii="Times New Roman" w:hAnsi="Times New Roman" w:cs="Times New Roman" w:eastAsia="Times New Roman" w:hint="default"/>
                <w:sz w:val="18"/>
                <w:szCs w:val="18"/>
              </w:rPr>
            </w:pPr>
            <w:r>
              <w:rPr>
                <w:rFonts w:ascii="Times New Roman"/>
                <w:sz w:val="18"/>
              </w:rPr>
              <w:t>1,500</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9" w:right="97"/>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5" w:right="113"/>
              <w:jc w:val="both"/>
              <w:rPr>
                <w:rFonts w:ascii="宋体" w:hAnsi="宋体" w:cs="宋体" w:eastAsia="宋体" w:hint="default"/>
                <w:sz w:val="18"/>
                <w:szCs w:val="18"/>
              </w:rPr>
            </w:pPr>
            <w:r>
              <w:rPr>
                <w:rFonts w:ascii="宋体" w:hAnsi="宋体" w:cs="宋体" w:eastAsia="宋体" w:hint="default"/>
                <w:sz w:val="18"/>
                <w:szCs w:val="18"/>
              </w:rPr>
              <w:t>实际融资项 下债务履行 期限届满起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261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74"/>
              <w:jc w:val="left"/>
              <w:rPr>
                <w:rFonts w:ascii="宋体" w:hAnsi="宋体" w:cs="宋体" w:eastAsia="宋体" w:hint="default"/>
                <w:sz w:val="18"/>
                <w:szCs w:val="18"/>
              </w:rPr>
            </w:pPr>
            <w:r>
              <w:rPr>
                <w:rFonts w:ascii="宋体" w:hAnsi="宋体" w:cs="宋体" w:eastAsia="宋体" w:hint="default"/>
                <w:sz w:val="18"/>
                <w:szCs w:val="18"/>
              </w:rPr>
              <w:t>报告期内审批对子公司担保额度 合计（</w:t>
            </w:r>
            <w:r>
              <w:rPr>
                <w:rFonts w:ascii="Times New Roman" w:hAnsi="Times New Roman" w:cs="Times New Roman" w:eastAsia="Times New Roman" w:hint="default"/>
                <w:sz w:val="18"/>
                <w:szCs w:val="18"/>
              </w:rPr>
              <w:t>B1</w:t>
            </w:r>
            <w:r>
              <w:rPr>
                <w:rFonts w:ascii="宋体" w:hAnsi="宋体" w:cs="宋体" w:eastAsia="宋体" w:hint="default"/>
                <w:sz w:val="18"/>
                <w:szCs w:val="18"/>
              </w:rPr>
              <w:t>）</w:t>
            </w:r>
          </w:p>
        </w:tc>
        <w:tc>
          <w:tcPr>
            <w:tcW w:w="2227"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z w:val="18"/>
              </w:rPr>
              <w:t>0</w:t>
            </w:r>
          </w:p>
        </w:tc>
        <w:tc>
          <w:tcPr>
            <w:tcW w:w="209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80"/>
              <w:jc w:val="left"/>
              <w:rPr>
                <w:rFonts w:ascii="宋体" w:hAnsi="宋体" w:cs="宋体" w:eastAsia="宋体" w:hint="default"/>
                <w:sz w:val="18"/>
                <w:szCs w:val="18"/>
              </w:rPr>
            </w:pPr>
            <w:r>
              <w:rPr>
                <w:rFonts w:ascii="宋体" w:hAnsi="宋体" w:cs="宋体" w:eastAsia="宋体" w:hint="default"/>
                <w:sz w:val="18"/>
                <w:szCs w:val="18"/>
              </w:rPr>
              <w:t>报告期内对子公司担保实 际发生额合计（</w:t>
            </w:r>
            <w:r>
              <w:rPr>
                <w:rFonts w:ascii="Times New Roman" w:hAnsi="Times New Roman" w:cs="Times New Roman" w:eastAsia="Times New Roman" w:hint="default"/>
                <w:sz w:val="18"/>
                <w:szCs w:val="18"/>
              </w:rPr>
              <w:t>B2</w:t>
            </w:r>
            <w:r>
              <w:rPr>
                <w:rFonts w:ascii="宋体" w:hAnsi="宋体" w:cs="宋体" w:eastAsia="宋体" w:hint="default"/>
                <w:sz w:val="18"/>
                <w:szCs w:val="18"/>
              </w:rPr>
              <w:t>）</w:t>
            </w:r>
          </w:p>
        </w:tc>
        <w:tc>
          <w:tcPr>
            <w:tcW w:w="2624"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1,500</w:t>
            </w:r>
          </w:p>
        </w:tc>
      </w:tr>
      <w:tr>
        <w:trPr>
          <w:trHeight w:val="719" w:hRule="exact"/>
        </w:trPr>
        <w:tc>
          <w:tcPr>
            <w:tcW w:w="261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74"/>
              <w:jc w:val="left"/>
              <w:rPr>
                <w:rFonts w:ascii="宋体" w:hAnsi="宋体" w:cs="宋体" w:eastAsia="宋体" w:hint="default"/>
                <w:sz w:val="18"/>
                <w:szCs w:val="18"/>
              </w:rPr>
            </w:pPr>
            <w:r>
              <w:rPr>
                <w:rFonts w:ascii="宋体" w:hAnsi="宋体" w:cs="宋体" w:eastAsia="宋体" w:hint="default"/>
                <w:sz w:val="18"/>
                <w:szCs w:val="18"/>
              </w:rPr>
              <w:t>报告期末已审批的对子公司担保 额度合计（</w:t>
            </w:r>
            <w:r>
              <w:rPr>
                <w:rFonts w:ascii="Times New Roman" w:hAnsi="Times New Roman" w:cs="Times New Roman" w:eastAsia="Times New Roman" w:hint="default"/>
                <w:sz w:val="18"/>
                <w:szCs w:val="18"/>
              </w:rPr>
              <w:t>B3</w:t>
            </w:r>
            <w:r>
              <w:rPr>
                <w:rFonts w:ascii="宋体" w:hAnsi="宋体" w:cs="宋体" w:eastAsia="宋体" w:hint="default"/>
                <w:sz w:val="18"/>
                <w:szCs w:val="18"/>
              </w:rPr>
              <w:t>）</w:t>
            </w:r>
          </w:p>
        </w:tc>
        <w:tc>
          <w:tcPr>
            <w:tcW w:w="2227"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z w:val="18"/>
              </w:rPr>
              <w:t>1,500</w:t>
            </w:r>
          </w:p>
        </w:tc>
        <w:tc>
          <w:tcPr>
            <w:tcW w:w="209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80"/>
              <w:jc w:val="left"/>
              <w:rPr>
                <w:rFonts w:ascii="宋体" w:hAnsi="宋体" w:cs="宋体" w:eastAsia="宋体" w:hint="default"/>
                <w:sz w:val="18"/>
                <w:szCs w:val="18"/>
              </w:rPr>
            </w:pPr>
            <w:r>
              <w:rPr>
                <w:rFonts w:ascii="宋体" w:hAnsi="宋体" w:cs="宋体" w:eastAsia="宋体" w:hint="default"/>
                <w:sz w:val="18"/>
                <w:szCs w:val="18"/>
              </w:rPr>
              <w:t>报告期末对子公司实际担 保余额合计（</w:t>
            </w:r>
            <w:r>
              <w:rPr>
                <w:rFonts w:ascii="Times New Roman" w:hAnsi="Times New Roman" w:cs="Times New Roman" w:eastAsia="Times New Roman" w:hint="default"/>
                <w:sz w:val="18"/>
                <w:szCs w:val="18"/>
              </w:rPr>
              <w:t>B4</w:t>
            </w:r>
            <w:r>
              <w:rPr>
                <w:rFonts w:ascii="宋体" w:hAnsi="宋体" w:cs="宋体" w:eastAsia="宋体" w:hint="default"/>
                <w:sz w:val="18"/>
                <w:szCs w:val="18"/>
              </w:rPr>
              <w:t>）</w:t>
            </w:r>
          </w:p>
        </w:tc>
        <w:tc>
          <w:tcPr>
            <w:tcW w:w="2624"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1,200</w:t>
            </w:r>
          </w:p>
        </w:tc>
      </w:tr>
      <w:tr>
        <w:trPr>
          <w:trHeight w:val="397" w:hRule="exact"/>
        </w:trPr>
        <w:tc>
          <w:tcPr>
            <w:tcW w:w="9563"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 w:right="12"/>
              <w:jc w:val="center"/>
              <w:rPr>
                <w:rFonts w:ascii="宋体" w:hAnsi="宋体" w:cs="宋体" w:eastAsia="宋体" w:hint="default"/>
                <w:sz w:val="18"/>
                <w:szCs w:val="18"/>
              </w:rPr>
            </w:pPr>
            <w:r>
              <w:rPr>
                <w:rFonts w:ascii="宋体" w:hAnsi="宋体" w:cs="宋体" w:eastAsia="宋体" w:hint="default"/>
                <w:sz w:val="18"/>
                <w:szCs w:val="18"/>
              </w:rPr>
              <w:t>子公司对子公司的担保情况</w:t>
            </w:r>
          </w:p>
        </w:tc>
      </w:tr>
      <w:tr>
        <w:trPr>
          <w:trHeight w:val="161" w:hRule="exact"/>
        </w:trPr>
        <w:tc>
          <w:tcPr>
            <w:tcW w:w="1698" w:type="dxa"/>
            <w:vMerge w:val="restart"/>
            <w:tcBorders>
              <w:top w:val="single" w:sz="4" w:space="0" w:color="000000"/>
              <w:left w:val="single" w:sz="4" w:space="0" w:color="000000"/>
              <w:right w:val="single" w:sz="4" w:space="0" w:color="000000"/>
            </w:tcBorders>
            <w:shd w:val="clear" w:color="auto" w:fill="D2D2D2"/>
          </w:tcPr>
          <w:p>
            <w:pPr/>
          </w:p>
        </w:tc>
        <w:tc>
          <w:tcPr>
            <w:tcW w:w="92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92" w:right="96"/>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9" w:type="dxa"/>
            <w:vMerge w:val="restart"/>
            <w:tcBorders>
              <w:top w:val="single" w:sz="4" w:space="0" w:color="000000"/>
              <w:left w:val="single" w:sz="4" w:space="0" w:color="000000"/>
              <w:right w:val="single" w:sz="4" w:space="0" w:color="000000"/>
            </w:tcBorders>
            <w:shd w:val="clear" w:color="auto" w:fill="D2D2D2"/>
          </w:tcPr>
          <w:p>
            <w:pPr/>
          </w:p>
        </w:tc>
        <w:tc>
          <w:tcPr>
            <w:tcW w:w="1298" w:type="dxa"/>
            <w:tcBorders>
              <w:top w:val="single" w:sz="4" w:space="0" w:color="000000"/>
              <w:left w:val="single" w:sz="4" w:space="0" w:color="000000"/>
              <w:bottom w:val="nil" w:sz="6" w:space="0" w:color="auto"/>
              <w:right w:val="single" w:sz="4" w:space="0" w:color="000000"/>
            </w:tcBorders>
            <w:shd w:val="clear" w:color="auto" w:fill="D2D2D2"/>
          </w:tcPr>
          <w:p>
            <w:pPr/>
          </w:p>
        </w:tc>
        <w:tc>
          <w:tcPr>
            <w:tcW w:w="10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038" w:type="dxa"/>
            <w:vMerge w:val="restart"/>
            <w:tcBorders>
              <w:top w:val="single" w:sz="4" w:space="0" w:color="000000"/>
              <w:left w:val="single" w:sz="4" w:space="0" w:color="000000"/>
              <w:right w:val="single" w:sz="4" w:space="0" w:color="000000"/>
            </w:tcBorders>
            <w:shd w:val="clear" w:color="auto" w:fill="D2D2D2"/>
          </w:tcPr>
          <w:p>
            <w:pPr/>
          </w:p>
        </w:tc>
        <w:tc>
          <w:tcPr>
            <w:tcW w:w="1051" w:type="dxa"/>
            <w:vMerge w:val="restart"/>
            <w:tcBorders>
              <w:top w:val="single" w:sz="4" w:space="0" w:color="000000"/>
              <w:left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nil" w:sz="6" w:space="0" w:color="auto"/>
              <w:right w:val="single" w:sz="4" w:space="0" w:color="000000"/>
            </w:tcBorders>
            <w:shd w:val="clear" w:color="auto" w:fill="D2D2D2"/>
          </w:tcPr>
          <w:p>
            <w:pPr/>
          </w:p>
        </w:tc>
        <w:tc>
          <w:tcPr>
            <w:tcW w:w="783"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6" w:hRule="exact"/>
        </w:trPr>
        <w:tc>
          <w:tcPr>
            <w:tcW w:w="1698" w:type="dxa"/>
            <w:vMerge/>
            <w:tcBorders>
              <w:left w:val="single" w:sz="4" w:space="0" w:color="000000"/>
              <w:bottom w:val="nil" w:sz="6" w:space="0" w:color="auto"/>
              <w:right w:val="single" w:sz="4" w:space="0" w:color="000000"/>
            </w:tcBorders>
            <w:shd w:val="clear" w:color="auto" w:fill="D2D2D2"/>
          </w:tcPr>
          <w:p>
            <w:pPr/>
          </w:p>
        </w:tc>
        <w:tc>
          <w:tcPr>
            <w:tcW w:w="920" w:type="dxa"/>
            <w:vMerge/>
            <w:tcBorders>
              <w:left w:val="single" w:sz="4" w:space="0" w:color="000000"/>
              <w:right w:val="single" w:sz="4" w:space="0" w:color="000000"/>
            </w:tcBorders>
            <w:shd w:val="clear" w:color="auto" w:fill="D2D2D2"/>
          </w:tcPr>
          <w:p>
            <w:pPr/>
          </w:p>
        </w:tc>
        <w:tc>
          <w:tcPr>
            <w:tcW w:w="929" w:type="dxa"/>
            <w:vMerge/>
            <w:tcBorders>
              <w:left w:val="single" w:sz="4" w:space="0" w:color="000000"/>
              <w:bottom w:val="nil" w:sz="6" w:space="0" w:color="auto"/>
              <w:right w:val="single" w:sz="4" w:space="0" w:color="000000"/>
            </w:tcBorders>
            <w:shd w:val="clear" w:color="auto" w:fill="D2D2D2"/>
          </w:tcPr>
          <w:p>
            <w:pPr/>
          </w:p>
        </w:tc>
        <w:tc>
          <w:tcPr>
            <w:tcW w:w="12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96"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240" w:lineRule="auto" w:before="76"/>
              <w:ind w:left="7" w:right="0"/>
              <w:jc w:val="left"/>
              <w:rPr>
                <w:rFonts w:ascii="宋体" w:hAnsi="宋体" w:cs="宋体" w:eastAsia="宋体" w:hint="default"/>
                <w:sz w:val="18"/>
                <w:szCs w:val="18"/>
              </w:rPr>
            </w:pPr>
            <w:r>
              <w:rPr>
                <w:rFonts w:ascii="宋体" w:hAnsi="宋体" w:cs="宋体" w:eastAsia="宋体" w:hint="default"/>
                <w:sz w:val="18"/>
                <w:szCs w:val="18"/>
              </w:rPr>
              <w:t>（协议签署日）</w:t>
            </w:r>
          </w:p>
        </w:tc>
        <w:tc>
          <w:tcPr>
            <w:tcW w:w="1057"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426" w:right="80"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38" w:type="dxa"/>
            <w:vMerge/>
            <w:tcBorders>
              <w:left w:val="single" w:sz="4" w:space="0" w:color="000000"/>
              <w:bottom w:val="nil" w:sz="6" w:space="0" w:color="auto"/>
              <w:right w:val="single" w:sz="4" w:space="0" w:color="000000"/>
            </w:tcBorders>
            <w:shd w:val="clear" w:color="auto" w:fill="D2D2D2"/>
          </w:tcPr>
          <w:p>
            <w:pPr/>
          </w:p>
        </w:tc>
        <w:tc>
          <w:tcPr>
            <w:tcW w:w="1051" w:type="dxa"/>
            <w:vMerge/>
            <w:tcBorders>
              <w:left w:val="single" w:sz="4" w:space="0" w:color="000000"/>
              <w:bottom w:val="nil" w:sz="6" w:space="0" w:color="auto"/>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05" w:right="33"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3"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391" w:hRule="exact"/>
        </w:trPr>
        <w:tc>
          <w:tcPr>
            <w:tcW w:w="16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2"/>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20" w:type="dxa"/>
            <w:vMerge/>
            <w:tcBorders>
              <w:left w:val="single" w:sz="4" w:space="0" w:color="000000"/>
              <w:right w:val="single" w:sz="4" w:space="0" w:color="000000"/>
            </w:tcBorders>
            <w:shd w:val="clear" w:color="auto" w:fill="D2D2D2"/>
          </w:tcPr>
          <w:p>
            <w:pPr/>
          </w:p>
        </w:tc>
        <w:tc>
          <w:tcPr>
            <w:tcW w:w="92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90"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98" w:type="dxa"/>
            <w:vMerge/>
            <w:tcBorders>
              <w:left w:val="single" w:sz="4" w:space="0" w:color="000000"/>
              <w:right w:val="single" w:sz="4" w:space="0" w:color="000000"/>
            </w:tcBorders>
            <w:shd w:val="clear" w:color="auto" w:fill="D2D2D2"/>
          </w:tcPr>
          <w:p>
            <w:pPr/>
          </w:p>
        </w:tc>
        <w:tc>
          <w:tcPr>
            <w:tcW w:w="1057" w:type="dxa"/>
            <w:vMerge/>
            <w:tcBorders>
              <w:left w:val="single" w:sz="4" w:space="0" w:color="000000"/>
              <w:right w:val="single" w:sz="4" w:space="0" w:color="000000"/>
            </w:tcBorders>
            <w:shd w:val="clear" w:color="auto" w:fill="D2D2D2"/>
          </w:tcPr>
          <w:p>
            <w:pPr/>
          </w:p>
        </w:tc>
        <w:tc>
          <w:tcPr>
            <w:tcW w:w="103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7"/>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5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担保期</w:t>
            </w:r>
          </w:p>
        </w:tc>
        <w:tc>
          <w:tcPr>
            <w:tcW w:w="790" w:type="dxa"/>
            <w:vMerge/>
            <w:tcBorders>
              <w:left w:val="single" w:sz="4" w:space="0" w:color="000000"/>
              <w:right w:val="single" w:sz="4" w:space="0" w:color="000000"/>
            </w:tcBorders>
            <w:shd w:val="clear" w:color="auto" w:fill="D2D2D2"/>
          </w:tcPr>
          <w:p>
            <w:pPr/>
          </w:p>
        </w:tc>
        <w:tc>
          <w:tcPr>
            <w:tcW w:w="783" w:type="dxa"/>
            <w:vMerge/>
            <w:tcBorders>
              <w:left w:val="single" w:sz="4" w:space="0" w:color="000000"/>
              <w:right w:val="single" w:sz="4" w:space="0" w:color="000000"/>
            </w:tcBorders>
            <w:shd w:val="clear" w:color="auto" w:fill="D2D2D2"/>
          </w:tcPr>
          <w:p>
            <w:pPr/>
          </w:p>
        </w:tc>
      </w:tr>
      <w:tr>
        <w:trPr>
          <w:trHeight w:val="156" w:hRule="exact"/>
        </w:trPr>
        <w:tc>
          <w:tcPr>
            <w:tcW w:w="1698" w:type="dxa"/>
            <w:vMerge w:val="restart"/>
            <w:tcBorders>
              <w:top w:val="nil" w:sz="6" w:space="0" w:color="auto"/>
              <w:left w:val="single" w:sz="4" w:space="0" w:color="000000"/>
              <w:right w:val="single" w:sz="4" w:space="0" w:color="000000"/>
            </w:tcBorders>
            <w:shd w:val="clear" w:color="auto" w:fill="D2D2D2"/>
          </w:tcPr>
          <w:p>
            <w:pPr/>
          </w:p>
        </w:tc>
        <w:tc>
          <w:tcPr>
            <w:tcW w:w="920" w:type="dxa"/>
            <w:vMerge/>
            <w:tcBorders>
              <w:left w:val="single" w:sz="4" w:space="0" w:color="000000"/>
              <w:right w:val="single" w:sz="4" w:space="0" w:color="000000"/>
            </w:tcBorders>
            <w:shd w:val="clear" w:color="auto" w:fill="D2D2D2"/>
          </w:tcPr>
          <w:p>
            <w:pPr/>
          </w:p>
        </w:tc>
        <w:tc>
          <w:tcPr>
            <w:tcW w:w="929" w:type="dxa"/>
            <w:vMerge w:val="restart"/>
            <w:tcBorders>
              <w:top w:val="nil" w:sz="6" w:space="0" w:color="auto"/>
              <w:left w:val="single" w:sz="4" w:space="0" w:color="000000"/>
              <w:right w:val="single" w:sz="4" w:space="0" w:color="000000"/>
            </w:tcBorders>
            <w:shd w:val="clear" w:color="auto" w:fill="D2D2D2"/>
          </w:tcPr>
          <w:p>
            <w:pPr/>
          </w:p>
        </w:tc>
        <w:tc>
          <w:tcPr>
            <w:tcW w:w="1298" w:type="dxa"/>
            <w:vMerge/>
            <w:tcBorders>
              <w:left w:val="single" w:sz="4" w:space="0" w:color="000000"/>
              <w:bottom w:val="nil" w:sz="6" w:space="0" w:color="auto"/>
              <w:right w:val="single" w:sz="4" w:space="0" w:color="000000"/>
            </w:tcBorders>
            <w:shd w:val="clear" w:color="auto" w:fill="D2D2D2"/>
          </w:tcPr>
          <w:p>
            <w:pPr/>
          </w:p>
        </w:tc>
        <w:tc>
          <w:tcPr>
            <w:tcW w:w="1057" w:type="dxa"/>
            <w:vMerge/>
            <w:tcBorders>
              <w:left w:val="single" w:sz="4" w:space="0" w:color="000000"/>
              <w:bottom w:val="nil" w:sz="6" w:space="0" w:color="auto"/>
              <w:right w:val="single" w:sz="4" w:space="0" w:color="000000"/>
            </w:tcBorders>
            <w:shd w:val="clear" w:color="auto" w:fill="D2D2D2"/>
          </w:tcPr>
          <w:p>
            <w:pPr/>
          </w:p>
        </w:tc>
        <w:tc>
          <w:tcPr>
            <w:tcW w:w="1038" w:type="dxa"/>
            <w:vMerge w:val="restart"/>
            <w:tcBorders>
              <w:top w:val="nil" w:sz="6" w:space="0" w:color="auto"/>
              <w:left w:val="single" w:sz="4" w:space="0" w:color="000000"/>
              <w:right w:val="single" w:sz="4" w:space="0" w:color="000000"/>
            </w:tcBorders>
            <w:shd w:val="clear" w:color="auto" w:fill="D2D2D2"/>
          </w:tcPr>
          <w:p>
            <w:pPr/>
          </w:p>
        </w:tc>
        <w:tc>
          <w:tcPr>
            <w:tcW w:w="1051" w:type="dxa"/>
            <w:vMerge w:val="restart"/>
            <w:tcBorders>
              <w:top w:val="nil" w:sz="6" w:space="0" w:color="auto"/>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783"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1698" w:type="dxa"/>
            <w:vMerge/>
            <w:tcBorders>
              <w:left w:val="single" w:sz="4" w:space="0" w:color="000000"/>
              <w:bottom w:val="single" w:sz="4" w:space="0" w:color="000000"/>
              <w:right w:val="single" w:sz="4" w:space="0" w:color="000000"/>
            </w:tcBorders>
            <w:shd w:val="clear" w:color="auto" w:fill="D2D2D2"/>
          </w:tcPr>
          <w:p>
            <w:pPr/>
          </w:p>
        </w:tc>
        <w:tc>
          <w:tcPr>
            <w:tcW w:w="920" w:type="dxa"/>
            <w:vMerge/>
            <w:tcBorders>
              <w:left w:val="single" w:sz="4" w:space="0" w:color="000000"/>
              <w:bottom w:val="single" w:sz="4" w:space="0" w:color="000000"/>
              <w:right w:val="single" w:sz="4" w:space="0" w:color="000000"/>
            </w:tcBorders>
            <w:shd w:val="clear" w:color="auto" w:fill="D2D2D2"/>
          </w:tcPr>
          <w:p>
            <w:pPr/>
          </w:p>
        </w:tc>
        <w:tc>
          <w:tcPr>
            <w:tcW w:w="929" w:type="dxa"/>
            <w:vMerge/>
            <w:tcBorders>
              <w:left w:val="single" w:sz="4" w:space="0" w:color="000000"/>
              <w:bottom w:val="single" w:sz="4" w:space="0" w:color="000000"/>
              <w:right w:val="single" w:sz="4" w:space="0" w:color="000000"/>
            </w:tcBorders>
            <w:shd w:val="clear" w:color="auto" w:fill="D2D2D2"/>
          </w:tcPr>
          <w:p>
            <w:pPr/>
          </w:p>
        </w:tc>
        <w:tc>
          <w:tcPr>
            <w:tcW w:w="1298" w:type="dxa"/>
            <w:tcBorders>
              <w:top w:val="nil" w:sz="6" w:space="0" w:color="auto"/>
              <w:left w:val="single" w:sz="4" w:space="0" w:color="000000"/>
              <w:bottom w:val="single" w:sz="4" w:space="0" w:color="000000"/>
              <w:right w:val="single" w:sz="4" w:space="0" w:color="000000"/>
            </w:tcBorders>
            <w:shd w:val="clear" w:color="auto" w:fill="D2D2D2"/>
          </w:tcPr>
          <w:p>
            <w:pPr/>
          </w:p>
        </w:tc>
        <w:tc>
          <w:tcPr>
            <w:tcW w:w="10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038" w:type="dxa"/>
            <w:vMerge/>
            <w:tcBorders>
              <w:left w:val="single" w:sz="4" w:space="0" w:color="000000"/>
              <w:bottom w:val="single" w:sz="4" w:space="0" w:color="000000"/>
              <w:right w:val="single" w:sz="4" w:space="0" w:color="000000"/>
            </w:tcBorders>
            <w:shd w:val="clear" w:color="auto" w:fill="D2D2D2"/>
          </w:tcPr>
          <w:p>
            <w:pPr/>
          </w:p>
        </w:tc>
        <w:tc>
          <w:tcPr>
            <w:tcW w:w="1051" w:type="dxa"/>
            <w:vMerge/>
            <w:tcBorders>
              <w:left w:val="single" w:sz="4" w:space="0" w:color="000000"/>
              <w:bottom w:val="single" w:sz="4" w:space="0" w:color="000000"/>
              <w:right w:val="single" w:sz="4" w:space="0" w:color="000000"/>
            </w:tcBorders>
            <w:shd w:val="clear" w:color="auto" w:fill="D2D2D2"/>
          </w:tcPr>
          <w:p>
            <w:pPr/>
          </w:p>
        </w:tc>
        <w:tc>
          <w:tcPr>
            <w:tcW w:w="790" w:type="dxa"/>
            <w:tcBorders>
              <w:top w:val="nil" w:sz="6" w:space="0" w:color="auto"/>
              <w:left w:val="single" w:sz="4" w:space="0" w:color="000000"/>
              <w:bottom w:val="single" w:sz="4" w:space="0" w:color="000000"/>
              <w:right w:val="single" w:sz="4" w:space="0" w:color="000000"/>
            </w:tcBorders>
            <w:shd w:val="clear" w:color="auto" w:fill="D2D2D2"/>
          </w:tcPr>
          <w:p>
            <w:pPr/>
          </w:p>
        </w:tc>
        <w:tc>
          <w:tcPr>
            <w:tcW w:w="783"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9563"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2"/>
              <w:jc w:val="center"/>
              <w:rPr>
                <w:rFonts w:ascii="宋体" w:hAnsi="宋体" w:cs="宋体" w:eastAsia="宋体" w:hint="default"/>
                <w:sz w:val="18"/>
                <w:szCs w:val="18"/>
              </w:rPr>
            </w:pPr>
            <w:r>
              <w:rPr>
                <w:rFonts w:ascii="宋体" w:hAnsi="宋体" w:cs="宋体" w:eastAsia="宋体" w:hint="default"/>
                <w:sz w:val="18"/>
                <w:szCs w:val="18"/>
              </w:rPr>
              <w:t>公司担保总额（即前三大项的合计）</w:t>
            </w:r>
          </w:p>
        </w:tc>
      </w:tr>
      <w:tr>
        <w:trPr>
          <w:trHeight w:val="715" w:hRule="exact"/>
        </w:trPr>
        <w:tc>
          <w:tcPr>
            <w:tcW w:w="261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报告期内审批担保额度合计</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A1+B1+C1</w:t>
            </w:r>
            <w:r>
              <w:rPr>
                <w:rFonts w:ascii="宋体" w:hAnsi="宋体" w:cs="宋体" w:eastAsia="宋体" w:hint="default"/>
                <w:sz w:val="18"/>
                <w:szCs w:val="18"/>
              </w:rPr>
              <w:t>）</w:t>
            </w:r>
          </w:p>
        </w:tc>
        <w:tc>
          <w:tcPr>
            <w:tcW w:w="2227"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z w:val="18"/>
              </w:rPr>
              <w:t>0</w:t>
            </w:r>
          </w:p>
        </w:tc>
        <w:tc>
          <w:tcPr>
            <w:tcW w:w="209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80"/>
              <w:jc w:val="left"/>
              <w:rPr>
                <w:rFonts w:ascii="宋体" w:hAnsi="宋体" w:cs="宋体" w:eastAsia="宋体" w:hint="default"/>
                <w:sz w:val="18"/>
                <w:szCs w:val="18"/>
              </w:rPr>
            </w:pPr>
            <w:r>
              <w:rPr>
                <w:rFonts w:ascii="宋体" w:hAnsi="宋体" w:cs="宋体" w:eastAsia="宋体" w:hint="default"/>
                <w:sz w:val="18"/>
                <w:szCs w:val="18"/>
              </w:rPr>
              <w:t>报告期内担保实际发生额 合计（</w:t>
            </w:r>
            <w:r>
              <w:rPr>
                <w:rFonts w:ascii="Times New Roman" w:hAnsi="Times New Roman" w:cs="Times New Roman" w:eastAsia="Times New Roman" w:hint="default"/>
                <w:sz w:val="18"/>
                <w:szCs w:val="18"/>
              </w:rPr>
              <w:t>A2+B2+C2</w:t>
            </w:r>
            <w:r>
              <w:rPr>
                <w:rFonts w:ascii="宋体" w:hAnsi="宋体" w:cs="宋体" w:eastAsia="宋体" w:hint="default"/>
                <w:sz w:val="18"/>
                <w:szCs w:val="18"/>
              </w:rPr>
              <w:t>）</w:t>
            </w:r>
          </w:p>
        </w:tc>
        <w:tc>
          <w:tcPr>
            <w:tcW w:w="2624"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1,500</w:t>
            </w:r>
          </w:p>
        </w:tc>
      </w:tr>
      <w:tr>
        <w:trPr>
          <w:trHeight w:val="714" w:hRule="exact"/>
        </w:trPr>
        <w:tc>
          <w:tcPr>
            <w:tcW w:w="261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报告期末已审批的担保额度合计</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A3+B3+C3</w:t>
            </w:r>
            <w:r>
              <w:rPr>
                <w:rFonts w:ascii="宋体" w:hAnsi="宋体" w:cs="宋体" w:eastAsia="宋体" w:hint="default"/>
                <w:sz w:val="18"/>
                <w:szCs w:val="18"/>
              </w:rPr>
              <w:t>）</w:t>
            </w:r>
          </w:p>
        </w:tc>
        <w:tc>
          <w:tcPr>
            <w:tcW w:w="2227"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z w:val="18"/>
              </w:rPr>
              <w:t>1,500</w:t>
            </w:r>
          </w:p>
        </w:tc>
        <w:tc>
          <w:tcPr>
            <w:tcW w:w="209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80"/>
              <w:jc w:val="left"/>
              <w:rPr>
                <w:rFonts w:ascii="宋体" w:hAnsi="宋体" w:cs="宋体" w:eastAsia="宋体" w:hint="default"/>
                <w:sz w:val="18"/>
                <w:szCs w:val="18"/>
              </w:rPr>
            </w:pPr>
            <w:r>
              <w:rPr>
                <w:rFonts w:ascii="宋体" w:hAnsi="宋体" w:cs="宋体" w:eastAsia="宋体" w:hint="default"/>
                <w:sz w:val="18"/>
                <w:szCs w:val="18"/>
              </w:rPr>
              <w:t>报告期末实际担保余额合 计（</w:t>
            </w:r>
            <w:r>
              <w:rPr>
                <w:rFonts w:ascii="Times New Roman" w:hAnsi="Times New Roman" w:cs="Times New Roman" w:eastAsia="Times New Roman" w:hint="default"/>
                <w:sz w:val="18"/>
                <w:szCs w:val="18"/>
              </w:rPr>
              <w:t>A4+B4+C4</w:t>
            </w:r>
            <w:r>
              <w:rPr>
                <w:rFonts w:ascii="宋体" w:hAnsi="宋体" w:cs="宋体" w:eastAsia="宋体" w:hint="default"/>
                <w:sz w:val="18"/>
                <w:szCs w:val="18"/>
              </w:rPr>
              <w:t>）</w:t>
            </w:r>
          </w:p>
        </w:tc>
        <w:tc>
          <w:tcPr>
            <w:tcW w:w="2624"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1,200</w:t>
            </w:r>
          </w:p>
        </w:tc>
      </w:tr>
      <w:tr>
        <w:trPr>
          <w:trHeight w:val="407" w:hRule="exact"/>
        </w:trPr>
        <w:tc>
          <w:tcPr>
            <w:tcW w:w="484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实际担保总额（即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A4+B4+C4</w:t>
            </w:r>
            <w:r>
              <w:rPr>
                <w:rFonts w:ascii="宋体" w:hAnsi="宋体" w:cs="宋体" w:eastAsia="宋体" w:hint="default"/>
                <w:sz w:val="18"/>
                <w:szCs w:val="18"/>
              </w:rPr>
              <w:t>）占公司净资产的比例</w:t>
            </w:r>
          </w:p>
        </w:tc>
        <w:tc>
          <w:tcPr>
            <w:tcW w:w="4719"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1.06%</w:t>
            </w:r>
          </w:p>
        </w:tc>
      </w:tr>
      <w:tr>
        <w:trPr>
          <w:trHeight w:val="391" w:hRule="exact"/>
        </w:trPr>
        <w:tc>
          <w:tcPr>
            <w:tcW w:w="9563"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宋体" w:hAnsi="宋体" w:cs="宋体" w:eastAsia="宋体" w:hint="default"/>
                <w:sz w:val="18"/>
                <w:szCs w:val="18"/>
              </w:rPr>
              <w:t>其中：</w:t>
            </w:r>
          </w:p>
        </w:tc>
      </w:tr>
      <w:tr>
        <w:trPr>
          <w:trHeight w:val="408" w:hRule="exact"/>
        </w:trPr>
        <w:tc>
          <w:tcPr>
            <w:tcW w:w="484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7"/>
              <w:ind w:left="11" w:right="0"/>
              <w:jc w:val="left"/>
              <w:rPr>
                <w:rFonts w:ascii="宋体" w:hAnsi="宋体" w:cs="宋体" w:eastAsia="宋体" w:hint="default"/>
                <w:sz w:val="18"/>
                <w:szCs w:val="18"/>
              </w:rPr>
            </w:pPr>
            <w:r>
              <w:rPr>
                <w:rFonts w:ascii="宋体" w:hAnsi="宋体" w:cs="宋体" w:eastAsia="宋体" w:hint="default"/>
                <w:sz w:val="18"/>
                <w:szCs w:val="18"/>
              </w:rPr>
              <w:t>为股东、实际控制人及其关联方提供担保的余额（</w:t>
            </w:r>
            <w:r>
              <w:rPr>
                <w:rFonts w:ascii="Times New Roman" w:hAnsi="Times New Roman" w:cs="Times New Roman" w:eastAsia="Times New Roman" w:hint="default"/>
                <w:sz w:val="18"/>
                <w:szCs w:val="18"/>
              </w:rPr>
              <w:t>D</w:t>
            </w:r>
            <w:r>
              <w:rPr>
                <w:rFonts w:ascii="宋体" w:hAnsi="宋体" w:cs="宋体" w:eastAsia="宋体" w:hint="default"/>
                <w:sz w:val="18"/>
                <w:szCs w:val="18"/>
              </w:rPr>
              <w:t>）</w:t>
            </w:r>
          </w:p>
        </w:tc>
        <w:tc>
          <w:tcPr>
            <w:tcW w:w="4719"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97"/>
              <w:ind w:right="23"/>
              <w:jc w:val="right"/>
              <w:rPr>
                <w:rFonts w:ascii="Times New Roman" w:hAnsi="Times New Roman" w:cs="Times New Roman" w:eastAsia="Times New Roman" w:hint="default"/>
                <w:sz w:val="18"/>
                <w:szCs w:val="18"/>
              </w:rPr>
            </w:pPr>
            <w:r>
              <w:rPr>
                <w:rFonts w:ascii="Times New Roman"/>
                <w:sz w:val="18"/>
              </w:rPr>
              <w:t>0</w:t>
            </w:r>
          </w:p>
        </w:tc>
      </w:tr>
      <w:tr>
        <w:trPr>
          <w:trHeight w:val="715" w:hRule="exact"/>
        </w:trPr>
        <w:tc>
          <w:tcPr>
            <w:tcW w:w="484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126"/>
              <w:jc w:val="left"/>
              <w:rPr>
                <w:rFonts w:ascii="宋体" w:hAnsi="宋体" w:cs="宋体" w:eastAsia="宋体" w:hint="default"/>
                <w:sz w:val="18"/>
                <w:szCs w:val="18"/>
              </w:rPr>
            </w:pPr>
            <w:r>
              <w:rPr>
                <w:rFonts w:ascii="宋体" w:hAnsi="宋体" w:cs="宋体" w:eastAsia="宋体" w:hint="default"/>
                <w:sz w:val="18"/>
                <w:szCs w:val="18"/>
              </w:rPr>
              <w:t>直接或间接为资产负债率超过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70%</w:t>
            </w:r>
            <w:r>
              <w:rPr>
                <w:rFonts w:ascii="宋体" w:hAnsi="宋体" w:cs="宋体" w:eastAsia="宋体" w:hint="default"/>
                <w:sz w:val="18"/>
                <w:szCs w:val="18"/>
              </w:rPr>
              <w:t>的被担保对象提供的债务 担保余额（</w:t>
            </w:r>
            <w:r>
              <w:rPr>
                <w:rFonts w:ascii="Times New Roman" w:hAnsi="Times New Roman" w:cs="Times New Roman" w:eastAsia="Times New Roman" w:hint="default"/>
                <w:sz w:val="18"/>
                <w:szCs w:val="18"/>
              </w:rPr>
              <w:t>E</w:t>
            </w:r>
            <w:r>
              <w:rPr>
                <w:rFonts w:ascii="宋体" w:hAnsi="宋体" w:cs="宋体" w:eastAsia="宋体" w:hint="default"/>
                <w:sz w:val="18"/>
                <w:szCs w:val="18"/>
              </w:rPr>
              <w:t>）</w:t>
            </w:r>
          </w:p>
        </w:tc>
        <w:tc>
          <w:tcPr>
            <w:tcW w:w="4719"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footerReference w:type="default" r:id="rId26"/>
          <w:pgSz w:w="11910" w:h="16840"/>
          <w:pgMar w:footer="640" w:header="787" w:top="1100" w:bottom="840" w:left="0" w:right="0"/>
        </w:sectPr>
      </w:pPr>
    </w:p>
    <w:p>
      <w:pPr>
        <w:spacing w:line="240" w:lineRule="auto" w:before="5"/>
        <w:rPr>
          <w:rFonts w:ascii="宋体" w:hAnsi="宋体" w:cs="宋体" w:eastAsia="宋体" w:hint="default"/>
          <w:sz w:val="25"/>
          <w:szCs w:val="25"/>
        </w:rPr>
      </w:pPr>
    </w:p>
    <w:tbl>
      <w:tblPr>
        <w:tblW w:w="0" w:type="auto"/>
        <w:jc w:val="left"/>
        <w:tblInd w:w="1129" w:type="dxa"/>
        <w:tblLayout w:type="fixed"/>
        <w:tblCellMar>
          <w:top w:w="0" w:type="dxa"/>
          <w:left w:w="0" w:type="dxa"/>
          <w:bottom w:w="0" w:type="dxa"/>
          <w:right w:w="0" w:type="dxa"/>
        </w:tblCellMar>
        <w:tblLook w:val="01E0"/>
      </w:tblPr>
      <w:tblGrid>
        <w:gridCol w:w="4856"/>
        <w:gridCol w:w="4719"/>
      </w:tblGrid>
      <w:tr>
        <w:trPr>
          <w:trHeight w:val="402" w:hRule="exact"/>
        </w:trPr>
        <w:tc>
          <w:tcPr>
            <w:tcW w:w="48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担保总额超过净资产</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部分的金额（</w:t>
            </w:r>
            <w:r>
              <w:rPr>
                <w:rFonts w:ascii="Times New Roman" w:hAnsi="Times New Roman" w:cs="Times New Roman" w:eastAsia="Times New Roman" w:hint="default"/>
                <w:sz w:val="18"/>
                <w:szCs w:val="18"/>
              </w:rPr>
              <w:t>F</w:t>
            </w:r>
            <w:r>
              <w:rPr>
                <w:rFonts w:ascii="宋体" w:hAnsi="宋体" w:cs="宋体" w:eastAsia="宋体" w:hint="default"/>
                <w:sz w:val="18"/>
                <w:szCs w:val="18"/>
              </w:rPr>
              <w:t>）</w:t>
            </w:r>
          </w:p>
        </w:tc>
        <w:tc>
          <w:tcPr>
            <w:tcW w:w="4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8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上述三项担保金额合计（</w:t>
            </w:r>
            <w:r>
              <w:rPr>
                <w:rFonts w:ascii="Times New Roman" w:hAnsi="Times New Roman" w:cs="Times New Roman" w:eastAsia="Times New Roman" w:hint="default"/>
                <w:sz w:val="18"/>
                <w:szCs w:val="18"/>
              </w:rPr>
              <w:t>D+E+F</w:t>
            </w:r>
            <w:r>
              <w:rPr>
                <w:rFonts w:ascii="宋体" w:hAnsi="宋体" w:cs="宋体" w:eastAsia="宋体" w:hint="default"/>
                <w:sz w:val="18"/>
                <w:szCs w:val="18"/>
              </w:rPr>
              <w:t>）</w:t>
            </w:r>
          </w:p>
        </w:tc>
        <w:tc>
          <w:tcPr>
            <w:tcW w:w="4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48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3"/>
                <w:sz w:val="18"/>
                <w:szCs w:val="18"/>
              </w:rPr>
              <w:t>对未到期担保，报告期内已发生担保责任或可能承担连带清偿</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责任的情况说明（如有）</w:t>
            </w:r>
          </w:p>
        </w:tc>
        <w:tc>
          <w:tcPr>
            <w:tcW w:w="4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48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违反规定程序对外提供担保的说明（如有）</w:t>
            </w:r>
          </w:p>
        </w:tc>
        <w:tc>
          <w:tcPr>
            <w:tcW w:w="4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1"/>
        <w:rPr>
          <w:rFonts w:ascii="宋体" w:hAnsi="宋体" w:cs="宋体" w:eastAsia="宋体" w:hint="default"/>
          <w:sz w:val="25"/>
          <w:szCs w:val="25"/>
        </w:rPr>
      </w:pPr>
    </w:p>
    <w:p>
      <w:pPr>
        <w:pStyle w:val="Heading3"/>
        <w:spacing w:line="240" w:lineRule="auto" w:before="35"/>
        <w:ind w:right="0"/>
        <w:jc w:val="left"/>
        <w:rPr>
          <w:b w:val="0"/>
          <w:bCs w:val="0"/>
        </w:rPr>
      </w:pPr>
      <w:bookmarkStart w:name="（2）违规对外担保情况" w:id="91"/>
      <w:bookmarkEnd w:id="91"/>
      <w:r>
        <w:rPr>
          <w:b w:val="0"/>
          <w:bCs w:val="0"/>
        </w:rPr>
      </w:r>
      <w:r>
        <w:rPr/>
        <w:t>（</w:t>
      </w:r>
      <w:r>
        <w:rPr>
          <w:rFonts w:ascii="Times New Roman" w:hAnsi="Times New Roman" w:cs="Times New Roman" w:eastAsia="Times New Roman" w:hint="default"/>
        </w:rPr>
        <w:t>2</w:t>
      </w:r>
      <w:r>
        <w:rPr/>
        <w:t>）违规对外担保情况</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pStyle w:val="BodyText"/>
        <w:spacing w:line="489" w:lineRule="auto"/>
        <w:ind w:left="1133" w:right="76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公司报告期无违规对外担保情况。</w:t>
      </w:r>
    </w:p>
    <w:p>
      <w:pPr>
        <w:spacing w:line="240" w:lineRule="auto" w:before="5"/>
        <w:rPr>
          <w:rFonts w:ascii="宋体" w:hAnsi="宋体" w:cs="宋体" w:eastAsia="宋体" w:hint="default"/>
          <w:sz w:val="24"/>
          <w:szCs w:val="24"/>
        </w:rPr>
      </w:pPr>
    </w:p>
    <w:p>
      <w:pPr>
        <w:pStyle w:val="Heading3"/>
        <w:spacing w:line="240" w:lineRule="auto"/>
        <w:ind w:left="1133" w:right="0"/>
        <w:jc w:val="left"/>
        <w:rPr>
          <w:b w:val="0"/>
          <w:bCs w:val="0"/>
        </w:rPr>
      </w:pPr>
      <w:bookmarkStart w:name="3、委托他人进行现金资产管理情况" w:id="92"/>
      <w:bookmarkEnd w:id="92"/>
      <w:r>
        <w:rPr>
          <w:b w:val="0"/>
          <w:bCs w:val="0"/>
        </w:rPr>
      </w:r>
      <w:r>
        <w:rPr>
          <w:rFonts w:ascii="Times New Roman" w:hAnsi="Times New Roman" w:cs="Times New Roman" w:eastAsia="Times New Roman" w:hint="default"/>
        </w:rPr>
        <w:t>3</w:t>
      </w:r>
      <w:r>
        <w:rPr/>
        <w:t>、委托他人进行现金资产管理情况</w:t>
      </w:r>
      <w:r>
        <w:rPr>
          <w:b w:val="0"/>
          <w:bCs w:val="0"/>
        </w:rPr>
      </w:r>
    </w:p>
    <w:p>
      <w:pPr>
        <w:spacing w:line="240" w:lineRule="auto" w:before="0"/>
        <w:rPr>
          <w:rFonts w:ascii="宋体" w:hAnsi="宋体" w:cs="宋体" w:eastAsia="宋体" w:hint="default"/>
          <w:b/>
          <w:bCs/>
          <w:sz w:val="22"/>
          <w:szCs w:val="22"/>
        </w:rPr>
      </w:pPr>
    </w:p>
    <w:p>
      <w:pPr>
        <w:pStyle w:val="Heading3"/>
        <w:spacing w:line="240" w:lineRule="auto" w:before="189"/>
        <w:ind w:left="1133" w:right="0"/>
        <w:jc w:val="left"/>
        <w:rPr>
          <w:b w:val="0"/>
          <w:bCs w:val="0"/>
        </w:rPr>
      </w:pPr>
      <w:bookmarkStart w:name="（1）委托理财情况" w:id="93"/>
      <w:bookmarkEnd w:id="93"/>
      <w:r>
        <w:rPr>
          <w:b w:val="0"/>
          <w:bCs w:val="0"/>
        </w:rPr>
      </w:r>
      <w:r>
        <w:rPr/>
        <w:t>（</w:t>
      </w:r>
      <w:r>
        <w:rPr>
          <w:rFonts w:ascii="Times New Roman" w:hAnsi="Times New Roman" w:cs="Times New Roman" w:eastAsia="Times New Roman" w:hint="default"/>
        </w:rPr>
        <w:t>1</w:t>
      </w:r>
      <w:r>
        <w:rPr/>
        <w:t>）委托理财情况</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pStyle w:val="BodyText"/>
        <w:spacing w:line="489" w:lineRule="auto"/>
        <w:ind w:left="1133" w:right="89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报告期内委托理财概况</w:t>
      </w:r>
    </w:p>
    <w:p>
      <w:pPr>
        <w:pStyle w:val="BodyText"/>
        <w:spacing w:line="240" w:lineRule="auto" w:before="85"/>
        <w:ind w:left="0" w:right="1130"/>
        <w:jc w:val="right"/>
      </w:pPr>
      <w:r>
        <w:rPr/>
        <w:t>单位：万元</w:t>
      </w:r>
    </w:p>
    <w:p>
      <w:pPr>
        <w:spacing w:line="240" w:lineRule="auto" w:before="0"/>
        <w:rPr>
          <w:rFonts w:ascii="宋体" w:hAnsi="宋体" w:cs="宋体" w:eastAsia="宋体" w:hint="default"/>
          <w:sz w:val="14"/>
          <w:szCs w:val="14"/>
        </w:rPr>
      </w:pPr>
    </w:p>
    <w:tbl>
      <w:tblPr>
        <w:tblW w:w="0" w:type="auto"/>
        <w:jc w:val="left"/>
        <w:tblInd w:w="1129" w:type="dxa"/>
        <w:tblLayout w:type="fixed"/>
        <w:tblCellMar>
          <w:top w:w="0" w:type="dxa"/>
          <w:left w:w="0" w:type="dxa"/>
          <w:bottom w:w="0" w:type="dxa"/>
          <w:right w:w="0" w:type="dxa"/>
        </w:tblCellMar>
        <w:tblLook w:val="01E0"/>
      </w:tblPr>
      <w:tblGrid>
        <w:gridCol w:w="1869"/>
        <w:gridCol w:w="1962"/>
        <w:gridCol w:w="1981"/>
        <w:gridCol w:w="1908"/>
        <w:gridCol w:w="1848"/>
      </w:tblGrid>
      <w:tr>
        <w:trPr>
          <w:trHeight w:val="402" w:hRule="exact"/>
        </w:trPr>
        <w:tc>
          <w:tcPr>
            <w:tcW w:w="1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9" w:right="0"/>
              <w:jc w:val="left"/>
              <w:rPr>
                <w:rFonts w:ascii="宋体" w:hAnsi="宋体" w:cs="宋体" w:eastAsia="宋体" w:hint="default"/>
                <w:sz w:val="18"/>
                <w:szCs w:val="18"/>
              </w:rPr>
            </w:pPr>
            <w:r>
              <w:rPr>
                <w:rFonts w:ascii="宋体" w:hAnsi="宋体" w:cs="宋体" w:eastAsia="宋体" w:hint="default"/>
                <w:sz w:val="18"/>
                <w:szCs w:val="18"/>
              </w:rPr>
              <w:t>具体类型</w:t>
            </w:r>
          </w:p>
        </w:tc>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委托理财的资金来源</w:t>
            </w:r>
          </w:p>
        </w:tc>
        <w:tc>
          <w:tcPr>
            <w:tcW w:w="19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55" w:right="0"/>
              <w:jc w:val="left"/>
              <w:rPr>
                <w:rFonts w:ascii="宋体" w:hAnsi="宋体" w:cs="宋体" w:eastAsia="宋体" w:hint="default"/>
                <w:sz w:val="18"/>
                <w:szCs w:val="18"/>
              </w:rPr>
            </w:pPr>
            <w:r>
              <w:rPr>
                <w:rFonts w:ascii="宋体" w:hAnsi="宋体" w:cs="宋体" w:eastAsia="宋体" w:hint="default"/>
                <w:sz w:val="18"/>
                <w:szCs w:val="18"/>
              </w:rPr>
              <w:t>委托理财发生额</w:t>
            </w:r>
          </w:p>
        </w:tc>
        <w:tc>
          <w:tcPr>
            <w:tcW w:w="19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9" w:right="0"/>
              <w:jc w:val="left"/>
              <w:rPr>
                <w:rFonts w:ascii="宋体" w:hAnsi="宋体" w:cs="宋体" w:eastAsia="宋体" w:hint="default"/>
                <w:sz w:val="18"/>
                <w:szCs w:val="18"/>
              </w:rPr>
            </w:pPr>
            <w:r>
              <w:rPr>
                <w:rFonts w:ascii="宋体" w:hAnsi="宋体" w:cs="宋体" w:eastAsia="宋体" w:hint="default"/>
                <w:sz w:val="18"/>
                <w:szCs w:val="18"/>
              </w:rPr>
              <w:t>未到期余额</w:t>
            </w:r>
          </w:p>
        </w:tc>
        <w:tc>
          <w:tcPr>
            <w:tcW w:w="1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9" w:right="0"/>
              <w:jc w:val="left"/>
              <w:rPr>
                <w:rFonts w:ascii="宋体" w:hAnsi="宋体" w:cs="宋体" w:eastAsia="宋体" w:hint="default"/>
                <w:sz w:val="18"/>
                <w:szCs w:val="18"/>
              </w:rPr>
            </w:pPr>
            <w:r>
              <w:rPr>
                <w:rFonts w:ascii="宋体" w:hAnsi="宋体" w:cs="宋体" w:eastAsia="宋体" w:hint="default"/>
                <w:sz w:val="18"/>
                <w:szCs w:val="18"/>
              </w:rPr>
              <w:t>逾期未收回的金额</w:t>
            </w:r>
          </w:p>
        </w:tc>
      </w:tr>
      <w:tr>
        <w:trPr>
          <w:trHeight w:val="402" w:hRule="exact"/>
        </w:trPr>
        <w:tc>
          <w:tcPr>
            <w:tcW w:w="1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1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自有资金</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900</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1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1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自有资金</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900</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1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1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自有资金</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3,000</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1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1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募集资金</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3,500</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3,500</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8,300</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6,500</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6"/>
        <w:rPr>
          <w:rFonts w:ascii="宋体" w:hAnsi="宋体" w:cs="宋体" w:eastAsia="宋体" w:hint="default"/>
          <w:sz w:val="6"/>
          <w:szCs w:val="6"/>
        </w:rPr>
      </w:pPr>
    </w:p>
    <w:p>
      <w:pPr>
        <w:pStyle w:val="BodyText"/>
        <w:spacing w:line="240" w:lineRule="auto" w:before="44"/>
        <w:ind w:right="0"/>
        <w:jc w:val="left"/>
      </w:pPr>
      <w:r>
        <w:rPr/>
        <w:t>单项金额重大或安全性较低、流动性较差、不保本的高风险委托理财具体情况</w:t>
      </w:r>
    </w:p>
    <w:p>
      <w:pPr>
        <w:spacing w:line="240" w:lineRule="auto" w:before="12"/>
        <w:rPr>
          <w:rFonts w:ascii="宋体" w:hAnsi="宋体" w:cs="宋体" w:eastAsia="宋体" w:hint="default"/>
          <w:sz w:val="20"/>
          <w:szCs w:val="20"/>
        </w:rPr>
      </w:pPr>
    </w:p>
    <w:p>
      <w:pPr>
        <w:pStyle w:val="BodyText"/>
        <w:spacing w:line="240" w:lineRule="auto"/>
        <w:ind w:left="113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5"/>
        <w:rPr>
          <w:rFonts w:ascii="宋体" w:hAnsi="宋体" w:cs="宋体" w:eastAsia="宋体" w:hint="default"/>
          <w:sz w:val="16"/>
          <w:szCs w:val="16"/>
        </w:rPr>
      </w:pPr>
    </w:p>
    <w:p>
      <w:pPr>
        <w:pStyle w:val="BodyText"/>
        <w:spacing w:line="240" w:lineRule="auto" w:before="44"/>
        <w:ind w:left="0" w:right="1130"/>
        <w:jc w:val="right"/>
      </w:pPr>
      <w:r>
        <w:rPr/>
        <w:t>单位：万元</w:t>
      </w:r>
    </w:p>
    <w:p>
      <w:pPr>
        <w:spacing w:line="240" w:lineRule="auto" w:before="13"/>
        <w:rPr>
          <w:rFonts w:ascii="宋体" w:hAnsi="宋体" w:cs="宋体" w:eastAsia="宋体" w:hint="default"/>
          <w:sz w:val="13"/>
          <w:szCs w:val="13"/>
        </w:rPr>
      </w:pPr>
    </w:p>
    <w:tbl>
      <w:tblPr>
        <w:tblW w:w="0" w:type="auto"/>
        <w:jc w:val="left"/>
        <w:tblInd w:w="1129" w:type="dxa"/>
        <w:tblLayout w:type="fixed"/>
        <w:tblCellMar>
          <w:top w:w="0" w:type="dxa"/>
          <w:left w:w="0" w:type="dxa"/>
          <w:bottom w:w="0" w:type="dxa"/>
          <w:right w:w="0" w:type="dxa"/>
        </w:tblCellMar>
        <w:tblLook w:val="01E0"/>
      </w:tblPr>
      <w:tblGrid>
        <w:gridCol w:w="572"/>
        <w:gridCol w:w="590"/>
        <w:gridCol w:w="606"/>
        <w:gridCol w:w="575"/>
        <w:gridCol w:w="560"/>
        <w:gridCol w:w="562"/>
        <w:gridCol w:w="561"/>
        <w:gridCol w:w="562"/>
        <w:gridCol w:w="560"/>
        <w:gridCol w:w="562"/>
        <w:gridCol w:w="560"/>
        <w:gridCol w:w="562"/>
        <w:gridCol w:w="561"/>
        <w:gridCol w:w="550"/>
        <w:gridCol w:w="547"/>
        <w:gridCol w:w="546"/>
        <w:gridCol w:w="527"/>
      </w:tblGrid>
      <w:tr>
        <w:trPr>
          <w:trHeight w:val="2274" w:hRule="exact"/>
        </w:trPr>
        <w:tc>
          <w:tcPr>
            <w:tcW w:w="5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99" w:right="100"/>
              <w:jc w:val="both"/>
              <w:rPr>
                <w:rFonts w:ascii="宋体" w:hAnsi="宋体" w:cs="宋体" w:eastAsia="宋体" w:hint="default"/>
                <w:sz w:val="18"/>
                <w:szCs w:val="18"/>
              </w:rPr>
            </w:pPr>
            <w:r>
              <w:rPr>
                <w:rFonts w:ascii="宋体" w:hAnsi="宋体" w:cs="宋体" w:eastAsia="宋体" w:hint="default"/>
                <w:sz w:val="18"/>
                <w:szCs w:val="18"/>
              </w:rPr>
              <w:t>受托 机构 名称</w:t>
            </w:r>
          </w:p>
          <w:p>
            <w:pPr>
              <w:pStyle w:val="TableParagraph"/>
              <w:spacing w:line="319" w:lineRule="auto" w:before="19"/>
              <w:ind w:left="99" w:right="100"/>
              <w:jc w:val="both"/>
              <w:rPr>
                <w:rFonts w:ascii="宋体" w:hAnsi="宋体" w:cs="宋体" w:eastAsia="宋体" w:hint="default"/>
                <w:sz w:val="18"/>
                <w:szCs w:val="18"/>
              </w:rPr>
            </w:pPr>
            <w:r>
              <w:rPr>
                <w:rFonts w:ascii="宋体" w:hAnsi="宋体" w:cs="宋体" w:eastAsia="宋体" w:hint="default"/>
                <w:sz w:val="18"/>
                <w:szCs w:val="18"/>
              </w:rPr>
              <w:t>（或 受托 人姓 名）</w:t>
            </w:r>
          </w:p>
        </w:tc>
        <w:tc>
          <w:tcPr>
            <w:tcW w:w="5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109" w:right="109"/>
              <w:jc w:val="center"/>
              <w:rPr>
                <w:rFonts w:ascii="宋体" w:hAnsi="宋体" w:cs="宋体" w:eastAsia="宋体" w:hint="default"/>
                <w:sz w:val="18"/>
                <w:szCs w:val="18"/>
              </w:rPr>
            </w:pPr>
            <w:r>
              <w:rPr>
                <w:rFonts w:ascii="宋体" w:hAnsi="宋体" w:cs="宋体" w:eastAsia="宋体" w:hint="default"/>
                <w:sz w:val="18"/>
                <w:szCs w:val="18"/>
              </w:rPr>
              <w:t>受托 机构</w:t>
            </w:r>
          </w:p>
          <w:p>
            <w:pPr>
              <w:pStyle w:val="TableParagraph"/>
              <w:spacing w:line="319" w:lineRule="auto" w:before="19"/>
              <w:ind w:left="22" w:right="21" w:hanging="2"/>
              <w:jc w:val="center"/>
              <w:rPr>
                <w:rFonts w:ascii="宋体" w:hAnsi="宋体" w:cs="宋体" w:eastAsia="宋体" w:hint="default"/>
                <w:sz w:val="18"/>
                <w:szCs w:val="18"/>
              </w:rPr>
            </w:pPr>
            <w:r>
              <w:rPr>
                <w:rFonts w:ascii="宋体" w:hAnsi="宋体" w:cs="宋体" w:eastAsia="宋体" w:hint="default"/>
                <w:sz w:val="18"/>
                <w:szCs w:val="18"/>
              </w:rPr>
              <w:t>（或 受托 </w:t>
            </w:r>
            <w:r>
              <w:rPr>
                <w:rFonts w:ascii="宋体" w:hAnsi="宋体" w:cs="宋体" w:eastAsia="宋体" w:hint="default"/>
                <w:spacing w:val="-2"/>
                <w:sz w:val="18"/>
                <w:szCs w:val="18"/>
              </w:rPr>
              <w:t>人）类</w:t>
            </w:r>
            <w:r>
              <w:rPr>
                <w:rFonts w:ascii="宋体" w:hAnsi="宋体" w:cs="宋体" w:eastAsia="宋体" w:hint="default"/>
                <w:sz w:val="18"/>
                <w:szCs w:val="18"/>
              </w:rPr>
              <w:t> 型</w:t>
            </w:r>
          </w:p>
        </w:tc>
        <w:tc>
          <w:tcPr>
            <w:tcW w:w="6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5"/>
              <w:ind w:left="207" w:right="26" w:hanging="180"/>
              <w:jc w:val="left"/>
              <w:rPr>
                <w:rFonts w:ascii="宋体" w:hAnsi="宋体" w:cs="宋体" w:eastAsia="宋体" w:hint="default"/>
                <w:sz w:val="18"/>
                <w:szCs w:val="18"/>
              </w:rPr>
            </w:pPr>
            <w:r>
              <w:rPr>
                <w:rFonts w:ascii="宋体" w:hAnsi="宋体" w:cs="宋体" w:eastAsia="宋体" w:hint="default"/>
                <w:sz w:val="18"/>
                <w:szCs w:val="18"/>
              </w:rPr>
              <w:t>产品类 型</w:t>
            </w:r>
          </w:p>
        </w:tc>
        <w:tc>
          <w:tcPr>
            <w:tcW w:w="5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5"/>
              <w:ind w:left="94" w:right="95"/>
              <w:jc w:val="left"/>
              <w:rPr>
                <w:rFonts w:ascii="宋体" w:hAnsi="宋体" w:cs="宋体" w:eastAsia="宋体" w:hint="default"/>
                <w:sz w:val="18"/>
                <w:szCs w:val="18"/>
              </w:rPr>
            </w:pPr>
            <w:r>
              <w:rPr>
                <w:rFonts w:ascii="宋体" w:hAnsi="宋体" w:cs="宋体" w:eastAsia="宋体" w:hint="default"/>
                <w:sz w:val="18"/>
                <w:szCs w:val="18"/>
              </w:rPr>
              <w:t>资金 来源</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5"/>
              <w:ind w:left="94" w:right="95"/>
              <w:jc w:val="left"/>
              <w:rPr>
                <w:rFonts w:ascii="宋体" w:hAnsi="宋体" w:cs="宋体" w:eastAsia="宋体" w:hint="default"/>
                <w:sz w:val="18"/>
                <w:szCs w:val="18"/>
              </w:rPr>
            </w:pPr>
            <w:r>
              <w:rPr>
                <w:rFonts w:ascii="宋体" w:hAnsi="宋体" w:cs="宋体" w:eastAsia="宋体" w:hint="default"/>
                <w:sz w:val="18"/>
                <w:szCs w:val="18"/>
              </w:rPr>
              <w:t>起始 日期</w:t>
            </w:r>
          </w:p>
        </w:tc>
        <w:tc>
          <w:tcPr>
            <w:tcW w:w="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5"/>
              <w:ind w:left="94" w:right="94"/>
              <w:jc w:val="left"/>
              <w:rPr>
                <w:rFonts w:ascii="宋体" w:hAnsi="宋体" w:cs="宋体" w:eastAsia="宋体" w:hint="default"/>
                <w:sz w:val="18"/>
                <w:szCs w:val="18"/>
              </w:rPr>
            </w:pPr>
            <w:r>
              <w:rPr>
                <w:rFonts w:ascii="宋体" w:hAnsi="宋体" w:cs="宋体" w:eastAsia="宋体" w:hint="default"/>
                <w:sz w:val="18"/>
                <w:szCs w:val="18"/>
              </w:rPr>
              <w:t>终止 日期</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5"/>
              <w:ind w:left="94" w:right="95"/>
              <w:jc w:val="left"/>
              <w:rPr>
                <w:rFonts w:ascii="宋体" w:hAnsi="宋体" w:cs="宋体" w:eastAsia="宋体" w:hint="default"/>
                <w:sz w:val="18"/>
                <w:szCs w:val="18"/>
              </w:rPr>
            </w:pPr>
            <w:r>
              <w:rPr>
                <w:rFonts w:ascii="宋体" w:hAnsi="宋体" w:cs="宋体" w:eastAsia="宋体" w:hint="default"/>
                <w:sz w:val="18"/>
                <w:szCs w:val="18"/>
              </w:rPr>
              <w:t>资金 投向</w:t>
            </w:r>
          </w:p>
        </w:tc>
        <w:tc>
          <w:tcPr>
            <w:tcW w:w="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94" w:right="95"/>
              <w:jc w:val="both"/>
              <w:rPr>
                <w:rFonts w:ascii="宋体" w:hAnsi="宋体" w:cs="宋体" w:eastAsia="宋体" w:hint="default"/>
                <w:sz w:val="18"/>
                <w:szCs w:val="18"/>
              </w:rPr>
            </w:pPr>
            <w:r>
              <w:rPr>
                <w:rFonts w:ascii="宋体" w:hAnsi="宋体" w:cs="宋体" w:eastAsia="宋体" w:hint="default"/>
                <w:sz w:val="18"/>
                <w:szCs w:val="18"/>
              </w:rPr>
              <w:t>报酬 确定 方式</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9" w:lineRule="auto"/>
              <w:ind w:left="94" w:right="95"/>
              <w:jc w:val="both"/>
              <w:rPr>
                <w:rFonts w:ascii="宋体" w:hAnsi="宋体" w:cs="宋体" w:eastAsia="宋体" w:hint="default"/>
                <w:sz w:val="18"/>
                <w:szCs w:val="18"/>
              </w:rPr>
            </w:pPr>
            <w:r>
              <w:rPr>
                <w:rFonts w:ascii="宋体" w:hAnsi="宋体" w:cs="宋体" w:eastAsia="宋体" w:hint="default"/>
                <w:sz w:val="18"/>
                <w:szCs w:val="18"/>
              </w:rPr>
              <w:t>参考 年化 收益 率</w:t>
            </w:r>
          </w:p>
        </w:tc>
        <w:tc>
          <w:tcPr>
            <w:tcW w:w="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94" w:right="95"/>
              <w:jc w:val="left"/>
              <w:rPr>
                <w:rFonts w:ascii="宋体" w:hAnsi="宋体" w:cs="宋体" w:eastAsia="宋体" w:hint="default"/>
                <w:sz w:val="18"/>
                <w:szCs w:val="18"/>
              </w:rPr>
            </w:pPr>
            <w:r>
              <w:rPr>
                <w:rFonts w:ascii="宋体" w:hAnsi="宋体" w:cs="宋体" w:eastAsia="宋体" w:hint="default"/>
                <w:sz w:val="18"/>
                <w:szCs w:val="18"/>
              </w:rPr>
              <w:t>预期 收益</w:t>
            </w:r>
          </w:p>
          <w:p>
            <w:pPr>
              <w:pStyle w:val="TableParagraph"/>
              <w:spacing w:line="319" w:lineRule="auto" w:before="19"/>
              <w:ind w:left="184" w:right="95" w:hanging="90"/>
              <w:jc w:val="left"/>
              <w:rPr>
                <w:rFonts w:ascii="宋体" w:hAnsi="宋体" w:cs="宋体" w:eastAsia="宋体" w:hint="default"/>
                <w:sz w:val="18"/>
                <w:szCs w:val="18"/>
              </w:rPr>
            </w:pPr>
            <w:r>
              <w:rPr>
                <w:rFonts w:ascii="宋体" w:hAnsi="宋体" w:cs="宋体" w:eastAsia="宋体" w:hint="default"/>
                <w:sz w:val="18"/>
                <w:szCs w:val="18"/>
              </w:rPr>
              <w:t>（如 有</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94" w:right="95"/>
              <w:jc w:val="both"/>
              <w:rPr>
                <w:rFonts w:ascii="宋体" w:hAnsi="宋体" w:cs="宋体" w:eastAsia="宋体" w:hint="default"/>
                <w:sz w:val="18"/>
                <w:szCs w:val="18"/>
              </w:rPr>
            </w:pPr>
            <w:r>
              <w:rPr>
                <w:rFonts w:ascii="宋体" w:hAnsi="宋体" w:cs="宋体" w:eastAsia="宋体" w:hint="default"/>
                <w:sz w:val="18"/>
                <w:szCs w:val="18"/>
              </w:rPr>
              <w:t>报告 期实 际损 益金 额</w:t>
            </w:r>
          </w:p>
        </w:tc>
        <w:tc>
          <w:tcPr>
            <w:tcW w:w="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94" w:right="94"/>
              <w:jc w:val="both"/>
              <w:rPr>
                <w:rFonts w:ascii="宋体" w:hAnsi="宋体" w:cs="宋体" w:eastAsia="宋体" w:hint="default"/>
                <w:sz w:val="18"/>
                <w:szCs w:val="18"/>
              </w:rPr>
            </w:pPr>
            <w:r>
              <w:rPr>
                <w:rFonts w:ascii="宋体" w:hAnsi="宋体" w:cs="宋体" w:eastAsia="宋体" w:hint="default"/>
                <w:sz w:val="18"/>
                <w:szCs w:val="18"/>
              </w:rPr>
              <w:t>报告 期损 益实 际收 回情 况</w:t>
            </w:r>
          </w:p>
        </w:tc>
        <w:tc>
          <w:tcPr>
            <w:tcW w:w="5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88" w:right="89"/>
              <w:jc w:val="both"/>
              <w:rPr>
                <w:rFonts w:ascii="宋体" w:hAnsi="宋体" w:cs="宋体" w:eastAsia="宋体" w:hint="default"/>
                <w:sz w:val="18"/>
                <w:szCs w:val="18"/>
              </w:rPr>
            </w:pPr>
            <w:r>
              <w:rPr>
                <w:rFonts w:ascii="宋体" w:hAnsi="宋体" w:cs="宋体" w:eastAsia="宋体" w:hint="default"/>
                <w:sz w:val="18"/>
                <w:szCs w:val="18"/>
              </w:rPr>
              <w:t>计提 减值 准备 金额</w:t>
            </w:r>
          </w:p>
          <w:p>
            <w:pPr>
              <w:pStyle w:val="TableParagraph"/>
              <w:spacing w:line="319" w:lineRule="auto" w:before="19"/>
              <w:ind w:left="88" w:right="89"/>
              <w:jc w:val="both"/>
              <w:rPr>
                <w:rFonts w:ascii="宋体" w:hAnsi="宋体" w:cs="宋体" w:eastAsia="宋体" w:hint="default"/>
                <w:sz w:val="18"/>
                <w:szCs w:val="18"/>
              </w:rPr>
            </w:pPr>
            <w:r>
              <w:rPr>
                <w:rFonts w:ascii="宋体" w:hAnsi="宋体" w:cs="宋体" w:eastAsia="宋体" w:hint="default"/>
                <w:sz w:val="18"/>
                <w:szCs w:val="18"/>
              </w:rPr>
              <w:t>（如 有）</w:t>
            </w:r>
          </w:p>
        </w:tc>
        <w:tc>
          <w:tcPr>
            <w:tcW w:w="5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9" w:lineRule="auto"/>
              <w:ind w:left="87" w:right="89"/>
              <w:jc w:val="both"/>
              <w:rPr>
                <w:rFonts w:ascii="宋体" w:hAnsi="宋体" w:cs="宋体" w:eastAsia="宋体" w:hint="default"/>
                <w:sz w:val="18"/>
                <w:szCs w:val="18"/>
              </w:rPr>
            </w:pPr>
            <w:r>
              <w:rPr>
                <w:rFonts w:ascii="宋体" w:hAnsi="宋体" w:cs="宋体" w:eastAsia="宋体" w:hint="default"/>
                <w:sz w:val="18"/>
                <w:szCs w:val="18"/>
              </w:rPr>
              <w:t>是否 经过 法定 程序</w:t>
            </w:r>
          </w:p>
        </w:tc>
        <w:tc>
          <w:tcPr>
            <w:tcW w:w="5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87" w:right="86"/>
              <w:jc w:val="both"/>
              <w:rPr>
                <w:rFonts w:ascii="宋体" w:hAnsi="宋体" w:cs="宋体" w:eastAsia="宋体" w:hint="default"/>
                <w:sz w:val="18"/>
                <w:szCs w:val="18"/>
              </w:rPr>
            </w:pPr>
            <w:r>
              <w:rPr>
                <w:rFonts w:ascii="宋体" w:hAnsi="宋体" w:cs="宋体" w:eastAsia="宋体" w:hint="default"/>
                <w:sz w:val="18"/>
                <w:szCs w:val="18"/>
              </w:rPr>
              <w:t>未来 是否 还有 委托 理财 计划</w:t>
            </w:r>
          </w:p>
        </w:tc>
        <w:tc>
          <w:tcPr>
            <w:tcW w:w="5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4" w:right="8"/>
              <w:jc w:val="center"/>
              <w:rPr>
                <w:rFonts w:ascii="宋体" w:hAnsi="宋体" w:cs="宋体" w:eastAsia="宋体" w:hint="default"/>
                <w:sz w:val="18"/>
                <w:szCs w:val="18"/>
              </w:rPr>
            </w:pPr>
            <w:r>
              <w:rPr>
                <w:rFonts w:ascii="宋体" w:hAnsi="宋体" w:cs="宋体" w:eastAsia="宋体" w:hint="default"/>
                <w:sz w:val="18"/>
                <w:szCs w:val="18"/>
              </w:rPr>
              <w:t>事项 概述 及相 关查 询索 </w:t>
            </w:r>
            <w:r>
              <w:rPr>
                <w:rFonts w:ascii="宋体" w:hAnsi="宋体" w:cs="宋体" w:eastAsia="宋体" w:hint="default"/>
                <w:spacing w:val="-20"/>
                <w:sz w:val="18"/>
                <w:szCs w:val="18"/>
              </w:rPr>
              <w:t>引（如</w:t>
            </w:r>
            <w:r>
              <w:rPr>
                <w:rFonts w:ascii="宋体" w:hAnsi="宋体" w:cs="宋体" w:eastAsia="宋体" w:hint="default"/>
                <w:sz w:val="18"/>
                <w:szCs w:val="18"/>
              </w:rPr>
              <w:t> 有）</w:t>
            </w:r>
          </w:p>
        </w:tc>
      </w:tr>
    </w:tbl>
    <w:p>
      <w:pPr>
        <w:spacing w:after="0" w:line="316" w:lineRule="auto"/>
        <w:jc w:val="center"/>
        <w:rPr>
          <w:rFonts w:ascii="宋体" w:hAnsi="宋体" w:cs="宋体" w:eastAsia="宋体" w:hint="default"/>
          <w:sz w:val="18"/>
          <w:szCs w:val="18"/>
        </w:rPr>
        <w:sectPr>
          <w:pgSz w:w="11910" w:h="16840"/>
          <w:pgMar w:header="787" w:footer="640" w:top="1100" w:bottom="840" w:left="0" w:right="0"/>
        </w:sectPr>
      </w:pPr>
    </w:p>
    <w:p>
      <w:pPr>
        <w:spacing w:line="240" w:lineRule="auto" w:before="4"/>
        <w:rPr>
          <w:rFonts w:ascii="Times New Roman" w:hAnsi="Times New Roman" w:cs="Times New Roman" w:eastAsia="Times New Roman" w:hint="default"/>
          <w:sz w:val="3"/>
          <w:szCs w:val="3"/>
        </w:rPr>
      </w:pPr>
    </w:p>
    <w:p>
      <w:pPr>
        <w:spacing w:line="20" w:lineRule="exact"/>
        <w:ind w:left="1096"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10"/>
        <w:rPr>
          <w:rFonts w:ascii="Times New Roman" w:hAnsi="Times New Roman" w:cs="Times New Roman" w:eastAsia="Times New Roman" w:hint="default"/>
          <w:sz w:val="23"/>
          <w:szCs w:val="23"/>
        </w:rPr>
      </w:pPr>
    </w:p>
    <w:tbl>
      <w:tblPr>
        <w:tblW w:w="0" w:type="auto"/>
        <w:jc w:val="left"/>
        <w:tblInd w:w="1129" w:type="dxa"/>
        <w:tblLayout w:type="fixed"/>
        <w:tblCellMar>
          <w:top w:w="0" w:type="dxa"/>
          <w:left w:w="0" w:type="dxa"/>
          <w:bottom w:w="0" w:type="dxa"/>
          <w:right w:w="0" w:type="dxa"/>
        </w:tblCellMar>
        <w:tblLook w:val="01E0"/>
      </w:tblPr>
      <w:tblGrid>
        <w:gridCol w:w="572"/>
        <w:gridCol w:w="590"/>
        <w:gridCol w:w="606"/>
        <w:gridCol w:w="575"/>
        <w:gridCol w:w="560"/>
        <w:gridCol w:w="562"/>
        <w:gridCol w:w="561"/>
        <w:gridCol w:w="562"/>
        <w:gridCol w:w="560"/>
        <w:gridCol w:w="562"/>
        <w:gridCol w:w="560"/>
        <w:gridCol w:w="562"/>
        <w:gridCol w:w="561"/>
        <w:gridCol w:w="550"/>
        <w:gridCol w:w="547"/>
        <w:gridCol w:w="546"/>
        <w:gridCol w:w="539"/>
      </w:tblGrid>
      <w:tr>
        <w:trPr>
          <w:trHeight w:val="3210"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9" w:lineRule="auto"/>
              <w:ind w:left="22" w:right="177"/>
              <w:jc w:val="both"/>
              <w:rPr>
                <w:rFonts w:ascii="宋体" w:hAnsi="宋体" w:cs="宋体" w:eastAsia="宋体" w:hint="default"/>
                <w:sz w:val="18"/>
                <w:szCs w:val="18"/>
              </w:rPr>
            </w:pPr>
            <w:r>
              <w:rPr>
                <w:rFonts w:ascii="宋体" w:hAnsi="宋体" w:cs="宋体" w:eastAsia="宋体" w:hint="default"/>
                <w:sz w:val="18"/>
                <w:szCs w:val="18"/>
              </w:rPr>
              <w:t>兴业 银行 深圳 中心 区支 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9" w:lineRule="auto"/>
              <w:ind w:left="22" w:right="31"/>
              <w:jc w:val="both"/>
              <w:rPr>
                <w:rFonts w:ascii="宋体" w:hAnsi="宋体" w:cs="宋体" w:eastAsia="宋体" w:hint="default"/>
                <w:sz w:val="18"/>
                <w:szCs w:val="18"/>
              </w:rPr>
            </w:pPr>
            <w:r>
              <w:rPr>
                <w:rFonts w:ascii="宋体" w:hAnsi="宋体" w:cs="宋体" w:eastAsia="宋体" w:hint="default"/>
                <w:sz w:val="18"/>
                <w:szCs w:val="18"/>
              </w:rPr>
              <w:t>单客户 周期净 值型产 品，保 本收益 型</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319" w:lineRule="auto"/>
              <w:ind w:left="22" w:right="167"/>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
              <w:jc w:val="left"/>
              <w:rPr>
                <w:rFonts w:ascii="宋体" w:hAnsi="宋体" w:cs="宋体" w:eastAsia="宋体" w:hint="default"/>
                <w:sz w:val="18"/>
                <w:szCs w:val="18"/>
              </w:rPr>
            </w:pPr>
            <w:r>
              <w:rPr>
                <w:rFonts w:ascii="宋体" w:hAnsi="宋体" w:cs="宋体" w:eastAsia="宋体" w:hint="default"/>
                <w:sz w:val="18"/>
                <w:szCs w:val="18"/>
              </w:rPr>
              <w:t>国债， 政策 金融 </w:t>
            </w:r>
            <w:r>
              <w:rPr>
                <w:rFonts w:ascii="宋体" w:hAnsi="宋体" w:cs="宋体" w:eastAsia="宋体" w:hint="default"/>
                <w:spacing w:val="-12"/>
                <w:sz w:val="18"/>
                <w:szCs w:val="18"/>
              </w:rPr>
              <w:t>债，央</w:t>
            </w:r>
            <w:r>
              <w:rPr>
                <w:rFonts w:ascii="宋体" w:hAnsi="宋体" w:cs="宋体" w:eastAsia="宋体" w:hint="default"/>
                <w:sz w:val="18"/>
                <w:szCs w:val="18"/>
              </w:rPr>
              <w:t> 行票 据等 金融 资产 及组</w:t>
            </w:r>
          </w:p>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合</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31"/>
              <w:jc w:val="left"/>
              <w:rPr>
                <w:rFonts w:ascii="宋体" w:hAnsi="宋体" w:cs="宋体" w:eastAsia="宋体" w:hint="default"/>
                <w:sz w:val="18"/>
                <w:szCs w:val="18"/>
              </w:rPr>
            </w:pPr>
            <w:r>
              <w:rPr>
                <w:rFonts w:ascii="宋体" w:hAnsi="宋体" w:cs="宋体" w:eastAsia="宋体" w:hint="default"/>
                <w:sz w:val="18"/>
                <w:szCs w:val="18"/>
              </w:rPr>
              <w:t>到期 日后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个工 作日 收取 全部 本金 及理 财收 益</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63" w:right="0"/>
              <w:jc w:val="left"/>
              <w:rPr>
                <w:rFonts w:ascii="Times New Roman" w:hAnsi="Times New Roman" w:cs="Times New Roman" w:eastAsia="Times New Roman" w:hint="default"/>
                <w:sz w:val="18"/>
                <w:szCs w:val="18"/>
              </w:rPr>
            </w:pPr>
            <w:r>
              <w:rPr>
                <w:rFonts w:ascii="Times New Roman"/>
                <w:sz w:val="18"/>
              </w:rPr>
              <w:t>4.50%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192" w:right="0"/>
              <w:jc w:val="center"/>
              <w:rPr>
                <w:rFonts w:ascii="Times New Roman" w:hAnsi="Times New Roman" w:cs="Times New Roman" w:eastAsia="Times New Roman" w:hint="default"/>
                <w:sz w:val="18"/>
                <w:szCs w:val="18"/>
              </w:rPr>
            </w:pPr>
            <w:r>
              <w:rPr>
                <w:rFonts w:ascii="Times New Roman"/>
                <w:sz w:val="18"/>
              </w:rPr>
              <w:t>3.29</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190" w:right="0"/>
              <w:jc w:val="center"/>
              <w:rPr>
                <w:rFonts w:ascii="Times New Roman" w:hAnsi="Times New Roman" w:cs="Times New Roman" w:eastAsia="Times New Roman" w:hint="default"/>
                <w:sz w:val="18"/>
                <w:szCs w:val="18"/>
              </w:rPr>
            </w:pPr>
            <w:r>
              <w:rPr>
                <w:rFonts w:ascii="Times New Roman"/>
                <w:sz w:val="18"/>
              </w:rPr>
              <w:t>3.29</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3.29</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38" w:lineRule="auto"/>
              <w:ind w:left="23" w:right="-35"/>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 资讯： </w:t>
            </w:r>
            <w:hyperlink r:id="rId28">
              <w:r>
                <w:rPr>
                  <w:rFonts w:ascii="Times New Roman" w:hAnsi="Times New Roman" w:cs="Times New Roman" w:eastAsia="Times New Roman" w:hint="default"/>
                  <w:spacing w:val="-4"/>
                  <w:sz w:val="18"/>
                  <w:szCs w:val="18"/>
                </w:rPr>
                <w:t>www.</w:t>
              </w:r>
            </w:hyperlink>
          </w:p>
          <w:p>
            <w:pPr>
              <w:pStyle w:val="TableParagraph"/>
              <w:spacing w:line="240" w:lineRule="auto" w:before="23"/>
              <w:ind w:left="23" w:right="0"/>
              <w:jc w:val="left"/>
              <w:rPr>
                <w:rFonts w:ascii="Times New Roman" w:hAnsi="Times New Roman" w:cs="Times New Roman" w:eastAsia="Times New Roman" w:hint="default"/>
                <w:sz w:val="18"/>
                <w:szCs w:val="18"/>
              </w:rPr>
            </w:pPr>
            <w:r>
              <w:rPr>
                <w:rFonts w:ascii="Times New Roman"/>
                <w:sz w:val="18"/>
              </w:rPr>
              <w:t>cninfo</w:t>
            </w:r>
          </w:p>
          <w:p>
            <w:pPr>
              <w:pStyle w:val="TableParagraph"/>
              <w:spacing w:line="362" w:lineRule="auto" w:before="105"/>
              <w:ind w:left="23" w:right="22"/>
              <w:jc w:val="left"/>
              <w:rPr>
                <w:rFonts w:ascii="Times New Roman" w:hAnsi="Times New Roman" w:cs="Times New Roman" w:eastAsia="Times New Roman" w:hint="default"/>
                <w:sz w:val="18"/>
                <w:szCs w:val="18"/>
              </w:rPr>
            </w:pPr>
            <w:r>
              <w:rPr>
                <w:rFonts w:ascii="Times New Roman"/>
                <w:sz w:val="18"/>
              </w:rPr>
              <w:t>.com.c n</w:t>
            </w:r>
          </w:p>
        </w:tc>
      </w:tr>
      <w:tr>
        <w:trPr>
          <w:trHeight w:val="3210"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9" w:lineRule="auto"/>
              <w:ind w:left="22" w:right="177"/>
              <w:jc w:val="both"/>
              <w:rPr>
                <w:rFonts w:ascii="宋体" w:hAnsi="宋体" w:cs="宋体" w:eastAsia="宋体" w:hint="default"/>
                <w:sz w:val="18"/>
                <w:szCs w:val="18"/>
              </w:rPr>
            </w:pPr>
            <w:r>
              <w:rPr>
                <w:rFonts w:ascii="宋体" w:hAnsi="宋体" w:cs="宋体" w:eastAsia="宋体" w:hint="default"/>
                <w:sz w:val="18"/>
                <w:szCs w:val="18"/>
              </w:rPr>
              <w:t>兴业 银行 深圳 中心 区支 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9" w:lineRule="auto"/>
              <w:ind w:left="22" w:right="31"/>
              <w:jc w:val="both"/>
              <w:rPr>
                <w:rFonts w:ascii="宋体" w:hAnsi="宋体" w:cs="宋体" w:eastAsia="宋体" w:hint="default"/>
                <w:sz w:val="18"/>
                <w:szCs w:val="18"/>
              </w:rPr>
            </w:pPr>
            <w:r>
              <w:rPr>
                <w:rFonts w:ascii="宋体" w:hAnsi="宋体" w:cs="宋体" w:eastAsia="宋体" w:hint="default"/>
                <w:sz w:val="18"/>
                <w:szCs w:val="18"/>
              </w:rPr>
              <w:t>非客户 周期产 品，非 保本收 益型</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319" w:lineRule="auto"/>
              <w:ind w:left="22" w:right="167"/>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
              <w:jc w:val="left"/>
              <w:rPr>
                <w:rFonts w:ascii="宋体" w:hAnsi="宋体" w:cs="宋体" w:eastAsia="宋体" w:hint="default"/>
                <w:sz w:val="18"/>
                <w:szCs w:val="18"/>
              </w:rPr>
            </w:pPr>
            <w:r>
              <w:rPr>
                <w:rFonts w:ascii="宋体" w:hAnsi="宋体" w:cs="宋体" w:eastAsia="宋体" w:hint="default"/>
                <w:sz w:val="18"/>
                <w:szCs w:val="18"/>
              </w:rPr>
              <w:t>国债， 政策 金融 </w:t>
            </w:r>
            <w:r>
              <w:rPr>
                <w:rFonts w:ascii="宋体" w:hAnsi="宋体" w:cs="宋体" w:eastAsia="宋体" w:hint="default"/>
                <w:spacing w:val="-12"/>
                <w:sz w:val="18"/>
                <w:szCs w:val="18"/>
              </w:rPr>
              <w:t>债，央</w:t>
            </w:r>
            <w:r>
              <w:rPr>
                <w:rFonts w:ascii="宋体" w:hAnsi="宋体" w:cs="宋体" w:eastAsia="宋体" w:hint="default"/>
                <w:sz w:val="18"/>
                <w:szCs w:val="18"/>
              </w:rPr>
              <w:t> 行票 据等 金融 资产 及组</w:t>
            </w:r>
          </w:p>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合</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20"/>
              <w:jc w:val="left"/>
              <w:rPr>
                <w:rFonts w:ascii="宋体" w:hAnsi="宋体" w:cs="宋体" w:eastAsia="宋体" w:hint="default"/>
                <w:sz w:val="18"/>
                <w:szCs w:val="18"/>
              </w:rPr>
            </w:pPr>
            <w:r>
              <w:rPr>
                <w:rFonts w:ascii="宋体" w:hAnsi="宋体" w:cs="宋体" w:eastAsia="宋体" w:hint="default"/>
                <w:sz w:val="18"/>
                <w:szCs w:val="18"/>
              </w:rPr>
              <w:t>赎回 后</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个 工作 日收 取全 部本 金及 理财 收益</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240" w:lineRule="auto"/>
              <w:ind w:left="63" w:right="0"/>
              <w:jc w:val="left"/>
              <w:rPr>
                <w:rFonts w:ascii="Times New Roman" w:hAnsi="Times New Roman" w:cs="Times New Roman" w:eastAsia="Times New Roman" w:hint="default"/>
                <w:sz w:val="18"/>
                <w:szCs w:val="18"/>
              </w:rPr>
            </w:pPr>
            <w:r>
              <w:rPr>
                <w:rFonts w:ascii="Times New Roman"/>
                <w:sz w:val="18"/>
              </w:rPr>
              <w:t>4.50%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240" w:lineRule="auto"/>
              <w:ind w:left="191" w:right="0"/>
              <w:jc w:val="center"/>
              <w:rPr>
                <w:rFonts w:ascii="Times New Roman" w:hAnsi="Times New Roman" w:cs="Times New Roman" w:eastAsia="Times New Roman" w:hint="default"/>
                <w:sz w:val="18"/>
                <w:szCs w:val="18"/>
              </w:rPr>
            </w:pPr>
            <w:r>
              <w:rPr>
                <w:rFonts w:ascii="Times New Roman"/>
                <w:sz w:val="18"/>
              </w:rPr>
              <w:t>0.76</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240" w:lineRule="auto"/>
              <w:ind w:left="190" w:right="0"/>
              <w:jc w:val="center"/>
              <w:rPr>
                <w:rFonts w:ascii="Times New Roman" w:hAnsi="Times New Roman" w:cs="Times New Roman" w:eastAsia="Times New Roman" w:hint="default"/>
                <w:sz w:val="18"/>
                <w:szCs w:val="18"/>
              </w:rPr>
            </w:pPr>
            <w:r>
              <w:rPr>
                <w:rFonts w:ascii="Times New Roman"/>
                <w:sz w:val="18"/>
              </w:rPr>
              <w:t>0.76</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0.76</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3" w:right="-35"/>
              <w:jc w:val="left"/>
              <w:rPr>
                <w:rFonts w:ascii="宋体" w:hAnsi="宋体" w:cs="宋体" w:eastAsia="宋体" w:hint="default"/>
                <w:sz w:val="18"/>
                <w:szCs w:val="18"/>
              </w:rPr>
            </w:pPr>
            <w:r>
              <w:rPr>
                <w:rFonts w:ascii="宋体" w:hAnsi="宋体" w:cs="宋体" w:eastAsia="宋体" w:hint="default"/>
                <w:sz w:val="18"/>
                <w:szCs w:val="18"/>
              </w:rPr>
              <w:t>巨潮 资讯：</w:t>
            </w:r>
          </w:p>
          <w:p>
            <w:pPr>
              <w:pStyle w:val="TableParagraph"/>
              <w:spacing w:line="362" w:lineRule="auto" w:before="58"/>
              <w:ind w:left="23" w:right="42"/>
              <w:jc w:val="left"/>
              <w:rPr>
                <w:rFonts w:ascii="Times New Roman" w:hAnsi="Times New Roman" w:cs="Times New Roman" w:eastAsia="Times New Roman" w:hint="default"/>
                <w:sz w:val="18"/>
                <w:szCs w:val="18"/>
              </w:rPr>
            </w:pPr>
            <w:hyperlink r:id="rId28">
              <w:r>
                <w:rPr>
                  <w:rFonts w:ascii="Times New Roman"/>
                  <w:spacing w:val="-4"/>
                  <w:sz w:val="18"/>
                </w:rPr>
                <w:t>www.</w:t>
              </w:r>
            </w:hyperlink>
            <w:r>
              <w:rPr>
                <w:rFonts w:ascii="Times New Roman"/>
                <w:sz w:val="18"/>
              </w:rPr>
              <w:t> cninfo</w:t>
            </w:r>
          </w:p>
          <w:p>
            <w:pPr>
              <w:pStyle w:val="TableParagraph"/>
              <w:spacing w:line="362" w:lineRule="auto" w:before="3"/>
              <w:ind w:left="23" w:right="22"/>
              <w:jc w:val="left"/>
              <w:rPr>
                <w:rFonts w:ascii="Times New Roman" w:hAnsi="Times New Roman" w:cs="Times New Roman" w:eastAsia="Times New Roman" w:hint="default"/>
                <w:sz w:val="18"/>
                <w:szCs w:val="18"/>
              </w:rPr>
            </w:pPr>
            <w:r>
              <w:rPr>
                <w:rFonts w:ascii="Times New Roman"/>
                <w:sz w:val="18"/>
              </w:rPr>
              <w:t>.com.c n</w:t>
            </w:r>
          </w:p>
        </w:tc>
      </w:tr>
      <w:tr>
        <w:trPr>
          <w:trHeight w:val="4458"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60"/>
              <w:ind w:left="22" w:right="177"/>
              <w:jc w:val="both"/>
              <w:rPr>
                <w:rFonts w:ascii="宋体" w:hAnsi="宋体" w:cs="宋体" w:eastAsia="宋体" w:hint="default"/>
                <w:sz w:val="18"/>
                <w:szCs w:val="18"/>
              </w:rPr>
            </w:pPr>
            <w:r>
              <w:rPr>
                <w:rFonts w:ascii="宋体" w:hAnsi="宋体" w:cs="宋体" w:eastAsia="宋体" w:hint="default"/>
                <w:sz w:val="18"/>
                <w:szCs w:val="18"/>
              </w:rPr>
              <w:t>中信 银行 股份 有限 公司 广州 番禺 支行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319" w:lineRule="auto"/>
              <w:ind w:left="22" w:right="31"/>
              <w:jc w:val="left"/>
              <w:rPr>
                <w:rFonts w:ascii="宋体" w:hAnsi="宋体" w:cs="宋体" w:eastAsia="宋体" w:hint="default"/>
                <w:sz w:val="18"/>
                <w:szCs w:val="18"/>
              </w:rPr>
            </w:pPr>
            <w:r>
              <w:rPr>
                <w:rFonts w:ascii="宋体" w:hAnsi="宋体" w:cs="宋体" w:eastAsia="宋体" w:hint="default"/>
                <w:sz w:val="18"/>
                <w:szCs w:val="18"/>
              </w:rPr>
              <w:t>保本浮 动收 益、封 闭式</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319" w:lineRule="auto"/>
              <w:ind w:left="22" w:right="167"/>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12"/>
              <w:ind w:left="22" w:right="167"/>
              <w:jc w:val="both"/>
              <w:rPr>
                <w:rFonts w:ascii="宋体" w:hAnsi="宋体" w:cs="宋体" w:eastAsia="宋体" w:hint="default"/>
                <w:sz w:val="18"/>
                <w:szCs w:val="18"/>
              </w:rPr>
            </w:pPr>
            <w:r>
              <w:rPr>
                <w:rFonts w:ascii="宋体" w:hAnsi="宋体" w:cs="宋体" w:eastAsia="宋体" w:hint="default"/>
                <w:sz w:val="18"/>
                <w:szCs w:val="18"/>
              </w:rPr>
              <w:t>结构 性存 款</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31"/>
              <w:jc w:val="left"/>
              <w:rPr>
                <w:rFonts w:ascii="宋体" w:hAnsi="宋体" w:cs="宋体" w:eastAsia="宋体" w:hint="default"/>
                <w:sz w:val="18"/>
                <w:szCs w:val="18"/>
              </w:rPr>
            </w:pPr>
            <w:r>
              <w:rPr>
                <w:rFonts w:ascii="宋体" w:hAnsi="宋体" w:cs="宋体" w:eastAsia="宋体" w:hint="default"/>
                <w:sz w:val="18"/>
                <w:szCs w:val="18"/>
              </w:rPr>
              <w:t>本金 及收 益于 产品 到期 日后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 </w:t>
            </w:r>
            <w:r>
              <w:rPr>
                <w:rFonts w:ascii="宋体" w:hAnsi="宋体" w:cs="宋体" w:eastAsia="宋体" w:hint="default"/>
                <w:sz w:val="18"/>
                <w:szCs w:val="18"/>
              </w:rPr>
              <w:t>个工 作日 内根 据实 际情 况一 次性 支付</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left="63" w:right="0"/>
              <w:jc w:val="left"/>
              <w:rPr>
                <w:rFonts w:ascii="Times New Roman" w:hAnsi="Times New Roman" w:cs="Times New Roman" w:eastAsia="Times New Roman" w:hint="default"/>
                <w:sz w:val="18"/>
                <w:szCs w:val="18"/>
              </w:rPr>
            </w:pPr>
            <w:r>
              <w:rPr>
                <w:rFonts w:ascii="Times New Roman"/>
                <w:sz w:val="18"/>
              </w:rPr>
              <w:t>4.15%</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left="101" w:right="0"/>
              <w:jc w:val="center"/>
              <w:rPr>
                <w:rFonts w:ascii="Times New Roman" w:hAnsi="Times New Roman" w:cs="Times New Roman" w:eastAsia="Times New Roman" w:hint="default"/>
                <w:sz w:val="18"/>
                <w:szCs w:val="18"/>
              </w:rPr>
            </w:pPr>
            <w:r>
              <w:rPr>
                <w:rFonts w:ascii="Times New Roman"/>
                <w:sz w:val="18"/>
              </w:rPr>
              <w:t>37.65</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left="100" w:right="0"/>
              <w:jc w:val="center"/>
              <w:rPr>
                <w:rFonts w:ascii="Times New Roman" w:hAnsi="Times New Roman" w:cs="Times New Roman" w:eastAsia="Times New Roman" w:hint="default"/>
                <w:sz w:val="18"/>
                <w:szCs w:val="18"/>
              </w:rPr>
            </w:pPr>
            <w:r>
              <w:rPr>
                <w:rFonts w:ascii="Times New Roman"/>
                <w:sz w:val="18"/>
              </w:rPr>
              <w:t>29.92</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338" w:lineRule="auto"/>
              <w:ind w:left="23" w:right="-35"/>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 资讯： </w:t>
            </w:r>
            <w:hyperlink r:id="rId28">
              <w:r>
                <w:rPr>
                  <w:rFonts w:ascii="Times New Roman" w:hAnsi="Times New Roman" w:cs="Times New Roman" w:eastAsia="Times New Roman" w:hint="default"/>
                  <w:spacing w:val="-4"/>
                  <w:sz w:val="18"/>
                  <w:szCs w:val="18"/>
                </w:rPr>
                <w:t>www.</w:t>
              </w:r>
            </w:hyperlink>
          </w:p>
          <w:p>
            <w:pPr>
              <w:pStyle w:val="TableParagraph"/>
              <w:spacing w:line="240" w:lineRule="auto" w:before="23"/>
              <w:ind w:left="23" w:right="0"/>
              <w:jc w:val="left"/>
              <w:rPr>
                <w:rFonts w:ascii="Times New Roman" w:hAnsi="Times New Roman" w:cs="Times New Roman" w:eastAsia="Times New Roman" w:hint="default"/>
                <w:sz w:val="18"/>
                <w:szCs w:val="18"/>
              </w:rPr>
            </w:pPr>
            <w:r>
              <w:rPr>
                <w:rFonts w:ascii="Times New Roman"/>
                <w:sz w:val="18"/>
              </w:rPr>
              <w:t>cninfo</w:t>
            </w:r>
          </w:p>
          <w:p>
            <w:pPr>
              <w:pStyle w:val="TableParagraph"/>
              <w:spacing w:line="362" w:lineRule="auto" w:before="105"/>
              <w:ind w:left="23" w:right="22"/>
              <w:jc w:val="left"/>
              <w:rPr>
                <w:rFonts w:ascii="Times New Roman" w:hAnsi="Times New Roman" w:cs="Times New Roman" w:eastAsia="Times New Roman" w:hint="default"/>
                <w:sz w:val="18"/>
                <w:szCs w:val="18"/>
              </w:rPr>
            </w:pPr>
            <w:r>
              <w:rPr>
                <w:rFonts w:ascii="Times New Roman"/>
                <w:sz w:val="18"/>
              </w:rPr>
              <w:t>.com.c n</w:t>
            </w:r>
          </w:p>
        </w:tc>
      </w:tr>
      <w:tr>
        <w:trPr>
          <w:trHeight w:val="2859"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316" w:lineRule="auto"/>
              <w:ind w:left="22" w:right="177"/>
              <w:jc w:val="both"/>
              <w:rPr>
                <w:rFonts w:ascii="宋体" w:hAnsi="宋体" w:cs="宋体" w:eastAsia="宋体" w:hint="default"/>
                <w:sz w:val="18"/>
                <w:szCs w:val="18"/>
              </w:rPr>
            </w:pPr>
            <w:r>
              <w:rPr>
                <w:rFonts w:ascii="宋体" w:hAnsi="宋体" w:cs="宋体" w:eastAsia="宋体" w:hint="default"/>
                <w:sz w:val="18"/>
                <w:szCs w:val="18"/>
              </w:rPr>
              <w:t>中信 银行 股份 有限 公司 广州 番禺 支行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319" w:lineRule="auto"/>
              <w:ind w:left="22" w:right="31"/>
              <w:jc w:val="left"/>
              <w:rPr>
                <w:rFonts w:ascii="宋体" w:hAnsi="宋体" w:cs="宋体" w:eastAsia="宋体" w:hint="default"/>
                <w:sz w:val="18"/>
                <w:szCs w:val="18"/>
              </w:rPr>
            </w:pPr>
            <w:r>
              <w:rPr>
                <w:rFonts w:ascii="宋体" w:hAnsi="宋体" w:cs="宋体" w:eastAsia="宋体" w:hint="default"/>
                <w:sz w:val="18"/>
                <w:szCs w:val="18"/>
              </w:rPr>
              <w:t>保本浮 动收 益、封 闭式</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3,500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5"/>
                <w:szCs w:val="25"/>
              </w:rPr>
            </w:pPr>
          </w:p>
          <w:p>
            <w:pPr>
              <w:pStyle w:val="TableParagraph"/>
              <w:spacing w:line="316" w:lineRule="auto"/>
              <w:ind w:left="22" w:right="167"/>
              <w:jc w:val="left"/>
              <w:rPr>
                <w:rFonts w:ascii="宋体" w:hAnsi="宋体" w:cs="宋体" w:eastAsia="宋体" w:hint="default"/>
                <w:sz w:val="18"/>
                <w:szCs w:val="18"/>
              </w:rPr>
            </w:pPr>
            <w:r>
              <w:rPr>
                <w:rFonts w:ascii="宋体" w:hAnsi="宋体" w:cs="宋体" w:eastAsia="宋体" w:hint="default"/>
                <w:sz w:val="18"/>
                <w:szCs w:val="18"/>
              </w:rPr>
              <w:t>募集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40"/>
              <w:ind w:left="22" w:right="167"/>
              <w:jc w:val="both"/>
              <w:rPr>
                <w:rFonts w:ascii="宋体" w:hAnsi="宋体" w:cs="宋体" w:eastAsia="宋体" w:hint="default"/>
                <w:sz w:val="18"/>
                <w:szCs w:val="18"/>
              </w:rPr>
            </w:pPr>
            <w:r>
              <w:rPr>
                <w:rFonts w:ascii="宋体" w:hAnsi="宋体" w:cs="宋体" w:eastAsia="宋体" w:hint="default"/>
                <w:sz w:val="18"/>
                <w:szCs w:val="18"/>
              </w:rPr>
              <w:t>结构 性存 款</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31"/>
              <w:jc w:val="left"/>
              <w:rPr>
                <w:rFonts w:ascii="宋体" w:hAnsi="宋体" w:cs="宋体" w:eastAsia="宋体" w:hint="default"/>
                <w:sz w:val="18"/>
                <w:szCs w:val="18"/>
              </w:rPr>
            </w:pPr>
            <w:r>
              <w:rPr>
                <w:rFonts w:ascii="宋体" w:hAnsi="宋体" w:cs="宋体" w:eastAsia="宋体" w:hint="default"/>
                <w:sz w:val="18"/>
                <w:szCs w:val="18"/>
              </w:rPr>
              <w:t>本金 及收 益于 产品 到期 日后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 </w:t>
            </w:r>
            <w:r>
              <w:rPr>
                <w:rFonts w:ascii="宋体" w:hAnsi="宋体" w:cs="宋体" w:eastAsia="宋体" w:hint="default"/>
                <w:sz w:val="18"/>
                <w:szCs w:val="18"/>
              </w:rPr>
              <w:t>个工 作日 内根</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4"/>
                <w:szCs w:val="24"/>
              </w:rPr>
            </w:pPr>
          </w:p>
          <w:p>
            <w:pPr>
              <w:pStyle w:val="TableParagraph"/>
              <w:spacing w:line="240" w:lineRule="auto"/>
              <w:ind w:left="63" w:right="0"/>
              <w:jc w:val="left"/>
              <w:rPr>
                <w:rFonts w:ascii="Times New Roman" w:hAnsi="Times New Roman" w:cs="Times New Roman" w:eastAsia="Times New Roman" w:hint="default"/>
                <w:sz w:val="18"/>
                <w:szCs w:val="18"/>
              </w:rPr>
            </w:pPr>
            <w:r>
              <w:rPr>
                <w:rFonts w:ascii="Times New Roman"/>
                <w:sz w:val="18"/>
              </w:rPr>
              <w:t>4.35%</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4"/>
                <w:szCs w:val="24"/>
              </w:rPr>
            </w:pPr>
          </w:p>
          <w:p>
            <w:pPr>
              <w:pStyle w:val="TableParagraph"/>
              <w:spacing w:line="240" w:lineRule="auto"/>
              <w:ind w:left="101" w:right="0"/>
              <w:jc w:val="center"/>
              <w:rPr>
                <w:rFonts w:ascii="Times New Roman" w:hAnsi="Times New Roman" w:cs="Times New Roman" w:eastAsia="Times New Roman" w:hint="default"/>
                <w:sz w:val="18"/>
                <w:szCs w:val="18"/>
              </w:rPr>
            </w:pPr>
            <w:r>
              <w:rPr>
                <w:rFonts w:ascii="Times New Roman"/>
                <w:sz w:val="18"/>
              </w:rPr>
              <w:t>73.59</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4"/>
                <w:szCs w:val="24"/>
              </w:rPr>
            </w:pPr>
          </w:p>
          <w:p>
            <w:pPr>
              <w:pStyle w:val="TableParagraph"/>
              <w:spacing w:line="240" w:lineRule="auto"/>
              <w:ind w:left="100" w:right="0"/>
              <w:jc w:val="center"/>
              <w:rPr>
                <w:rFonts w:ascii="Times New Roman" w:hAnsi="Times New Roman" w:cs="Times New Roman" w:eastAsia="Times New Roman" w:hint="default"/>
                <w:sz w:val="18"/>
                <w:szCs w:val="18"/>
              </w:rPr>
            </w:pPr>
            <w:r>
              <w:rPr>
                <w:rFonts w:ascii="Times New Roman"/>
                <w:sz w:val="18"/>
              </w:rPr>
              <w:t>36.60</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338" w:lineRule="auto"/>
              <w:ind w:left="23" w:right="-35"/>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 资讯： </w:t>
            </w:r>
            <w:hyperlink r:id="rId28">
              <w:r>
                <w:rPr>
                  <w:rFonts w:ascii="Times New Roman" w:hAnsi="Times New Roman" w:cs="Times New Roman" w:eastAsia="Times New Roman" w:hint="default"/>
                  <w:spacing w:val="-4"/>
                  <w:sz w:val="18"/>
                  <w:szCs w:val="18"/>
                </w:rPr>
                <w:t>www.</w:t>
              </w:r>
            </w:hyperlink>
          </w:p>
          <w:p>
            <w:pPr>
              <w:pStyle w:val="TableParagraph"/>
              <w:spacing w:line="240" w:lineRule="auto" w:before="23"/>
              <w:ind w:left="23" w:right="0"/>
              <w:jc w:val="left"/>
              <w:rPr>
                <w:rFonts w:ascii="Times New Roman" w:hAnsi="Times New Roman" w:cs="Times New Roman" w:eastAsia="Times New Roman" w:hint="default"/>
                <w:sz w:val="18"/>
                <w:szCs w:val="18"/>
              </w:rPr>
            </w:pPr>
            <w:r>
              <w:rPr>
                <w:rFonts w:ascii="Times New Roman"/>
                <w:sz w:val="18"/>
              </w:rPr>
              <w:t>cninfo</w:t>
            </w:r>
          </w:p>
          <w:p>
            <w:pPr>
              <w:pStyle w:val="TableParagraph"/>
              <w:spacing w:line="362" w:lineRule="auto" w:before="105"/>
              <w:ind w:left="23" w:right="22"/>
              <w:jc w:val="left"/>
              <w:rPr>
                <w:rFonts w:ascii="Times New Roman" w:hAnsi="Times New Roman" w:cs="Times New Roman" w:eastAsia="Times New Roman" w:hint="default"/>
                <w:sz w:val="18"/>
                <w:szCs w:val="18"/>
              </w:rPr>
            </w:pPr>
            <w:r>
              <w:rPr>
                <w:rFonts w:ascii="Times New Roman"/>
                <w:sz w:val="18"/>
              </w:rPr>
              <w:t>.com.c n</w:t>
            </w:r>
          </w:p>
        </w:tc>
      </w:tr>
    </w:tbl>
    <w:p>
      <w:pPr>
        <w:spacing w:after="0" w:line="362" w:lineRule="auto"/>
        <w:jc w:val="left"/>
        <w:rPr>
          <w:rFonts w:ascii="Times New Roman" w:hAnsi="Times New Roman" w:cs="Times New Roman" w:eastAsia="Times New Roman" w:hint="default"/>
          <w:sz w:val="18"/>
          <w:szCs w:val="18"/>
        </w:rPr>
        <w:sectPr>
          <w:footerReference w:type="default" r:id="rId27"/>
          <w:pgSz w:w="11910" w:h="16840"/>
          <w:pgMar w:footer="640" w:header="787" w:top="1100" w:bottom="840" w:left="0" w:right="0"/>
        </w:sectPr>
      </w:pPr>
    </w:p>
    <w:p>
      <w:pPr>
        <w:spacing w:line="240" w:lineRule="auto" w:before="4"/>
        <w:rPr>
          <w:rFonts w:ascii="Times New Roman" w:hAnsi="Times New Roman" w:cs="Times New Roman" w:eastAsia="Times New Roman" w:hint="default"/>
          <w:sz w:val="3"/>
          <w:szCs w:val="3"/>
        </w:rPr>
      </w:pPr>
    </w:p>
    <w:p>
      <w:pPr>
        <w:spacing w:line="20" w:lineRule="exact"/>
        <w:ind w:left="1096"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10"/>
        <w:rPr>
          <w:rFonts w:ascii="Times New Roman" w:hAnsi="Times New Roman" w:cs="Times New Roman" w:eastAsia="Times New Roman" w:hint="default"/>
          <w:sz w:val="23"/>
          <w:szCs w:val="23"/>
        </w:rPr>
      </w:pPr>
    </w:p>
    <w:tbl>
      <w:tblPr>
        <w:tblW w:w="0" w:type="auto"/>
        <w:jc w:val="left"/>
        <w:tblInd w:w="1129" w:type="dxa"/>
        <w:tblLayout w:type="fixed"/>
        <w:tblCellMar>
          <w:top w:w="0" w:type="dxa"/>
          <w:left w:w="0" w:type="dxa"/>
          <w:bottom w:w="0" w:type="dxa"/>
          <w:right w:w="0" w:type="dxa"/>
        </w:tblCellMar>
        <w:tblLook w:val="01E0"/>
      </w:tblPr>
      <w:tblGrid>
        <w:gridCol w:w="572"/>
        <w:gridCol w:w="590"/>
        <w:gridCol w:w="606"/>
        <w:gridCol w:w="575"/>
        <w:gridCol w:w="560"/>
        <w:gridCol w:w="562"/>
        <w:gridCol w:w="561"/>
        <w:gridCol w:w="562"/>
        <w:gridCol w:w="560"/>
        <w:gridCol w:w="562"/>
        <w:gridCol w:w="560"/>
        <w:gridCol w:w="562"/>
        <w:gridCol w:w="561"/>
        <w:gridCol w:w="550"/>
        <w:gridCol w:w="547"/>
        <w:gridCol w:w="546"/>
        <w:gridCol w:w="539"/>
      </w:tblGrid>
      <w:tr>
        <w:trPr>
          <w:trHeight w:val="1611" w:hRule="exact"/>
        </w:trPr>
        <w:tc>
          <w:tcPr>
            <w:tcW w:w="572"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606" w:type="dxa"/>
            <w:tcBorders>
              <w:top w:val="single" w:sz="4" w:space="0" w:color="000000"/>
              <w:left w:val="single" w:sz="4" w:space="0" w:color="000000"/>
              <w:bottom w:val="single" w:sz="4" w:space="0" w:color="000000"/>
              <w:right w:val="single" w:sz="4" w:space="0" w:color="000000"/>
            </w:tcBorders>
          </w:tcPr>
          <w:p>
            <w:pPr/>
          </w:p>
        </w:tc>
        <w:tc>
          <w:tcPr>
            <w:tcW w:w="575"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1"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67"/>
              <w:jc w:val="both"/>
              <w:rPr>
                <w:rFonts w:ascii="宋体" w:hAnsi="宋体" w:cs="宋体" w:eastAsia="宋体" w:hint="default"/>
                <w:sz w:val="18"/>
                <w:szCs w:val="18"/>
              </w:rPr>
            </w:pPr>
            <w:r>
              <w:rPr>
                <w:rFonts w:ascii="宋体" w:hAnsi="宋体" w:cs="宋体" w:eastAsia="宋体" w:hint="default"/>
                <w:sz w:val="18"/>
                <w:szCs w:val="18"/>
              </w:rPr>
              <w:t>据实 际情 况一 次性 支付</w:t>
            </w:r>
          </w:p>
        </w:tc>
        <w:tc>
          <w:tcPr>
            <w:tcW w:w="562"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1" w:type="dxa"/>
            <w:tcBorders>
              <w:top w:val="single" w:sz="4" w:space="0" w:color="000000"/>
              <w:left w:val="single" w:sz="4" w:space="0" w:color="000000"/>
              <w:bottom w:val="single" w:sz="4" w:space="0" w:color="000000"/>
              <w:right w:val="single" w:sz="4" w:space="0" w:color="000000"/>
            </w:tcBorders>
          </w:tcPr>
          <w:p>
            <w:pP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546" w:type="dxa"/>
            <w:tcBorders>
              <w:top w:val="single" w:sz="4" w:space="0" w:color="000000"/>
              <w:left w:val="single" w:sz="4" w:space="0" w:color="000000"/>
              <w:bottom w:val="single" w:sz="4" w:space="0" w:color="000000"/>
              <w:right w:val="single" w:sz="4" w:space="0" w:color="000000"/>
            </w:tcBorders>
          </w:tcPr>
          <w:p>
            <w:pPr/>
          </w:p>
        </w:tc>
        <w:tc>
          <w:tcPr>
            <w:tcW w:w="53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6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7" w:right="0"/>
              <w:jc w:val="left"/>
              <w:rPr>
                <w:rFonts w:ascii="Times New Roman" w:hAnsi="Times New Roman" w:cs="Times New Roman" w:eastAsia="Times New Roman" w:hint="default"/>
                <w:sz w:val="18"/>
                <w:szCs w:val="18"/>
              </w:rPr>
            </w:pPr>
            <w:r>
              <w:rPr>
                <w:rFonts w:ascii="Times New Roman"/>
                <w:sz w:val="18"/>
              </w:rPr>
              <w:t>8,300</w:t>
            </w:r>
          </w:p>
        </w:tc>
        <w:tc>
          <w:tcPr>
            <w:tcW w:w="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56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32" w:right="0"/>
              <w:jc w:val="left"/>
              <w:rPr>
                <w:rFonts w:ascii="Times New Roman" w:hAnsi="Times New Roman" w:cs="Times New Roman" w:eastAsia="Times New Roman" w:hint="default"/>
                <w:sz w:val="18"/>
                <w:szCs w:val="18"/>
              </w:rPr>
            </w:pPr>
            <w:r>
              <w:rPr>
                <w:rFonts w:ascii="Times New Roman"/>
                <w:sz w:val="18"/>
              </w:rPr>
              <w:t>115.29</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3" w:right="0"/>
              <w:jc w:val="left"/>
              <w:rPr>
                <w:rFonts w:ascii="Times New Roman" w:hAnsi="Times New Roman" w:cs="Times New Roman" w:eastAsia="Times New Roman" w:hint="default"/>
                <w:sz w:val="18"/>
                <w:szCs w:val="18"/>
              </w:rPr>
            </w:pPr>
            <w:r>
              <w:rPr>
                <w:rFonts w:ascii="Times New Roman"/>
                <w:sz w:val="18"/>
              </w:rPr>
              <w:t>70.57</w:t>
            </w:r>
          </w:p>
        </w:tc>
        <w:tc>
          <w:tcPr>
            <w:tcW w:w="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550" w:type="dxa"/>
            <w:tcBorders>
              <w:top w:val="single" w:sz="4" w:space="0" w:color="000000"/>
              <w:left w:val="single" w:sz="13" w:space="0" w:color="D2D2D2"/>
              <w:bottom w:val="single" w:sz="4" w:space="0" w:color="000000"/>
              <w:right w:val="single" w:sz="9" w:space="0" w:color="D2D2D2"/>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0</w:t>
            </w:r>
          </w:p>
        </w:tc>
        <w:tc>
          <w:tcPr>
            <w:tcW w:w="5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5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5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4"/>
        <w:rPr>
          <w:rFonts w:ascii="Times New Roman" w:hAnsi="Times New Roman" w:cs="Times New Roman" w:eastAsia="Times New Roman" w:hint="default"/>
          <w:sz w:val="7"/>
          <w:szCs w:val="7"/>
        </w:rPr>
      </w:pPr>
    </w:p>
    <w:p>
      <w:pPr>
        <w:pStyle w:val="BodyText"/>
        <w:spacing w:line="240" w:lineRule="auto" w:before="44"/>
        <w:ind w:right="0"/>
        <w:jc w:val="left"/>
      </w:pPr>
      <w:r>
        <w:rPr/>
        <w:t>委托理财出现预期无法收回本金或存在其他可能导致减值的情形</w:t>
      </w:r>
    </w:p>
    <w:p>
      <w:pPr>
        <w:spacing w:line="240" w:lineRule="auto" w:before="12"/>
        <w:rPr>
          <w:rFonts w:ascii="宋体" w:hAnsi="宋体" w:cs="宋体" w:eastAsia="宋体" w:hint="default"/>
          <w:sz w:val="20"/>
          <w:szCs w:val="20"/>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9"/>
          <w:szCs w:val="19"/>
        </w:rPr>
      </w:pPr>
    </w:p>
    <w:p>
      <w:pPr>
        <w:pStyle w:val="Heading3"/>
        <w:spacing w:line="240" w:lineRule="auto"/>
        <w:ind w:left="1133" w:right="0"/>
        <w:jc w:val="left"/>
        <w:rPr>
          <w:b w:val="0"/>
          <w:bCs w:val="0"/>
        </w:rPr>
      </w:pPr>
      <w:bookmarkStart w:name="（2）委托贷款情况" w:id="94"/>
      <w:bookmarkEnd w:id="94"/>
      <w:r>
        <w:rPr>
          <w:b w:val="0"/>
          <w:bCs w:val="0"/>
        </w:rPr>
      </w:r>
      <w:r>
        <w:rPr/>
        <w:t>（</w:t>
      </w:r>
      <w:r>
        <w:rPr>
          <w:rFonts w:ascii="Times New Roman" w:hAnsi="Times New Roman" w:cs="Times New Roman" w:eastAsia="Times New Roman" w:hint="default"/>
        </w:rPr>
        <w:t>2</w:t>
      </w:r>
      <w:r>
        <w:rPr/>
        <w:t>）委托贷款情况</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pStyle w:val="BodyText"/>
        <w:spacing w:line="489" w:lineRule="auto"/>
        <w:ind w:left="1133"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公司报告期不存在委托贷款。</w:t>
      </w:r>
    </w:p>
    <w:p>
      <w:pPr>
        <w:spacing w:line="240" w:lineRule="auto" w:before="5"/>
        <w:rPr>
          <w:rFonts w:ascii="宋体" w:hAnsi="宋体" w:cs="宋体" w:eastAsia="宋体" w:hint="default"/>
          <w:sz w:val="24"/>
          <w:szCs w:val="24"/>
        </w:rPr>
      </w:pPr>
    </w:p>
    <w:p>
      <w:pPr>
        <w:pStyle w:val="Heading3"/>
        <w:spacing w:line="240" w:lineRule="auto"/>
        <w:ind w:left="1133" w:right="0"/>
        <w:jc w:val="left"/>
        <w:rPr>
          <w:b w:val="0"/>
          <w:bCs w:val="0"/>
        </w:rPr>
      </w:pPr>
      <w:bookmarkStart w:name="4、其他重大合同" w:id="95"/>
      <w:bookmarkEnd w:id="95"/>
      <w:r>
        <w:rPr>
          <w:b w:val="0"/>
          <w:bCs w:val="0"/>
        </w:rPr>
      </w:r>
      <w:r>
        <w:rPr>
          <w:rFonts w:ascii="Times New Roman" w:hAnsi="Times New Roman" w:cs="Times New Roman" w:eastAsia="Times New Roman" w:hint="default"/>
        </w:rPr>
        <w:t>4</w:t>
      </w:r>
      <w:r>
        <w:rPr/>
        <w:t>、其他重大合同</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pStyle w:val="BodyText"/>
        <w:spacing w:line="240" w:lineRule="auto"/>
        <w:ind w:left="113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636"/>
        <w:gridCol w:w="640"/>
        <w:gridCol w:w="638"/>
        <w:gridCol w:w="640"/>
        <w:gridCol w:w="640"/>
        <w:gridCol w:w="639"/>
        <w:gridCol w:w="640"/>
        <w:gridCol w:w="638"/>
        <w:gridCol w:w="637"/>
        <w:gridCol w:w="638"/>
        <w:gridCol w:w="639"/>
        <w:gridCol w:w="637"/>
        <w:gridCol w:w="638"/>
        <w:gridCol w:w="638"/>
        <w:gridCol w:w="636"/>
      </w:tblGrid>
      <w:tr>
        <w:trPr>
          <w:trHeight w:val="2274" w:hRule="exact"/>
        </w:trPr>
        <w:tc>
          <w:tcPr>
            <w:tcW w:w="6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2" w:right="42"/>
              <w:jc w:val="both"/>
              <w:rPr>
                <w:rFonts w:ascii="宋体" w:hAnsi="宋体" w:cs="宋体" w:eastAsia="宋体" w:hint="default"/>
                <w:sz w:val="18"/>
                <w:szCs w:val="18"/>
              </w:rPr>
            </w:pPr>
            <w:r>
              <w:rPr>
                <w:rFonts w:ascii="宋体" w:hAnsi="宋体" w:cs="宋体" w:eastAsia="宋体" w:hint="default"/>
                <w:sz w:val="18"/>
                <w:szCs w:val="18"/>
              </w:rPr>
              <w:t>合同订 立公司 方名称</w:t>
            </w:r>
          </w:p>
        </w:tc>
        <w:tc>
          <w:tcPr>
            <w:tcW w:w="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4" w:right="43"/>
              <w:jc w:val="both"/>
              <w:rPr>
                <w:rFonts w:ascii="宋体" w:hAnsi="宋体" w:cs="宋体" w:eastAsia="宋体" w:hint="default"/>
                <w:sz w:val="18"/>
                <w:szCs w:val="18"/>
              </w:rPr>
            </w:pPr>
            <w:r>
              <w:rPr>
                <w:rFonts w:ascii="宋体" w:hAnsi="宋体" w:cs="宋体" w:eastAsia="宋体" w:hint="default"/>
                <w:sz w:val="18"/>
                <w:szCs w:val="18"/>
              </w:rPr>
              <w:t>合同订 立对方 名称</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24" w:right="42" w:hanging="180"/>
              <w:jc w:val="left"/>
              <w:rPr>
                <w:rFonts w:ascii="宋体" w:hAnsi="宋体" w:cs="宋体" w:eastAsia="宋体" w:hint="default"/>
                <w:sz w:val="18"/>
                <w:szCs w:val="18"/>
              </w:rPr>
            </w:pPr>
            <w:r>
              <w:rPr>
                <w:rFonts w:ascii="宋体" w:hAnsi="宋体" w:cs="宋体" w:eastAsia="宋体" w:hint="default"/>
                <w:sz w:val="18"/>
                <w:szCs w:val="18"/>
              </w:rPr>
              <w:t>合同标 的</w:t>
            </w:r>
          </w:p>
        </w:tc>
        <w:tc>
          <w:tcPr>
            <w:tcW w:w="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44" w:right="43"/>
              <w:jc w:val="left"/>
              <w:rPr>
                <w:rFonts w:ascii="宋体" w:hAnsi="宋体" w:cs="宋体" w:eastAsia="宋体" w:hint="default"/>
                <w:sz w:val="18"/>
                <w:szCs w:val="18"/>
              </w:rPr>
            </w:pPr>
            <w:r>
              <w:rPr>
                <w:rFonts w:ascii="宋体" w:hAnsi="宋体" w:cs="宋体" w:eastAsia="宋体" w:hint="default"/>
                <w:sz w:val="18"/>
                <w:szCs w:val="18"/>
              </w:rPr>
              <w:t>合同签 订日期</w:t>
            </w:r>
          </w:p>
        </w:tc>
        <w:tc>
          <w:tcPr>
            <w:tcW w:w="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5" w:right="42"/>
              <w:jc w:val="both"/>
              <w:rPr>
                <w:rFonts w:ascii="宋体" w:hAnsi="宋体" w:cs="宋体" w:eastAsia="宋体" w:hint="default"/>
                <w:sz w:val="18"/>
                <w:szCs w:val="18"/>
              </w:rPr>
            </w:pPr>
            <w:r>
              <w:rPr>
                <w:rFonts w:ascii="宋体" w:hAnsi="宋体" w:cs="宋体" w:eastAsia="宋体" w:hint="default"/>
                <w:sz w:val="18"/>
                <w:szCs w:val="18"/>
              </w:rPr>
              <w:t>合同涉 及资产 的账面 价值</w:t>
            </w:r>
          </w:p>
          <w:p>
            <w:pPr>
              <w:pStyle w:val="TableParagraph"/>
              <w:spacing w:line="319" w:lineRule="auto" w:before="19"/>
              <w:ind w:left="24" w:right="20"/>
              <w:jc w:val="center"/>
              <w:rPr>
                <w:rFonts w:ascii="宋体" w:hAnsi="宋体" w:cs="宋体" w:eastAsia="宋体" w:hint="default"/>
                <w:sz w:val="18"/>
                <w:szCs w:val="18"/>
              </w:rPr>
            </w:pPr>
            <w:r>
              <w:rPr>
                <w:rFonts w:ascii="宋体" w:hAnsi="宋体" w:cs="宋体" w:eastAsia="宋体" w:hint="default"/>
                <w:sz w:val="18"/>
                <w:szCs w:val="18"/>
              </w:rPr>
              <w:t>（万 </w:t>
            </w:r>
            <w:r>
              <w:rPr>
                <w:rFonts w:ascii="宋体" w:hAnsi="宋体" w:cs="宋体" w:eastAsia="宋体" w:hint="default"/>
                <w:spacing w:val="-35"/>
                <w:sz w:val="18"/>
                <w:szCs w:val="18"/>
              </w:rPr>
              <w:t>元）（如</w:t>
            </w:r>
            <w:r>
              <w:rPr>
                <w:rFonts w:ascii="宋体" w:hAnsi="宋体" w:cs="宋体" w:eastAsia="宋体" w:hint="default"/>
                <w:sz w:val="18"/>
                <w:szCs w:val="18"/>
              </w:rPr>
              <w:t> 有）</w:t>
            </w:r>
          </w:p>
        </w:tc>
        <w:tc>
          <w:tcPr>
            <w:tcW w:w="6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4" w:right="42"/>
              <w:jc w:val="both"/>
              <w:rPr>
                <w:rFonts w:ascii="宋体" w:hAnsi="宋体" w:cs="宋体" w:eastAsia="宋体" w:hint="default"/>
                <w:sz w:val="18"/>
                <w:szCs w:val="18"/>
              </w:rPr>
            </w:pPr>
            <w:r>
              <w:rPr>
                <w:rFonts w:ascii="宋体" w:hAnsi="宋体" w:cs="宋体" w:eastAsia="宋体" w:hint="default"/>
                <w:sz w:val="18"/>
                <w:szCs w:val="18"/>
              </w:rPr>
              <w:t>合同涉 及资产 的评估 价值</w:t>
            </w:r>
          </w:p>
          <w:p>
            <w:pPr>
              <w:pStyle w:val="TableParagraph"/>
              <w:spacing w:line="319" w:lineRule="auto" w:before="19"/>
              <w:ind w:left="22" w:right="21"/>
              <w:jc w:val="center"/>
              <w:rPr>
                <w:rFonts w:ascii="宋体" w:hAnsi="宋体" w:cs="宋体" w:eastAsia="宋体" w:hint="default"/>
                <w:sz w:val="18"/>
                <w:szCs w:val="18"/>
              </w:rPr>
            </w:pPr>
            <w:r>
              <w:rPr>
                <w:rFonts w:ascii="宋体" w:hAnsi="宋体" w:cs="宋体" w:eastAsia="宋体" w:hint="default"/>
                <w:sz w:val="18"/>
                <w:szCs w:val="18"/>
              </w:rPr>
              <w:t>（万 </w:t>
            </w:r>
            <w:r>
              <w:rPr>
                <w:rFonts w:ascii="宋体" w:hAnsi="宋体" w:cs="宋体" w:eastAsia="宋体" w:hint="default"/>
                <w:spacing w:val="-35"/>
                <w:sz w:val="18"/>
                <w:szCs w:val="18"/>
              </w:rPr>
              <w:t>元）（如</w:t>
            </w:r>
            <w:r>
              <w:rPr>
                <w:rFonts w:ascii="宋体" w:hAnsi="宋体" w:cs="宋体" w:eastAsia="宋体" w:hint="default"/>
                <w:sz w:val="18"/>
                <w:szCs w:val="18"/>
              </w:rPr>
              <w:t> 有）</w:t>
            </w:r>
          </w:p>
        </w:tc>
        <w:tc>
          <w:tcPr>
            <w:tcW w:w="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45" w:right="42"/>
              <w:jc w:val="left"/>
              <w:rPr>
                <w:rFonts w:ascii="宋体" w:hAnsi="宋体" w:cs="宋体" w:eastAsia="宋体" w:hint="default"/>
                <w:sz w:val="18"/>
                <w:szCs w:val="18"/>
              </w:rPr>
            </w:pPr>
            <w:r>
              <w:rPr>
                <w:rFonts w:ascii="宋体" w:hAnsi="宋体" w:cs="宋体" w:eastAsia="宋体" w:hint="default"/>
                <w:sz w:val="18"/>
                <w:szCs w:val="18"/>
              </w:rPr>
              <w:t>评估机 构名称</w:t>
            </w:r>
          </w:p>
          <w:p>
            <w:pPr>
              <w:pStyle w:val="TableParagraph"/>
              <w:spacing w:line="319" w:lineRule="auto" w:before="19"/>
              <w:ind w:left="135" w:right="132"/>
              <w:jc w:val="left"/>
              <w:rPr>
                <w:rFonts w:ascii="宋体" w:hAnsi="宋体" w:cs="宋体" w:eastAsia="宋体" w:hint="default"/>
                <w:sz w:val="18"/>
                <w:szCs w:val="18"/>
              </w:rPr>
            </w:pPr>
            <w:r>
              <w:rPr>
                <w:rFonts w:ascii="宋体" w:hAnsi="宋体" w:cs="宋体" w:eastAsia="宋体" w:hint="default"/>
                <w:sz w:val="18"/>
                <w:szCs w:val="18"/>
              </w:rPr>
              <w:t>（如 有）</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133" w:right="43" w:hanging="90"/>
              <w:jc w:val="left"/>
              <w:rPr>
                <w:rFonts w:ascii="宋体" w:hAnsi="宋体" w:cs="宋体" w:eastAsia="宋体" w:hint="default"/>
                <w:sz w:val="18"/>
                <w:szCs w:val="18"/>
              </w:rPr>
            </w:pPr>
            <w:r>
              <w:rPr>
                <w:rFonts w:ascii="宋体" w:hAnsi="宋体" w:cs="宋体" w:eastAsia="宋体" w:hint="default"/>
                <w:sz w:val="18"/>
                <w:szCs w:val="18"/>
              </w:rPr>
              <w:t>评估基 准日</w:t>
            </w:r>
          </w:p>
          <w:p>
            <w:pPr>
              <w:pStyle w:val="TableParagraph"/>
              <w:spacing w:line="319" w:lineRule="auto" w:before="19"/>
              <w:ind w:left="133" w:right="133"/>
              <w:jc w:val="left"/>
              <w:rPr>
                <w:rFonts w:ascii="宋体" w:hAnsi="宋体" w:cs="宋体" w:eastAsia="宋体" w:hint="default"/>
                <w:sz w:val="18"/>
                <w:szCs w:val="18"/>
              </w:rPr>
            </w:pPr>
            <w:r>
              <w:rPr>
                <w:rFonts w:ascii="宋体" w:hAnsi="宋体" w:cs="宋体" w:eastAsia="宋体" w:hint="default"/>
                <w:sz w:val="18"/>
                <w:szCs w:val="18"/>
              </w:rPr>
              <w:t>（如 有）</w:t>
            </w:r>
          </w:p>
        </w:tc>
        <w:tc>
          <w:tcPr>
            <w:tcW w:w="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23" w:right="42" w:hanging="180"/>
              <w:jc w:val="left"/>
              <w:rPr>
                <w:rFonts w:ascii="宋体" w:hAnsi="宋体" w:cs="宋体" w:eastAsia="宋体" w:hint="default"/>
                <w:sz w:val="18"/>
                <w:szCs w:val="18"/>
              </w:rPr>
            </w:pPr>
            <w:r>
              <w:rPr>
                <w:rFonts w:ascii="宋体" w:hAnsi="宋体" w:cs="宋体" w:eastAsia="宋体" w:hint="default"/>
                <w:sz w:val="18"/>
                <w:szCs w:val="18"/>
              </w:rPr>
              <w:t>定价原 则</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3" w:right="43"/>
              <w:jc w:val="both"/>
              <w:rPr>
                <w:rFonts w:ascii="宋体" w:hAnsi="宋体" w:cs="宋体" w:eastAsia="宋体" w:hint="default"/>
                <w:sz w:val="18"/>
                <w:szCs w:val="18"/>
              </w:rPr>
            </w:pPr>
            <w:r>
              <w:rPr>
                <w:rFonts w:ascii="宋体" w:hAnsi="宋体" w:cs="宋体" w:eastAsia="宋体" w:hint="default"/>
                <w:sz w:val="18"/>
                <w:szCs w:val="18"/>
              </w:rPr>
              <w:t>交易价 格（万 元）</w:t>
            </w:r>
          </w:p>
        </w:tc>
        <w:tc>
          <w:tcPr>
            <w:tcW w:w="6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43" w:right="45"/>
              <w:jc w:val="left"/>
              <w:rPr>
                <w:rFonts w:ascii="宋体" w:hAnsi="宋体" w:cs="宋体" w:eastAsia="宋体" w:hint="default"/>
                <w:sz w:val="18"/>
                <w:szCs w:val="18"/>
              </w:rPr>
            </w:pPr>
            <w:r>
              <w:rPr>
                <w:rFonts w:ascii="宋体" w:hAnsi="宋体" w:cs="宋体" w:eastAsia="宋体" w:hint="default"/>
                <w:sz w:val="18"/>
                <w:szCs w:val="18"/>
              </w:rPr>
              <w:t>是否关 联交易</w:t>
            </w:r>
          </w:p>
        </w:tc>
        <w:tc>
          <w:tcPr>
            <w:tcW w:w="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23" w:right="42" w:hanging="180"/>
              <w:jc w:val="left"/>
              <w:rPr>
                <w:rFonts w:ascii="宋体" w:hAnsi="宋体" w:cs="宋体" w:eastAsia="宋体" w:hint="default"/>
                <w:sz w:val="18"/>
                <w:szCs w:val="18"/>
              </w:rPr>
            </w:pPr>
            <w:r>
              <w:rPr>
                <w:rFonts w:ascii="宋体" w:hAnsi="宋体" w:cs="宋体" w:eastAsia="宋体" w:hint="default"/>
                <w:sz w:val="18"/>
                <w:szCs w:val="18"/>
              </w:rPr>
              <w:t>关联关 系</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43" w:right="43"/>
              <w:jc w:val="both"/>
              <w:rPr>
                <w:rFonts w:ascii="宋体" w:hAnsi="宋体" w:cs="宋体" w:eastAsia="宋体" w:hint="default"/>
                <w:sz w:val="18"/>
                <w:szCs w:val="18"/>
              </w:rPr>
            </w:pPr>
            <w:r>
              <w:rPr>
                <w:rFonts w:ascii="宋体" w:hAnsi="宋体" w:cs="宋体" w:eastAsia="宋体" w:hint="default"/>
                <w:sz w:val="18"/>
                <w:szCs w:val="18"/>
              </w:rPr>
              <w:t>截至报 告期末 的执行 情况</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23" w:right="43" w:hanging="180"/>
              <w:jc w:val="left"/>
              <w:rPr>
                <w:rFonts w:ascii="宋体" w:hAnsi="宋体" w:cs="宋体" w:eastAsia="宋体" w:hint="default"/>
                <w:sz w:val="18"/>
                <w:szCs w:val="18"/>
              </w:rPr>
            </w:pPr>
            <w:r>
              <w:rPr>
                <w:rFonts w:ascii="宋体" w:hAnsi="宋体" w:cs="宋体" w:eastAsia="宋体" w:hint="default"/>
                <w:sz w:val="18"/>
                <w:szCs w:val="18"/>
              </w:rPr>
              <w:t>披露日 期</w:t>
            </w:r>
          </w:p>
        </w:tc>
        <w:tc>
          <w:tcPr>
            <w:tcW w:w="6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22" w:right="42" w:hanging="180"/>
              <w:jc w:val="left"/>
              <w:rPr>
                <w:rFonts w:ascii="宋体" w:hAnsi="宋体" w:cs="宋体" w:eastAsia="宋体" w:hint="default"/>
                <w:sz w:val="18"/>
                <w:szCs w:val="18"/>
              </w:rPr>
            </w:pPr>
            <w:r>
              <w:rPr>
                <w:rFonts w:ascii="宋体" w:hAnsi="宋体" w:cs="宋体" w:eastAsia="宋体" w:hint="default"/>
                <w:sz w:val="18"/>
                <w:szCs w:val="18"/>
              </w:rPr>
              <w:t>披露索 引</w:t>
            </w:r>
          </w:p>
        </w:tc>
      </w:tr>
      <w:tr>
        <w:trPr>
          <w:trHeight w:val="2274" w:hRule="exact"/>
        </w:trPr>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63"/>
              <w:jc w:val="both"/>
              <w:rPr>
                <w:rFonts w:ascii="宋体" w:hAnsi="宋体" w:cs="宋体" w:eastAsia="宋体" w:hint="default"/>
                <w:sz w:val="18"/>
                <w:szCs w:val="18"/>
              </w:rPr>
            </w:pPr>
            <w:r>
              <w:rPr>
                <w:rFonts w:ascii="宋体" w:hAnsi="宋体" w:cs="宋体" w:eastAsia="宋体" w:hint="default"/>
                <w:sz w:val="18"/>
                <w:szCs w:val="18"/>
              </w:rPr>
              <w:t>重庆浩 云公共 安全物 联网技 术有限 公司</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22" w:right="65"/>
              <w:jc w:val="both"/>
              <w:rPr>
                <w:rFonts w:ascii="宋体" w:hAnsi="宋体" w:cs="宋体" w:eastAsia="宋体" w:hint="default"/>
                <w:sz w:val="18"/>
                <w:szCs w:val="18"/>
              </w:rPr>
            </w:pPr>
            <w:r>
              <w:rPr>
                <w:rFonts w:ascii="宋体" w:hAnsi="宋体" w:cs="宋体" w:eastAsia="宋体" w:hint="default"/>
                <w:sz w:val="18"/>
                <w:szCs w:val="18"/>
              </w:rPr>
              <w:t>重庆市 公安局 渝北区 分局</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65"/>
              <w:jc w:val="both"/>
              <w:rPr>
                <w:rFonts w:ascii="宋体" w:hAnsi="宋体" w:cs="宋体" w:eastAsia="宋体" w:hint="default"/>
                <w:sz w:val="18"/>
                <w:szCs w:val="18"/>
              </w:rPr>
            </w:pPr>
            <w:r>
              <w:rPr>
                <w:rFonts w:ascii="宋体" w:hAnsi="宋体" w:cs="宋体" w:eastAsia="宋体" w:hint="default"/>
                <w:sz w:val="18"/>
                <w:szCs w:val="18"/>
              </w:rPr>
              <w:t>提供符 合使用 要求的 设备、 安装及 技术等 服务</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640" w:type="dxa"/>
            <w:tcBorders>
              <w:top w:val="single" w:sz="4" w:space="0" w:color="000000"/>
              <w:left w:val="single" w:sz="4" w:space="0" w:color="000000"/>
              <w:bottom w:val="single" w:sz="4" w:space="0" w:color="000000"/>
              <w:right w:val="single" w:sz="4" w:space="0" w:color="000000"/>
            </w:tcBorders>
          </w:tcPr>
          <w:p>
            <w:pPr/>
          </w:p>
        </w:tc>
        <w:tc>
          <w:tcPr>
            <w:tcW w:w="639"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38" w:type="dxa"/>
            <w:tcBorders>
              <w:top w:val="single" w:sz="4" w:space="0" w:color="000000"/>
              <w:left w:val="single" w:sz="4" w:space="0" w:color="000000"/>
              <w:bottom w:val="single" w:sz="4" w:space="0" w:color="000000"/>
              <w:right w:val="single" w:sz="4" w:space="0" w:color="000000"/>
            </w:tcBorders>
          </w:tcPr>
          <w:p>
            <w:pP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2" w:right="62"/>
              <w:jc w:val="left"/>
              <w:rPr>
                <w:rFonts w:ascii="宋体" w:hAnsi="宋体" w:cs="宋体" w:eastAsia="宋体" w:hint="default"/>
                <w:sz w:val="18"/>
                <w:szCs w:val="18"/>
              </w:rPr>
            </w:pPr>
            <w:r>
              <w:rPr>
                <w:rFonts w:ascii="宋体" w:hAnsi="宋体" w:cs="宋体" w:eastAsia="宋体" w:hint="default"/>
                <w:sz w:val="18"/>
                <w:szCs w:val="18"/>
              </w:rPr>
              <w:t>市场价 格</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23,911.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55</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65"/>
              <w:jc w:val="left"/>
              <w:rPr>
                <w:rFonts w:ascii="宋体" w:hAnsi="宋体" w:cs="宋体" w:eastAsia="宋体" w:hint="default"/>
                <w:sz w:val="18"/>
                <w:szCs w:val="18"/>
              </w:rPr>
            </w:pPr>
            <w:r>
              <w:rPr>
                <w:rFonts w:ascii="宋体" w:hAnsi="宋体" w:cs="宋体" w:eastAsia="宋体" w:hint="default"/>
                <w:sz w:val="18"/>
                <w:szCs w:val="18"/>
              </w:rPr>
              <w:t>执行 中，已 累计确 认收入</w:t>
            </w:r>
          </w:p>
          <w:p>
            <w:pPr>
              <w:pStyle w:val="TableParagraph"/>
              <w:spacing w:line="240" w:lineRule="auto" w:before="58"/>
              <w:ind w:left="22" w:right="0"/>
              <w:jc w:val="left"/>
              <w:rPr>
                <w:rFonts w:ascii="Times New Roman" w:hAnsi="Times New Roman" w:cs="Times New Roman" w:eastAsia="Times New Roman" w:hint="default"/>
                <w:sz w:val="18"/>
                <w:szCs w:val="18"/>
              </w:rPr>
            </w:pPr>
            <w:r>
              <w:rPr>
                <w:rFonts w:ascii="Times New Roman"/>
                <w:sz w:val="18"/>
              </w:rPr>
              <w:t>4,711.1</w:t>
            </w:r>
          </w:p>
          <w:p>
            <w:pPr>
              <w:pStyle w:val="TableParagraph"/>
              <w:spacing w:line="240" w:lineRule="auto" w:before="6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38" w:lineRule="auto"/>
              <w:ind w:left="22" w:right="42"/>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 讯： </w:t>
            </w:r>
            <w:hyperlink r:id="rId18">
              <w:r>
                <w:rPr>
                  <w:rFonts w:ascii="Times New Roman" w:hAnsi="Times New Roman" w:cs="Times New Roman" w:eastAsia="Times New Roman" w:hint="default"/>
                  <w:sz w:val="18"/>
                  <w:szCs w:val="18"/>
                </w:rPr>
                <w:t>http://w</w:t>
              </w:r>
            </w:hyperlink>
          </w:p>
          <w:p>
            <w:pPr>
              <w:pStyle w:val="TableParagraph"/>
              <w:spacing w:line="362" w:lineRule="auto" w:before="23"/>
              <w:ind w:left="22" w:right="89"/>
              <w:jc w:val="left"/>
              <w:rPr>
                <w:rFonts w:ascii="Times New Roman" w:hAnsi="Times New Roman" w:cs="Times New Roman" w:eastAsia="Times New Roman" w:hint="default"/>
                <w:sz w:val="18"/>
                <w:szCs w:val="18"/>
              </w:rPr>
            </w:pPr>
            <w:r>
              <w:rPr>
                <w:rFonts w:ascii="Times New Roman"/>
                <w:spacing w:val="-3"/>
                <w:sz w:val="18"/>
              </w:rPr>
              <w:t>ww.cni</w:t>
            </w:r>
            <w:r>
              <w:rPr>
                <w:rFonts w:ascii="Times New Roman"/>
                <w:spacing w:val="-41"/>
                <w:sz w:val="18"/>
              </w:rPr>
              <w:t> </w:t>
            </w:r>
            <w:r>
              <w:rPr>
                <w:rFonts w:ascii="Times New Roman"/>
                <w:spacing w:val="-41"/>
                <w:sz w:val="18"/>
              </w:rPr>
            </w:r>
            <w:r>
              <w:rPr>
                <w:rFonts w:ascii="Times New Roman"/>
                <w:sz w:val="18"/>
              </w:rPr>
              <w:t>nfo.co m.cn</w:t>
            </w:r>
          </w:p>
        </w:tc>
      </w:tr>
      <w:tr>
        <w:trPr>
          <w:trHeight w:val="2547" w:hRule="exact"/>
        </w:trPr>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4"/>
                <w:szCs w:val="14"/>
              </w:rPr>
            </w:pPr>
          </w:p>
          <w:p>
            <w:pPr>
              <w:pStyle w:val="TableParagraph"/>
              <w:spacing w:line="319" w:lineRule="auto"/>
              <w:ind w:left="22" w:right="63"/>
              <w:jc w:val="both"/>
              <w:rPr>
                <w:rFonts w:ascii="宋体" w:hAnsi="宋体" w:cs="宋体" w:eastAsia="宋体" w:hint="default"/>
                <w:sz w:val="18"/>
                <w:szCs w:val="18"/>
              </w:rPr>
            </w:pPr>
            <w:r>
              <w:rPr>
                <w:rFonts w:ascii="宋体" w:hAnsi="宋体" w:cs="宋体" w:eastAsia="宋体" w:hint="default"/>
                <w:sz w:val="18"/>
                <w:szCs w:val="18"/>
              </w:rPr>
              <w:t>浩云科 技股份 有限公 司</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316" w:lineRule="auto"/>
              <w:ind w:left="22" w:right="65"/>
              <w:jc w:val="both"/>
              <w:rPr>
                <w:rFonts w:ascii="宋体" w:hAnsi="宋体" w:cs="宋体" w:eastAsia="宋体" w:hint="default"/>
                <w:sz w:val="18"/>
                <w:szCs w:val="18"/>
              </w:rPr>
            </w:pPr>
            <w:r>
              <w:rPr>
                <w:rFonts w:ascii="宋体" w:hAnsi="宋体" w:cs="宋体" w:eastAsia="宋体" w:hint="default"/>
                <w:sz w:val="18"/>
                <w:szCs w:val="18"/>
              </w:rPr>
              <w:t>广州市 番禺节 能科技 园发展 有限公 司</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65"/>
              <w:jc w:val="left"/>
              <w:rPr>
                <w:rFonts w:ascii="宋体" w:hAnsi="宋体" w:cs="宋体" w:eastAsia="宋体" w:hint="default"/>
                <w:sz w:val="18"/>
                <w:szCs w:val="18"/>
              </w:rPr>
            </w:pPr>
            <w:r>
              <w:rPr>
                <w:rFonts w:ascii="宋体" w:hAnsi="宋体" w:cs="宋体" w:eastAsia="宋体" w:hint="default"/>
                <w:sz w:val="18"/>
                <w:szCs w:val="18"/>
              </w:rPr>
              <w:t>广东省 广州市 番禺区 东环街 番禺大 道北 </w:t>
            </w:r>
            <w:r>
              <w:rPr>
                <w:rFonts w:ascii="Times New Roman" w:hAnsi="Times New Roman" w:cs="Times New Roman" w:eastAsia="Times New Roman" w:hint="default"/>
                <w:sz w:val="18"/>
                <w:szCs w:val="18"/>
              </w:rPr>
              <w:t>555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p>
            <w:pPr>
              <w:pStyle w:val="TableParagraph"/>
              <w:spacing w:line="235" w:lineRule="exact"/>
              <w:ind w:left="22" w:right="0"/>
              <w:jc w:val="left"/>
              <w:rPr>
                <w:rFonts w:ascii="宋体" w:hAnsi="宋体" w:cs="宋体" w:eastAsia="宋体" w:hint="default"/>
                <w:sz w:val="18"/>
                <w:szCs w:val="18"/>
              </w:rPr>
            </w:pPr>
            <w:r>
              <w:rPr>
                <w:rFonts w:ascii="宋体" w:hAnsi="宋体" w:cs="宋体" w:eastAsia="宋体" w:hint="default"/>
                <w:sz w:val="18"/>
                <w:szCs w:val="18"/>
              </w:rPr>
              <w:t>天安总</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640" w:type="dxa"/>
            <w:tcBorders>
              <w:top w:val="single" w:sz="4" w:space="0" w:color="000000"/>
              <w:left w:val="single" w:sz="4" w:space="0" w:color="000000"/>
              <w:bottom w:val="single" w:sz="4" w:space="0" w:color="000000"/>
              <w:right w:val="single" w:sz="4" w:space="0" w:color="000000"/>
            </w:tcBorders>
          </w:tcPr>
          <w:p>
            <w:pPr/>
          </w:p>
        </w:tc>
        <w:tc>
          <w:tcPr>
            <w:tcW w:w="639"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38" w:type="dxa"/>
            <w:tcBorders>
              <w:top w:val="single" w:sz="4" w:space="0" w:color="000000"/>
              <w:left w:val="single" w:sz="4" w:space="0" w:color="000000"/>
              <w:bottom w:val="single" w:sz="4" w:space="0" w:color="000000"/>
              <w:right w:val="single" w:sz="4" w:space="0" w:color="000000"/>
            </w:tcBorders>
          </w:tcPr>
          <w:p>
            <w:pP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9"/>
                <w:szCs w:val="19"/>
              </w:rPr>
            </w:pPr>
          </w:p>
          <w:p>
            <w:pPr>
              <w:pStyle w:val="TableParagraph"/>
              <w:spacing w:line="319" w:lineRule="auto"/>
              <w:ind w:left="22" w:right="62"/>
              <w:jc w:val="left"/>
              <w:rPr>
                <w:rFonts w:ascii="宋体" w:hAnsi="宋体" w:cs="宋体" w:eastAsia="宋体" w:hint="default"/>
                <w:sz w:val="18"/>
                <w:szCs w:val="18"/>
              </w:rPr>
            </w:pPr>
            <w:r>
              <w:rPr>
                <w:rFonts w:ascii="宋体" w:hAnsi="宋体" w:cs="宋体" w:eastAsia="宋体" w:hint="default"/>
                <w:sz w:val="18"/>
                <w:szCs w:val="18"/>
              </w:rPr>
              <w:t>市场价 格</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18,000</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316" w:lineRule="auto"/>
              <w:ind w:left="22" w:right="65"/>
              <w:jc w:val="left"/>
              <w:rPr>
                <w:rFonts w:ascii="宋体" w:hAnsi="宋体" w:cs="宋体" w:eastAsia="宋体" w:hint="default"/>
                <w:sz w:val="18"/>
                <w:szCs w:val="18"/>
              </w:rPr>
            </w:pPr>
            <w:r>
              <w:rPr>
                <w:rFonts w:ascii="宋体" w:hAnsi="宋体" w:cs="宋体" w:eastAsia="宋体" w:hint="default"/>
                <w:sz w:val="18"/>
                <w:szCs w:val="18"/>
              </w:rPr>
              <w:t>合同款 项已支 付完 毕，产 权证书 正在办 理中。</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338" w:lineRule="auto"/>
              <w:ind w:left="22" w:right="42"/>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 讯： </w:t>
            </w:r>
            <w:hyperlink r:id="rId18">
              <w:r>
                <w:rPr>
                  <w:rFonts w:ascii="Times New Roman" w:hAnsi="Times New Roman" w:cs="Times New Roman" w:eastAsia="Times New Roman" w:hint="default"/>
                  <w:sz w:val="18"/>
                  <w:szCs w:val="18"/>
                </w:rPr>
                <w:t>http://w</w:t>
              </w:r>
            </w:hyperlink>
          </w:p>
          <w:p>
            <w:pPr>
              <w:pStyle w:val="TableParagraph"/>
              <w:spacing w:line="362" w:lineRule="auto" w:before="23"/>
              <w:ind w:left="22" w:right="89"/>
              <w:jc w:val="left"/>
              <w:rPr>
                <w:rFonts w:ascii="Times New Roman" w:hAnsi="Times New Roman" w:cs="Times New Roman" w:eastAsia="Times New Roman" w:hint="default"/>
                <w:sz w:val="18"/>
                <w:szCs w:val="18"/>
              </w:rPr>
            </w:pPr>
            <w:r>
              <w:rPr>
                <w:rFonts w:ascii="Times New Roman"/>
                <w:spacing w:val="-3"/>
                <w:sz w:val="18"/>
              </w:rPr>
              <w:t>ww.cni</w:t>
            </w:r>
            <w:r>
              <w:rPr>
                <w:rFonts w:ascii="Times New Roman"/>
                <w:spacing w:val="-41"/>
                <w:sz w:val="18"/>
              </w:rPr>
              <w:t> </w:t>
            </w:r>
            <w:r>
              <w:rPr>
                <w:rFonts w:ascii="Times New Roman"/>
                <w:spacing w:val="-41"/>
                <w:sz w:val="18"/>
              </w:rPr>
            </w:r>
            <w:r>
              <w:rPr>
                <w:rFonts w:ascii="Times New Roman"/>
                <w:sz w:val="18"/>
              </w:rPr>
              <w:t>nfo.co m.cn</w:t>
            </w:r>
          </w:p>
        </w:tc>
      </w:tr>
    </w:tbl>
    <w:p>
      <w:pPr>
        <w:spacing w:after="0" w:line="362" w:lineRule="auto"/>
        <w:jc w:val="left"/>
        <w:rPr>
          <w:rFonts w:ascii="Times New Roman" w:hAnsi="Times New Roman" w:cs="Times New Roman" w:eastAsia="Times New Roman" w:hint="default"/>
          <w:sz w:val="18"/>
          <w:szCs w:val="18"/>
        </w:rPr>
        <w:sectPr>
          <w:pgSz w:w="11910" w:h="16840"/>
          <w:pgMar w:header="787" w:footer="640" w:top="1100" w:bottom="840" w:left="0" w:right="0"/>
        </w:sectPr>
      </w:pPr>
    </w:p>
    <w:p>
      <w:pPr>
        <w:spacing w:line="240" w:lineRule="auto" w:before="5"/>
        <w:rPr>
          <w:rFonts w:ascii="宋体" w:hAnsi="宋体" w:cs="宋体" w:eastAsia="宋体" w:hint="default"/>
          <w:sz w:val="25"/>
          <w:szCs w:val="25"/>
        </w:rPr>
      </w:pPr>
    </w:p>
    <w:tbl>
      <w:tblPr>
        <w:tblW w:w="0" w:type="auto"/>
        <w:jc w:val="left"/>
        <w:tblInd w:w="1129" w:type="dxa"/>
        <w:tblLayout w:type="fixed"/>
        <w:tblCellMar>
          <w:top w:w="0" w:type="dxa"/>
          <w:left w:w="0" w:type="dxa"/>
          <w:bottom w:w="0" w:type="dxa"/>
          <w:right w:w="0" w:type="dxa"/>
        </w:tblCellMar>
        <w:tblLook w:val="01E0"/>
      </w:tblPr>
      <w:tblGrid>
        <w:gridCol w:w="636"/>
        <w:gridCol w:w="640"/>
        <w:gridCol w:w="638"/>
        <w:gridCol w:w="640"/>
        <w:gridCol w:w="640"/>
        <w:gridCol w:w="639"/>
        <w:gridCol w:w="640"/>
        <w:gridCol w:w="638"/>
        <w:gridCol w:w="637"/>
        <w:gridCol w:w="638"/>
        <w:gridCol w:w="639"/>
        <w:gridCol w:w="637"/>
        <w:gridCol w:w="638"/>
        <w:gridCol w:w="638"/>
        <w:gridCol w:w="636"/>
      </w:tblGrid>
      <w:tr>
        <w:trPr>
          <w:trHeight w:val="1298" w:hRule="exact"/>
        </w:trPr>
        <w:tc>
          <w:tcPr>
            <w:tcW w:w="636"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部中心</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号楼</w:t>
            </w:r>
          </w:p>
          <w:p>
            <w:pPr>
              <w:pStyle w:val="TableParagraph"/>
              <w:spacing w:line="319" w:lineRule="auto" w:before="63"/>
              <w:ind w:left="22" w:right="65"/>
              <w:jc w:val="left"/>
              <w:rPr>
                <w:rFonts w:ascii="宋体" w:hAnsi="宋体" w:cs="宋体" w:eastAsia="宋体" w:hint="default"/>
                <w:sz w:val="18"/>
                <w:szCs w:val="18"/>
              </w:rPr>
            </w:pPr>
            <w:r>
              <w:rPr>
                <w:rFonts w:ascii="宋体" w:hAnsi="宋体" w:cs="宋体" w:eastAsia="宋体" w:hint="default"/>
                <w:sz w:val="18"/>
                <w:szCs w:val="18"/>
              </w:rPr>
              <w:t>（认购 协议）</w:t>
            </w:r>
          </w:p>
        </w:tc>
        <w:tc>
          <w:tcPr>
            <w:tcW w:w="640"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
        </w:tc>
        <w:tc>
          <w:tcPr>
            <w:tcW w:w="639"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37"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39" w:type="dxa"/>
            <w:tcBorders>
              <w:top w:val="single" w:sz="4" w:space="0" w:color="000000"/>
              <w:left w:val="single" w:sz="4" w:space="0" w:color="000000"/>
              <w:bottom w:val="single" w:sz="4" w:space="0" w:color="000000"/>
              <w:right w:val="single" w:sz="4" w:space="0" w:color="000000"/>
            </w:tcBorders>
          </w:tcPr>
          <w:p>
            <w:pPr/>
          </w:p>
        </w:tc>
        <w:tc>
          <w:tcPr>
            <w:tcW w:w="637"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r>
      <w:tr>
        <w:trPr>
          <w:trHeight w:val="2586" w:hRule="exact"/>
        </w:trPr>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22" w:right="63"/>
              <w:jc w:val="both"/>
              <w:rPr>
                <w:rFonts w:ascii="宋体" w:hAnsi="宋体" w:cs="宋体" w:eastAsia="宋体" w:hint="default"/>
                <w:sz w:val="18"/>
                <w:szCs w:val="18"/>
              </w:rPr>
            </w:pPr>
            <w:r>
              <w:rPr>
                <w:rFonts w:ascii="宋体" w:hAnsi="宋体" w:cs="宋体" w:eastAsia="宋体" w:hint="default"/>
                <w:sz w:val="18"/>
                <w:szCs w:val="18"/>
              </w:rPr>
              <w:t>浩云科 技股份 有限公 司</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22" w:right="65"/>
              <w:jc w:val="both"/>
              <w:rPr>
                <w:rFonts w:ascii="宋体" w:hAnsi="宋体" w:cs="宋体" w:eastAsia="宋体" w:hint="default"/>
                <w:sz w:val="18"/>
                <w:szCs w:val="18"/>
              </w:rPr>
            </w:pPr>
            <w:r>
              <w:rPr>
                <w:rFonts w:ascii="宋体" w:hAnsi="宋体" w:cs="宋体" w:eastAsia="宋体" w:hint="default"/>
                <w:sz w:val="18"/>
                <w:szCs w:val="18"/>
              </w:rPr>
              <w:t>北京市 公安局 通州分 局</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5"/>
              <w:jc w:val="both"/>
              <w:rPr>
                <w:rFonts w:ascii="宋体" w:hAnsi="宋体" w:cs="宋体" w:eastAsia="宋体" w:hint="default"/>
                <w:sz w:val="18"/>
                <w:szCs w:val="18"/>
              </w:rPr>
            </w:pPr>
            <w:r>
              <w:rPr>
                <w:rFonts w:ascii="宋体" w:hAnsi="宋体" w:cs="宋体" w:eastAsia="宋体" w:hint="default"/>
                <w:sz w:val="18"/>
                <w:szCs w:val="18"/>
              </w:rPr>
              <w:t>北京市 通州区 公共安 全视频 监控建 设联网 应用项 目</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81"/>
                <w:sz w:val="18"/>
                <w:szCs w:val="18"/>
              </w:rPr>
              <w:t> </w:t>
            </w:r>
            <w:r>
              <w:rPr>
                <w:rFonts w:ascii="Times New Roman" w:hAnsi="Times New Roman" w:cs="Times New Roman" w:eastAsia="Times New Roman" w:hint="default"/>
                <w:sz w:val="18"/>
                <w:szCs w:val="18"/>
              </w:rPr>
              <w:t>14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40" w:type="dxa"/>
            <w:tcBorders>
              <w:top w:val="single" w:sz="4" w:space="0" w:color="000000"/>
              <w:left w:val="single" w:sz="4" w:space="0" w:color="000000"/>
              <w:bottom w:val="single" w:sz="4" w:space="0" w:color="000000"/>
              <w:right w:val="single" w:sz="4" w:space="0" w:color="000000"/>
            </w:tcBorders>
          </w:tcPr>
          <w:p>
            <w:pPr/>
          </w:p>
        </w:tc>
        <w:tc>
          <w:tcPr>
            <w:tcW w:w="639"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38" w:type="dxa"/>
            <w:tcBorders>
              <w:top w:val="single" w:sz="4" w:space="0" w:color="000000"/>
              <w:left w:val="single" w:sz="4" w:space="0" w:color="000000"/>
              <w:bottom w:val="single" w:sz="4" w:space="0" w:color="000000"/>
              <w:right w:val="single" w:sz="4" w:space="0" w:color="000000"/>
            </w:tcBorders>
          </w:tcPr>
          <w:p>
            <w:pP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6" w:lineRule="auto"/>
              <w:ind w:left="22" w:right="62"/>
              <w:jc w:val="left"/>
              <w:rPr>
                <w:rFonts w:ascii="宋体" w:hAnsi="宋体" w:cs="宋体" w:eastAsia="宋体" w:hint="default"/>
                <w:sz w:val="18"/>
                <w:szCs w:val="18"/>
              </w:rPr>
            </w:pPr>
            <w:r>
              <w:rPr>
                <w:rFonts w:ascii="宋体" w:hAnsi="宋体" w:cs="宋体" w:eastAsia="宋体" w:hint="default"/>
                <w:sz w:val="18"/>
                <w:szCs w:val="18"/>
              </w:rPr>
              <w:t>市场价 格</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8,560.6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8"/>
              <w:ind w:left="22" w:right="65"/>
              <w:jc w:val="left"/>
              <w:rPr>
                <w:rFonts w:ascii="宋体" w:hAnsi="宋体" w:cs="宋体" w:eastAsia="宋体" w:hint="default"/>
                <w:sz w:val="18"/>
                <w:szCs w:val="18"/>
              </w:rPr>
            </w:pPr>
            <w:r>
              <w:rPr>
                <w:rFonts w:ascii="宋体" w:hAnsi="宋体" w:cs="宋体" w:eastAsia="宋体" w:hint="default"/>
                <w:sz w:val="18"/>
                <w:szCs w:val="18"/>
              </w:rPr>
              <w:t>执行 中，已 累计确 认收 入：</w:t>
            </w:r>
            <w:r>
              <w:rPr>
                <w:rFonts w:ascii="Times New Roman" w:hAnsi="Times New Roman" w:cs="Times New Roman" w:eastAsia="Times New Roman" w:hint="default"/>
                <w:sz w:val="18"/>
                <w:szCs w:val="18"/>
              </w:rPr>
              <w:t>0 </w:t>
            </w:r>
            <w:r>
              <w:rPr>
                <w:rFonts w:ascii="宋体" w:hAnsi="宋体" w:cs="宋体" w:eastAsia="宋体" w:hint="default"/>
                <w:sz w:val="18"/>
                <w:szCs w:val="18"/>
              </w:rPr>
              <w:t>元</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14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38" w:lineRule="auto" w:before="128"/>
              <w:ind w:left="22" w:right="42"/>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 讯： </w:t>
            </w:r>
            <w:hyperlink r:id="rId18">
              <w:r>
                <w:rPr>
                  <w:rFonts w:ascii="Times New Roman" w:hAnsi="Times New Roman" w:cs="Times New Roman" w:eastAsia="Times New Roman" w:hint="default"/>
                  <w:sz w:val="18"/>
                  <w:szCs w:val="18"/>
                </w:rPr>
                <w:t>http://w</w:t>
              </w:r>
            </w:hyperlink>
          </w:p>
          <w:p>
            <w:pPr>
              <w:pStyle w:val="TableParagraph"/>
              <w:spacing w:line="362" w:lineRule="auto" w:before="23"/>
              <w:ind w:left="22" w:right="89"/>
              <w:jc w:val="left"/>
              <w:rPr>
                <w:rFonts w:ascii="Times New Roman" w:hAnsi="Times New Roman" w:cs="Times New Roman" w:eastAsia="Times New Roman" w:hint="default"/>
                <w:sz w:val="18"/>
                <w:szCs w:val="18"/>
              </w:rPr>
            </w:pPr>
            <w:r>
              <w:rPr>
                <w:rFonts w:ascii="Times New Roman"/>
                <w:spacing w:val="-3"/>
                <w:sz w:val="18"/>
              </w:rPr>
              <w:t>ww.cni</w:t>
            </w:r>
            <w:r>
              <w:rPr>
                <w:rFonts w:ascii="Times New Roman"/>
                <w:spacing w:val="-41"/>
                <w:sz w:val="18"/>
              </w:rPr>
              <w:t> </w:t>
            </w:r>
            <w:r>
              <w:rPr>
                <w:rFonts w:ascii="Times New Roman"/>
                <w:spacing w:val="-41"/>
                <w:sz w:val="18"/>
              </w:rPr>
            </w:r>
            <w:r>
              <w:rPr>
                <w:rFonts w:ascii="Times New Roman"/>
                <w:sz w:val="18"/>
              </w:rPr>
              <w:t>nfo.co m.cn</w:t>
            </w:r>
          </w:p>
        </w:tc>
      </w:tr>
    </w:tbl>
    <w:p>
      <w:pPr>
        <w:spacing w:line="240" w:lineRule="auto" w:before="0"/>
        <w:rPr>
          <w:rFonts w:ascii="宋体" w:hAnsi="宋体" w:cs="宋体" w:eastAsia="宋体" w:hint="default"/>
          <w:sz w:val="24"/>
          <w:szCs w:val="24"/>
        </w:rPr>
      </w:pPr>
    </w:p>
    <w:p>
      <w:pPr>
        <w:pStyle w:val="Heading2"/>
        <w:spacing w:line="240" w:lineRule="auto" w:before="26"/>
        <w:ind w:left="1134" w:right="0"/>
        <w:jc w:val="left"/>
        <w:rPr>
          <w:b w:val="0"/>
          <w:bCs w:val="0"/>
        </w:rPr>
      </w:pPr>
      <w:bookmarkStart w:name="十七、社会责任情况" w:id="96"/>
      <w:bookmarkEnd w:id="96"/>
      <w:r>
        <w:rPr>
          <w:b w:val="0"/>
          <w:bCs w:val="0"/>
        </w:rPr>
      </w:r>
      <w:r>
        <w:rPr/>
        <w:t>十七、社会责任情况</w:t>
      </w:r>
      <w:r>
        <w:rPr>
          <w:b w:val="0"/>
          <w:bCs w:val="0"/>
        </w:rPr>
      </w:r>
    </w:p>
    <w:p>
      <w:pPr>
        <w:spacing w:line="240" w:lineRule="auto" w:before="0"/>
        <w:rPr>
          <w:rFonts w:ascii="宋体" w:hAnsi="宋体" w:cs="宋体" w:eastAsia="宋体" w:hint="default"/>
          <w:b/>
          <w:bCs/>
          <w:sz w:val="24"/>
          <w:szCs w:val="24"/>
        </w:rPr>
      </w:pPr>
    </w:p>
    <w:p>
      <w:pPr>
        <w:pStyle w:val="Heading3"/>
        <w:spacing w:line="240" w:lineRule="auto" w:before="163"/>
        <w:ind w:left="1133" w:right="0"/>
        <w:jc w:val="left"/>
        <w:rPr>
          <w:b w:val="0"/>
          <w:bCs w:val="0"/>
        </w:rPr>
      </w:pPr>
      <w:bookmarkStart w:name="1、履行社会责任情况" w:id="97"/>
      <w:bookmarkEnd w:id="97"/>
      <w:r>
        <w:rPr>
          <w:b w:val="0"/>
          <w:bCs w:val="0"/>
        </w:rPr>
      </w:r>
      <w:r>
        <w:rPr>
          <w:rFonts w:ascii="Times New Roman" w:hAnsi="Times New Roman" w:cs="Times New Roman" w:eastAsia="Times New Roman" w:hint="default"/>
        </w:rPr>
        <w:t>1</w:t>
      </w:r>
      <w:r>
        <w:rPr/>
        <w:t>、履行社会责任情况</w:t>
      </w:r>
      <w:r>
        <w:rPr>
          <w:b w:val="0"/>
          <w:bCs w:val="0"/>
        </w:rPr>
      </w:r>
    </w:p>
    <w:p>
      <w:pPr>
        <w:spacing w:line="240" w:lineRule="auto" w:before="0"/>
        <w:rPr>
          <w:rFonts w:ascii="宋体" w:hAnsi="宋体" w:cs="宋体" w:eastAsia="宋体" w:hint="default"/>
          <w:b/>
          <w:bCs/>
          <w:sz w:val="22"/>
          <w:szCs w:val="22"/>
        </w:rPr>
      </w:pPr>
    </w:p>
    <w:p>
      <w:pPr>
        <w:spacing w:line="240" w:lineRule="auto" w:before="5"/>
        <w:rPr>
          <w:rFonts w:ascii="宋体" w:hAnsi="宋体" w:cs="宋体" w:eastAsia="宋体" w:hint="default"/>
          <w:b/>
          <w:bCs/>
          <w:sz w:val="16"/>
          <w:szCs w:val="16"/>
        </w:rPr>
      </w:pPr>
    </w:p>
    <w:p>
      <w:pPr>
        <w:pStyle w:val="BodyText"/>
        <w:spacing w:line="451" w:lineRule="auto"/>
        <w:ind w:right="1130" w:firstLine="362"/>
        <w:jc w:val="both"/>
      </w:pPr>
      <w:r>
        <w:rPr>
          <w:spacing w:val="-2"/>
        </w:rPr>
        <w:t>一直以来，公司秉持</w:t>
      </w:r>
      <w:r>
        <w:rPr>
          <w:rFonts w:ascii="Times New Roman" w:hAnsi="Times New Roman" w:cs="Times New Roman" w:eastAsia="Times New Roman" w:hint="default"/>
          <w:spacing w:val="-2"/>
        </w:rPr>
        <w:t>“</w:t>
      </w:r>
      <w:r>
        <w:rPr>
          <w:spacing w:val="-2"/>
        </w:rPr>
        <w:t>以创新满足客户需求，实现企业价值，创造社会文明</w:t>
      </w:r>
      <w:r>
        <w:rPr>
          <w:rFonts w:ascii="Times New Roman" w:hAnsi="Times New Roman" w:cs="Times New Roman" w:eastAsia="Times New Roman" w:hint="default"/>
          <w:spacing w:val="-2"/>
        </w:rPr>
        <w:t>”</w:t>
      </w:r>
      <w:r>
        <w:rPr>
          <w:spacing w:val="-2"/>
        </w:rPr>
        <w:t>的核心价值观，不断创新、精益求精，追求</w:t>
      </w:r>
      <w:r>
        <w:rPr/>
        <w:t> </w:t>
      </w:r>
      <w:r>
        <w:rPr>
          <w:spacing w:val="-2"/>
        </w:rPr>
        <w:t>企业、社会与环境的和谐发展。</w:t>
      </w:r>
      <w:r>
        <w:rPr>
          <w:rFonts w:ascii="Times New Roman" w:hAnsi="Times New Roman" w:cs="Times New Roman" w:eastAsia="Times New Roman" w:hint="default"/>
          <w:spacing w:val="-2"/>
        </w:rPr>
        <w:t>2017</w:t>
      </w:r>
      <w:r>
        <w:rPr>
          <w:spacing w:val="-2"/>
        </w:rPr>
        <w:t>年，公司业绩继续保持稳步增长，为公司股东交上了一份满意的答卷，同时，公司也积</w:t>
      </w:r>
      <w:r>
        <w:rPr>
          <w:spacing w:val="-62"/>
        </w:rPr>
        <w:t> </w:t>
      </w:r>
      <w:r>
        <w:rPr>
          <w:spacing w:val="-62"/>
        </w:rPr>
      </w:r>
      <w:r>
        <w:rPr/>
        <w:t>极承担对员工、客户、债权人、社会等其他利益相关者的责任。</w:t>
      </w:r>
    </w:p>
    <w:p>
      <w:pPr>
        <w:pStyle w:val="BodyText"/>
        <w:spacing w:line="468" w:lineRule="auto" w:before="113"/>
        <w:ind w:left="1133" w:right="1133" w:firstLine="290"/>
        <w:jc w:val="both"/>
      </w:pPr>
      <w:r>
        <w:rPr>
          <w:spacing w:val="-1"/>
        </w:rPr>
        <w:t>在保障股东权益方面，公司严格按照《公司法》、《证券法》、《深圳证券交易所创业板上市公司规范运作指引》等有</w:t>
      </w:r>
      <w:r>
        <w:rPr/>
        <w:t> </w:t>
      </w:r>
      <w:r>
        <w:rPr>
          <w:spacing w:val="-2"/>
        </w:rPr>
        <w:t>关法律、法规及规范性文件的要求，不断提升和完善法人治理结构，强化规范运作；及时、准确、真实、完整地进行信息披</w:t>
      </w:r>
      <w:r>
        <w:rPr>
          <w:spacing w:val="-71"/>
        </w:rPr>
        <w:t> </w:t>
      </w:r>
      <w:r>
        <w:rPr>
          <w:spacing w:val="-71"/>
        </w:rPr>
      </w:r>
      <w:r>
        <w:rPr/>
        <w:t>露，充分保障股东权益；严格落实《招股说明书》和《公司章程》以及《未来三年（</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-2018</w:t>
      </w:r>
      <w:r>
        <w:rPr/>
        <w:t>年）股东回报规划》中关 于利润分配的规定，使股东切实共享公司发展的经营成果。</w:t>
      </w:r>
    </w:p>
    <w:p>
      <w:pPr>
        <w:pStyle w:val="BodyText"/>
        <w:spacing w:line="465" w:lineRule="auto" w:before="101"/>
        <w:ind w:left="1133" w:right="1128" w:firstLine="290"/>
        <w:jc w:val="both"/>
      </w:pPr>
      <w:r>
        <w:rPr>
          <w:spacing w:val="-1"/>
        </w:rPr>
        <w:t>在保障员工权益方面，公司一直坚持以人为本的人才理念，重视保护职工利益，严格遵守劳动法等有关规定，与职工签</w:t>
      </w:r>
      <w:r>
        <w:rPr/>
        <w:t> </w:t>
      </w:r>
      <w:r>
        <w:rPr>
          <w:spacing w:val="-2"/>
        </w:rPr>
        <w:t>订劳动合同，为员工购买</w:t>
      </w:r>
      <w:r>
        <w:rPr>
          <w:rFonts w:ascii="Times New Roman" w:hAnsi="Times New Roman" w:cs="Times New Roman" w:eastAsia="Times New Roman" w:hint="default"/>
          <w:spacing w:val="-2"/>
        </w:rPr>
        <w:t>“</w:t>
      </w:r>
      <w:r>
        <w:rPr>
          <w:spacing w:val="-2"/>
        </w:rPr>
        <w:t>五险一金</w:t>
      </w:r>
      <w:r>
        <w:rPr>
          <w:rFonts w:ascii="Times New Roman" w:hAnsi="Times New Roman" w:cs="Times New Roman" w:eastAsia="Times New Roman" w:hint="default"/>
          <w:spacing w:val="-2"/>
        </w:rPr>
        <w:t>”</w:t>
      </w:r>
      <w:r>
        <w:rPr>
          <w:spacing w:val="-2"/>
        </w:rPr>
        <w:t>，并结合市场行情和公司自身特点制定有竞争力的薪酬，同时公司上市后积极筹划并实</w:t>
      </w:r>
      <w:r>
        <w:rPr>
          <w:spacing w:val="-45"/>
        </w:rPr>
        <w:t> </w:t>
      </w:r>
      <w:r>
        <w:rPr>
          <w:spacing w:val="-45"/>
        </w:rPr>
      </w:r>
      <w:r>
        <w:rPr>
          <w:spacing w:val="-2"/>
        </w:rPr>
        <w:t>施了两期股权激励计划，让员工共享公司发展成果，实现员工与公司的双赢；公司注重员工素质提升，结合员工能力素质及</w:t>
      </w:r>
      <w:r>
        <w:rPr>
          <w:spacing w:val="-66"/>
        </w:rPr>
        <w:t> </w:t>
      </w:r>
      <w:r>
        <w:rPr>
          <w:spacing w:val="-66"/>
        </w:rPr>
      </w:r>
      <w:r>
        <w:rPr/>
        <w:t>培训需求情况，除了每月开展新员工培训外，还不定期组织业务转岗培训、</w:t>
      </w:r>
      <w:r>
        <w:rPr>
          <w:rFonts w:ascii="Times New Roman" w:hAnsi="Times New Roman" w:cs="Times New Roman" w:eastAsia="Times New Roman" w:hint="default"/>
        </w:rPr>
        <w:t>CT1</w:t>
      </w:r>
      <w:r>
        <w:rPr/>
        <w:t>和</w:t>
      </w:r>
      <w:r>
        <w:rPr>
          <w:rFonts w:ascii="Times New Roman" w:hAnsi="Times New Roman" w:cs="Times New Roman" w:eastAsia="Times New Roman" w:hint="default"/>
        </w:rPr>
        <w:t>CT2</w:t>
      </w:r>
      <w:r>
        <w:rPr/>
        <w:t>培训、管理干部管理水平提升培训、 </w:t>
      </w:r>
      <w:r>
        <w:rPr>
          <w:spacing w:val="-2"/>
        </w:rPr>
        <w:t>业务培训、技术类培训、工程售后类培训等各类培训，持续提高员工综合素质及管理干部管理水平；公司提倡企业文化，坚</w:t>
      </w:r>
      <w:r>
        <w:rPr>
          <w:spacing w:val="-66"/>
        </w:rPr>
        <w:t> </w:t>
      </w:r>
      <w:r>
        <w:rPr>
          <w:spacing w:val="-66"/>
        </w:rPr>
      </w:r>
      <w:r>
        <w:rPr/>
        <w:t>持为员工提供宿舍、员工食堂、员工健身房、休闲团建会所以及</w:t>
      </w:r>
      <w:r>
        <w:rPr>
          <w:rFonts w:ascii="Times New Roman" w:hAnsi="Times New Roman" w:cs="Times New Roman" w:eastAsia="Times New Roman" w:hint="default"/>
        </w:rPr>
        <w:t>“</w:t>
      </w:r>
      <w:r>
        <w:rPr/>
        <w:t>上下班</w:t>
      </w:r>
      <w:r>
        <w:rPr>
          <w:rFonts w:ascii="Times New Roman" w:hAnsi="Times New Roman" w:cs="Times New Roman" w:eastAsia="Times New Roman" w:hint="default"/>
        </w:rPr>
        <w:t>”</w:t>
      </w:r>
      <w:r>
        <w:rPr/>
        <w:t>班车等各项生活便利。</w:t>
      </w:r>
    </w:p>
    <w:p>
      <w:pPr>
        <w:pStyle w:val="BodyText"/>
        <w:spacing w:line="451" w:lineRule="auto" w:before="70"/>
        <w:ind w:left="1133" w:right="1140" w:firstLine="290"/>
        <w:jc w:val="both"/>
      </w:pPr>
      <w:r>
        <w:rPr/>
        <w:t>在保障客户权益方面，公司始终践行</w:t>
      </w:r>
      <w:r>
        <w:rPr>
          <w:rFonts w:ascii="Times New Roman" w:hAnsi="Times New Roman" w:cs="Times New Roman" w:eastAsia="Times New Roman" w:hint="default"/>
        </w:rPr>
        <w:t>“</w:t>
      </w:r>
      <w:r>
        <w:rPr/>
        <w:t>客户是中心，服务是价值</w:t>
      </w:r>
      <w:r>
        <w:rPr>
          <w:rFonts w:ascii="Times New Roman" w:hAnsi="Times New Roman" w:cs="Times New Roman" w:eastAsia="Times New Roman" w:hint="default"/>
        </w:rPr>
        <w:t>”</w:t>
      </w:r>
      <w:r>
        <w:rPr/>
        <w:t>的企业文化，在研发上不断创新，在产品质量上精益求 精，在服务上超客户预期，持续提升客户对公司产品和服务的满意度，适度加强客户粘性，誓与客户共同成长。</w:t>
      </w:r>
    </w:p>
    <w:p>
      <w:pPr>
        <w:pStyle w:val="BodyText"/>
        <w:spacing w:line="477" w:lineRule="auto" w:before="112"/>
        <w:ind w:left="1133" w:right="1043" w:firstLine="290"/>
        <w:jc w:val="both"/>
      </w:pPr>
      <w:r>
        <w:rPr/>
        <w:t>在保障供应商及债权人权益方面，公司始终坚持诚信为本，主动听取供应商和债权人的建议和意见，严格执行签署的各 </w:t>
      </w:r>
      <w:r>
        <w:rPr>
          <w:spacing w:val="-4"/>
        </w:rPr>
        <w:t>项合约；同时公司提倡恪守商业道德，严格防范商业贿赂，让供应商将主要精力放在产品质量、供货的高效及服务的优质上，</w:t>
      </w:r>
    </w:p>
    <w:p>
      <w:pPr>
        <w:spacing w:after="0" w:line="477" w:lineRule="auto"/>
        <w:jc w:val="both"/>
        <w:sectPr>
          <w:pgSz w:w="11910" w:h="16840"/>
          <w:pgMar w:header="787" w:footer="640" w:top="1100" w:bottom="840" w:left="0" w:right="0"/>
        </w:sectPr>
      </w:pPr>
    </w:p>
    <w:p>
      <w:pPr>
        <w:spacing w:line="240" w:lineRule="auto" w:before="11"/>
        <w:rPr>
          <w:rFonts w:ascii="宋体" w:hAnsi="宋体" w:cs="宋体" w:eastAsia="宋体" w:hint="default"/>
          <w:sz w:val="28"/>
          <w:szCs w:val="28"/>
        </w:rPr>
      </w:pPr>
    </w:p>
    <w:p>
      <w:pPr>
        <w:pStyle w:val="BodyText"/>
        <w:spacing w:line="516" w:lineRule="auto" w:before="44"/>
        <w:ind w:left="1424" w:right="0" w:hanging="291"/>
        <w:jc w:val="left"/>
      </w:pPr>
      <w:r>
        <w:rPr/>
        <w:t>力争实现双赢局面。 </w:t>
      </w:r>
      <w:r>
        <w:rPr>
          <w:spacing w:val="-1"/>
        </w:rPr>
        <w:t>在保障社会等其他利益相关者权益方面，公司始终将依法经营作为公司运行的基本原则，注重企业经济效益与社会效益</w:t>
      </w:r>
    </w:p>
    <w:p>
      <w:pPr>
        <w:pStyle w:val="BodyText"/>
        <w:spacing w:line="240" w:lineRule="auto" w:before="26"/>
        <w:ind w:right="0"/>
        <w:jc w:val="left"/>
      </w:pPr>
      <w:r>
        <w:rPr/>
        <w:t>的同步共赢；公司严格遵守国家法律、法规、政策的规定，始终依法经营，积极纳税，支持地方经济的发展。</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0"/>
          <w:szCs w:val="20"/>
        </w:rPr>
      </w:pPr>
    </w:p>
    <w:p>
      <w:pPr>
        <w:pStyle w:val="Heading3"/>
        <w:spacing w:line="240" w:lineRule="auto"/>
        <w:ind w:left="1133" w:right="0"/>
        <w:jc w:val="left"/>
        <w:rPr>
          <w:b w:val="0"/>
          <w:bCs w:val="0"/>
        </w:rPr>
      </w:pPr>
      <w:bookmarkStart w:name="2、履行精准扶贫社会责任情况" w:id="98"/>
      <w:bookmarkEnd w:id="98"/>
      <w:r>
        <w:rPr>
          <w:b w:val="0"/>
          <w:bCs w:val="0"/>
        </w:rPr>
      </w:r>
      <w:r>
        <w:rPr>
          <w:rFonts w:ascii="Times New Roman" w:hAnsi="Times New Roman" w:cs="Times New Roman" w:eastAsia="Times New Roman" w:hint="default"/>
        </w:rPr>
        <w:t>2</w:t>
      </w:r>
      <w:r>
        <w:rPr/>
        <w:t>、履行精准扶贫社会责任情况</w:t>
      </w:r>
      <w:r>
        <w:rPr>
          <w:b w:val="0"/>
          <w:bCs w:val="0"/>
        </w:rPr>
      </w:r>
    </w:p>
    <w:p>
      <w:pPr>
        <w:spacing w:line="240" w:lineRule="auto" w:before="0"/>
        <w:rPr>
          <w:rFonts w:ascii="宋体" w:hAnsi="宋体" w:cs="宋体" w:eastAsia="宋体" w:hint="default"/>
          <w:b/>
          <w:bCs/>
          <w:sz w:val="22"/>
          <w:szCs w:val="22"/>
        </w:rPr>
      </w:pPr>
    </w:p>
    <w:p>
      <w:pPr>
        <w:spacing w:line="240" w:lineRule="auto" w:before="4"/>
        <w:rPr>
          <w:rFonts w:ascii="宋体" w:hAnsi="宋体" w:cs="宋体" w:eastAsia="宋体" w:hint="default"/>
          <w:b/>
          <w:bCs/>
          <w:sz w:val="16"/>
          <w:szCs w:val="16"/>
        </w:rPr>
      </w:pPr>
    </w:p>
    <w:p>
      <w:pPr>
        <w:pStyle w:val="BodyText"/>
        <w:spacing w:line="240" w:lineRule="auto"/>
        <w:ind w:left="1133" w:right="0"/>
        <w:jc w:val="left"/>
      </w:pPr>
      <w:r>
        <w:rPr/>
        <w:t>公司报告年度暂未开展精准扶贫工作，也暂无后续精准扶贫计划</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0"/>
          <w:szCs w:val="20"/>
        </w:rPr>
      </w:pPr>
    </w:p>
    <w:p>
      <w:pPr>
        <w:pStyle w:val="Heading3"/>
        <w:spacing w:line="240" w:lineRule="auto"/>
        <w:ind w:right="0"/>
        <w:jc w:val="left"/>
        <w:rPr>
          <w:b w:val="0"/>
          <w:bCs w:val="0"/>
        </w:rPr>
      </w:pPr>
      <w:bookmarkStart w:name="3、环境保护相关的情况" w:id="99"/>
      <w:bookmarkEnd w:id="99"/>
      <w:r>
        <w:rPr>
          <w:b w:val="0"/>
          <w:bCs w:val="0"/>
        </w:rPr>
      </w:r>
      <w:r>
        <w:rPr>
          <w:rFonts w:ascii="Times New Roman" w:hAnsi="Times New Roman" w:cs="Times New Roman" w:eastAsia="Times New Roman" w:hint="default"/>
        </w:rPr>
        <w:t>3</w:t>
      </w:r>
      <w:r>
        <w:rPr/>
        <w:t>、环境保护相关的情况</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pStyle w:val="BodyText"/>
        <w:spacing w:line="518" w:lineRule="auto"/>
        <w:ind w:right="5712"/>
        <w:jc w:val="left"/>
      </w:pPr>
      <w:r>
        <w:rPr/>
        <w:t>上市公司及其子公司是否属于环境保护部门公布的重点排污单位 否</w:t>
      </w:r>
    </w:p>
    <w:p>
      <w:pPr>
        <w:pStyle w:val="BodyText"/>
        <w:spacing w:line="240" w:lineRule="auto" w:before="62"/>
        <w:ind w:right="0"/>
        <w:jc w:val="left"/>
      </w:pPr>
      <w:r>
        <w:rPr/>
        <w:t>不适用</w:t>
      </w: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18"/>
          <w:szCs w:val="18"/>
        </w:rPr>
      </w:pPr>
    </w:p>
    <w:p>
      <w:pPr>
        <w:pStyle w:val="Heading2"/>
        <w:spacing w:line="240" w:lineRule="auto"/>
        <w:ind w:left="1134" w:right="0"/>
        <w:jc w:val="left"/>
        <w:rPr>
          <w:b w:val="0"/>
          <w:bCs w:val="0"/>
        </w:rPr>
      </w:pPr>
      <w:bookmarkStart w:name="十八、其他重大事项的说明" w:id="100"/>
      <w:bookmarkEnd w:id="100"/>
      <w:r>
        <w:rPr>
          <w:b w:val="0"/>
          <w:bCs w:val="0"/>
        </w:rPr>
      </w:r>
      <w:r>
        <w:rPr/>
        <w:t>十八、其他重大事项的说明</w:t>
      </w:r>
      <w:r>
        <w:rPr>
          <w:b w:val="0"/>
          <w:bCs w:val="0"/>
        </w:rPr>
      </w:r>
    </w:p>
    <w:p>
      <w:pPr>
        <w:spacing w:line="240" w:lineRule="auto" w:before="0"/>
        <w:rPr>
          <w:rFonts w:ascii="宋体" w:hAnsi="宋体" w:cs="宋体" w:eastAsia="宋体" w:hint="default"/>
          <w:b/>
          <w:bCs/>
          <w:sz w:val="24"/>
          <w:szCs w:val="24"/>
        </w:rPr>
      </w:pPr>
    </w:p>
    <w:p>
      <w:pPr>
        <w:pStyle w:val="BodyText"/>
        <w:spacing w:line="470" w:lineRule="auto" w:before="189"/>
        <w:ind w:left="1133" w:right="113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5</w:t>
      </w:r>
      <w:r>
        <w:rPr/>
        <w:t>日，公司与湖南源鸿科技股份有限公司合资设立的公司取得由广州市番禺区工商行政管理局核发的《营业执 照》，公司及时予以了公告，具体内容详见公司</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5</w:t>
      </w:r>
      <w:r>
        <w:rPr/>
        <w:t>日披露于巨潮资讯网的相关公告（公告编号：</w:t>
      </w:r>
      <w:r>
        <w:rPr>
          <w:rFonts w:ascii="Times New Roman" w:hAnsi="Times New Roman" w:cs="Times New Roman" w:eastAsia="Times New Roman" w:hint="default"/>
        </w:rPr>
        <w:t>2017-001</w:t>
      </w:r>
      <w:r>
        <w:rPr/>
        <w:t>）。</w:t>
      </w:r>
    </w:p>
    <w:p>
      <w:pPr>
        <w:pStyle w:val="BodyText"/>
        <w:spacing w:line="456" w:lineRule="auto" w:before="27"/>
        <w:ind w:left="1133" w:right="1131"/>
        <w:jc w:val="left"/>
      </w:pPr>
      <w:r>
        <w:rPr>
          <w:rFonts w:ascii="Times New Roman" w:hAnsi="Times New Roman" w:cs="Times New Roman" w:eastAsia="Times New Roman" w:hint="default"/>
          <w:spacing w:val="-2"/>
        </w:rPr>
        <w:t>2</w:t>
      </w:r>
      <w:r>
        <w:rPr>
          <w:spacing w:val="-2"/>
        </w:rPr>
        <w:t>、</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10</w:t>
      </w:r>
      <w:r>
        <w:rPr>
          <w:spacing w:val="-2"/>
        </w:rPr>
        <w:t>日，公司召开第二届董事会第二十八次会议，审议通过了《关于部分募集资金投资项目结项并将节余募集资</w:t>
      </w:r>
      <w:r>
        <w:rPr>
          <w:spacing w:val="-58"/>
        </w:rPr>
        <w:t> </w:t>
      </w:r>
      <w:r>
        <w:rPr>
          <w:spacing w:val="-58"/>
        </w:rPr>
      </w:r>
      <w:r>
        <w:rPr>
          <w:spacing w:val="-2"/>
        </w:rPr>
        <w:t>金永久性补充流动资金的议案》、《关于关联自然人为公司向银行申请授信提供关联担保的议案》以及《关于召开公司</w:t>
      </w:r>
      <w:r>
        <w:rPr>
          <w:rFonts w:ascii="Times New Roman" w:hAnsi="Times New Roman" w:cs="Times New Roman" w:eastAsia="Times New Roman" w:hint="default"/>
          <w:spacing w:val="-2"/>
        </w:rPr>
        <w:t>2017</w:t>
      </w:r>
      <w:r>
        <w:rPr>
          <w:rFonts w:ascii="Times New Roman" w:hAnsi="Times New Roman" w:cs="Times New Roman" w:eastAsia="Times New Roman" w:hint="default"/>
          <w:spacing w:val="-17"/>
        </w:rPr>
        <w:t> </w:t>
      </w:r>
      <w:r>
        <w:rPr>
          <w:spacing w:val="-2"/>
        </w:rPr>
        <w:t>年第一次临时股东大会的议案》等议案；同日，公司收到龙中胜先生辞去副总经理职务的辞职函，龙中胜先生辞去前述职务</w:t>
      </w:r>
      <w:r>
        <w:rPr>
          <w:spacing w:val="-66"/>
        </w:rPr>
        <w:t> </w:t>
      </w:r>
      <w:r>
        <w:rPr>
          <w:spacing w:val="-66"/>
        </w:rPr>
      </w:r>
      <w:r>
        <w:rPr/>
        <w:t>后将继续在公司任职，前述具体内容详见公司</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10</w:t>
      </w:r>
      <w:r>
        <w:rPr/>
        <w:t>日披露于巨潮资讯网的相关公告（公告编号：</w:t>
      </w:r>
      <w:r>
        <w:rPr>
          <w:rFonts w:ascii="Times New Roman" w:hAnsi="Times New Roman" w:cs="Times New Roman" w:eastAsia="Times New Roman" w:hint="default"/>
        </w:rPr>
        <w:t>2017-002</w:t>
      </w:r>
      <w:r>
        <w:rPr/>
        <w:t>）。 </w:t>
      </w:r>
      <w:r>
        <w:rPr>
          <w:rFonts w:ascii="Times New Roman" w:hAnsi="Times New Roman" w:cs="Times New Roman" w:eastAsia="Times New Roman" w:hint="default"/>
          <w:spacing w:val="-3"/>
        </w:rPr>
        <w:t>3</w:t>
      </w:r>
      <w:r>
        <w:rPr>
          <w:spacing w:val="-3"/>
        </w:rPr>
        <w:t>、</w:t>
      </w:r>
      <w:r>
        <w:rPr>
          <w:rFonts w:ascii="Times New Roman" w:hAnsi="Times New Roman" w:cs="Times New Roman" w:eastAsia="Times New Roman" w:hint="default"/>
          <w:spacing w:val="-3"/>
        </w:rPr>
        <w:t>2017</w:t>
      </w:r>
      <w:r>
        <w:rPr>
          <w:spacing w:val="-3"/>
        </w:rPr>
        <w:t>年</w:t>
      </w:r>
      <w:r>
        <w:rPr>
          <w:rFonts w:ascii="Times New Roman" w:hAnsi="Times New Roman" w:cs="Times New Roman" w:eastAsia="Times New Roman" w:hint="default"/>
          <w:spacing w:val="-3"/>
        </w:rPr>
        <w:t>1</w:t>
      </w:r>
      <w:r>
        <w:rPr>
          <w:spacing w:val="-3"/>
        </w:rPr>
        <w:t>月</w:t>
      </w:r>
      <w:r>
        <w:rPr>
          <w:rFonts w:ascii="Times New Roman" w:hAnsi="Times New Roman" w:cs="Times New Roman" w:eastAsia="Times New Roman" w:hint="default"/>
          <w:spacing w:val="-3"/>
        </w:rPr>
        <w:t>23</w:t>
      </w:r>
      <w:r>
        <w:rPr>
          <w:spacing w:val="-3"/>
        </w:rPr>
        <w:t>日，公司发布了《</w:t>
      </w:r>
      <w:r>
        <w:rPr>
          <w:rFonts w:ascii="Times New Roman" w:hAnsi="Times New Roman" w:cs="Times New Roman" w:eastAsia="Times New Roman" w:hint="default"/>
          <w:spacing w:val="-3"/>
        </w:rPr>
        <w:t>2016</w:t>
      </w:r>
      <w:r>
        <w:rPr>
          <w:spacing w:val="-3"/>
        </w:rPr>
        <w:t>年度业绩预告》，具体内容详见公司</w:t>
      </w:r>
      <w:r>
        <w:rPr>
          <w:rFonts w:ascii="Times New Roman" w:hAnsi="Times New Roman" w:cs="Times New Roman" w:eastAsia="Times New Roman" w:hint="default"/>
          <w:spacing w:val="-3"/>
        </w:rPr>
        <w:t>2017</w:t>
      </w:r>
      <w:r>
        <w:rPr>
          <w:spacing w:val="-3"/>
        </w:rPr>
        <w:t>年</w:t>
      </w:r>
      <w:r>
        <w:rPr>
          <w:rFonts w:ascii="Times New Roman" w:hAnsi="Times New Roman" w:cs="Times New Roman" w:eastAsia="Times New Roman" w:hint="default"/>
          <w:spacing w:val="-3"/>
        </w:rPr>
        <w:t>1</w:t>
      </w:r>
      <w:r>
        <w:rPr>
          <w:spacing w:val="-3"/>
        </w:rPr>
        <w:t>月</w:t>
      </w:r>
      <w:r>
        <w:rPr>
          <w:rFonts w:ascii="Times New Roman" w:hAnsi="Times New Roman" w:cs="Times New Roman" w:eastAsia="Times New Roman" w:hint="default"/>
          <w:spacing w:val="-3"/>
        </w:rPr>
        <w:t>23</w:t>
      </w:r>
      <w:r>
        <w:rPr>
          <w:spacing w:val="-3"/>
        </w:rPr>
        <w:t>日披露于巨潮资讯网的相关公告（公</w:t>
      </w:r>
      <w:r>
        <w:rPr>
          <w:spacing w:val="-72"/>
        </w:rPr>
        <w:t> </w:t>
      </w:r>
      <w:r>
        <w:rPr>
          <w:spacing w:val="-72"/>
        </w:rPr>
      </w:r>
      <w:r>
        <w:rPr/>
        <w:t>告编号：</w:t>
      </w:r>
      <w:r>
        <w:rPr>
          <w:rFonts w:ascii="Times New Roman" w:hAnsi="Times New Roman" w:cs="Times New Roman" w:eastAsia="Times New Roman" w:hint="default"/>
        </w:rPr>
        <w:t>2017-003</w:t>
      </w:r>
      <w:r>
        <w:rPr/>
        <w:t>）。 </w:t>
      </w:r>
      <w:r>
        <w:rPr>
          <w:rFonts w:ascii="Times New Roman" w:hAnsi="Times New Roman" w:cs="Times New Roman" w:eastAsia="Times New Roman" w:hint="default"/>
          <w:spacing w:val="-2"/>
        </w:rPr>
        <w:t>4</w:t>
      </w:r>
      <w:r>
        <w:rPr>
          <w:spacing w:val="-2"/>
        </w:rPr>
        <w:t>、</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2</w:t>
      </w:r>
      <w:r>
        <w:rPr>
          <w:spacing w:val="-2"/>
        </w:rPr>
        <w:t>月</w:t>
      </w:r>
      <w:r>
        <w:rPr>
          <w:rFonts w:ascii="Times New Roman" w:hAnsi="Times New Roman" w:cs="Times New Roman" w:eastAsia="Times New Roman" w:hint="default"/>
          <w:spacing w:val="-2"/>
        </w:rPr>
        <w:t>10</w:t>
      </w:r>
      <w:r>
        <w:rPr>
          <w:spacing w:val="-2"/>
        </w:rPr>
        <w:t>日，公司召开</w:t>
      </w:r>
      <w:r>
        <w:rPr>
          <w:rFonts w:ascii="Times New Roman" w:hAnsi="Times New Roman" w:cs="Times New Roman" w:eastAsia="Times New Roman" w:hint="default"/>
          <w:spacing w:val="-2"/>
        </w:rPr>
        <w:t>2017</w:t>
      </w:r>
      <w:r>
        <w:rPr>
          <w:spacing w:val="-2"/>
        </w:rPr>
        <w:t>年第一次临时股东大会，审议通过了《关于关联自然人为公司向银行申请授信提供关联担</w:t>
      </w:r>
      <w:r>
        <w:rPr>
          <w:spacing w:val="-55"/>
        </w:rPr>
        <w:t> </w:t>
      </w:r>
      <w:r>
        <w:rPr>
          <w:spacing w:val="-55"/>
        </w:rPr>
      </w:r>
      <w:r>
        <w:rPr>
          <w:spacing w:val="-2"/>
        </w:rPr>
        <w:t>保的议案》以及《关于修改公司章程并办理工商变更登记的议案》等相关议案，广东信达律师事务所对公司本次股东大会的</w:t>
      </w:r>
      <w:r>
        <w:rPr>
          <w:spacing w:val="-66"/>
        </w:rPr>
        <w:t> </w:t>
      </w:r>
      <w:r>
        <w:rPr>
          <w:spacing w:val="-66"/>
        </w:rPr>
      </w:r>
      <w:r>
        <w:rPr/>
        <w:t>召开进行了见证并出具了相应法律意见书，具体内容详见公司</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10</w:t>
      </w:r>
      <w:r>
        <w:rPr/>
        <w:t>日披露于巨潮资讯网的相关公告（公告编号： </w:t>
      </w:r>
      <w:r>
        <w:rPr>
          <w:rFonts w:ascii="Times New Roman" w:hAnsi="Times New Roman" w:cs="Times New Roman" w:eastAsia="Times New Roman" w:hint="default"/>
        </w:rPr>
        <w:t>2017-004</w:t>
      </w:r>
      <w:r>
        <w:rPr/>
        <w:t>）。</w:t>
      </w:r>
    </w:p>
    <w:p>
      <w:pPr>
        <w:pStyle w:val="BodyText"/>
        <w:spacing w:line="451" w:lineRule="auto" w:before="40"/>
        <w:ind w:right="1042"/>
        <w:jc w:val="left"/>
      </w:pPr>
      <w:r>
        <w:rPr>
          <w:rFonts w:ascii="Times New Roman" w:hAnsi="Times New Roman" w:cs="Times New Roman" w:eastAsia="Times New Roman" w:hint="default"/>
          <w:spacing w:val="-3"/>
        </w:rPr>
        <w:t>5</w:t>
      </w:r>
      <w:r>
        <w:rPr>
          <w:spacing w:val="-3"/>
        </w:rPr>
        <w:t>、</w:t>
      </w:r>
      <w:r>
        <w:rPr>
          <w:rFonts w:ascii="Times New Roman" w:hAnsi="Times New Roman" w:cs="Times New Roman" w:eastAsia="Times New Roman" w:hint="default"/>
          <w:spacing w:val="-3"/>
        </w:rPr>
        <w:t>2017</w:t>
      </w:r>
      <w:r>
        <w:rPr>
          <w:spacing w:val="-3"/>
        </w:rPr>
        <w:t>年</w:t>
      </w:r>
      <w:r>
        <w:rPr>
          <w:rFonts w:ascii="Times New Roman" w:hAnsi="Times New Roman" w:cs="Times New Roman" w:eastAsia="Times New Roman" w:hint="default"/>
          <w:spacing w:val="-3"/>
        </w:rPr>
        <w:t>2</w:t>
      </w:r>
      <w:r>
        <w:rPr>
          <w:spacing w:val="-3"/>
        </w:rPr>
        <w:t>月</w:t>
      </w:r>
      <w:r>
        <w:rPr>
          <w:rFonts w:ascii="Times New Roman" w:hAnsi="Times New Roman" w:cs="Times New Roman" w:eastAsia="Times New Roman" w:hint="default"/>
          <w:spacing w:val="-3"/>
        </w:rPr>
        <w:t>14</w:t>
      </w:r>
      <w:r>
        <w:rPr>
          <w:spacing w:val="-3"/>
        </w:rPr>
        <w:t>日，公司完成了部分限制性股票的回购注销手续并发布了《关于公司部分限制性股票回购注销完成的公告》，</w:t>
      </w:r>
      <w:r>
        <w:rPr/>
        <w:t> 具体内容详见公司</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14</w:t>
      </w:r>
      <w:r>
        <w:rPr/>
        <w:t>日披露于巨潮资讯网的相关公告（公告编号：</w:t>
      </w:r>
      <w:r>
        <w:rPr>
          <w:rFonts w:ascii="Times New Roman" w:hAnsi="Times New Roman" w:cs="Times New Roman" w:eastAsia="Times New Roman" w:hint="default"/>
        </w:rPr>
        <w:t>2017-005</w:t>
      </w:r>
      <w:r>
        <w:rPr/>
        <w:t>）。</w:t>
      </w:r>
    </w:p>
    <w:p>
      <w:pPr>
        <w:spacing w:after="0" w:line="451" w:lineRule="auto"/>
        <w:jc w:val="left"/>
        <w:sectPr>
          <w:pgSz w:w="11910" w:h="16840"/>
          <w:pgMar w:header="787" w:footer="640" w:top="1100" w:bottom="840" w:left="0" w:right="0"/>
        </w:sectPr>
      </w:pPr>
    </w:p>
    <w:p>
      <w:pPr>
        <w:spacing w:line="240" w:lineRule="auto" w:before="10"/>
        <w:rPr>
          <w:rFonts w:ascii="宋体" w:hAnsi="宋体" w:cs="宋体" w:eastAsia="宋体" w:hint="default"/>
          <w:sz w:val="28"/>
          <w:szCs w:val="28"/>
        </w:rPr>
      </w:pPr>
    </w:p>
    <w:p>
      <w:pPr>
        <w:pStyle w:val="BodyText"/>
        <w:spacing w:line="453" w:lineRule="auto" w:before="44"/>
        <w:ind w:left="1133" w:right="1131"/>
        <w:jc w:val="left"/>
      </w:pPr>
      <w:r>
        <w:rPr>
          <w:rFonts w:ascii="Times New Roman" w:hAnsi="Times New Roman" w:cs="Times New Roman" w:eastAsia="Times New Roman" w:hint="default"/>
          <w:spacing w:val="-3"/>
        </w:rPr>
        <w:t>6</w:t>
      </w:r>
      <w:r>
        <w:rPr>
          <w:spacing w:val="-3"/>
        </w:rPr>
        <w:t>、</w:t>
      </w:r>
      <w:r>
        <w:rPr>
          <w:rFonts w:ascii="Times New Roman" w:hAnsi="Times New Roman" w:cs="Times New Roman" w:eastAsia="Times New Roman" w:hint="default"/>
          <w:spacing w:val="-3"/>
        </w:rPr>
        <w:t>2017</w:t>
      </w:r>
      <w:r>
        <w:rPr>
          <w:spacing w:val="-3"/>
        </w:rPr>
        <w:t>年</w:t>
      </w:r>
      <w:r>
        <w:rPr>
          <w:rFonts w:ascii="Times New Roman" w:hAnsi="Times New Roman" w:cs="Times New Roman" w:eastAsia="Times New Roman" w:hint="default"/>
          <w:spacing w:val="-3"/>
        </w:rPr>
        <w:t>2</w:t>
      </w:r>
      <w:r>
        <w:rPr>
          <w:spacing w:val="-3"/>
        </w:rPr>
        <w:t>月</w:t>
      </w:r>
      <w:r>
        <w:rPr>
          <w:rFonts w:ascii="Times New Roman" w:hAnsi="Times New Roman" w:cs="Times New Roman" w:eastAsia="Times New Roman" w:hint="default"/>
          <w:spacing w:val="-3"/>
        </w:rPr>
        <w:t>24</w:t>
      </w:r>
      <w:r>
        <w:rPr>
          <w:spacing w:val="-3"/>
        </w:rPr>
        <w:t>日，公司发布了《</w:t>
      </w:r>
      <w:r>
        <w:rPr>
          <w:rFonts w:ascii="Times New Roman" w:hAnsi="Times New Roman" w:cs="Times New Roman" w:eastAsia="Times New Roman" w:hint="default"/>
          <w:spacing w:val="-3"/>
        </w:rPr>
        <w:t>2016</w:t>
      </w:r>
      <w:r>
        <w:rPr>
          <w:spacing w:val="-3"/>
        </w:rPr>
        <w:t>年度业绩快报》，具体内容详见公司</w:t>
      </w:r>
      <w:r>
        <w:rPr>
          <w:rFonts w:ascii="Times New Roman" w:hAnsi="Times New Roman" w:cs="Times New Roman" w:eastAsia="Times New Roman" w:hint="default"/>
          <w:spacing w:val="-3"/>
        </w:rPr>
        <w:t>2017</w:t>
      </w:r>
      <w:r>
        <w:rPr>
          <w:spacing w:val="-3"/>
        </w:rPr>
        <w:t>年</w:t>
      </w:r>
      <w:r>
        <w:rPr>
          <w:rFonts w:ascii="Times New Roman" w:hAnsi="Times New Roman" w:cs="Times New Roman" w:eastAsia="Times New Roman" w:hint="default"/>
          <w:spacing w:val="-3"/>
        </w:rPr>
        <w:t>2</w:t>
      </w:r>
      <w:r>
        <w:rPr>
          <w:spacing w:val="-3"/>
        </w:rPr>
        <w:t>月</w:t>
      </w:r>
      <w:r>
        <w:rPr>
          <w:rFonts w:ascii="Times New Roman" w:hAnsi="Times New Roman" w:cs="Times New Roman" w:eastAsia="Times New Roman" w:hint="default"/>
          <w:spacing w:val="-3"/>
        </w:rPr>
        <w:t>24</w:t>
      </w:r>
      <w:r>
        <w:rPr>
          <w:spacing w:val="-3"/>
        </w:rPr>
        <w:t>日披露于巨潮资讯网的相关公告（公</w:t>
      </w:r>
      <w:r>
        <w:rPr>
          <w:spacing w:val="-72"/>
        </w:rPr>
        <w:t> </w:t>
      </w:r>
      <w:r>
        <w:rPr>
          <w:spacing w:val="-72"/>
        </w:rPr>
      </w:r>
      <w:r>
        <w:rPr/>
        <w:t>告编号：</w:t>
      </w:r>
      <w:r>
        <w:rPr>
          <w:rFonts w:ascii="Times New Roman" w:hAnsi="Times New Roman" w:cs="Times New Roman" w:eastAsia="Times New Roman" w:hint="default"/>
        </w:rPr>
        <w:t>2017-006</w:t>
      </w:r>
      <w:r>
        <w:rPr/>
        <w:t>）。 </w:t>
      </w:r>
      <w:r>
        <w:rPr>
          <w:rFonts w:ascii="Times New Roman" w:hAnsi="Times New Roman" w:cs="Times New Roman" w:eastAsia="Times New Roman" w:hint="default"/>
        </w:rPr>
        <w:t>7</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14</w:t>
      </w:r>
      <w:r>
        <w:rPr/>
        <w:t>日，公司披露了《关于公司购买房产事项的进展公告》，具体内容详见公司</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14</w:t>
      </w:r>
      <w:r>
        <w:rPr/>
        <w:t>日披露于巨潮资讯 网的相关公告（公告编号：</w:t>
      </w:r>
      <w:r>
        <w:rPr>
          <w:rFonts w:ascii="Times New Roman" w:hAnsi="Times New Roman" w:cs="Times New Roman" w:eastAsia="Times New Roman" w:hint="default"/>
        </w:rPr>
        <w:t>2017-007</w:t>
      </w:r>
      <w:r>
        <w:rPr/>
        <w:t>）。 </w:t>
      </w:r>
      <w:r>
        <w:rPr>
          <w:rFonts w:ascii="Times New Roman" w:hAnsi="Times New Roman" w:cs="Times New Roman" w:eastAsia="Times New Roman" w:hint="default"/>
        </w:rPr>
        <w:t>8</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15</w:t>
      </w:r>
      <w:r>
        <w:rPr/>
        <w:t>日，公司披露了《关于注销部分募集资金专户的公告》，具体内容详见公司</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15</w:t>
      </w:r>
      <w:r>
        <w:rPr/>
        <w:t>日披露于巨潮资讯 网的相关公告（公告编号：</w:t>
      </w:r>
      <w:r>
        <w:rPr>
          <w:rFonts w:ascii="Times New Roman" w:hAnsi="Times New Roman" w:cs="Times New Roman" w:eastAsia="Times New Roman" w:hint="default"/>
        </w:rPr>
        <w:t>2017-008</w:t>
      </w:r>
      <w:r>
        <w:rPr/>
        <w:t>）。 </w:t>
      </w:r>
      <w:r>
        <w:rPr>
          <w:rFonts w:ascii="Times New Roman" w:hAnsi="Times New Roman" w:cs="Times New Roman" w:eastAsia="Times New Roman" w:hint="default"/>
          <w:spacing w:val="-2"/>
        </w:rPr>
        <w:t>9</w:t>
      </w:r>
      <w:r>
        <w:rPr>
          <w:spacing w:val="-2"/>
        </w:rPr>
        <w:t>、</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17</w:t>
      </w:r>
      <w:r>
        <w:rPr>
          <w:spacing w:val="-2"/>
        </w:rPr>
        <w:t>日，公司召开第二届董事会第二十九次会议，审议通过了《关于公司为向银行申请授信额度提供抵押担保的</w:t>
      </w:r>
      <w:r>
        <w:rPr>
          <w:spacing w:val="-58"/>
        </w:rPr>
        <w:t> </w:t>
      </w:r>
      <w:r>
        <w:rPr>
          <w:spacing w:val="-58"/>
        </w:rPr>
      </w:r>
      <w:r>
        <w:rPr>
          <w:spacing w:val="-2"/>
        </w:rPr>
        <w:t>议案》；同日，公司全资子公司广州市苏瑞计算机科技有限公司收到由广东省科学技术厅、广东省财政厅、广东省国家税务</w:t>
      </w:r>
      <w:r>
        <w:rPr>
          <w:spacing w:val="-66"/>
        </w:rPr>
        <w:t> </w:t>
      </w:r>
      <w:r>
        <w:rPr>
          <w:spacing w:val="-66"/>
        </w:rPr>
      </w:r>
      <w:r>
        <w:rPr/>
        <w:t>局以及广东省地方税务局联合颁发的《高新技术企业证书》，前述具体内容详见公司</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20</w:t>
      </w:r>
      <w:r>
        <w:rPr/>
        <w:t>日披露于巨潮资讯网的相 关公告（公告编号：</w:t>
      </w:r>
      <w:r>
        <w:rPr>
          <w:rFonts w:ascii="Times New Roman" w:hAnsi="Times New Roman" w:cs="Times New Roman" w:eastAsia="Times New Roman" w:hint="default"/>
        </w:rPr>
        <w:t>2017-009</w:t>
      </w:r>
      <w:r>
        <w:rPr/>
        <w:t>）。 </w:t>
      </w:r>
      <w:r>
        <w:rPr>
          <w:rFonts w:ascii="Times New Roman" w:hAnsi="Times New Roman" w:cs="Times New Roman" w:eastAsia="Times New Roman" w:hint="default"/>
        </w:rPr>
        <w:t>10</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21</w:t>
      </w:r>
      <w:r>
        <w:rPr/>
        <w:t>日，公司收到了由广州市工商行政管理局换发的《营业执照》并予以了及时公告，具体内容详见公司</w:t>
      </w:r>
      <w:r>
        <w:rPr>
          <w:rFonts w:ascii="Times New Roman" w:hAnsi="Times New Roman" w:cs="Times New Roman" w:eastAsia="Times New Roman" w:hint="default"/>
        </w:rPr>
        <w:t>2017 </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21</w:t>
      </w:r>
      <w:r>
        <w:rPr/>
        <w:t>日披露于巨潮资讯网的相关公告（公告编号：</w:t>
      </w:r>
      <w:r>
        <w:rPr>
          <w:rFonts w:ascii="Times New Roman" w:hAnsi="Times New Roman" w:cs="Times New Roman" w:eastAsia="Times New Roman" w:hint="default"/>
        </w:rPr>
        <w:t>2017-010</w:t>
      </w:r>
      <w:r>
        <w:rPr/>
        <w:t>）。 </w:t>
      </w:r>
      <w:r>
        <w:rPr>
          <w:rFonts w:ascii="Times New Roman" w:hAnsi="Times New Roman" w:cs="Times New Roman" w:eastAsia="Times New Roman" w:hint="default"/>
          <w:spacing w:val="-2"/>
        </w:rPr>
        <w:t>11</w:t>
      </w:r>
      <w:r>
        <w:rPr>
          <w:spacing w:val="-2"/>
        </w:rPr>
        <w:t>、</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29</w:t>
      </w:r>
      <w:r>
        <w:rPr>
          <w:spacing w:val="-2"/>
        </w:rPr>
        <w:t>日，公司披露了《关于公司为控股子公司提供担保事项的进展公告》，具体内容详见公司</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29</w:t>
      </w:r>
      <w:r>
        <w:rPr>
          <w:spacing w:val="-2"/>
        </w:rPr>
        <w:t>日披</w:t>
      </w:r>
    </w:p>
    <w:p>
      <w:pPr>
        <w:pStyle w:val="BodyText"/>
        <w:spacing w:line="240" w:lineRule="auto" w:before="41"/>
        <w:ind w:left="1133" w:right="0"/>
        <w:jc w:val="left"/>
      </w:pPr>
      <w:r>
        <w:rPr/>
        <w:t>露于巨潮资讯网的相关公告（公告编号：</w:t>
      </w:r>
      <w:r>
        <w:rPr>
          <w:rFonts w:ascii="Times New Roman" w:hAnsi="Times New Roman" w:cs="Times New Roman" w:eastAsia="Times New Roman" w:hint="default"/>
        </w:rPr>
        <w:t>2017-011</w:t>
      </w:r>
      <w:r>
        <w:rPr/>
        <w:t>）。</w:t>
      </w:r>
    </w:p>
    <w:p>
      <w:pPr>
        <w:spacing w:line="240" w:lineRule="auto" w:before="9"/>
        <w:rPr>
          <w:rFonts w:ascii="宋体" w:hAnsi="宋体" w:cs="宋体" w:eastAsia="宋体" w:hint="default"/>
          <w:sz w:val="16"/>
          <w:szCs w:val="16"/>
        </w:rPr>
      </w:pPr>
    </w:p>
    <w:p>
      <w:pPr>
        <w:pStyle w:val="BodyText"/>
        <w:spacing w:line="240" w:lineRule="auto"/>
        <w:ind w:right="0"/>
        <w:jc w:val="left"/>
      </w:pPr>
      <w:r>
        <w:rPr>
          <w:rFonts w:ascii="Times New Roman" w:hAnsi="Times New Roman" w:cs="Times New Roman" w:eastAsia="Times New Roman" w:hint="default"/>
        </w:rPr>
        <w:t>12</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30</w:t>
      </w:r>
      <w:r>
        <w:rPr/>
        <w:t>日，公司召开第二届董事会第三十次会议，审议通过了《关于</w:t>
      </w:r>
      <w:r>
        <w:rPr>
          <w:rFonts w:ascii="Times New Roman" w:hAnsi="Times New Roman" w:cs="Times New Roman" w:eastAsia="Times New Roman" w:hint="default"/>
        </w:rPr>
        <w:t>2016</w:t>
      </w:r>
      <w:r>
        <w:rPr/>
        <w:t>年年度报告及其摘要的议案》、《关于</w:t>
      </w:r>
    </w:p>
    <w:p>
      <w:pPr>
        <w:spacing w:line="240" w:lineRule="auto" w:before="10"/>
        <w:rPr>
          <w:rFonts w:ascii="宋体" w:hAnsi="宋体" w:cs="宋体" w:eastAsia="宋体" w:hint="default"/>
          <w:sz w:val="16"/>
          <w:szCs w:val="16"/>
        </w:rPr>
      </w:pPr>
    </w:p>
    <w:p>
      <w:pPr>
        <w:pStyle w:val="BodyText"/>
        <w:spacing w:line="451" w:lineRule="auto"/>
        <w:ind w:left="1133" w:right="1129"/>
        <w:jc w:val="both"/>
      </w:pPr>
      <w:r>
        <w:rPr>
          <w:rFonts w:ascii="Times New Roman" w:hAnsi="Times New Roman" w:cs="Times New Roman" w:eastAsia="Times New Roman" w:hint="default"/>
          <w:spacing w:val="-2"/>
        </w:rPr>
        <w:t>&lt;2016</w:t>
      </w:r>
      <w:r>
        <w:rPr>
          <w:spacing w:val="-2"/>
        </w:rPr>
        <w:t>年度利润分配预案</w:t>
      </w:r>
      <w:r>
        <w:rPr>
          <w:rFonts w:ascii="Times New Roman" w:hAnsi="Times New Roman" w:cs="Times New Roman" w:eastAsia="Times New Roman" w:hint="default"/>
          <w:spacing w:val="-2"/>
        </w:rPr>
        <w:t>&gt;</w:t>
      </w:r>
      <w:r>
        <w:rPr>
          <w:spacing w:val="-2"/>
        </w:rPr>
        <w:t>的议案》以及《关于延长公司非公开发行</w:t>
      </w:r>
      <w:r>
        <w:rPr>
          <w:rFonts w:ascii="Times New Roman" w:hAnsi="Times New Roman" w:cs="Times New Roman" w:eastAsia="Times New Roman" w:hint="default"/>
          <w:spacing w:val="-2"/>
        </w:rPr>
        <w:t>A</w:t>
      </w:r>
      <w:r>
        <w:rPr>
          <w:spacing w:val="-2"/>
        </w:rPr>
        <w:t>股股票股东大会决议有效期的议案》等相关议案，并同</w:t>
      </w:r>
      <w:r>
        <w:rPr>
          <w:spacing w:val="-35"/>
        </w:rPr>
        <w:t> </w:t>
      </w:r>
      <w:r>
        <w:rPr>
          <w:spacing w:val="-35"/>
        </w:rPr>
      </w:r>
      <w:r>
        <w:rPr/>
        <w:t>时披露了公司</w:t>
      </w:r>
      <w:r>
        <w:rPr>
          <w:rFonts w:ascii="Times New Roman" w:hAnsi="Times New Roman" w:cs="Times New Roman" w:eastAsia="Times New Roman" w:hint="default"/>
        </w:rPr>
        <w:t>2017</w:t>
      </w:r>
      <w:r>
        <w:rPr/>
        <w:t>年第一季度业绩预告情况，具体内容详见公司</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31</w:t>
      </w:r>
      <w:r>
        <w:rPr/>
        <w:t>日披露于巨潮资讯网的相关公告（公告编号： </w:t>
      </w:r>
      <w:r>
        <w:rPr>
          <w:rFonts w:ascii="Times New Roman" w:hAnsi="Times New Roman" w:cs="Times New Roman" w:eastAsia="Times New Roman" w:hint="default"/>
        </w:rPr>
        <w:t>2017-012</w:t>
      </w:r>
      <w:r>
        <w:rPr/>
        <w:t>）。</w:t>
      </w:r>
    </w:p>
    <w:p>
      <w:pPr>
        <w:pStyle w:val="BodyText"/>
        <w:spacing w:line="451" w:lineRule="auto" w:before="43"/>
        <w:ind w:left="1133" w:right="1123"/>
        <w:jc w:val="left"/>
      </w:pPr>
      <w:r>
        <w:rPr>
          <w:rFonts w:ascii="Times New Roman" w:hAnsi="Times New Roman" w:cs="Times New Roman" w:eastAsia="Times New Roman" w:hint="default"/>
        </w:rPr>
        <w:t>13</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17</w:t>
      </w:r>
      <w:r>
        <w:rPr/>
        <w:t>日，公司根据</w:t>
      </w:r>
      <w:r>
        <w:rPr>
          <w:rFonts w:ascii="Times New Roman" w:hAnsi="Times New Roman" w:cs="Times New Roman" w:eastAsia="Times New Roman" w:hint="default"/>
        </w:rPr>
        <w:t>2017</w:t>
      </w:r>
      <w:r>
        <w:rPr/>
        <w:t>年第一季度报告编制工作进展情况，向深圳证券交易所申请将</w:t>
      </w:r>
      <w:r>
        <w:rPr>
          <w:rFonts w:ascii="Times New Roman" w:hAnsi="Times New Roman" w:cs="Times New Roman" w:eastAsia="Times New Roman" w:hint="default"/>
        </w:rPr>
        <w:t>2017</w:t>
      </w:r>
      <w:r>
        <w:rPr/>
        <w:t>年第一季度报告的披 露时间由原定</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25</w:t>
      </w:r>
      <w:r>
        <w:rPr/>
        <w:t>日变更为</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21</w:t>
      </w:r>
      <w:r>
        <w:rPr/>
        <w:t>日并获准，具体内容详见公司</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17</w:t>
      </w:r>
      <w:r>
        <w:rPr/>
        <w:t>日披露于巨潮资讯网的相关公告</w:t>
      </w:r>
    </w:p>
    <w:p>
      <w:pPr>
        <w:pStyle w:val="BodyText"/>
        <w:spacing w:line="451" w:lineRule="auto" w:before="43"/>
        <w:ind w:left="1133" w:right="1097"/>
        <w:jc w:val="left"/>
      </w:pPr>
      <w:r>
        <w:rPr/>
        <w:t>（公告编号：</w:t>
      </w:r>
      <w:r>
        <w:rPr>
          <w:rFonts w:ascii="Times New Roman" w:hAnsi="Times New Roman" w:cs="Times New Roman" w:eastAsia="Times New Roman" w:hint="default"/>
        </w:rPr>
        <w:t>2017-013</w:t>
      </w:r>
      <w:r>
        <w:rPr/>
        <w:t>）。 </w:t>
      </w:r>
      <w:r>
        <w:rPr>
          <w:rFonts w:ascii="Times New Roman" w:hAnsi="Times New Roman" w:cs="Times New Roman" w:eastAsia="Times New Roman" w:hint="default"/>
          <w:spacing w:val="-2"/>
        </w:rPr>
        <w:t>14</w:t>
      </w:r>
      <w:r>
        <w:rPr>
          <w:spacing w:val="-2"/>
        </w:rPr>
        <w:t>、</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18</w:t>
      </w:r>
      <w:r>
        <w:rPr>
          <w:spacing w:val="-2"/>
        </w:rPr>
        <w:t>日，公司发布了《关于召开公司</w:t>
      </w:r>
      <w:r>
        <w:rPr>
          <w:rFonts w:ascii="Times New Roman" w:hAnsi="Times New Roman" w:cs="Times New Roman" w:eastAsia="Times New Roman" w:hint="default"/>
          <w:spacing w:val="-2"/>
        </w:rPr>
        <w:t>2016</w:t>
      </w:r>
      <w:r>
        <w:rPr>
          <w:spacing w:val="-2"/>
        </w:rPr>
        <w:t>年年度股东大会的提示性公告》，具体内容详见公司</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18</w:t>
      </w:r>
      <w:r>
        <w:rPr>
          <w:spacing w:val="-2"/>
        </w:rPr>
        <w:t>日披</w:t>
      </w:r>
      <w:r>
        <w:rPr>
          <w:spacing w:val="-46"/>
        </w:rPr>
        <w:t> </w:t>
      </w:r>
      <w:r>
        <w:rPr/>
        <w:t>露于巨潮资讯网的相关公告（公告编号：</w:t>
      </w:r>
      <w:r>
        <w:rPr>
          <w:rFonts w:ascii="Times New Roman" w:hAnsi="Times New Roman" w:cs="Times New Roman" w:eastAsia="Times New Roman" w:hint="default"/>
        </w:rPr>
        <w:t>2017-014</w:t>
      </w:r>
      <w:r>
        <w:rPr/>
        <w:t>）。 </w:t>
      </w:r>
      <w:r>
        <w:rPr>
          <w:rFonts w:ascii="Times New Roman" w:hAnsi="Times New Roman" w:cs="Times New Roman" w:eastAsia="Times New Roman" w:hint="default"/>
        </w:rPr>
        <w:t>15</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19</w:t>
      </w:r>
      <w:r>
        <w:rPr/>
        <w:t>日，公司接到持股</w:t>
      </w:r>
      <w:r>
        <w:rPr>
          <w:rFonts w:ascii="Times New Roman" w:hAnsi="Times New Roman" w:cs="Times New Roman" w:eastAsia="Times New Roman" w:hint="default"/>
        </w:rPr>
        <w:t>5%</w:t>
      </w:r>
      <w:r>
        <w:rPr/>
        <w:t>以上股东雷洪文先生通知，其于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18</w:t>
      </w:r>
      <w:r>
        <w:rPr/>
        <w:t>日将其所持有的的公司股份</w:t>
      </w:r>
      <w:r>
        <w:rPr>
          <w:rFonts w:ascii="Times New Roman" w:hAnsi="Times New Roman" w:cs="Times New Roman" w:eastAsia="Times New Roman" w:hint="default"/>
        </w:rPr>
        <w:t>750.00</w:t>
      </w:r>
      <w:r>
        <w:rPr/>
        <w:t>万股 </w:t>
      </w:r>
      <w:r>
        <w:rPr>
          <w:spacing w:val="-5"/>
        </w:rPr>
        <w:t>质押给中国银河证券股份有限公司，具体内容详见公司</w:t>
      </w:r>
      <w:r>
        <w:rPr>
          <w:rFonts w:ascii="Times New Roman" w:hAnsi="Times New Roman" w:cs="Times New Roman" w:eastAsia="Times New Roman" w:hint="default"/>
          <w:spacing w:val="-5"/>
        </w:rPr>
        <w:t>2017</w:t>
      </w:r>
      <w:r>
        <w:rPr>
          <w:spacing w:val="-5"/>
        </w:rPr>
        <w:t>年</w:t>
      </w:r>
      <w:r>
        <w:rPr>
          <w:rFonts w:ascii="Times New Roman" w:hAnsi="Times New Roman" w:cs="Times New Roman" w:eastAsia="Times New Roman" w:hint="default"/>
          <w:spacing w:val="-5"/>
        </w:rPr>
        <w:t>4</w:t>
      </w:r>
      <w:r>
        <w:rPr>
          <w:spacing w:val="-5"/>
        </w:rPr>
        <w:t>月</w:t>
      </w:r>
      <w:r>
        <w:rPr>
          <w:rFonts w:ascii="Times New Roman" w:hAnsi="Times New Roman" w:cs="Times New Roman" w:eastAsia="Times New Roman" w:hint="default"/>
          <w:spacing w:val="-5"/>
        </w:rPr>
        <w:t>19</w:t>
      </w:r>
      <w:r>
        <w:rPr>
          <w:spacing w:val="-5"/>
        </w:rPr>
        <w:t>日披露于巨潮资讯网的相关公告（公告编号：</w:t>
      </w:r>
      <w:r>
        <w:rPr>
          <w:rFonts w:ascii="Times New Roman" w:hAnsi="Times New Roman" w:cs="Times New Roman" w:eastAsia="Times New Roman" w:hint="default"/>
          <w:spacing w:val="-5"/>
        </w:rPr>
        <w:t>2017-015</w:t>
      </w:r>
      <w:r>
        <w:rPr>
          <w:spacing w:val="-5"/>
        </w:rPr>
        <w:t>）。</w:t>
      </w:r>
      <w:r>
        <w:rPr>
          <w:spacing w:val="-65"/>
        </w:rPr>
        <w:t> </w:t>
      </w:r>
      <w:r>
        <w:rPr>
          <w:rFonts w:ascii="Times New Roman" w:hAnsi="Times New Roman" w:cs="Times New Roman" w:eastAsia="Times New Roman" w:hint="default"/>
          <w:spacing w:val="-4"/>
        </w:rPr>
        <w:t>16</w:t>
      </w:r>
      <w:r>
        <w:rPr>
          <w:spacing w:val="-4"/>
        </w:rPr>
        <w:t>、</w:t>
      </w:r>
      <w:r>
        <w:rPr>
          <w:rFonts w:ascii="Times New Roman" w:hAnsi="Times New Roman" w:cs="Times New Roman" w:eastAsia="Times New Roman" w:hint="default"/>
          <w:spacing w:val="-4"/>
        </w:rPr>
        <w:t>2017</w:t>
      </w:r>
      <w:r>
        <w:rPr>
          <w:spacing w:val="-4"/>
        </w:rPr>
        <w:t>年</w:t>
      </w:r>
      <w:r>
        <w:rPr>
          <w:rFonts w:ascii="Times New Roman" w:hAnsi="Times New Roman" w:cs="Times New Roman" w:eastAsia="Times New Roman" w:hint="default"/>
          <w:spacing w:val="-4"/>
        </w:rPr>
        <w:t>4</w:t>
      </w:r>
      <w:r>
        <w:rPr>
          <w:spacing w:val="-4"/>
        </w:rPr>
        <w:t>月</w:t>
      </w:r>
      <w:r>
        <w:rPr>
          <w:rFonts w:ascii="Times New Roman" w:hAnsi="Times New Roman" w:cs="Times New Roman" w:eastAsia="Times New Roman" w:hint="default"/>
          <w:spacing w:val="-4"/>
        </w:rPr>
        <w:t>20</w:t>
      </w:r>
      <w:r>
        <w:rPr>
          <w:spacing w:val="-4"/>
        </w:rPr>
        <w:t>日，公司召开第二届董事会第三十一次会议，审议通过了《关于公司</w:t>
      </w:r>
      <w:r>
        <w:rPr>
          <w:rFonts w:ascii="Times New Roman" w:hAnsi="Times New Roman" w:cs="Times New Roman" w:eastAsia="Times New Roman" w:hint="default"/>
          <w:spacing w:val="-4"/>
        </w:rPr>
        <w:t>&lt;2017</w:t>
      </w:r>
      <w:r>
        <w:rPr>
          <w:spacing w:val="-4"/>
        </w:rPr>
        <w:t>年第一季度报告</w:t>
      </w:r>
      <w:r>
        <w:rPr>
          <w:rFonts w:ascii="Times New Roman" w:hAnsi="Times New Roman" w:cs="Times New Roman" w:eastAsia="Times New Roman" w:hint="default"/>
          <w:spacing w:val="-4"/>
        </w:rPr>
        <w:t>&gt;</w:t>
      </w:r>
      <w:r>
        <w:rPr>
          <w:spacing w:val="-4"/>
        </w:rPr>
        <w:t>的议案》、《关</w:t>
      </w:r>
      <w:r>
        <w:rPr>
          <w:spacing w:val="-38"/>
        </w:rPr>
        <w:t> </w:t>
      </w:r>
      <w:r>
        <w:rPr>
          <w:spacing w:val="-38"/>
        </w:rPr>
      </w:r>
      <w:r>
        <w:rPr/>
        <w:t>于前次募集资金使用情况报告的议案》以及《关于召开公司</w:t>
      </w:r>
      <w:r>
        <w:rPr>
          <w:rFonts w:ascii="Times New Roman" w:hAnsi="Times New Roman" w:cs="Times New Roman" w:eastAsia="Times New Roman" w:hint="default"/>
        </w:rPr>
        <w:t>2017</w:t>
      </w:r>
      <w:r>
        <w:rPr/>
        <w:t>年第二次临时股东大会的议案》，具体内容详见公司</w:t>
      </w:r>
      <w:r>
        <w:rPr>
          <w:rFonts w:ascii="Times New Roman" w:hAnsi="Times New Roman" w:cs="Times New Roman" w:eastAsia="Times New Roman" w:hint="default"/>
        </w:rPr>
        <w:t>2017 </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21</w:t>
      </w:r>
      <w:r>
        <w:rPr/>
        <w:t>日披露于巨潮资讯网的相关公告（公告编号：</w:t>
      </w:r>
      <w:r>
        <w:rPr>
          <w:rFonts w:ascii="Times New Roman" w:hAnsi="Times New Roman" w:cs="Times New Roman" w:eastAsia="Times New Roman" w:hint="default"/>
        </w:rPr>
        <w:t>2017-016</w:t>
      </w:r>
      <w:r>
        <w:rPr/>
        <w:t>）。 </w:t>
      </w:r>
      <w:r>
        <w:rPr>
          <w:rFonts w:ascii="Times New Roman" w:hAnsi="Times New Roman" w:cs="Times New Roman" w:eastAsia="Times New Roman" w:hint="default"/>
        </w:rPr>
        <w:t>17</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21</w:t>
      </w:r>
      <w:r>
        <w:rPr/>
        <w:t>日，公司召开</w:t>
      </w:r>
      <w:r>
        <w:rPr>
          <w:rFonts w:ascii="Times New Roman" w:hAnsi="Times New Roman" w:cs="Times New Roman" w:eastAsia="Times New Roman" w:hint="default"/>
        </w:rPr>
        <w:t>2016</w:t>
      </w:r>
      <w:r>
        <w:rPr/>
        <w:t>年年度股东大会，审议通过了《关于</w:t>
      </w:r>
      <w:r>
        <w:rPr>
          <w:rFonts w:ascii="Times New Roman" w:hAnsi="Times New Roman" w:cs="Times New Roman" w:eastAsia="Times New Roman" w:hint="default"/>
        </w:rPr>
        <w:t>2016</w:t>
      </w:r>
      <w:r>
        <w:rPr/>
        <w:t>年年度报告及其摘要的议案》、《关于</w:t>
      </w:r>
      <w:r>
        <w:rPr>
          <w:rFonts w:ascii="Times New Roman" w:hAnsi="Times New Roman" w:cs="Times New Roman" w:eastAsia="Times New Roman" w:hint="default"/>
        </w:rPr>
        <w:t>&lt;2016 </w:t>
      </w:r>
      <w:r>
        <w:rPr/>
        <w:t>年度利润分配预案</w:t>
      </w:r>
      <w:r>
        <w:rPr>
          <w:rFonts w:ascii="Times New Roman" w:hAnsi="Times New Roman" w:cs="Times New Roman" w:eastAsia="Times New Roman" w:hint="default"/>
        </w:rPr>
        <w:t>&gt;</w:t>
      </w:r>
      <w:r>
        <w:rPr/>
        <w:t>的议案》以及《关于延长公司非公开发行</w:t>
      </w:r>
      <w:r>
        <w:rPr>
          <w:rFonts w:ascii="Times New Roman" w:hAnsi="Times New Roman" w:cs="Times New Roman" w:eastAsia="Times New Roman" w:hint="default"/>
        </w:rPr>
        <w:t>A</w:t>
      </w:r>
      <w:r>
        <w:rPr/>
        <w:t>股股票股东大会决议有效期的议案》等相关议案，广东信达</w:t>
      </w:r>
    </w:p>
    <w:p>
      <w:pPr>
        <w:spacing w:after="0" w:line="451" w:lineRule="auto"/>
        <w:jc w:val="left"/>
        <w:sectPr>
          <w:pgSz w:w="11910" w:h="16840"/>
          <w:pgMar w:header="787" w:footer="640" w:top="1100" w:bottom="840" w:left="0" w:right="0"/>
        </w:sectPr>
      </w:pPr>
    </w:p>
    <w:p>
      <w:pPr>
        <w:spacing w:line="240" w:lineRule="auto" w:before="10"/>
        <w:rPr>
          <w:rFonts w:ascii="宋体" w:hAnsi="宋体" w:cs="宋体" w:eastAsia="宋体" w:hint="default"/>
          <w:sz w:val="28"/>
          <w:szCs w:val="28"/>
        </w:rPr>
      </w:pPr>
    </w:p>
    <w:p>
      <w:pPr>
        <w:pStyle w:val="BodyText"/>
        <w:spacing w:line="453" w:lineRule="auto" w:before="44"/>
        <w:ind w:left="1133" w:right="1128"/>
        <w:jc w:val="left"/>
      </w:pPr>
      <w:r>
        <w:rPr>
          <w:spacing w:val="-2"/>
        </w:rPr>
        <w:t>律师事务所对公司本次股东大会的召开进行了见证并出具了相应法律意见书；同日，公司收到茅屏萍女士辞去副总经理职务</w:t>
      </w:r>
      <w:r>
        <w:rPr>
          <w:spacing w:val="-64"/>
        </w:rPr>
        <w:t> </w:t>
      </w:r>
      <w:r>
        <w:rPr>
          <w:spacing w:val="-64"/>
        </w:rPr>
      </w:r>
      <w:r>
        <w:rPr/>
        <w:t>的辞职函，茅屏萍女士辞去前述职务后将继续在公司任职，前述具体内容详见公司</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21</w:t>
      </w:r>
      <w:r>
        <w:rPr/>
        <w:t>日披露于巨潮资讯网的相关 公告（公告编号：</w:t>
      </w:r>
      <w:r>
        <w:rPr>
          <w:rFonts w:ascii="Times New Roman" w:hAnsi="Times New Roman" w:cs="Times New Roman" w:eastAsia="Times New Roman" w:hint="default"/>
        </w:rPr>
        <w:t>2017-017</w:t>
      </w:r>
      <w:r>
        <w:rPr/>
        <w:t>）。 </w:t>
      </w:r>
      <w:r>
        <w:rPr>
          <w:rFonts w:ascii="Times New Roman" w:hAnsi="Times New Roman" w:cs="Times New Roman" w:eastAsia="Times New Roman" w:hint="default"/>
        </w:rPr>
        <w:t>18</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26</w:t>
      </w:r>
      <w:r>
        <w:rPr/>
        <w:t>日，公司召开第二届董事会第三十二次会议，审议通过了《关于向激励对象授予第二期激励计划预留部分 限制性股票的议案》，具体内容详见公司</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26</w:t>
      </w:r>
      <w:r>
        <w:rPr/>
        <w:t>日披露于巨潮资讯网的相关公告（公告编号：</w:t>
      </w:r>
      <w:r>
        <w:rPr>
          <w:rFonts w:ascii="Times New Roman" w:hAnsi="Times New Roman" w:cs="Times New Roman" w:eastAsia="Times New Roman" w:hint="default"/>
        </w:rPr>
        <w:t>2017-018</w:t>
      </w:r>
      <w:r>
        <w:rPr/>
        <w:t>）。 </w:t>
      </w:r>
      <w:r>
        <w:rPr>
          <w:rFonts w:ascii="Times New Roman" w:hAnsi="Times New Roman" w:cs="Times New Roman" w:eastAsia="Times New Roman" w:hint="default"/>
          <w:spacing w:val="-2"/>
        </w:rPr>
        <w:t>19</w:t>
      </w:r>
      <w:r>
        <w:rPr>
          <w:spacing w:val="-2"/>
        </w:rPr>
        <w:t>、</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2</w:t>
      </w:r>
      <w:r>
        <w:rPr>
          <w:spacing w:val="-2"/>
        </w:rPr>
        <w:t>日，公司召开第二届董事会第三十三次会议，审议通过了《关于调整公司非公开发行股票方案的议案》；次</w:t>
      </w:r>
      <w:r>
        <w:rPr>
          <w:spacing w:val="-58"/>
        </w:rPr>
        <w:t> </w:t>
      </w:r>
      <w:r>
        <w:rPr>
          <w:spacing w:val="-58"/>
        </w:rPr>
      </w:r>
      <w:r>
        <w:rPr>
          <w:spacing w:val="-2"/>
        </w:rPr>
        <w:t>日，公司发布了《</w:t>
      </w:r>
      <w:r>
        <w:rPr>
          <w:rFonts w:ascii="Times New Roman" w:hAnsi="Times New Roman" w:cs="Times New Roman" w:eastAsia="Times New Roman" w:hint="default"/>
          <w:spacing w:val="-2"/>
        </w:rPr>
        <w:t>2016</w:t>
      </w:r>
      <w:r>
        <w:rPr>
          <w:spacing w:val="-2"/>
        </w:rPr>
        <w:t>年年度权益分派实施公告》，前述具体内容详见公司</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3</w:t>
      </w:r>
      <w:r>
        <w:rPr>
          <w:spacing w:val="-2"/>
        </w:rPr>
        <w:t>日披露于巨潮资讯网的相关公告（公</w:t>
      </w:r>
      <w:r>
        <w:rPr>
          <w:spacing w:val="-56"/>
        </w:rPr>
        <w:t> </w:t>
      </w:r>
      <w:r>
        <w:rPr>
          <w:spacing w:val="-56"/>
        </w:rPr>
      </w:r>
      <w:r>
        <w:rPr/>
        <w:t>告编号：</w:t>
      </w:r>
      <w:r>
        <w:rPr>
          <w:rFonts w:ascii="Times New Roman" w:hAnsi="Times New Roman" w:cs="Times New Roman" w:eastAsia="Times New Roman" w:hint="default"/>
        </w:rPr>
        <w:t>2017-019</w:t>
      </w:r>
      <w:r>
        <w:rPr/>
        <w:t>）。 </w:t>
      </w:r>
      <w:r>
        <w:rPr>
          <w:rFonts w:ascii="Times New Roman" w:hAnsi="Times New Roman" w:cs="Times New Roman" w:eastAsia="Times New Roman" w:hint="default"/>
          <w:spacing w:val="-2"/>
        </w:rPr>
        <w:t>20</w:t>
      </w:r>
      <w:r>
        <w:rPr>
          <w:spacing w:val="-2"/>
        </w:rPr>
        <w:t>、</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8</w:t>
      </w:r>
      <w:r>
        <w:rPr>
          <w:spacing w:val="-2"/>
        </w:rPr>
        <w:t>日，公司收到了中国证券监督管理委员会关于核准公司非公开发行股票的批复并及时予以了公告，具体内容</w:t>
      </w:r>
      <w:r>
        <w:rPr>
          <w:spacing w:val="-58"/>
        </w:rPr>
        <w:t> </w:t>
      </w:r>
      <w:r>
        <w:rPr>
          <w:spacing w:val="-58"/>
        </w:rPr>
      </w:r>
      <w:r>
        <w:rPr/>
        <w:t>详见公司</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8</w:t>
      </w:r>
      <w:r>
        <w:rPr/>
        <w:t>日披露于巨潮资讯网的相关公告（公告编号：</w:t>
      </w:r>
      <w:r>
        <w:rPr>
          <w:rFonts w:ascii="Times New Roman" w:hAnsi="Times New Roman" w:cs="Times New Roman" w:eastAsia="Times New Roman" w:hint="default"/>
        </w:rPr>
        <w:t>2017-020</w:t>
      </w:r>
      <w:r>
        <w:rPr/>
        <w:t>）。 </w:t>
      </w:r>
      <w:r>
        <w:rPr>
          <w:rFonts w:ascii="Times New Roman" w:hAnsi="Times New Roman" w:cs="Times New Roman" w:eastAsia="Times New Roman" w:hint="default"/>
        </w:rPr>
        <w:t>21</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11</w:t>
      </w:r>
      <w:r>
        <w:rPr/>
        <w:t>日，公司召开第二届董事会第三十四次会议，审议通过了《关于调整两期限制性股票激励计划相关事项的 </w:t>
      </w:r>
      <w:r>
        <w:rPr>
          <w:spacing w:val="-2"/>
        </w:rPr>
        <w:t>议案》、《关于回购注销部分限制性股票的议案》以及《关于公司第二期激励计划首次授予的限制性股票第一个解锁期可解</w:t>
      </w:r>
      <w:r>
        <w:rPr>
          <w:spacing w:val="-64"/>
        </w:rPr>
        <w:t> </w:t>
      </w:r>
      <w:r>
        <w:rPr>
          <w:spacing w:val="-64"/>
        </w:rPr>
      </w:r>
      <w:r>
        <w:rPr/>
        <w:t>锁的议案》，具体内容详见公司</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11</w:t>
      </w:r>
      <w:r>
        <w:rPr/>
        <w:t>日披露于巨潮资讯网的相关公告（公告编号：</w:t>
      </w:r>
      <w:r>
        <w:rPr>
          <w:rFonts w:ascii="Times New Roman" w:hAnsi="Times New Roman" w:cs="Times New Roman" w:eastAsia="Times New Roman" w:hint="default"/>
        </w:rPr>
        <w:t>2017-021</w:t>
      </w:r>
      <w:r>
        <w:rPr/>
        <w:t>）。 </w:t>
      </w:r>
      <w:r>
        <w:rPr>
          <w:rFonts w:ascii="Times New Roman" w:hAnsi="Times New Roman" w:cs="Times New Roman" w:eastAsia="Times New Roman" w:hint="default"/>
        </w:rPr>
        <w:t>22</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15</w:t>
      </w:r>
      <w:r>
        <w:rPr/>
        <w:t>日，公司召开</w:t>
      </w:r>
      <w:r>
        <w:rPr>
          <w:rFonts w:ascii="Times New Roman" w:hAnsi="Times New Roman" w:cs="Times New Roman" w:eastAsia="Times New Roman" w:hint="default"/>
        </w:rPr>
        <w:t>2017</w:t>
      </w:r>
      <w:r>
        <w:rPr/>
        <w:t>年第二次临时股东大会，审议通过了《关于前次募集资金使用情况报告的议案》，广东 信达律师事务所对公司本次股东大会的召开进行了见证并出具了相应法律意见书，具体内容详见公司</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15</w:t>
      </w:r>
      <w:r>
        <w:rPr/>
        <w:t>日披露于 巨潮资讯网的相关公告（公告编号：</w:t>
      </w:r>
      <w:r>
        <w:rPr>
          <w:rFonts w:ascii="Times New Roman" w:hAnsi="Times New Roman" w:cs="Times New Roman" w:eastAsia="Times New Roman" w:hint="default"/>
        </w:rPr>
        <w:t>2017-022</w:t>
      </w:r>
      <w:r>
        <w:rPr/>
        <w:t>）。 </w:t>
      </w:r>
      <w:r>
        <w:rPr>
          <w:rFonts w:ascii="Times New Roman" w:hAnsi="Times New Roman" w:cs="Times New Roman" w:eastAsia="Times New Roman" w:hint="default"/>
        </w:rPr>
        <w:t>23</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17</w:t>
      </w:r>
      <w:r>
        <w:rPr/>
        <w:t>日，公司发布了《关于公司第二期限制性股票激励计划首次授予的限制性股票第一个解锁期解锁股份上市 流通的提示性公告》，具体内容详见公司</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17</w:t>
      </w:r>
      <w:r>
        <w:rPr/>
        <w:t>日披露于巨潮资讯网的相关公告（公告编号：</w:t>
      </w:r>
      <w:r>
        <w:rPr>
          <w:rFonts w:ascii="Times New Roman" w:hAnsi="Times New Roman" w:cs="Times New Roman" w:eastAsia="Times New Roman" w:hint="default"/>
        </w:rPr>
        <w:t>2017-023</w:t>
      </w:r>
      <w:r>
        <w:rPr/>
        <w:t>）。 </w:t>
      </w:r>
      <w:r>
        <w:rPr>
          <w:rFonts w:ascii="Times New Roman" w:hAnsi="Times New Roman" w:cs="Times New Roman" w:eastAsia="Times New Roman" w:hint="default"/>
        </w:rPr>
        <w:t>24</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w:t>
      </w:r>
      <w:r>
        <w:rPr/>
        <w:t>日，公司披露了《关于公司第二期激励计划预留部分授予登记完成公告》，具体内容详见公司</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 </w:t>
      </w:r>
      <w:r>
        <w:rPr/>
        <w:t>日披露于巨潮资讯网的相关公告（公告编号：</w:t>
      </w:r>
      <w:r>
        <w:rPr>
          <w:rFonts w:ascii="Times New Roman" w:hAnsi="Times New Roman" w:cs="Times New Roman" w:eastAsia="Times New Roman" w:hint="default"/>
        </w:rPr>
        <w:t>2017-024</w:t>
      </w:r>
      <w:r>
        <w:rPr/>
        <w:t>）。 </w:t>
      </w:r>
      <w:r>
        <w:rPr>
          <w:rFonts w:ascii="Times New Roman" w:hAnsi="Times New Roman" w:cs="Times New Roman" w:eastAsia="Times New Roman" w:hint="default"/>
          <w:spacing w:val="-2"/>
        </w:rPr>
        <w:t>25</w:t>
      </w:r>
      <w:r>
        <w:rPr>
          <w:spacing w:val="-2"/>
        </w:rPr>
        <w:t>、</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13</w:t>
      </w:r>
      <w:r>
        <w:rPr>
          <w:spacing w:val="-2"/>
        </w:rPr>
        <w:t>日，公司披露了《关于关联自然人为公司提供担保事项的进展公告》，具体内容详见公司</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13</w:t>
      </w:r>
      <w:r>
        <w:rPr>
          <w:spacing w:val="-2"/>
        </w:rPr>
        <w:t>日披</w:t>
      </w:r>
      <w:r>
        <w:rPr>
          <w:spacing w:val="-50"/>
        </w:rPr>
        <w:t> </w:t>
      </w:r>
      <w:r>
        <w:rPr/>
        <w:t>露于巨潮资讯网的相关公告（公告编号：</w:t>
      </w:r>
      <w:r>
        <w:rPr>
          <w:rFonts w:ascii="Times New Roman" w:hAnsi="Times New Roman" w:cs="Times New Roman" w:eastAsia="Times New Roman" w:hint="default"/>
        </w:rPr>
        <w:t>2017-025</w:t>
      </w:r>
      <w:r>
        <w:rPr/>
        <w:t>）。 </w:t>
      </w:r>
      <w:r>
        <w:rPr>
          <w:rFonts w:ascii="Times New Roman" w:hAnsi="Times New Roman" w:cs="Times New Roman" w:eastAsia="Times New Roman" w:hint="default"/>
        </w:rPr>
        <w:t>26</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30</w:t>
      </w:r>
      <w:r>
        <w:rPr/>
        <w:t>日，公司召开第二届董事会第三十五次会议，审议通过了《关于会计估计变更的议案》、《关于变更公司 </w:t>
      </w:r>
      <w:r>
        <w:rPr>
          <w:spacing w:val="-2"/>
        </w:rPr>
        <w:t>注册资本及住所、变换经营场所及修改公司章程并办理工商变更（备案）登记的议案》以及《关于召开公司</w:t>
      </w:r>
      <w:r>
        <w:rPr>
          <w:rFonts w:ascii="Times New Roman" w:hAnsi="Times New Roman" w:cs="Times New Roman" w:eastAsia="Times New Roman" w:hint="default"/>
          <w:spacing w:val="-2"/>
        </w:rPr>
        <w:t>2017</w:t>
      </w:r>
      <w:r>
        <w:rPr>
          <w:spacing w:val="-2"/>
        </w:rPr>
        <w:t>年第三次临</w:t>
      </w:r>
      <w:r>
        <w:rPr>
          <w:spacing w:val="-61"/>
        </w:rPr>
        <w:t> </w:t>
      </w:r>
      <w:r>
        <w:rPr/>
        <w:t>时股东大会的议案》，具体内容详见公司</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w:t>
      </w:r>
      <w:r>
        <w:rPr/>
        <w:t>日披露于巨潮资讯网的相关公告（公告编号：</w:t>
      </w:r>
      <w:r>
        <w:rPr>
          <w:rFonts w:ascii="Times New Roman" w:hAnsi="Times New Roman" w:cs="Times New Roman" w:eastAsia="Times New Roman" w:hint="default"/>
        </w:rPr>
        <w:t>2017-026</w:t>
      </w:r>
      <w:r>
        <w:rPr/>
        <w:t>）。 </w:t>
      </w:r>
      <w:r>
        <w:rPr>
          <w:rFonts w:ascii="Times New Roman" w:hAnsi="Times New Roman" w:cs="Times New Roman" w:eastAsia="Times New Roman" w:hint="default"/>
          <w:spacing w:val="-2"/>
        </w:rPr>
        <w:t>27</w:t>
      </w:r>
      <w:r>
        <w:rPr>
          <w:spacing w:val="-2"/>
        </w:rPr>
        <w:t>、</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7</w:t>
      </w:r>
      <w:r>
        <w:rPr>
          <w:spacing w:val="-2"/>
        </w:rPr>
        <w:t>日，公司发布了《关于公司股票停牌的公告》，因公司拟启动非公开发行股份事项的询价工作，为保证信息</w:t>
      </w:r>
    </w:p>
    <w:p>
      <w:pPr>
        <w:pStyle w:val="BodyText"/>
        <w:spacing w:line="451" w:lineRule="auto" w:before="41"/>
        <w:ind w:left="1133" w:right="1131"/>
        <w:jc w:val="both"/>
      </w:pPr>
      <w:r>
        <w:rPr/>
        <w:t>披露公平，维护广大投资者利益，避免造成公司股价异常波动，公司股票于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10</w:t>
      </w:r>
      <w:r>
        <w:rPr/>
        <w:t>日开市起复牌，并因公司本次非公 开发行股票事项的认购对象报价认购环节已顺利结束，公司于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12</w:t>
      </w:r>
      <w:r>
        <w:rPr/>
        <w:t>日发布《关于公司股票复牌的公告》，公司股票 </w:t>
      </w:r>
      <w:r>
        <w:rPr>
          <w:spacing w:val="-2"/>
        </w:rPr>
        <w:t>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13</w:t>
      </w:r>
      <w:r>
        <w:rPr>
          <w:spacing w:val="-2"/>
        </w:rPr>
        <w:t>日开市起复牌，具体内容详见公司分别于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7</w:t>
      </w:r>
      <w:r>
        <w:rPr>
          <w:spacing w:val="-2"/>
        </w:rPr>
        <w:t>日和</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12</w:t>
      </w:r>
      <w:r>
        <w:rPr>
          <w:spacing w:val="-2"/>
        </w:rPr>
        <w:t>日披露于巨潮资讯网的相关公告（公告</w:t>
      </w:r>
    </w:p>
    <w:p>
      <w:pPr>
        <w:spacing w:after="0" w:line="451" w:lineRule="auto"/>
        <w:jc w:val="both"/>
        <w:sectPr>
          <w:footerReference w:type="default" r:id="rId29"/>
          <w:pgSz w:w="11910" w:h="16840"/>
          <w:pgMar w:footer="1481" w:header="787" w:top="1100" w:bottom="1680" w:left="0" w:right="0"/>
        </w:sectPr>
      </w:pPr>
    </w:p>
    <w:p>
      <w:pPr>
        <w:spacing w:line="240" w:lineRule="auto" w:before="10"/>
        <w:rPr>
          <w:rFonts w:ascii="宋体" w:hAnsi="宋体" w:cs="宋体" w:eastAsia="宋体" w:hint="default"/>
          <w:sz w:val="28"/>
          <w:szCs w:val="28"/>
        </w:rPr>
      </w:pPr>
    </w:p>
    <w:p>
      <w:pPr>
        <w:pStyle w:val="BodyText"/>
        <w:spacing w:line="453" w:lineRule="auto" w:before="44"/>
        <w:ind w:left="1133" w:right="1039"/>
        <w:jc w:val="left"/>
      </w:pPr>
      <w:r>
        <w:rPr>
          <w:rFonts w:ascii="Times New Roman" w:hAnsi="Times New Roman" w:cs="Times New Roman" w:eastAsia="Times New Roman" w:hint="default"/>
          <w:spacing w:val="-2"/>
        </w:rPr>
        <w:t>28</w:t>
      </w:r>
      <w:r>
        <w:rPr>
          <w:spacing w:val="-2"/>
        </w:rPr>
        <w:t>、</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13</w:t>
      </w:r>
      <w:r>
        <w:rPr>
          <w:spacing w:val="-2"/>
        </w:rPr>
        <w:t>日，公司发布了《</w:t>
      </w:r>
      <w:r>
        <w:rPr>
          <w:rFonts w:ascii="Times New Roman" w:hAnsi="Times New Roman" w:cs="Times New Roman" w:eastAsia="Times New Roman" w:hint="default"/>
          <w:spacing w:val="-2"/>
        </w:rPr>
        <w:t>2017</w:t>
      </w:r>
      <w:r>
        <w:rPr>
          <w:spacing w:val="-2"/>
        </w:rPr>
        <w:t>年半年度业绩预告》，具体内容详见公司</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13</w:t>
      </w:r>
      <w:r>
        <w:rPr>
          <w:spacing w:val="-2"/>
        </w:rPr>
        <w:t>日披露于巨潮资讯网的相关公</w:t>
      </w:r>
      <w:r>
        <w:rPr>
          <w:spacing w:val="-47"/>
        </w:rPr>
        <w:t> </w:t>
      </w:r>
      <w:r>
        <w:rPr/>
        <w:t>告（公告编号：</w:t>
      </w:r>
      <w:r>
        <w:rPr>
          <w:rFonts w:ascii="Times New Roman" w:hAnsi="Times New Roman" w:cs="Times New Roman" w:eastAsia="Times New Roman" w:hint="default"/>
        </w:rPr>
        <w:t>2017-029</w:t>
      </w:r>
      <w:r>
        <w:rPr/>
        <w:t>）。 </w:t>
      </w:r>
      <w:r>
        <w:rPr>
          <w:rFonts w:ascii="Times New Roman" w:hAnsi="Times New Roman" w:cs="Times New Roman" w:eastAsia="Times New Roman" w:hint="default"/>
        </w:rPr>
        <w:t>29</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19</w:t>
      </w:r>
      <w:r>
        <w:rPr/>
        <w:t>日，公司召开</w:t>
      </w:r>
      <w:r>
        <w:rPr>
          <w:rFonts w:ascii="Times New Roman" w:hAnsi="Times New Roman" w:cs="Times New Roman" w:eastAsia="Times New Roman" w:hint="default"/>
        </w:rPr>
        <w:t>2017</w:t>
      </w:r>
      <w:r>
        <w:rPr/>
        <w:t>年第三次临时股东大会，审议通过了《关于变更公司注册资本及住所、变换经营场所及 </w:t>
      </w:r>
      <w:r>
        <w:rPr>
          <w:spacing w:val="-2"/>
        </w:rPr>
        <w:t>修改公司章程并办理工商变更（备案）登记的议案》，广东信达律师事务所对公司本次股东大会的召开进行了见证并出具了</w:t>
      </w:r>
      <w:r>
        <w:rPr>
          <w:spacing w:val="-66"/>
        </w:rPr>
        <w:t> </w:t>
      </w:r>
      <w:r>
        <w:rPr>
          <w:spacing w:val="-66"/>
        </w:rPr>
      </w:r>
      <w:r>
        <w:rPr/>
        <w:t>相应法律意见书，具体内容详见公司</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19</w:t>
      </w:r>
      <w:r>
        <w:rPr/>
        <w:t>日披露于巨潮资讯网的相关公告（公告编号：</w:t>
      </w:r>
      <w:r>
        <w:rPr>
          <w:rFonts w:ascii="Times New Roman" w:hAnsi="Times New Roman" w:cs="Times New Roman" w:eastAsia="Times New Roman" w:hint="default"/>
        </w:rPr>
        <w:t>2017-030</w:t>
      </w:r>
      <w:r>
        <w:rPr/>
        <w:t>）。 </w:t>
      </w:r>
      <w:r>
        <w:rPr>
          <w:rFonts w:ascii="Times New Roman" w:hAnsi="Times New Roman" w:cs="Times New Roman" w:eastAsia="Times New Roman" w:hint="default"/>
        </w:rPr>
        <w:t>30</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20</w:t>
      </w:r>
      <w:r>
        <w:rPr/>
        <w:t>日，公司披露了《关于首次公开发行前已发行股份上市流通提示性公告》以及《关于股东减持计划的提示 </w:t>
      </w:r>
      <w:r>
        <w:rPr>
          <w:spacing w:val="-2"/>
        </w:rPr>
        <w:t>性公告》，股东张忠民先生持有的</w:t>
      </w:r>
      <w:r>
        <w:rPr>
          <w:rFonts w:ascii="Times New Roman" w:hAnsi="Times New Roman" w:cs="Times New Roman" w:eastAsia="Times New Roman" w:hint="default"/>
          <w:spacing w:val="-2"/>
        </w:rPr>
        <w:t>2,4911,110</w:t>
      </w:r>
      <w:r>
        <w:rPr>
          <w:spacing w:val="-2"/>
        </w:rPr>
        <w:t>股首次公开发行前股份将于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25</w:t>
      </w:r>
      <w:r>
        <w:rPr>
          <w:spacing w:val="-2"/>
        </w:rPr>
        <w:t>日上市流通，其计划自本公告披露之日</w:t>
      </w:r>
      <w:r>
        <w:rPr>
          <w:spacing w:val="-49"/>
        </w:rPr>
        <w:t> </w:t>
      </w:r>
      <w:r>
        <w:rPr>
          <w:spacing w:val="-49"/>
        </w:rPr>
      </w:r>
      <w:r>
        <w:rPr/>
        <w:t>起</w:t>
      </w:r>
      <w:r>
        <w:rPr>
          <w:rFonts w:ascii="Times New Roman" w:hAnsi="Times New Roman" w:cs="Times New Roman" w:eastAsia="Times New Roman" w:hint="default"/>
        </w:rPr>
        <w:t>3</w:t>
      </w:r>
      <w:r>
        <w:rPr/>
        <w:t>个交易日后的</w:t>
      </w:r>
      <w:r>
        <w:rPr>
          <w:rFonts w:ascii="Times New Roman" w:hAnsi="Times New Roman" w:cs="Times New Roman" w:eastAsia="Times New Roman" w:hint="default"/>
        </w:rPr>
        <w:t>6</w:t>
      </w:r>
      <w:r>
        <w:rPr/>
        <w:t>个月内以集中竞价交易或大宗交易方式减持不超过本公司股份</w:t>
      </w:r>
      <w:r>
        <w:rPr>
          <w:rFonts w:ascii="Times New Roman" w:hAnsi="Times New Roman" w:cs="Times New Roman" w:eastAsia="Times New Roman" w:hint="default"/>
        </w:rPr>
        <w:t>6,576,532</w:t>
      </w:r>
      <w:r>
        <w:rPr/>
        <w:t>股；截至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25</w:t>
      </w:r>
      <w:r>
        <w:rPr/>
        <w:t>日，股东张 </w:t>
      </w:r>
      <w:r>
        <w:rPr>
          <w:spacing w:val="-2"/>
        </w:rPr>
        <w:t>忠民先生通过深圳证券交易所集中竞价方式和大宗交易方式合计减持了公司股份</w:t>
      </w:r>
      <w:r>
        <w:rPr>
          <w:rFonts w:ascii="Times New Roman" w:hAnsi="Times New Roman" w:cs="Times New Roman" w:eastAsia="Times New Roman" w:hint="default"/>
          <w:spacing w:val="-2"/>
        </w:rPr>
        <w:t>3,046,700</w:t>
      </w:r>
      <w:r>
        <w:rPr>
          <w:spacing w:val="-2"/>
        </w:rPr>
        <w:t>股，前述减持计划期限届满，具体</w:t>
      </w:r>
      <w:r>
        <w:rPr>
          <w:spacing w:val="-58"/>
        </w:rPr>
        <w:t> </w:t>
      </w:r>
      <w:r>
        <w:rPr>
          <w:spacing w:val="-58"/>
        </w:rPr>
      </w:r>
      <w:r>
        <w:rPr/>
        <w:t>内容详见公司分别于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20</w:t>
      </w:r>
      <w:r>
        <w:rPr/>
        <w:t>日和</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25</w:t>
      </w:r>
      <w:r>
        <w:rPr/>
        <w:t>日披露于巨潮资讯网的相关公告（公告编号：</w:t>
      </w:r>
      <w:r>
        <w:rPr>
          <w:rFonts w:ascii="Times New Roman" w:hAnsi="Times New Roman" w:cs="Times New Roman" w:eastAsia="Times New Roman" w:hint="default"/>
        </w:rPr>
        <w:t>2017-031</w:t>
      </w:r>
      <w:r>
        <w:rPr/>
        <w:t>；</w:t>
      </w:r>
      <w:r>
        <w:rPr>
          <w:rFonts w:ascii="Times New Roman" w:hAnsi="Times New Roman" w:cs="Times New Roman" w:eastAsia="Times New Roman" w:hint="default"/>
        </w:rPr>
        <w:t>2018-004</w:t>
      </w:r>
      <w:r>
        <w:rPr/>
        <w:t>）。 </w:t>
      </w:r>
      <w:r>
        <w:rPr>
          <w:rFonts w:ascii="Times New Roman" w:hAnsi="Times New Roman" w:cs="Times New Roman" w:eastAsia="Times New Roman" w:hint="default"/>
          <w:spacing w:val="-2"/>
        </w:rPr>
        <w:t>31</w:t>
      </w:r>
      <w:r>
        <w:rPr>
          <w:spacing w:val="-2"/>
        </w:rPr>
        <w:t>、</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2</w:t>
      </w:r>
      <w:r>
        <w:rPr>
          <w:spacing w:val="-2"/>
        </w:rPr>
        <w:t>日，公司发布了《浩云科技股份有限公司关于非公开发行新股的上市公告书》、《浩云科技股份有限公司非</w:t>
      </w:r>
      <w:r>
        <w:rPr>
          <w:spacing w:val="-59"/>
        </w:rPr>
        <w:t> </w:t>
      </w:r>
      <w:r>
        <w:rPr>
          <w:spacing w:val="-59"/>
        </w:rPr>
      </w:r>
      <w:r>
        <w:rPr/>
        <w:t>公开发行股票发行情况报告书》等相关公告，经中国证券监督管理委员会证监许可</w:t>
      </w:r>
      <w:r>
        <w:rPr>
          <w:rFonts w:ascii="Times New Roman" w:hAnsi="Times New Roman" w:cs="Times New Roman" w:eastAsia="Times New Roman" w:hint="default"/>
        </w:rPr>
        <w:t>[2017]560</w:t>
      </w:r>
      <w:r>
        <w:rPr/>
        <w:t>号文核准，公司非公开发行人 </w:t>
      </w:r>
      <w:r>
        <w:rPr>
          <w:spacing w:val="-2"/>
        </w:rPr>
        <w:t>民币普通股（</w:t>
      </w:r>
      <w:r>
        <w:rPr>
          <w:rFonts w:ascii="Times New Roman" w:hAnsi="Times New Roman" w:cs="Times New Roman" w:eastAsia="Times New Roman" w:hint="default"/>
          <w:spacing w:val="-2"/>
        </w:rPr>
        <w:t>A</w:t>
      </w:r>
      <w:r>
        <w:rPr>
          <w:spacing w:val="-2"/>
        </w:rPr>
        <w:t>股）</w:t>
      </w:r>
      <w:r>
        <w:rPr>
          <w:rFonts w:ascii="Times New Roman" w:hAnsi="Times New Roman" w:cs="Times New Roman" w:eastAsia="Times New Roman" w:hint="default"/>
          <w:spacing w:val="-2"/>
        </w:rPr>
        <w:t>15,945,368</w:t>
      </w:r>
      <w:r>
        <w:rPr>
          <w:spacing w:val="-2"/>
        </w:rPr>
        <w:t>股，发行价格为每股人民币</w:t>
      </w:r>
      <w:r>
        <w:rPr>
          <w:rFonts w:ascii="Times New Roman" w:hAnsi="Times New Roman" w:cs="Times New Roman" w:eastAsia="Times New Roman" w:hint="default"/>
          <w:spacing w:val="-2"/>
        </w:rPr>
        <w:t>21.98</w:t>
      </w:r>
      <w:r>
        <w:rPr>
          <w:spacing w:val="-2"/>
        </w:rPr>
        <w:t>元，非公开发行股票募集资金总额为人民币</w:t>
      </w:r>
      <w:r>
        <w:rPr>
          <w:rFonts w:ascii="Times New Roman" w:hAnsi="Times New Roman" w:cs="Times New Roman" w:eastAsia="Times New Roman" w:hint="default"/>
          <w:spacing w:val="-2"/>
        </w:rPr>
        <w:t>350,479,188.64</w:t>
      </w:r>
      <w:r>
        <w:rPr>
          <w:spacing w:val="-2"/>
        </w:rPr>
        <w:t>元，</w:t>
      </w:r>
    </w:p>
    <w:p>
      <w:pPr>
        <w:pStyle w:val="BodyText"/>
        <w:spacing w:line="453" w:lineRule="auto" w:before="41"/>
        <w:ind w:left="1133" w:right="1130"/>
        <w:jc w:val="left"/>
      </w:pPr>
      <w:r>
        <w:rPr/>
        <w:t>坐扣承销和保荐费用</w:t>
      </w:r>
      <w:r>
        <w:rPr>
          <w:rFonts w:ascii="Times New Roman" w:hAnsi="Times New Roman" w:cs="Times New Roman" w:eastAsia="Times New Roman" w:hint="default"/>
        </w:rPr>
        <w:t>(</w:t>
      </w:r>
      <w:r>
        <w:rPr/>
        <w:t>含税）</w:t>
      </w:r>
      <w:r>
        <w:rPr>
          <w:rFonts w:ascii="Times New Roman" w:hAnsi="Times New Roman" w:cs="Times New Roman" w:eastAsia="Times New Roman" w:hint="default"/>
        </w:rPr>
        <w:t>6,009,583.77</w:t>
      </w:r>
      <w:r>
        <w:rPr/>
        <w:t>元后的募集资金为</w:t>
      </w:r>
      <w:r>
        <w:rPr>
          <w:rFonts w:ascii="Times New Roman" w:hAnsi="Times New Roman" w:cs="Times New Roman" w:eastAsia="Times New Roman" w:hint="default"/>
        </w:rPr>
        <w:t>344,469,604.87</w:t>
      </w:r>
      <w:r>
        <w:rPr/>
        <w:t>元，已由主承销商招商证券于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18</w:t>
      </w:r>
      <w:r>
        <w:rPr/>
        <w:t>日汇入 公司募集资金监管账户。另扣除律师费、会计师费、股票发行登记费等其他发行费用（含税）</w:t>
      </w:r>
      <w:r>
        <w:rPr>
          <w:rFonts w:ascii="Times New Roman" w:hAnsi="Times New Roman" w:cs="Times New Roman" w:eastAsia="Times New Roman" w:hint="default"/>
        </w:rPr>
        <w:t>249,945.37</w:t>
      </w:r>
      <w:r>
        <w:rPr/>
        <w:t>元后，公司本次募 集资金净额为</w:t>
      </w:r>
      <w:r>
        <w:rPr>
          <w:rFonts w:ascii="Times New Roman" w:hAnsi="Times New Roman" w:cs="Times New Roman" w:eastAsia="Times New Roman" w:hint="default"/>
        </w:rPr>
        <w:t>344,219,659.50</w:t>
      </w:r>
      <w:r>
        <w:rPr/>
        <w:t>元，考虑发行费用相关的进项税后公司本次实际募集资金净额为</w:t>
      </w:r>
      <w:r>
        <w:rPr>
          <w:rFonts w:ascii="Times New Roman" w:hAnsi="Times New Roman" w:cs="Times New Roman" w:eastAsia="Times New Roman" w:hint="default"/>
        </w:rPr>
        <w:t>344,573,972.48</w:t>
      </w:r>
      <w:r>
        <w:rPr/>
        <w:t>元。天健会计师 </w:t>
      </w:r>
      <w:r>
        <w:rPr>
          <w:spacing w:val="-6"/>
        </w:rPr>
        <w:t>事务所（特殊普通合伙）对公司本次非公开发行股票的募集资金到位情况进行了验资并出具了《验资报告》（天健验</w:t>
      </w:r>
      <w:r>
        <w:rPr>
          <w:rFonts w:ascii="Times New Roman" w:hAnsi="Times New Roman" w:cs="Times New Roman" w:eastAsia="Times New Roman" w:hint="default"/>
          <w:spacing w:val="-6"/>
        </w:rPr>
        <w:t>[2017]7-54</w:t>
      </w:r>
      <w:r>
        <w:rPr>
          <w:rFonts w:ascii="Times New Roman" w:hAnsi="Times New Roman" w:cs="Times New Roman" w:eastAsia="Times New Roman" w:hint="default"/>
          <w:spacing w:val="-34"/>
        </w:rPr>
        <w:t> </w:t>
      </w:r>
      <w:r>
        <w:rPr>
          <w:rFonts w:ascii="Times New Roman" w:hAnsi="Times New Roman" w:cs="Times New Roman" w:eastAsia="Times New Roman" w:hint="default"/>
          <w:spacing w:val="-34"/>
        </w:rPr>
      </w:r>
      <w:r>
        <w:rPr>
          <w:spacing w:val="-2"/>
        </w:rPr>
        <w:t>号）。本次新增发股份于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8</w:t>
      </w:r>
      <w:r>
        <w:rPr>
          <w:spacing w:val="-2"/>
        </w:rPr>
        <w:t>日在深圳证券交易所上市，具体内容详见公司</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2</w:t>
      </w:r>
      <w:r>
        <w:rPr>
          <w:spacing w:val="-2"/>
        </w:rPr>
        <w:t>日披露于巨潮资讯网的相关公</w:t>
      </w:r>
      <w:r>
        <w:rPr>
          <w:spacing w:val="-54"/>
        </w:rPr>
        <w:t> </w:t>
      </w:r>
      <w:r>
        <w:rPr/>
        <w:t>告（公告编号：</w:t>
      </w:r>
      <w:r>
        <w:rPr>
          <w:rFonts w:ascii="Times New Roman" w:hAnsi="Times New Roman" w:cs="Times New Roman" w:eastAsia="Times New Roman" w:hint="default"/>
        </w:rPr>
        <w:t>2017-032</w:t>
      </w:r>
      <w:r>
        <w:rPr/>
        <w:t>）。 </w:t>
      </w:r>
      <w:r>
        <w:rPr>
          <w:rFonts w:ascii="Times New Roman" w:hAnsi="Times New Roman" w:cs="Times New Roman" w:eastAsia="Times New Roman" w:hint="default"/>
          <w:spacing w:val="-2"/>
        </w:rPr>
        <w:t>32</w:t>
      </w:r>
      <w:r>
        <w:rPr>
          <w:spacing w:val="-2"/>
        </w:rPr>
        <w:t>、</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3</w:t>
      </w:r>
      <w:r>
        <w:rPr>
          <w:spacing w:val="-2"/>
        </w:rPr>
        <w:t>日，公司披露了《关于广东省安全技术防范系统设计、施工、维修资格证书续期的公告》，具体内容详见公</w:t>
      </w:r>
      <w:r>
        <w:rPr>
          <w:spacing w:val="-63"/>
        </w:rPr>
        <w:t> </w:t>
      </w:r>
      <w:r>
        <w:rPr>
          <w:spacing w:val="-63"/>
        </w:rPr>
      </w:r>
      <w:r>
        <w:rPr/>
        <w:t>司</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3</w:t>
      </w:r>
      <w:r>
        <w:rPr/>
        <w:t>日披露于巨潮资讯网的相关公告（公告编号：</w:t>
      </w:r>
      <w:r>
        <w:rPr>
          <w:rFonts w:ascii="Times New Roman" w:hAnsi="Times New Roman" w:cs="Times New Roman" w:eastAsia="Times New Roman" w:hint="default"/>
        </w:rPr>
        <w:t>2017-033</w:t>
      </w:r>
      <w:r>
        <w:rPr/>
        <w:t>）。 </w:t>
      </w:r>
      <w:r>
        <w:rPr>
          <w:rFonts w:ascii="Times New Roman" w:hAnsi="Times New Roman" w:cs="Times New Roman" w:eastAsia="Times New Roman" w:hint="default"/>
          <w:spacing w:val="-2"/>
        </w:rPr>
        <w:t>33</w:t>
      </w:r>
      <w:r>
        <w:rPr>
          <w:spacing w:val="-2"/>
        </w:rPr>
        <w:t>、</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9</w:t>
      </w:r>
      <w:r>
        <w:rPr>
          <w:spacing w:val="-2"/>
        </w:rPr>
        <w:t>日，公司召开第二届董事会第三十六次会议、第二届监事会第三十次会议，审议通过了《关于部分募集资金</w:t>
      </w:r>
      <w:r>
        <w:rPr>
          <w:spacing w:val="-58"/>
        </w:rPr>
        <w:t> </w:t>
      </w:r>
      <w:r>
        <w:rPr>
          <w:spacing w:val="-58"/>
        </w:rPr>
      </w:r>
      <w:r>
        <w:rPr>
          <w:spacing w:val="-2"/>
        </w:rPr>
        <w:t>投资项目增加实施主体的议案》、《关于确定募集资金专用账户并授权总经理签订三方监管协议的议案》、《关于使用募集</w:t>
      </w:r>
      <w:r>
        <w:rPr>
          <w:spacing w:val="-68"/>
        </w:rPr>
        <w:t> </w:t>
      </w:r>
      <w:r>
        <w:rPr>
          <w:spacing w:val="-68"/>
        </w:rPr>
      </w:r>
      <w:r>
        <w:rPr>
          <w:spacing w:val="-2"/>
        </w:rPr>
        <w:t>资金置换已预先投入募集资金投资项目自筹资金的议案》以及《关于召开公司</w:t>
      </w:r>
      <w:r>
        <w:rPr>
          <w:rFonts w:ascii="Times New Roman" w:hAnsi="Times New Roman" w:cs="Times New Roman" w:eastAsia="Times New Roman" w:hint="default"/>
          <w:spacing w:val="-2"/>
        </w:rPr>
        <w:t>2017</w:t>
      </w:r>
      <w:r>
        <w:rPr>
          <w:spacing w:val="-2"/>
        </w:rPr>
        <w:t>年第四次临时股东大会的议案》等相关议</w:t>
      </w:r>
      <w:r>
        <w:rPr>
          <w:spacing w:val="-62"/>
        </w:rPr>
        <w:t> </w:t>
      </w:r>
      <w:r>
        <w:rPr>
          <w:spacing w:val="-62"/>
        </w:rPr>
      </w:r>
      <w:r>
        <w:rPr>
          <w:spacing w:val="-2"/>
        </w:rPr>
        <w:t>案，会计师事务所就公司以自筹资金预先投入募集项目出具了鉴证报告，保荐机构就公司部分募投项目增加实施主体、关于</w:t>
      </w:r>
      <w:r>
        <w:rPr>
          <w:spacing w:val="-66"/>
        </w:rPr>
        <w:t> </w:t>
      </w:r>
      <w:r>
        <w:rPr>
          <w:spacing w:val="-66"/>
        </w:rPr>
      </w:r>
      <w:r>
        <w:rPr>
          <w:spacing w:val="-2"/>
        </w:rPr>
        <w:t>公司适用募集资金置换已预先投入募投项目自筹资金出具了核查意见，具体内容详见公司</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9</w:t>
      </w:r>
      <w:r>
        <w:rPr>
          <w:spacing w:val="-2"/>
        </w:rPr>
        <w:t>日披露于巨潮资讯网的</w:t>
      </w:r>
      <w:r>
        <w:rPr>
          <w:spacing w:val="-58"/>
        </w:rPr>
        <w:t> </w:t>
      </w:r>
      <w:r>
        <w:rPr/>
        <w:t>相关公告（公告编号：</w:t>
      </w:r>
      <w:r>
        <w:rPr>
          <w:rFonts w:ascii="Times New Roman" w:hAnsi="Times New Roman" w:cs="Times New Roman" w:eastAsia="Times New Roman" w:hint="default"/>
        </w:rPr>
        <w:t>2017-034</w:t>
      </w:r>
      <w:r>
        <w:rPr/>
        <w:t>）。 </w:t>
      </w:r>
      <w:r>
        <w:rPr>
          <w:rFonts w:ascii="Times New Roman" w:hAnsi="Times New Roman" w:cs="Times New Roman" w:eastAsia="Times New Roman" w:hint="default"/>
        </w:rPr>
        <w:t>34</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10</w:t>
      </w:r>
      <w:r>
        <w:rPr/>
        <w:t>日，公司披露了《关于变更持续督导保荐代表人的公告》，具体内容详见</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9</w:t>
      </w:r>
      <w:r>
        <w:rPr/>
        <w:t>日披露于巨潮资讯网 的相关公告（公告编号：</w:t>
      </w:r>
      <w:r>
        <w:rPr>
          <w:rFonts w:ascii="Times New Roman" w:hAnsi="Times New Roman" w:cs="Times New Roman" w:eastAsia="Times New Roman" w:hint="default"/>
        </w:rPr>
        <w:t>2017-035</w:t>
      </w:r>
      <w:r>
        <w:rPr/>
        <w:t>）。</w:t>
      </w:r>
    </w:p>
    <w:p>
      <w:pPr>
        <w:spacing w:after="0" w:line="453" w:lineRule="auto"/>
        <w:jc w:val="left"/>
        <w:sectPr>
          <w:footerReference w:type="default" r:id="rId30"/>
          <w:pgSz w:w="11910" w:h="16840"/>
          <w:pgMar w:footer="1481" w:header="787" w:top="1100" w:bottom="1680" w:left="0" w:right="0"/>
        </w:sectPr>
      </w:pPr>
    </w:p>
    <w:p>
      <w:pPr>
        <w:spacing w:line="240" w:lineRule="auto" w:before="10"/>
        <w:rPr>
          <w:rFonts w:ascii="宋体" w:hAnsi="宋体" w:cs="宋体" w:eastAsia="宋体" w:hint="default"/>
          <w:sz w:val="28"/>
          <w:szCs w:val="28"/>
        </w:rPr>
      </w:pPr>
    </w:p>
    <w:p>
      <w:pPr>
        <w:pStyle w:val="BodyText"/>
        <w:spacing w:line="456" w:lineRule="auto" w:before="44"/>
        <w:ind w:left="1133" w:right="1129"/>
        <w:jc w:val="left"/>
      </w:pPr>
      <w:r>
        <w:rPr>
          <w:spacing w:val="-1"/>
        </w:rPr>
        <w:t>对象已离职，公司根据两期股权激励计划的相关规定对前述已离职的原激励对象持有的已获授但尚未解锁的合计</w:t>
      </w:r>
      <w:r>
        <w:rPr>
          <w:rFonts w:ascii="Times New Roman" w:hAnsi="Times New Roman" w:cs="Times New Roman" w:eastAsia="Times New Roman" w:hint="default"/>
          <w:spacing w:val="-1"/>
        </w:rPr>
        <w:t>40,854</w:t>
      </w:r>
      <w:r>
        <w:rPr>
          <w:spacing w:val="-1"/>
        </w:rPr>
        <w:t>股限</w:t>
      </w:r>
      <w:r>
        <w:rPr>
          <w:spacing w:val="-70"/>
        </w:rPr>
        <w:t> </w:t>
      </w:r>
      <w:r>
        <w:rPr/>
        <w:t>制性股票办理了回购注销手续，具体内容详见</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15</w:t>
      </w:r>
      <w:r>
        <w:rPr/>
        <w:t>日披露于巨潮资讯网的相关公告（公告编号：</w:t>
      </w:r>
      <w:r>
        <w:rPr>
          <w:rFonts w:ascii="Times New Roman" w:hAnsi="Times New Roman" w:cs="Times New Roman" w:eastAsia="Times New Roman" w:hint="default"/>
        </w:rPr>
        <w:t>2017-036</w:t>
      </w:r>
      <w:r>
        <w:rPr/>
        <w:t>）。 </w:t>
      </w:r>
      <w:r>
        <w:rPr>
          <w:rFonts w:ascii="Times New Roman" w:hAnsi="Times New Roman" w:cs="Times New Roman" w:eastAsia="Times New Roman" w:hint="default"/>
          <w:spacing w:val="-2"/>
        </w:rPr>
        <w:t>36</w:t>
      </w:r>
      <w:r>
        <w:rPr>
          <w:spacing w:val="-2"/>
        </w:rPr>
        <w:t>、</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17</w:t>
      </w:r>
      <w:r>
        <w:rPr>
          <w:spacing w:val="-2"/>
        </w:rPr>
        <w:t>日，公司召开第二届董事会第三十七次会议、第二届监事会第三十一次会议，审议通过了《关于公司</w:t>
      </w:r>
      <w:r>
        <w:rPr>
          <w:spacing w:val="19"/>
        </w:rPr>
        <w:t> </w:t>
      </w:r>
      <w:r>
        <w:rPr>
          <w:rFonts w:ascii="Times New Roman" w:hAnsi="Times New Roman" w:cs="Times New Roman" w:eastAsia="Times New Roman" w:hint="default"/>
        </w:rPr>
        <w:t>2017</w:t>
      </w:r>
      <w:r>
        <w:rPr>
          <w:rFonts w:ascii="Times New Roman" w:hAnsi="Times New Roman" w:cs="Times New Roman" w:eastAsia="Times New Roman" w:hint="default"/>
          <w:spacing w:val="-39"/>
        </w:rPr>
        <w:t> </w:t>
      </w:r>
      <w:r>
        <w:rPr>
          <w:rFonts w:ascii="Times New Roman" w:hAnsi="Times New Roman" w:cs="Times New Roman" w:eastAsia="Times New Roman" w:hint="default"/>
          <w:spacing w:val="-39"/>
        </w:rPr>
      </w:r>
      <w:r>
        <w:rPr/>
        <w:t>年半年度报告及其摘要的议案》、《关于公司</w:t>
      </w:r>
      <w:r>
        <w:rPr>
          <w:rFonts w:ascii="Times New Roman" w:hAnsi="Times New Roman" w:cs="Times New Roman" w:eastAsia="Times New Roman" w:hint="default"/>
        </w:rPr>
        <w:t>2017</w:t>
      </w:r>
      <w:r>
        <w:rPr>
          <w:rFonts w:ascii="Times New Roman" w:hAnsi="Times New Roman" w:cs="Times New Roman" w:eastAsia="Times New Roman" w:hint="default"/>
          <w:spacing w:val="26"/>
        </w:rPr>
        <w:t> </w:t>
      </w:r>
      <w:r>
        <w:rPr/>
        <w:t>年半年度募集资金存放与实际使用情况的专项报告的议案》、《关于会 计政策变更的议案》，具体内容详见公司</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18</w:t>
      </w:r>
      <w:r>
        <w:rPr/>
        <w:t>日披露于巨潮资讯网的相关公告（公告编号：</w:t>
      </w:r>
      <w:r>
        <w:rPr>
          <w:rFonts w:ascii="Times New Roman" w:hAnsi="Times New Roman" w:cs="Times New Roman" w:eastAsia="Times New Roman" w:hint="default"/>
        </w:rPr>
        <w:t>2017-037</w:t>
      </w:r>
      <w:r>
        <w:rPr/>
        <w:t>）。 </w:t>
      </w:r>
      <w:r>
        <w:rPr>
          <w:rFonts w:ascii="Times New Roman" w:hAnsi="Times New Roman" w:cs="Times New Roman" w:eastAsia="Times New Roman" w:hint="default"/>
        </w:rPr>
        <w:t>37</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21</w:t>
      </w:r>
      <w:r>
        <w:rPr/>
        <w:t>日，公司披露了《关于财务总监辞职的公告》，劳仲秀女士因个人原因申请辞去公司财务总监职务，辞职 报告自送达董事会之日起生效，具体内容详见公司</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21</w:t>
      </w:r>
      <w:r>
        <w:rPr/>
        <w:t>日披露于巨潮资讯网的相关公告（公告编号：</w:t>
      </w:r>
      <w:r>
        <w:rPr>
          <w:rFonts w:ascii="Times New Roman" w:hAnsi="Times New Roman" w:cs="Times New Roman" w:eastAsia="Times New Roman" w:hint="default"/>
        </w:rPr>
        <w:t>2017-038</w:t>
      </w:r>
      <w:r>
        <w:rPr/>
        <w:t>）。 </w:t>
      </w:r>
      <w:r>
        <w:rPr>
          <w:rFonts w:ascii="Times New Roman" w:hAnsi="Times New Roman" w:cs="Times New Roman" w:eastAsia="Times New Roman" w:hint="default"/>
          <w:spacing w:val="-1"/>
        </w:rPr>
        <w:t>38</w:t>
      </w:r>
      <w:r>
        <w:rPr>
          <w:spacing w:val="-1"/>
        </w:rPr>
        <w:t>、</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8</w:t>
      </w:r>
      <w:r>
        <w:rPr>
          <w:spacing w:val="-1"/>
        </w:rPr>
        <w:t>月</w:t>
      </w:r>
      <w:r>
        <w:rPr>
          <w:rFonts w:ascii="Times New Roman" w:hAnsi="Times New Roman" w:cs="Times New Roman" w:eastAsia="Times New Roman" w:hint="default"/>
          <w:spacing w:val="-1"/>
        </w:rPr>
        <w:t>28</w:t>
      </w:r>
      <w:r>
        <w:rPr>
          <w:spacing w:val="-1"/>
        </w:rPr>
        <w:t>日，公司在会议室如期召开</w:t>
      </w:r>
      <w:r>
        <w:rPr>
          <w:rFonts w:ascii="Times New Roman" w:hAnsi="Times New Roman" w:cs="Times New Roman" w:eastAsia="Times New Roman" w:hint="default"/>
          <w:spacing w:val="-1"/>
        </w:rPr>
        <w:t>2017</w:t>
      </w:r>
      <w:r>
        <w:rPr>
          <w:spacing w:val="-1"/>
        </w:rPr>
        <w:t>年第四次临时股东大会，审议通过了《关于修订公司</w:t>
      </w:r>
      <w:r>
        <w:rPr>
          <w:rFonts w:ascii="Times New Roman" w:hAnsi="Times New Roman" w:cs="Times New Roman" w:eastAsia="Times New Roman" w:hint="default"/>
          <w:spacing w:val="-1"/>
        </w:rPr>
        <w:t>&lt;</w:t>
      </w:r>
      <w:r>
        <w:rPr>
          <w:spacing w:val="-1"/>
        </w:rPr>
        <w:t>募集资金管理制度</w:t>
      </w:r>
      <w:r>
        <w:rPr>
          <w:rFonts w:ascii="Times New Roman" w:hAnsi="Times New Roman" w:cs="Times New Roman" w:eastAsia="Times New Roman" w:hint="default"/>
          <w:spacing w:val="-1"/>
        </w:rPr>
        <w:t>&gt;</w:t>
      </w:r>
      <w:r>
        <w:rPr>
          <w:rFonts w:ascii="Times New Roman" w:hAnsi="Times New Roman" w:cs="Times New Roman" w:eastAsia="Times New Roman" w:hint="default"/>
        </w:rPr>
        <w:t> </w:t>
      </w:r>
      <w:r>
        <w:rPr>
          <w:spacing w:val="-2"/>
        </w:rPr>
        <w:t>的议案》以及《关于修改公司章程并办理工商变更登记的议案》，广东信达律师事务所对本次会议进行了见证并出具了法律</w:t>
      </w:r>
      <w:r>
        <w:rPr>
          <w:spacing w:val="-66"/>
        </w:rPr>
        <w:t> </w:t>
      </w:r>
      <w:r>
        <w:rPr>
          <w:spacing w:val="-66"/>
        </w:rPr>
      </w:r>
      <w:r>
        <w:rPr/>
        <w:t>意见书，具体内容详见公司</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28</w:t>
      </w:r>
      <w:r>
        <w:rPr/>
        <w:t>日披露于巨潮资讯网的相关公告（公告编号：</w:t>
      </w:r>
      <w:r>
        <w:rPr>
          <w:rFonts w:ascii="Times New Roman" w:hAnsi="Times New Roman" w:cs="Times New Roman" w:eastAsia="Times New Roman" w:hint="default"/>
        </w:rPr>
        <w:t>2017-039</w:t>
      </w:r>
      <w:r>
        <w:rPr/>
        <w:t>）。 </w:t>
      </w:r>
      <w:r>
        <w:rPr>
          <w:rFonts w:ascii="Times New Roman" w:hAnsi="Times New Roman" w:cs="Times New Roman" w:eastAsia="Times New Roman" w:hint="default"/>
        </w:rPr>
        <w:t>39</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30</w:t>
      </w:r>
      <w:r>
        <w:rPr/>
        <w:t>日，公司召开第二届董事会第三十八次会议、第二届监事会第三十二次会议，审议通过了《关于向募投项 </w:t>
      </w:r>
      <w:r>
        <w:rPr>
          <w:spacing w:val="-2"/>
        </w:rPr>
        <w:t>目实施主体增资的议案》、《关于增设募集资金子账户并授权总经理签订四方监管协议的议案》、《关于公司及子公司使用</w:t>
      </w:r>
      <w:r>
        <w:rPr>
          <w:spacing w:val="-68"/>
        </w:rPr>
        <w:t> </w:t>
      </w:r>
      <w:r>
        <w:rPr>
          <w:spacing w:val="-68"/>
        </w:rPr>
      </w:r>
      <w:r>
        <w:rPr>
          <w:spacing w:val="-2"/>
        </w:rPr>
        <w:t>部分闲置募集资金进行现金管理的议案》、《关于公司及子公司使用部分闲置自有资金进行委托理财的议案》以及《关于召</w:t>
      </w:r>
      <w:r>
        <w:rPr>
          <w:spacing w:val="-66"/>
        </w:rPr>
        <w:t> </w:t>
      </w:r>
      <w:r>
        <w:rPr>
          <w:spacing w:val="-66"/>
        </w:rPr>
      </w:r>
      <w:r>
        <w:rPr>
          <w:spacing w:val="-2"/>
        </w:rPr>
        <w:t>开公司</w:t>
      </w:r>
      <w:r>
        <w:rPr>
          <w:rFonts w:ascii="Times New Roman" w:hAnsi="Times New Roman" w:cs="Times New Roman" w:eastAsia="Times New Roman" w:hint="default"/>
          <w:spacing w:val="-2"/>
        </w:rPr>
        <w:t>2017</w:t>
      </w:r>
      <w:r>
        <w:rPr>
          <w:spacing w:val="-2"/>
        </w:rPr>
        <w:t>年第五次临时股东大会的议案》，公司保荐机构招商证券股份有限公司对公司前述向募投项目实施主体增资、公</w:t>
      </w:r>
      <w:r>
        <w:rPr>
          <w:spacing w:val="-62"/>
        </w:rPr>
        <w:t> </w:t>
      </w:r>
      <w:r>
        <w:rPr>
          <w:spacing w:val="-62"/>
        </w:rPr>
      </w:r>
      <w:r>
        <w:rPr>
          <w:spacing w:val="-3"/>
        </w:rPr>
        <w:t>司及子公司现金管理及委托理财等事项发表了核查意见，具体内容详见公司</w:t>
      </w:r>
      <w:r>
        <w:rPr>
          <w:rFonts w:ascii="Times New Roman" w:hAnsi="Times New Roman" w:cs="Times New Roman" w:eastAsia="Times New Roman" w:hint="default"/>
          <w:spacing w:val="-3"/>
        </w:rPr>
        <w:t>2017</w:t>
      </w:r>
      <w:r>
        <w:rPr>
          <w:spacing w:val="-3"/>
        </w:rPr>
        <w:t>年</w:t>
      </w:r>
      <w:r>
        <w:rPr>
          <w:rFonts w:ascii="Times New Roman" w:hAnsi="Times New Roman" w:cs="Times New Roman" w:eastAsia="Times New Roman" w:hint="default"/>
          <w:spacing w:val="-3"/>
        </w:rPr>
        <w:t>8</w:t>
      </w:r>
      <w:r>
        <w:rPr>
          <w:spacing w:val="-3"/>
        </w:rPr>
        <w:t>月</w:t>
      </w:r>
      <w:r>
        <w:rPr>
          <w:rFonts w:ascii="Times New Roman" w:hAnsi="Times New Roman" w:cs="Times New Roman" w:eastAsia="Times New Roman" w:hint="default"/>
          <w:spacing w:val="-3"/>
        </w:rPr>
        <w:t>30</w:t>
      </w:r>
      <w:r>
        <w:rPr>
          <w:spacing w:val="-3"/>
        </w:rPr>
        <w:t>日披露于巨潮资讯网的相关公告（公</w:t>
      </w:r>
      <w:r>
        <w:rPr/>
        <w:t> 告编号：</w:t>
      </w:r>
      <w:r>
        <w:rPr>
          <w:rFonts w:ascii="Times New Roman" w:hAnsi="Times New Roman" w:cs="Times New Roman" w:eastAsia="Times New Roman" w:hint="default"/>
        </w:rPr>
        <w:t>2017-040</w:t>
      </w:r>
      <w:r>
        <w:rPr/>
        <w:t>）。 </w:t>
      </w:r>
      <w:r>
        <w:rPr>
          <w:rFonts w:ascii="Times New Roman" w:hAnsi="Times New Roman" w:cs="Times New Roman" w:eastAsia="Times New Roman" w:hint="default"/>
        </w:rPr>
        <w:t>40</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31</w:t>
      </w:r>
      <w:r>
        <w:rPr/>
        <w:t>日，公司披露了《关于完成工商变更（备案）登记并换发营业执照的公告》，具体内容详见公司</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8 </w:t>
      </w:r>
      <w:r>
        <w:rPr/>
        <w:t>月</w:t>
      </w:r>
      <w:r>
        <w:rPr>
          <w:rFonts w:ascii="Times New Roman" w:hAnsi="Times New Roman" w:cs="Times New Roman" w:eastAsia="Times New Roman" w:hint="default"/>
        </w:rPr>
        <w:t>31</w:t>
      </w:r>
      <w:r>
        <w:rPr/>
        <w:t>日披露于巨潮资讯网的相关公告（公告编号：</w:t>
      </w:r>
      <w:r>
        <w:rPr>
          <w:rFonts w:ascii="Times New Roman" w:hAnsi="Times New Roman" w:cs="Times New Roman" w:eastAsia="Times New Roman" w:hint="default"/>
        </w:rPr>
        <w:t>2017-041</w:t>
      </w:r>
      <w:r>
        <w:rPr/>
        <w:t>）。 </w:t>
      </w:r>
      <w:r>
        <w:rPr>
          <w:rFonts w:ascii="Times New Roman" w:hAnsi="Times New Roman" w:cs="Times New Roman" w:eastAsia="Times New Roman" w:hint="default"/>
          <w:spacing w:val="-2"/>
        </w:rPr>
        <w:t>41</w:t>
      </w:r>
      <w:r>
        <w:rPr>
          <w:spacing w:val="-2"/>
        </w:rPr>
        <w:t>、</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6</w:t>
      </w:r>
      <w:r>
        <w:rPr>
          <w:spacing w:val="-2"/>
        </w:rPr>
        <w:t>日，公司披露了《关于签订募集资金三方监管协议的公告》，具体内容详见公司</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6</w:t>
      </w:r>
      <w:r>
        <w:rPr>
          <w:spacing w:val="-2"/>
        </w:rPr>
        <w:t>日披露于巨潮资</w:t>
      </w:r>
      <w:r>
        <w:rPr>
          <w:spacing w:val="-52"/>
        </w:rPr>
        <w:t> </w:t>
      </w:r>
      <w:r>
        <w:rPr/>
        <w:t>讯网的相关公告（公告编号：</w:t>
      </w:r>
      <w:r>
        <w:rPr>
          <w:rFonts w:ascii="Times New Roman" w:hAnsi="Times New Roman" w:cs="Times New Roman" w:eastAsia="Times New Roman" w:hint="default"/>
        </w:rPr>
        <w:t>2017-042</w:t>
      </w:r>
      <w:r>
        <w:rPr/>
        <w:t>）。 </w:t>
      </w:r>
      <w:r>
        <w:rPr>
          <w:rFonts w:ascii="Times New Roman" w:hAnsi="Times New Roman" w:cs="Times New Roman" w:eastAsia="Times New Roman" w:hint="default"/>
          <w:spacing w:val="-2"/>
        </w:rPr>
        <w:t>42</w:t>
      </w:r>
      <w:r>
        <w:rPr>
          <w:spacing w:val="-2"/>
        </w:rPr>
        <w:t>、</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14</w:t>
      </w:r>
      <w:r>
        <w:rPr>
          <w:spacing w:val="-2"/>
        </w:rPr>
        <w:t>日，公司发布了《关于董事会、监事会延期换届选举的提示性公告》，具体内容详见公司</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14</w:t>
      </w:r>
      <w:r>
        <w:rPr>
          <w:spacing w:val="-2"/>
        </w:rPr>
        <w:t>日披</w:t>
      </w:r>
      <w:r>
        <w:rPr>
          <w:spacing w:val="-52"/>
        </w:rPr>
        <w:t> </w:t>
      </w:r>
      <w:r>
        <w:rPr/>
        <w:t>露于巨潮资讯网的相关公告（公告编号：</w:t>
      </w:r>
      <w:r>
        <w:rPr>
          <w:rFonts w:ascii="Times New Roman" w:hAnsi="Times New Roman" w:cs="Times New Roman" w:eastAsia="Times New Roman" w:hint="default"/>
        </w:rPr>
        <w:t>2017-043</w:t>
      </w:r>
      <w:r>
        <w:rPr/>
        <w:t>）。 </w:t>
      </w:r>
      <w:r>
        <w:rPr>
          <w:rFonts w:ascii="Times New Roman" w:hAnsi="Times New Roman" w:cs="Times New Roman" w:eastAsia="Times New Roman" w:hint="default"/>
        </w:rPr>
        <w:t>43</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18</w:t>
      </w:r>
      <w:r>
        <w:rPr/>
        <w:t>日，公司在会议室如期召开</w:t>
      </w:r>
      <w:r>
        <w:rPr>
          <w:rFonts w:ascii="Times New Roman" w:hAnsi="Times New Roman" w:cs="Times New Roman" w:eastAsia="Times New Roman" w:hint="default"/>
        </w:rPr>
        <w:t>2017</w:t>
      </w:r>
      <w:r>
        <w:rPr/>
        <w:t>年第五次临时股东大会，审议通过了《关于公司及子公司使用部分闲置募 </w:t>
      </w:r>
      <w:r>
        <w:rPr>
          <w:spacing w:val="-2"/>
        </w:rPr>
        <w:t>集资金进行现金管理的议案》和《关于公司及子公司使用部分闲置自有资金进行委托理财的议案》，广东信达律师事务所对</w:t>
      </w:r>
      <w:r>
        <w:rPr>
          <w:spacing w:val="-66"/>
        </w:rPr>
        <w:t> </w:t>
      </w:r>
      <w:r>
        <w:rPr>
          <w:spacing w:val="-66"/>
        </w:rPr>
      </w:r>
      <w:r>
        <w:rPr/>
        <w:t>本次会议进行了见证并出具了法律意见书，具体内容详见公司</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18</w:t>
      </w:r>
      <w:r>
        <w:rPr/>
        <w:t>日披露于巨潮资讯网的相关公告（公告编号： </w:t>
      </w:r>
      <w:r>
        <w:rPr>
          <w:rFonts w:ascii="Times New Roman" w:hAnsi="Times New Roman" w:cs="Times New Roman" w:eastAsia="Times New Roman" w:hint="default"/>
        </w:rPr>
        <w:t>2017-044</w:t>
      </w:r>
      <w:r>
        <w:rPr/>
        <w:t>）。</w:t>
      </w:r>
    </w:p>
    <w:p>
      <w:pPr>
        <w:pStyle w:val="BodyText"/>
        <w:spacing w:line="451" w:lineRule="auto" w:before="39"/>
        <w:ind w:left="1133" w:right="1132"/>
        <w:jc w:val="left"/>
        <w:rPr>
          <w:rFonts w:ascii="Times New Roman" w:hAnsi="Times New Roman" w:cs="Times New Roman" w:eastAsia="Times New Roman" w:hint="default"/>
        </w:rPr>
      </w:pPr>
      <w:r>
        <w:rPr>
          <w:rFonts w:ascii="Times New Roman" w:hAnsi="Times New Roman" w:cs="Times New Roman" w:eastAsia="Times New Roman" w:hint="default"/>
          <w:spacing w:val="-2"/>
        </w:rPr>
        <w:t>44</w:t>
      </w:r>
      <w:r>
        <w:rPr>
          <w:spacing w:val="-2"/>
        </w:rPr>
        <w:t>、</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12</w:t>
      </w:r>
      <w:r>
        <w:rPr>
          <w:spacing w:val="-2"/>
        </w:rPr>
        <w:t>日，公司发布了《</w:t>
      </w:r>
      <w:r>
        <w:rPr>
          <w:rFonts w:ascii="Times New Roman" w:hAnsi="Times New Roman" w:cs="Times New Roman" w:eastAsia="Times New Roman" w:hint="default"/>
          <w:spacing w:val="-2"/>
        </w:rPr>
        <w:t>2017</w:t>
      </w:r>
      <w:r>
        <w:rPr>
          <w:spacing w:val="-2"/>
        </w:rPr>
        <w:t>年前三季度业绩预告》，具体内容详见公司</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12</w:t>
      </w:r>
      <w:r>
        <w:rPr>
          <w:spacing w:val="-2"/>
        </w:rPr>
        <w:t>日披露于巨潮资讯网的相</w:t>
      </w:r>
      <w:r>
        <w:rPr>
          <w:spacing w:val="-45"/>
        </w:rPr>
        <w:t> </w:t>
      </w:r>
      <w:r>
        <w:rPr/>
        <w:t>关公告（公告编号：</w:t>
      </w:r>
      <w:r>
        <w:rPr>
          <w:rFonts w:ascii="Times New Roman" w:hAnsi="Times New Roman" w:cs="Times New Roman" w:eastAsia="Times New Roman" w:hint="default"/>
        </w:rPr>
        <w:t>2017-045</w:t>
      </w:r>
      <w:r>
        <w:rPr/>
        <w:t>）。 </w:t>
      </w:r>
      <w:r>
        <w:rPr>
          <w:rFonts w:ascii="Times New Roman" w:hAnsi="Times New Roman" w:cs="Times New Roman" w:eastAsia="Times New Roman" w:hint="default"/>
          <w:spacing w:val="-5"/>
        </w:rPr>
        <w:t>45</w:t>
      </w:r>
      <w:r>
        <w:rPr>
          <w:spacing w:val="-5"/>
        </w:rPr>
        <w:t>、</w:t>
      </w:r>
      <w:r>
        <w:rPr>
          <w:rFonts w:ascii="Times New Roman" w:hAnsi="Times New Roman" w:cs="Times New Roman" w:eastAsia="Times New Roman" w:hint="default"/>
          <w:spacing w:val="-5"/>
        </w:rPr>
        <w:t>2017</w:t>
      </w:r>
      <w:r>
        <w:rPr>
          <w:spacing w:val="-5"/>
        </w:rPr>
        <w:t>年</w:t>
      </w:r>
      <w:r>
        <w:rPr>
          <w:rFonts w:ascii="Times New Roman" w:hAnsi="Times New Roman" w:cs="Times New Roman" w:eastAsia="Times New Roman" w:hint="default"/>
          <w:spacing w:val="-5"/>
        </w:rPr>
        <w:t>10</w:t>
      </w:r>
      <w:r>
        <w:rPr>
          <w:spacing w:val="-5"/>
        </w:rPr>
        <w:t>月</w:t>
      </w:r>
      <w:r>
        <w:rPr>
          <w:rFonts w:ascii="Times New Roman" w:hAnsi="Times New Roman" w:cs="Times New Roman" w:eastAsia="Times New Roman" w:hint="default"/>
          <w:spacing w:val="-5"/>
        </w:rPr>
        <w:t>18</w:t>
      </w:r>
      <w:r>
        <w:rPr>
          <w:spacing w:val="-5"/>
        </w:rPr>
        <w:t>日，公司获悉股东雷洪文先生所持有的公司部分股份已解除质押并及时进行了公告，具体内容详见公司</w:t>
      </w:r>
      <w:r>
        <w:rPr>
          <w:rFonts w:ascii="Times New Roman" w:hAnsi="Times New Roman" w:cs="Times New Roman" w:eastAsia="Times New Roman" w:hint="default"/>
          <w:spacing w:val="-5"/>
        </w:rPr>
        <w:t>2017</w:t>
      </w:r>
    </w:p>
    <w:p>
      <w:pPr>
        <w:spacing w:after="0" w:line="451" w:lineRule="auto"/>
        <w:jc w:val="left"/>
        <w:rPr>
          <w:rFonts w:ascii="Times New Roman" w:hAnsi="Times New Roman" w:cs="Times New Roman" w:eastAsia="Times New Roman" w:hint="default"/>
        </w:rPr>
        <w:sectPr>
          <w:footerReference w:type="default" r:id="rId31"/>
          <w:pgSz w:w="11910" w:h="16840"/>
          <w:pgMar w:footer="1481" w:header="787" w:top="1100" w:bottom="168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6"/>
          <w:szCs w:val="16"/>
        </w:rPr>
      </w:pPr>
    </w:p>
    <w:p>
      <w:pPr>
        <w:pStyle w:val="BodyText"/>
        <w:spacing w:line="453" w:lineRule="auto"/>
        <w:ind w:left="1133" w:right="1128"/>
        <w:jc w:val="left"/>
      </w:pPr>
      <w:r>
        <w:rPr>
          <w:rFonts w:ascii="Times New Roman" w:hAnsi="Times New Roman" w:cs="Times New Roman" w:eastAsia="Times New Roman" w:hint="default"/>
        </w:rPr>
        <w:t>46</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24</w:t>
      </w:r>
      <w:r>
        <w:rPr/>
        <w:t>日，公司获悉股东雷洪文先生所持有的公司部分股份被质押并及时进行了公告，具体内容详见公司</w:t>
      </w:r>
      <w:r>
        <w:rPr>
          <w:rFonts w:ascii="Times New Roman" w:hAnsi="Times New Roman" w:cs="Times New Roman" w:eastAsia="Times New Roman" w:hint="default"/>
        </w:rPr>
        <w:t>2017 </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24</w:t>
      </w:r>
      <w:r>
        <w:rPr/>
        <w:t>日披露于巨潮资讯网的相关公告（公告编号：</w:t>
      </w:r>
      <w:r>
        <w:rPr>
          <w:rFonts w:ascii="Times New Roman" w:hAnsi="Times New Roman" w:cs="Times New Roman" w:eastAsia="Times New Roman" w:hint="default"/>
        </w:rPr>
        <w:t>2017-047</w:t>
      </w:r>
      <w:r>
        <w:rPr/>
        <w:t>）。 </w:t>
      </w:r>
      <w:r>
        <w:rPr>
          <w:rFonts w:ascii="Times New Roman" w:hAnsi="Times New Roman" w:cs="Times New Roman" w:eastAsia="Times New Roman" w:hint="default"/>
          <w:spacing w:val="-4"/>
        </w:rPr>
        <w:t>47</w:t>
      </w:r>
      <w:r>
        <w:rPr>
          <w:spacing w:val="-4"/>
        </w:rPr>
        <w:t>、</w:t>
      </w:r>
      <w:r>
        <w:rPr>
          <w:rFonts w:ascii="Times New Roman" w:hAnsi="Times New Roman" w:cs="Times New Roman" w:eastAsia="Times New Roman" w:hint="default"/>
          <w:spacing w:val="-4"/>
        </w:rPr>
        <w:t>2017</w:t>
      </w:r>
      <w:r>
        <w:rPr>
          <w:spacing w:val="-4"/>
        </w:rPr>
        <w:t>年</w:t>
      </w:r>
      <w:r>
        <w:rPr>
          <w:rFonts w:ascii="Times New Roman" w:hAnsi="Times New Roman" w:cs="Times New Roman" w:eastAsia="Times New Roman" w:hint="default"/>
          <w:spacing w:val="-4"/>
        </w:rPr>
        <w:t>10</w:t>
      </w:r>
      <w:r>
        <w:rPr>
          <w:spacing w:val="-4"/>
        </w:rPr>
        <w:t>月</w:t>
      </w:r>
      <w:r>
        <w:rPr>
          <w:rFonts w:ascii="Times New Roman" w:hAnsi="Times New Roman" w:cs="Times New Roman" w:eastAsia="Times New Roman" w:hint="default"/>
          <w:spacing w:val="-4"/>
        </w:rPr>
        <w:t>27</w:t>
      </w:r>
      <w:r>
        <w:rPr>
          <w:spacing w:val="-4"/>
        </w:rPr>
        <w:t>日，公司召开第二届董事会第三十九次会议、第二届监事会第三十三次会议，审议通过了《关于公司</w:t>
      </w:r>
      <w:r>
        <w:rPr>
          <w:rFonts w:ascii="Times New Roman" w:hAnsi="Times New Roman" w:cs="Times New Roman" w:eastAsia="Times New Roman" w:hint="default"/>
          <w:spacing w:val="-4"/>
        </w:rPr>
        <w:t>&lt;2017</w:t>
      </w:r>
      <w:r>
        <w:rPr>
          <w:rFonts w:ascii="Times New Roman" w:hAnsi="Times New Roman" w:cs="Times New Roman" w:eastAsia="Times New Roman" w:hint="default"/>
          <w:spacing w:val="15"/>
        </w:rPr>
        <w:t> </w:t>
      </w:r>
      <w:r>
        <w:rPr>
          <w:rFonts w:ascii="Times New Roman" w:hAnsi="Times New Roman" w:cs="Times New Roman" w:eastAsia="Times New Roman" w:hint="default"/>
          <w:spacing w:val="15"/>
        </w:rPr>
      </w:r>
      <w:r>
        <w:rPr/>
        <w:t>年第三季度报告</w:t>
      </w:r>
      <w:r>
        <w:rPr>
          <w:rFonts w:ascii="Times New Roman" w:hAnsi="Times New Roman" w:cs="Times New Roman" w:eastAsia="Times New Roman" w:hint="default"/>
        </w:rPr>
        <w:t>&gt;</w:t>
      </w:r>
      <w:r>
        <w:rPr/>
        <w:t>的议案》以及《关于全资子公司参与投资设立股权投资基金的议案》，具体内容详见公司</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28</w:t>
      </w:r>
      <w:r>
        <w:rPr/>
        <w:t>日 披露于巨潮资讯网的相关公告（公告编号：</w:t>
      </w:r>
      <w:r>
        <w:rPr>
          <w:rFonts w:ascii="Times New Roman" w:hAnsi="Times New Roman" w:cs="Times New Roman" w:eastAsia="Times New Roman" w:hint="default"/>
        </w:rPr>
        <w:t>2017-048</w:t>
      </w:r>
      <w:r>
        <w:rPr/>
        <w:t>）。 </w:t>
      </w:r>
      <w:r>
        <w:rPr>
          <w:rFonts w:ascii="Times New Roman" w:hAnsi="Times New Roman" w:cs="Times New Roman" w:eastAsia="Times New Roman" w:hint="default"/>
        </w:rPr>
        <w:t>48</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7</w:t>
      </w:r>
      <w:r>
        <w:rPr/>
        <w:t>日，公司召开第二届董事会第四十次会议、第二届监事会第三十四次会议，审议通过了《关于公司首期激 </w:t>
      </w:r>
      <w:r>
        <w:rPr>
          <w:spacing w:val="-2"/>
        </w:rPr>
        <w:t>励计划首次授予的限制性股票第二个解锁期可解锁的议案》、《关于公司首期激励计划预留部分的限制性股票第一个解锁期</w:t>
      </w:r>
      <w:r>
        <w:rPr>
          <w:spacing w:val="-65"/>
        </w:rPr>
        <w:t> </w:t>
      </w:r>
      <w:r>
        <w:rPr>
          <w:spacing w:val="-65"/>
        </w:rPr>
      </w:r>
      <w:r>
        <w:rPr>
          <w:spacing w:val="-2"/>
        </w:rPr>
        <w:t>可解锁的议案》以及《关于回购注销部分限制性股票的议案》，广东信达律师事务所就前述解锁及回购事项出具了法律意见</w:t>
      </w:r>
      <w:r>
        <w:rPr>
          <w:spacing w:val="-66"/>
        </w:rPr>
        <w:t> </w:t>
      </w:r>
      <w:r>
        <w:rPr>
          <w:spacing w:val="-66"/>
        </w:rPr>
      </w:r>
      <w:r>
        <w:rPr/>
        <w:t>书，具体内容详见公司</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7</w:t>
      </w:r>
      <w:r>
        <w:rPr/>
        <w:t>日披露于巨潮资讯网的相关公告（公告编号：</w:t>
      </w:r>
      <w:r>
        <w:rPr>
          <w:rFonts w:ascii="Times New Roman" w:hAnsi="Times New Roman" w:cs="Times New Roman" w:eastAsia="Times New Roman" w:hint="default"/>
        </w:rPr>
        <w:t>2017-049</w:t>
      </w:r>
      <w:r>
        <w:rPr/>
        <w:t>）。 </w:t>
      </w:r>
      <w:r>
        <w:rPr>
          <w:rFonts w:ascii="Times New Roman" w:hAnsi="Times New Roman" w:cs="Times New Roman" w:eastAsia="Times New Roman" w:hint="default"/>
        </w:rPr>
        <w:t>49</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9</w:t>
      </w:r>
      <w:r>
        <w:rPr/>
        <w:t>日，公司披露了《关于签订募集资金四方监管协议的公告》以及《关于公司首期限制性股票激励计划首次 授予限制性股票第二个解锁期与预留部分限制性股票第一个解锁期股份上市流通的提示性公告》，公司本次为</w:t>
      </w:r>
      <w:r>
        <w:rPr>
          <w:rFonts w:ascii="Times New Roman" w:hAnsi="Times New Roman" w:cs="Times New Roman" w:eastAsia="Times New Roman" w:hint="default"/>
        </w:rPr>
        <w:t>109</w:t>
      </w:r>
      <w:r>
        <w:rPr/>
        <w:t>名激励对 象合计所持有的</w:t>
      </w:r>
      <w:r>
        <w:rPr>
          <w:rFonts w:ascii="Times New Roman" w:hAnsi="Times New Roman" w:cs="Times New Roman" w:eastAsia="Times New Roman" w:hint="default"/>
        </w:rPr>
        <w:t>571,575</w:t>
      </w:r>
      <w:r>
        <w:rPr/>
        <w:t>股限制性股票办理了解锁手续，前述限制性股票的上市流通日为</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17</w:t>
      </w:r>
      <w:r>
        <w:rPr/>
        <w:t>日，具体内容详见公 司</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9</w:t>
      </w:r>
      <w:r>
        <w:rPr/>
        <w:t>日披露于巨潮资讯网的相关公告（公告编号：</w:t>
      </w:r>
      <w:r>
        <w:rPr>
          <w:rFonts w:ascii="Times New Roman" w:hAnsi="Times New Roman" w:cs="Times New Roman" w:eastAsia="Times New Roman" w:hint="default"/>
        </w:rPr>
        <w:t>2017-050</w:t>
      </w:r>
      <w:r>
        <w:rPr/>
        <w:t>）。 </w:t>
      </w:r>
      <w:r>
        <w:rPr>
          <w:rFonts w:ascii="Times New Roman" w:hAnsi="Times New Roman" w:cs="Times New Roman" w:eastAsia="Times New Roman" w:hint="default"/>
        </w:rPr>
        <w:t>50</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10</w:t>
      </w:r>
      <w:r>
        <w:rPr/>
        <w:t>日，公司发布了《关于全资子公司完成工商变更登记并换发营业执照的公告》，具体内容详见公司</w:t>
      </w:r>
      <w:r>
        <w:rPr>
          <w:rFonts w:ascii="Times New Roman" w:hAnsi="Times New Roman" w:cs="Times New Roman" w:eastAsia="Times New Roman" w:hint="default"/>
        </w:rPr>
        <w:t>2017 </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10</w:t>
      </w:r>
      <w:r>
        <w:rPr/>
        <w:t>日披露于巨潮资讯网的相关公告（公告编号：</w:t>
      </w:r>
      <w:r>
        <w:rPr>
          <w:rFonts w:ascii="Times New Roman" w:hAnsi="Times New Roman" w:cs="Times New Roman" w:eastAsia="Times New Roman" w:hint="default"/>
        </w:rPr>
        <w:t>2017-051</w:t>
      </w:r>
      <w:r>
        <w:rPr/>
        <w:t>）。 </w:t>
      </w:r>
      <w:r>
        <w:rPr>
          <w:rFonts w:ascii="Times New Roman" w:hAnsi="Times New Roman" w:cs="Times New Roman" w:eastAsia="Times New Roman" w:hint="default"/>
          <w:spacing w:val="-2"/>
        </w:rPr>
        <w:t>51</w:t>
      </w:r>
      <w:r>
        <w:rPr>
          <w:spacing w:val="-2"/>
        </w:rPr>
        <w:t>、</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14</w:t>
      </w:r>
      <w:r>
        <w:rPr>
          <w:spacing w:val="-2"/>
        </w:rPr>
        <w:t>日，公司召开第二届董事会第四十一次会议，审议通过了《关于确定自愿性披露标准的议案》，确定公司</w:t>
      </w:r>
      <w:r>
        <w:rPr>
          <w:spacing w:val="-56"/>
        </w:rPr>
        <w:t> </w:t>
      </w:r>
      <w:r>
        <w:rPr>
          <w:spacing w:val="-56"/>
        </w:rPr>
      </w:r>
      <w:r>
        <w:rPr/>
        <w:t>自愿性披露标准为：公司签署的单个销售、工程或运营服务合 同涉及金额达到人民币 </w:t>
      </w:r>
      <w:r>
        <w:rPr>
          <w:rFonts w:ascii="Times New Roman" w:hAnsi="Times New Roman" w:cs="Times New Roman" w:eastAsia="Times New Roman" w:hint="default"/>
        </w:rPr>
        <w:t>3,000 </w:t>
      </w:r>
      <w:r>
        <w:rPr/>
        <w:t>万元以上（含 </w:t>
      </w:r>
      <w:r>
        <w:rPr>
          <w:rFonts w:ascii="Times New Roman" w:hAnsi="Times New Roman" w:cs="Times New Roman" w:eastAsia="Times New Roman" w:hint="default"/>
        </w:rPr>
        <w:t>3,000 </w:t>
      </w:r>
      <w:r>
        <w:rPr/>
        <w:t>万元），</w:t>
      </w:r>
    </w:p>
    <w:p>
      <w:pPr>
        <w:pStyle w:val="BodyText"/>
        <w:spacing w:line="458" w:lineRule="auto" w:before="41"/>
        <w:ind w:left="1133" w:right="1042"/>
        <w:jc w:val="left"/>
      </w:pPr>
      <w:r>
        <w:rPr/>
        <w:t>或金额不到人民币 </w:t>
      </w:r>
      <w:r>
        <w:rPr>
          <w:rFonts w:ascii="Times New Roman" w:hAnsi="Times New Roman" w:cs="Times New Roman" w:eastAsia="Times New Roman" w:hint="default"/>
        </w:rPr>
        <w:t>3,000</w:t>
      </w:r>
      <w:r>
        <w:rPr>
          <w:rFonts w:ascii="Times New Roman" w:hAnsi="Times New Roman" w:cs="Times New Roman" w:eastAsia="Times New Roman" w:hint="default"/>
          <w:spacing w:val="9"/>
        </w:rPr>
        <w:t> </w:t>
      </w:r>
      <w:r>
        <w:rPr/>
        <w:t>万元但公司认为所签合同对公司产生重要影响的，公司将作为日常经营重要合同的相关规定履行 </w:t>
      </w:r>
      <w:r>
        <w:rPr>
          <w:spacing w:val="-2"/>
        </w:rPr>
        <w:t>信息披露义务，同日，公司披露了《关于签署日常经营重大合同的公告》，公告公司与北京市公安局通州分局签署了合同总</w:t>
      </w:r>
      <w:r>
        <w:rPr>
          <w:spacing w:val="-65"/>
        </w:rPr>
        <w:t> </w:t>
      </w:r>
      <w:r>
        <w:rPr>
          <w:spacing w:val="-65"/>
        </w:rPr>
      </w:r>
      <w:r>
        <w:rPr/>
        <w:t>价为人民币</w:t>
      </w:r>
      <w:r>
        <w:rPr>
          <w:spacing w:val="-9"/>
        </w:rPr>
        <w:t> </w:t>
      </w:r>
      <w:r>
        <w:rPr>
          <w:rFonts w:ascii="Times New Roman" w:hAnsi="Times New Roman" w:cs="Times New Roman" w:eastAsia="Times New Roman" w:hint="default"/>
          <w:spacing w:val="-7"/>
        </w:rPr>
        <w:t>85,606,107.00</w:t>
      </w:r>
      <w:r>
        <w:rPr>
          <w:spacing w:val="-7"/>
        </w:rPr>
        <w:t>元的合同，具体内容详见公司</w:t>
      </w:r>
      <w:r>
        <w:rPr>
          <w:rFonts w:ascii="Times New Roman" w:hAnsi="Times New Roman" w:cs="Times New Roman" w:eastAsia="Times New Roman" w:hint="default"/>
          <w:spacing w:val="-7"/>
        </w:rPr>
        <w:t>2017</w:t>
      </w:r>
      <w:r>
        <w:rPr>
          <w:spacing w:val="-7"/>
        </w:rPr>
        <w:t>年</w:t>
      </w:r>
      <w:r>
        <w:rPr>
          <w:rFonts w:ascii="Times New Roman" w:hAnsi="Times New Roman" w:cs="Times New Roman" w:eastAsia="Times New Roman" w:hint="default"/>
          <w:spacing w:val="-7"/>
        </w:rPr>
        <w:t>11</w:t>
      </w:r>
      <w:r>
        <w:rPr>
          <w:spacing w:val="-7"/>
        </w:rPr>
        <w:t>月</w:t>
      </w:r>
      <w:r>
        <w:rPr>
          <w:rFonts w:ascii="Times New Roman" w:hAnsi="Times New Roman" w:cs="Times New Roman" w:eastAsia="Times New Roman" w:hint="default"/>
          <w:spacing w:val="-7"/>
        </w:rPr>
        <w:t>14</w:t>
      </w:r>
      <w:r>
        <w:rPr>
          <w:spacing w:val="-7"/>
        </w:rPr>
        <w:t>日披露于巨潮资讯网的相关公告（公告编号：</w:t>
      </w:r>
      <w:r>
        <w:rPr>
          <w:rFonts w:ascii="Times New Roman" w:hAnsi="Times New Roman" w:cs="Times New Roman" w:eastAsia="Times New Roman" w:hint="default"/>
          <w:spacing w:val="-7"/>
        </w:rPr>
        <w:t>2017-052</w:t>
      </w:r>
      <w:r>
        <w:rPr>
          <w:spacing w:val="-7"/>
        </w:rPr>
        <w:t>）。</w:t>
      </w:r>
      <w:r>
        <w:rPr>
          <w:spacing w:val="-87"/>
        </w:rPr>
        <w:t> </w:t>
      </w:r>
      <w:r>
        <w:rPr>
          <w:rFonts w:ascii="Times New Roman" w:hAnsi="Times New Roman" w:cs="Times New Roman" w:eastAsia="Times New Roman" w:hint="default"/>
          <w:spacing w:val="-2"/>
        </w:rPr>
        <w:t>52</w:t>
      </w:r>
      <w:r>
        <w:rPr>
          <w:spacing w:val="-2"/>
        </w:rPr>
        <w:t>、</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16</w:t>
      </w:r>
      <w:r>
        <w:rPr>
          <w:spacing w:val="-2"/>
        </w:rPr>
        <w:t>日，公司获悉全资子公司参与投资设立的股权投资基金办理完成了工商登记手续，公司及时披露了《关于</w:t>
      </w:r>
      <w:r>
        <w:rPr>
          <w:spacing w:val="-56"/>
        </w:rPr>
        <w:t> </w:t>
      </w:r>
      <w:r>
        <w:rPr>
          <w:spacing w:val="-56"/>
        </w:rPr>
      </w:r>
      <w:r>
        <w:rPr>
          <w:spacing w:val="-2"/>
        </w:rPr>
        <w:t>全资子公司参与投资设立股权投资基金的进展公告》，具体内容详见公司</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16</w:t>
      </w:r>
      <w:r>
        <w:rPr>
          <w:spacing w:val="-2"/>
        </w:rPr>
        <w:t>日披露于巨潮资讯网的相关公告（公</w:t>
      </w:r>
      <w:r>
        <w:rPr>
          <w:spacing w:val="-58"/>
        </w:rPr>
        <w:t> </w:t>
      </w:r>
      <w:r>
        <w:rPr>
          <w:spacing w:val="-58"/>
        </w:rPr>
      </w:r>
      <w:r>
        <w:rPr/>
        <w:t>告编号：</w:t>
      </w:r>
      <w:r>
        <w:rPr>
          <w:rFonts w:ascii="Times New Roman" w:hAnsi="Times New Roman" w:cs="Times New Roman" w:eastAsia="Times New Roman" w:hint="default"/>
        </w:rPr>
        <w:t>2017-053</w:t>
      </w:r>
      <w:r>
        <w:rPr/>
        <w:t>）。 </w:t>
      </w:r>
      <w:r>
        <w:rPr>
          <w:rFonts w:ascii="Times New Roman" w:hAnsi="Times New Roman" w:cs="Times New Roman" w:eastAsia="Times New Roman" w:hint="default"/>
          <w:spacing w:val="-6"/>
        </w:rPr>
        <w:t>53</w:t>
      </w:r>
      <w:r>
        <w:rPr>
          <w:spacing w:val="-6"/>
        </w:rPr>
        <w:t>、</w:t>
      </w:r>
      <w:r>
        <w:rPr>
          <w:rFonts w:ascii="Times New Roman" w:hAnsi="Times New Roman" w:cs="Times New Roman" w:eastAsia="Times New Roman" w:hint="default"/>
          <w:spacing w:val="-6"/>
        </w:rPr>
        <w:t>2017</w:t>
      </w:r>
      <w:r>
        <w:rPr>
          <w:spacing w:val="-6"/>
        </w:rPr>
        <w:t>年</w:t>
      </w:r>
      <w:r>
        <w:rPr>
          <w:rFonts w:ascii="Times New Roman" w:hAnsi="Times New Roman" w:cs="Times New Roman" w:eastAsia="Times New Roman" w:hint="default"/>
          <w:spacing w:val="-6"/>
        </w:rPr>
        <w:t>11</w:t>
      </w:r>
      <w:r>
        <w:rPr>
          <w:spacing w:val="-6"/>
        </w:rPr>
        <w:t>月</w:t>
      </w:r>
      <w:r>
        <w:rPr>
          <w:rFonts w:ascii="Times New Roman" w:hAnsi="Times New Roman" w:cs="Times New Roman" w:eastAsia="Times New Roman" w:hint="default"/>
          <w:spacing w:val="-6"/>
        </w:rPr>
        <w:t>27</w:t>
      </w:r>
      <w:r>
        <w:rPr>
          <w:spacing w:val="-6"/>
        </w:rPr>
        <w:t>日，公司召开第二届董事会第四十二次会议，审议通过了《关于控股子公司员工股权激励框架方案的议案》，</w:t>
      </w:r>
      <w:r>
        <w:rPr>
          <w:spacing w:val="-78"/>
        </w:rPr>
        <w:t> </w:t>
      </w:r>
      <w:r>
        <w:rPr>
          <w:spacing w:val="-78"/>
        </w:rPr>
      </w:r>
      <w:r>
        <w:rPr/>
        <w:t>具体内容详见公司</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27</w:t>
      </w:r>
      <w:r>
        <w:rPr/>
        <w:t>日披露于巨潮资讯网的相关公告（公告编号：</w:t>
      </w:r>
      <w:r>
        <w:rPr>
          <w:rFonts w:ascii="Times New Roman" w:hAnsi="Times New Roman" w:cs="Times New Roman" w:eastAsia="Times New Roman" w:hint="default"/>
        </w:rPr>
        <w:t>2017-054</w:t>
      </w:r>
      <w:r>
        <w:rPr/>
        <w:t>）。 </w:t>
      </w:r>
      <w:r>
        <w:rPr>
          <w:rFonts w:ascii="Times New Roman" w:hAnsi="Times New Roman" w:cs="Times New Roman" w:eastAsia="Times New Roman" w:hint="default"/>
          <w:spacing w:val="-2"/>
        </w:rPr>
        <w:t>54</w:t>
      </w:r>
      <w:r>
        <w:rPr>
          <w:spacing w:val="-2"/>
        </w:rPr>
        <w:t>、</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13</w:t>
      </w:r>
      <w:r>
        <w:rPr>
          <w:spacing w:val="-2"/>
        </w:rPr>
        <w:t>日，公司召开第二届董事会第四十三次会议、第二届监事会第三十五次会议，审议通过了《关于公司董事</w:t>
      </w:r>
      <w:r>
        <w:rPr>
          <w:spacing w:val="-56"/>
        </w:rPr>
        <w:t> </w:t>
      </w:r>
      <w:r>
        <w:rPr>
          <w:spacing w:val="-56"/>
        </w:rPr>
      </w:r>
      <w:r>
        <w:rPr>
          <w:spacing w:val="-2"/>
        </w:rPr>
        <w:t>会换届选举暨提名第三届董事会非独立董事候选人的议案》、《关于公司董事会换届选举暨提名第三届董事会独立董事候选</w:t>
      </w:r>
      <w:r>
        <w:rPr>
          <w:spacing w:val="-65"/>
        </w:rPr>
        <w:t> </w:t>
      </w:r>
      <w:r>
        <w:rPr>
          <w:spacing w:val="-65"/>
        </w:rPr>
      </w:r>
      <w:r>
        <w:rPr>
          <w:spacing w:val="-2"/>
        </w:rPr>
        <w:t>人的议案》、《关于公司第三届董事会董事津贴的议案》、《关于公司减少注册资本、修改并办理工商变更登记的议案》以</w:t>
      </w:r>
      <w:r>
        <w:rPr>
          <w:spacing w:val="-67"/>
        </w:rPr>
        <w:t> </w:t>
      </w:r>
      <w:r>
        <w:rPr>
          <w:spacing w:val="-67"/>
        </w:rPr>
      </w:r>
      <w:r>
        <w:rPr/>
        <w:t>及《关于召开公司</w:t>
      </w:r>
      <w:r>
        <w:rPr>
          <w:spacing w:val="-43"/>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年第一次临时股东大会的议案》，具体内容详见公司</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13</w:t>
      </w:r>
      <w:r>
        <w:rPr/>
        <w:t>日披露于巨潮资讯网的相关公告</w:t>
      </w:r>
    </w:p>
    <w:p>
      <w:pPr>
        <w:spacing w:after="0" w:line="458" w:lineRule="auto"/>
        <w:jc w:val="left"/>
        <w:sectPr>
          <w:footerReference w:type="default" r:id="rId32"/>
          <w:pgSz w:w="11910" w:h="16840"/>
          <w:pgMar w:footer="1481" w:header="787" w:top="1100" w:bottom="1680" w:left="0" w:right="0"/>
        </w:sectPr>
      </w:pPr>
    </w:p>
    <w:p>
      <w:pPr>
        <w:spacing w:line="240" w:lineRule="auto" w:before="10"/>
        <w:rPr>
          <w:rFonts w:ascii="宋体" w:hAnsi="宋体" w:cs="宋体" w:eastAsia="宋体" w:hint="default"/>
          <w:sz w:val="28"/>
          <w:szCs w:val="28"/>
        </w:rPr>
      </w:pPr>
    </w:p>
    <w:p>
      <w:pPr>
        <w:pStyle w:val="BodyText"/>
        <w:spacing w:line="451" w:lineRule="auto" w:before="44"/>
        <w:ind w:left="1133" w:right="1129"/>
        <w:jc w:val="left"/>
      </w:pPr>
      <w:r>
        <w:rPr>
          <w:rFonts w:ascii="Times New Roman" w:hAnsi="Times New Roman" w:cs="Times New Roman" w:eastAsia="Times New Roman" w:hint="default"/>
          <w:spacing w:val="-2"/>
        </w:rPr>
        <w:t>55</w:t>
      </w:r>
      <w:r>
        <w:rPr>
          <w:spacing w:val="-2"/>
        </w:rPr>
        <w:t>、</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21</w:t>
      </w:r>
      <w:r>
        <w:rPr>
          <w:spacing w:val="-2"/>
        </w:rPr>
        <w:t>日，公司召开第二届董事会第四十四次会议，审议通过了《关于公司聘任财务总监的议案》，具体内容详</w:t>
      </w:r>
      <w:r>
        <w:rPr>
          <w:spacing w:val="-58"/>
        </w:rPr>
        <w:t> </w:t>
      </w:r>
      <w:r>
        <w:rPr>
          <w:spacing w:val="-58"/>
        </w:rPr>
      </w:r>
      <w:r>
        <w:rPr/>
        <w:t>见公司</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21</w:t>
      </w:r>
      <w:r>
        <w:rPr/>
        <w:t>日披露于巨潮资讯网的相关公告（公告编号：</w:t>
      </w:r>
      <w:r>
        <w:rPr>
          <w:rFonts w:ascii="Times New Roman" w:hAnsi="Times New Roman" w:cs="Times New Roman" w:eastAsia="Times New Roman" w:hint="default"/>
        </w:rPr>
        <w:t>2017-056</w:t>
      </w:r>
      <w:r>
        <w:rPr/>
        <w:t>）。 </w:t>
      </w:r>
      <w:r>
        <w:rPr>
          <w:rFonts w:ascii="Times New Roman" w:hAnsi="Times New Roman" w:cs="Times New Roman" w:eastAsia="Times New Roman" w:hint="default"/>
          <w:spacing w:val="-2"/>
        </w:rPr>
        <w:t>56</w:t>
      </w:r>
      <w:r>
        <w:rPr>
          <w:spacing w:val="-2"/>
        </w:rPr>
        <w:t>、</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25</w:t>
      </w:r>
      <w:r>
        <w:rPr>
          <w:spacing w:val="-2"/>
        </w:rPr>
        <w:t>日，公司与辛集市政府经友好协商签订了《智慧城市战略合作框架协议》，公司及时履行了相关信息披露</w:t>
      </w:r>
      <w:r>
        <w:rPr>
          <w:spacing w:val="-56"/>
        </w:rPr>
        <w:t> </w:t>
      </w:r>
      <w:r>
        <w:rPr>
          <w:spacing w:val="-56"/>
        </w:rPr>
      </w:r>
      <w:r>
        <w:rPr/>
        <w:t>义务，具体内容详见公司</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25</w:t>
      </w:r>
      <w:r>
        <w:rPr/>
        <w:t>日披露于巨潮资讯网的相关公告（公告编号：</w:t>
      </w:r>
      <w:r>
        <w:rPr>
          <w:rFonts w:ascii="Times New Roman" w:hAnsi="Times New Roman" w:cs="Times New Roman" w:eastAsia="Times New Roman" w:hint="default"/>
        </w:rPr>
        <w:t>2017-057</w:t>
      </w:r>
      <w:r>
        <w:rPr/>
        <w:t>）。 </w:t>
      </w:r>
      <w:r>
        <w:rPr>
          <w:rFonts w:ascii="Times New Roman" w:hAnsi="Times New Roman" w:cs="Times New Roman" w:eastAsia="Times New Roman" w:hint="default"/>
        </w:rPr>
        <w:t>57</w:t>
      </w:r>
      <w:r>
        <w:rPr/>
        <w:t>、</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14</w:t>
      </w:r>
      <w:r>
        <w:rPr/>
        <w:t>日，公司召开第二届董事会第十六次会议，审议通过了《关于公司拟购买房产的议案》，同意公司为解决 本次非公开发行募投项目用地，出资购买广州市番禺节能科技园发展有限公司拥有的位于广州市番禺区番禺大道北</w:t>
      </w:r>
      <w:r>
        <w:rPr>
          <w:rFonts w:ascii="Times New Roman" w:hAnsi="Times New Roman" w:cs="Times New Roman" w:eastAsia="Times New Roman" w:hint="default"/>
        </w:rPr>
        <w:t>555</w:t>
      </w:r>
      <w:r>
        <w:rPr/>
        <w:t>号的 天安总部中心</w:t>
      </w:r>
      <w:r>
        <w:rPr>
          <w:rFonts w:ascii="Times New Roman" w:hAnsi="Times New Roman" w:cs="Times New Roman" w:eastAsia="Times New Roman" w:hint="default"/>
        </w:rPr>
        <w:t>22</w:t>
      </w:r>
      <w:r>
        <w:rPr/>
        <w:t>号楼整栋（包括车库），公司本次关于购买房产事项的具体内容详见公司分别于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15</w:t>
      </w:r>
      <w:r>
        <w:rPr/>
        <w:t>日和</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3 </w:t>
      </w:r>
      <w:r>
        <w:rPr>
          <w:spacing w:val="-3"/>
        </w:rPr>
        <w:t>月</w:t>
      </w:r>
      <w:r>
        <w:rPr>
          <w:rFonts w:ascii="Times New Roman" w:hAnsi="Times New Roman" w:cs="Times New Roman" w:eastAsia="Times New Roman" w:hint="default"/>
          <w:spacing w:val="-3"/>
        </w:rPr>
        <w:t>14</w:t>
      </w:r>
      <w:r>
        <w:rPr>
          <w:spacing w:val="-3"/>
        </w:rPr>
        <w:t>日披露于巨潮咨询网（</w:t>
      </w:r>
      <w:hyperlink r:id="rId25">
        <w:r>
          <w:rPr>
            <w:rFonts w:ascii="Times New Roman" w:hAnsi="Times New Roman" w:cs="Times New Roman" w:eastAsia="Times New Roman" w:hint="default"/>
            <w:spacing w:val="-3"/>
          </w:rPr>
          <w:t>http://www.cninfo.com.cn</w:t>
        </w:r>
      </w:hyperlink>
      <w:r>
        <w:rPr>
          <w:spacing w:val="-3"/>
        </w:rPr>
        <w:t>）上的《关于公司拟购买房产的公告》（公告编号：</w:t>
      </w:r>
      <w:r>
        <w:rPr>
          <w:rFonts w:ascii="Times New Roman" w:hAnsi="Times New Roman" w:cs="Times New Roman" w:eastAsia="Times New Roman" w:hint="default"/>
          <w:spacing w:val="-3"/>
        </w:rPr>
        <w:t>2016-015</w:t>
      </w:r>
      <w:r>
        <w:rPr>
          <w:spacing w:val="-3"/>
        </w:rPr>
        <w:t>）以及《关</w:t>
      </w:r>
      <w:r>
        <w:rPr>
          <w:spacing w:val="-25"/>
        </w:rPr>
        <w:t> </w:t>
      </w:r>
      <w:r>
        <w:rPr>
          <w:spacing w:val="-25"/>
        </w:rPr>
      </w:r>
      <w:r>
        <w:rPr>
          <w:spacing w:val="-1"/>
        </w:rPr>
        <w:t>于公司购买房产事项的进展公告》（公告编号：</w:t>
      </w:r>
      <w:r>
        <w:rPr>
          <w:rFonts w:ascii="Times New Roman" w:hAnsi="Times New Roman" w:cs="Times New Roman" w:eastAsia="Times New Roman" w:hint="default"/>
          <w:spacing w:val="-1"/>
        </w:rPr>
        <w:t>2017-007</w:t>
      </w:r>
      <w:r>
        <w:rPr>
          <w:spacing w:val="-1"/>
        </w:rPr>
        <w:t>）。截至报告期末，公司已支付完毕前述合同所有款项且相关房产</w:t>
      </w:r>
      <w:r>
        <w:rPr>
          <w:spacing w:val="-84"/>
        </w:rPr>
        <w:t> </w:t>
      </w:r>
      <w:r>
        <w:rPr>
          <w:spacing w:val="-84"/>
        </w:rPr>
      </w:r>
      <w:r>
        <w:rPr/>
        <w:t>已由卖方交付公司使用，目前相关房产的产权证书尚在办理过程中。</w:t>
      </w:r>
    </w:p>
    <w:p>
      <w:pPr>
        <w:spacing w:line="240" w:lineRule="auto" w:before="12"/>
        <w:rPr>
          <w:rFonts w:ascii="宋体" w:hAnsi="宋体" w:cs="宋体" w:eastAsia="宋体" w:hint="default"/>
          <w:sz w:val="24"/>
          <w:szCs w:val="24"/>
        </w:rPr>
      </w:pPr>
    </w:p>
    <w:p>
      <w:pPr>
        <w:pStyle w:val="Heading2"/>
        <w:spacing w:line="240" w:lineRule="auto"/>
        <w:ind w:right="0"/>
        <w:jc w:val="left"/>
        <w:rPr>
          <w:b w:val="0"/>
          <w:bCs w:val="0"/>
        </w:rPr>
      </w:pPr>
      <w:bookmarkStart w:name="十九、公司子公司重大事项" w:id="101"/>
      <w:bookmarkEnd w:id="101"/>
      <w:r>
        <w:rPr>
          <w:b w:val="0"/>
          <w:bCs w:val="0"/>
        </w:rPr>
      </w:r>
      <w:r>
        <w:rPr/>
        <w:t>十九、公司子公司重大事项</w:t>
      </w:r>
      <w:r>
        <w:rPr>
          <w:b w:val="0"/>
          <w:bCs w:val="0"/>
        </w:rPr>
      </w:r>
    </w:p>
    <w:p>
      <w:pPr>
        <w:spacing w:line="240" w:lineRule="auto" w:before="0"/>
        <w:rPr>
          <w:rFonts w:ascii="宋体" w:hAnsi="宋体" w:cs="宋体" w:eastAsia="宋体" w:hint="default"/>
          <w:b/>
          <w:bCs/>
          <w:sz w:val="24"/>
          <w:szCs w:val="24"/>
        </w:rPr>
      </w:pPr>
    </w:p>
    <w:p>
      <w:pPr>
        <w:pStyle w:val="BodyText"/>
        <w:spacing w:line="240" w:lineRule="auto" w:before="189"/>
        <w:ind w:left="113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19"/>
          <w:szCs w:val="19"/>
        </w:rPr>
      </w:pPr>
    </w:p>
    <w:p>
      <w:pPr>
        <w:pStyle w:val="BodyText"/>
        <w:spacing w:line="451" w:lineRule="auto"/>
        <w:ind w:left="1424" w:right="0" w:hanging="291"/>
        <w:jc w:val="left"/>
      </w:pPr>
      <w:r>
        <w:rPr>
          <w:rFonts w:ascii="Times New Roman" w:hAnsi="Times New Roman" w:cs="Times New Roman" w:eastAsia="Times New Roman" w:hint="default"/>
        </w:rPr>
        <w:t>1</w:t>
      </w:r>
      <w:r>
        <w:rPr/>
        <w:t>、广州市苏瑞计算机科技有限公司（以下简称</w:t>
      </w:r>
      <w:r>
        <w:rPr>
          <w:rFonts w:ascii="Times New Roman" w:hAnsi="Times New Roman" w:cs="Times New Roman" w:eastAsia="Times New Roman" w:hint="default"/>
        </w:rPr>
        <w:t>“</w:t>
      </w:r>
      <w:r>
        <w:rPr/>
        <w:t>苏瑞科技</w:t>
      </w:r>
      <w:r>
        <w:rPr>
          <w:rFonts w:ascii="Times New Roman" w:hAnsi="Times New Roman" w:cs="Times New Roman" w:eastAsia="Times New Roman" w:hint="default"/>
        </w:rPr>
        <w:t>”</w:t>
      </w:r>
      <w:r>
        <w:rPr/>
        <w:t>） </w:t>
      </w:r>
      <w:r>
        <w:rPr>
          <w:spacing w:val="-2"/>
        </w:rPr>
        <w:t>报告期内，公司全资子公司苏瑞科技出资人民币</w:t>
      </w:r>
      <w:r>
        <w:rPr>
          <w:rFonts w:ascii="Times New Roman" w:hAnsi="Times New Roman" w:cs="Times New Roman" w:eastAsia="Times New Roman" w:hint="default"/>
          <w:spacing w:val="-2"/>
        </w:rPr>
        <w:t>1,800</w:t>
      </w:r>
      <w:r>
        <w:rPr>
          <w:spacing w:val="-2"/>
        </w:rPr>
        <w:t>万元与湖南戍融智能科技有限公司、广州市宏视电子技术有限公司</w:t>
      </w:r>
    </w:p>
    <w:p>
      <w:pPr>
        <w:pStyle w:val="BodyText"/>
        <w:spacing w:line="451" w:lineRule="auto" w:before="43"/>
        <w:ind w:left="1133" w:right="0"/>
        <w:jc w:val="left"/>
      </w:pPr>
      <w:r>
        <w:rPr>
          <w:spacing w:val="-1"/>
        </w:rPr>
        <w:t>以及自然人潘敏芳合资设立了湖南久视智能科技有限公司（以下简称</w:t>
      </w:r>
      <w:r>
        <w:rPr>
          <w:rFonts w:ascii="Times New Roman" w:hAnsi="Times New Roman" w:cs="Times New Roman" w:eastAsia="Times New Roman" w:hint="default"/>
          <w:spacing w:val="-1"/>
        </w:rPr>
        <w:t>“</w:t>
      </w:r>
      <w:r>
        <w:rPr>
          <w:spacing w:val="-1"/>
        </w:rPr>
        <w:t>久视智能</w:t>
      </w:r>
      <w:r>
        <w:rPr>
          <w:rFonts w:ascii="Times New Roman" w:hAnsi="Times New Roman" w:cs="Times New Roman" w:eastAsia="Times New Roman" w:hint="default"/>
          <w:spacing w:val="-1"/>
        </w:rPr>
        <w:t>”</w:t>
      </w:r>
      <w:r>
        <w:rPr>
          <w:spacing w:val="-1"/>
        </w:rPr>
        <w:t>），占久视智能持股比例为</w:t>
      </w:r>
      <w:r>
        <w:rPr>
          <w:rFonts w:ascii="Times New Roman" w:hAnsi="Times New Roman" w:cs="Times New Roman" w:eastAsia="Times New Roman" w:hint="default"/>
          <w:spacing w:val="-1"/>
        </w:rPr>
        <w:t>60%</w:t>
      </w:r>
      <w:r>
        <w:rPr>
          <w:spacing w:val="-1"/>
        </w:rPr>
        <w:t>，系久视智</w:t>
      </w:r>
      <w:r>
        <w:rPr>
          <w:spacing w:val="-70"/>
        </w:rPr>
        <w:t> </w:t>
      </w:r>
      <w:r>
        <w:rPr>
          <w:spacing w:val="-70"/>
        </w:rPr>
      </w:r>
      <w:r>
        <w:rPr/>
        <w:t>能的控股股东。</w:t>
      </w:r>
    </w:p>
    <w:p>
      <w:pPr>
        <w:pStyle w:val="BodyText"/>
        <w:spacing w:line="463" w:lineRule="auto" w:before="74"/>
        <w:ind w:left="1424" w:right="0" w:hanging="1"/>
        <w:jc w:val="left"/>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11</w:t>
      </w:r>
      <w:r>
        <w:rPr/>
        <w:t>月，久视智能办理完毕工商注册登记手续并领取了《营业执照》。 公司本次对外投资事项属于公司总经理权限范围，无需提交公司董事会和股东大会审议。 </w:t>
      </w:r>
      <w:r>
        <w:rPr>
          <w:spacing w:val="-1"/>
        </w:rPr>
        <w:t>公司以久视智能为平台，结合国防科技大学、汕头大学博士科研团队，从事深度学习等人工智能算法研究，开展人员多</w:t>
      </w:r>
    </w:p>
    <w:p>
      <w:pPr>
        <w:pStyle w:val="BodyText"/>
        <w:spacing w:line="451" w:lineRule="auto" w:before="65"/>
        <w:ind w:left="1133" w:right="1173"/>
        <w:jc w:val="left"/>
      </w:pPr>
      <w:r>
        <w:rPr/>
        <w:t>场景检测、异常人脸识别、人体姿态识别、</w:t>
      </w:r>
      <w:r>
        <w:rPr>
          <w:rFonts w:ascii="Times New Roman" w:hAnsi="Times New Roman" w:cs="Times New Roman" w:eastAsia="Times New Roman" w:hint="default"/>
        </w:rPr>
        <w:t>3D</w:t>
      </w:r>
      <w:r>
        <w:rPr/>
        <w:t>行为分析、车辆视频结构化等尖端计算视觉技术研发；物联网操控类语音语 义专项技术攻关，增厚公司技术积累。</w:t>
      </w:r>
    </w:p>
    <w:p>
      <w:pPr>
        <w:pStyle w:val="BodyText"/>
        <w:spacing w:line="458" w:lineRule="auto" w:before="74"/>
        <w:ind w:left="1496" w:right="1118" w:hanging="363"/>
        <w:jc w:val="left"/>
      </w:pPr>
      <w:r>
        <w:rPr>
          <w:rFonts w:ascii="Times New Roman" w:hAnsi="Times New Roman" w:cs="Times New Roman" w:eastAsia="Times New Roman" w:hint="default"/>
        </w:rPr>
        <w:t>2</w:t>
      </w:r>
      <w:r>
        <w:rPr/>
        <w:t>、武汉浩立威保安服务有限公司（以下简称</w:t>
      </w:r>
      <w:r>
        <w:rPr>
          <w:rFonts w:ascii="Times New Roman" w:hAnsi="Times New Roman" w:cs="Times New Roman" w:eastAsia="Times New Roman" w:hint="default"/>
        </w:rPr>
        <w:t>“</w:t>
      </w:r>
      <w:r>
        <w:rPr/>
        <w:t>浩立威</w:t>
      </w:r>
      <w:r>
        <w:rPr>
          <w:rFonts w:ascii="Times New Roman" w:hAnsi="Times New Roman" w:cs="Times New Roman" w:eastAsia="Times New Roman" w:hint="default"/>
        </w:rPr>
        <w:t>”</w:t>
      </w:r>
      <w:r>
        <w:rPr/>
        <w:t>） 报告期内，因业务发展需要，公司出资人民币</w:t>
      </w:r>
      <w:r>
        <w:rPr>
          <w:rFonts w:ascii="Times New Roman" w:hAnsi="Times New Roman" w:cs="Times New Roman" w:eastAsia="Times New Roman" w:hint="default"/>
        </w:rPr>
        <w:t>1,000</w:t>
      </w:r>
      <w:r>
        <w:rPr/>
        <w:t>万元设立全资子公司浩立威。 </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10</w:t>
      </w:r>
      <w:r>
        <w:rPr/>
        <w:t>月，浩立威办理完毕工商注册登记手续并领取了《营业执照》。 公司本次对外投资事项属于公司总经理权限范围，无需提交公司董事会和股东大会审议。 </w:t>
      </w:r>
      <w:r>
        <w:rPr>
          <w:spacing w:val="-2"/>
        </w:rPr>
        <w:t>公司上述在武汉设立全资子公司并取得</w:t>
      </w:r>
      <w:r>
        <w:rPr>
          <w:rFonts w:ascii="Times New Roman" w:hAnsi="Times New Roman" w:cs="Times New Roman" w:eastAsia="Times New Roman" w:hint="default"/>
          <w:spacing w:val="-2"/>
        </w:rPr>
        <w:t>“</w:t>
      </w:r>
      <w:r>
        <w:rPr>
          <w:spacing w:val="-2"/>
        </w:rPr>
        <w:t>保安服务许可证</w:t>
      </w:r>
      <w:r>
        <w:rPr>
          <w:rFonts w:ascii="Times New Roman" w:hAnsi="Times New Roman" w:cs="Times New Roman" w:eastAsia="Times New Roman" w:hint="default"/>
          <w:spacing w:val="-2"/>
        </w:rPr>
        <w:t>”</w:t>
      </w:r>
      <w:r>
        <w:rPr>
          <w:spacing w:val="-2"/>
        </w:rPr>
        <w:t>，为公司全面推进物联网智慧运营服务提供了资质条件和合作</w:t>
      </w:r>
    </w:p>
    <w:p>
      <w:pPr>
        <w:pStyle w:val="BodyText"/>
        <w:spacing w:line="240" w:lineRule="auto" w:before="37"/>
        <w:ind w:left="1133" w:right="0"/>
        <w:jc w:val="left"/>
      </w:pPr>
      <w:r>
        <w:rPr/>
        <w:t>平台。</w:t>
      </w:r>
    </w:p>
    <w:p>
      <w:pPr>
        <w:spacing w:line="240" w:lineRule="auto" w:before="10"/>
        <w:rPr>
          <w:rFonts w:ascii="宋体" w:hAnsi="宋体" w:cs="宋体" w:eastAsia="宋体" w:hint="default"/>
          <w:sz w:val="17"/>
          <w:szCs w:val="17"/>
        </w:rPr>
      </w:pPr>
    </w:p>
    <w:p>
      <w:pPr>
        <w:pStyle w:val="BodyText"/>
        <w:spacing w:line="240" w:lineRule="auto"/>
        <w:ind w:left="1133" w:right="0"/>
        <w:jc w:val="left"/>
      </w:pPr>
      <w:r>
        <w:rPr>
          <w:rFonts w:ascii="Times New Roman" w:hAnsi="Times New Roman" w:cs="Times New Roman" w:eastAsia="Times New Roman" w:hint="default"/>
        </w:rPr>
        <w:t>3</w:t>
      </w:r>
      <w:r>
        <w:rPr/>
        <w:t>、西藏浩云创业投资有限公司（以下简称</w:t>
      </w:r>
      <w:r>
        <w:rPr>
          <w:rFonts w:ascii="Times New Roman" w:hAnsi="Times New Roman" w:cs="Times New Roman" w:eastAsia="Times New Roman" w:hint="default"/>
        </w:rPr>
        <w:t>“</w:t>
      </w:r>
      <w:r>
        <w:rPr/>
        <w:t>西藏浩云</w:t>
      </w:r>
      <w:r>
        <w:rPr>
          <w:rFonts w:ascii="Times New Roman" w:hAnsi="Times New Roman" w:cs="Times New Roman" w:eastAsia="Times New Roman" w:hint="default"/>
        </w:rPr>
        <w:t>”</w:t>
      </w:r>
      <w:r>
        <w:rPr/>
        <w:t>）</w:t>
      </w:r>
    </w:p>
    <w:p>
      <w:pPr>
        <w:spacing w:after="0" w:line="240" w:lineRule="auto"/>
        <w:jc w:val="left"/>
        <w:sectPr>
          <w:footerReference w:type="default" r:id="rId33"/>
          <w:pgSz w:w="11910" w:h="16840"/>
          <w:pgMar w:footer="640" w:header="787" w:top="1100" w:bottom="840" w:left="0" w:right="0"/>
        </w:sectPr>
      </w:pPr>
    </w:p>
    <w:p>
      <w:pPr>
        <w:spacing w:line="240" w:lineRule="auto" w:before="10"/>
        <w:rPr>
          <w:rFonts w:ascii="宋体" w:hAnsi="宋体" w:cs="宋体" w:eastAsia="宋体" w:hint="default"/>
          <w:sz w:val="28"/>
          <w:szCs w:val="28"/>
        </w:rPr>
      </w:pPr>
    </w:p>
    <w:p>
      <w:pPr>
        <w:pStyle w:val="BodyText"/>
        <w:spacing w:line="451" w:lineRule="auto" w:before="44"/>
        <w:ind w:left="1133" w:right="1133" w:firstLine="362"/>
        <w:jc w:val="both"/>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27</w:t>
      </w:r>
      <w:r>
        <w:rPr/>
        <w:t>日，公司召开第二届董事会第三十九次会议，审议通过了全资子公司西藏浩云出资人民币</w:t>
      </w:r>
      <w:r>
        <w:rPr>
          <w:rFonts w:ascii="Times New Roman" w:hAnsi="Times New Roman" w:cs="Times New Roman" w:eastAsia="Times New Roman" w:hint="default"/>
        </w:rPr>
        <w:t>9,000</w:t>
      </w:r>
      <w:r>
        <w:rPr/>
        <w:t>万元与深 圳琢石投资有限公司、广州云信科技创业投资合伙企业（有限合伙）合作设立股权投资基金</w:t>
      </w:r>
      <w:r>
        <w:rPr>
          <w:rFonts w:ascii="Times New Roman" w:hAnsi="Times New Roman" w:cs="Times New Roman" w:eastAsia="Times New Roman" w:hint="default"/>
        </w:rPr>
        <w:t>“</w:t>
      </w:r>
      <w:r>
        <w:rPr/>
        <w:t>广州云智科技创业投资合伙企 业（有限合伙）</w:t>
      </w:r>
      <w:r>
        <w:rPr>
          <w:rFonts w:ascii="Times New Roman" w:hAnsi="Times New Roman" w:cs="Times New Roman" w:eastAsia="Times New Roman" w:hint="default"/>
        </w:rPr>
        <w:t>”</w:t>
      </w:r>
      <w:r>
        <w:rPr>
          <w:rFonts w:ascii="Times New Roman" w:hAnsi="Times New Roman" w:cs="Times New Roman" w:eastAsia="Times New Roman" w:hint="default"/>
          <w:spacing w:val="-7"/>
        </w:rPr>
        <w:t> </w:t>
      </w:r>
      <w:r>
        <w:rPr/>
        <w:t>（以下简称</w:t>
      </w:r>
      <w:r>
        <w:rPr>
          <w:rFonts w:ascii="Times New Roman" w:hAnsi="Times New Roman" w:cs="Times New Roman" w:eastAsia="Times New Roman" w:hint="default"/>
        </w:rPr>
        <w:t>“</w:t>
      </w:r>
      <w:r>
        <w:rPr/>
        <w:t>基金</w:t>
      </w:r>
      <w:r>
        <w:rPr>
          <w:rFonts w:ascii="Times New Roman" w:hAnsi="Times New Roman" w:cs="Times New Roman" w:eastAsia="Times New Roman" w:hint="default"/>
        </w:rPr>
        <w:t>”</w:t>
      </w:r>
      <w:r>
        <w:rPr/>
        <w:t>），用于孵化物联网及相关人工智能、大数据、云计算等方向创新型企业，助力公司战 略推进。</w:t>
      </w:r>
    </w:p>
    <w:p>
      <w:pPr>
        <w:pStyle w:val="BodyText"/>
        <w:spacing w:line="451" w:lineRule="auto" w:before="74"/>
        <w:ind w:right="1132" w:firstLine="380"/>
        <w:jc w:val="both"/>
      </w:pP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11</w:t>
      </w:r>
      <w:r>
        <w:rPr>
          <w:spacing w:val="-1"/>
        </w:rPr>
        <w:t>月，基金办理完毕工商注册登记手续并领取了《营业执照》；</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2</w:t>
      </w:r>
      <w:r>
        <w:rPr>
          <w:spacing w:val="-1"/>
        </w:rPr>
        <w:t>月，基金在中国证券投资基金业协会办</w:t>
      </w:r>
      <w:r>
        <w:rPr/>
        <w:t> 理完成备案手续，并取得了《私募投资基金备案证明》（备案编号：</w:t>
      </w:r>
      <w:r>
        <w:rPr>
          <w:rFonts w:ascii="Times New Roman" w:hAnsi="Times New Roman" w:cs="Times New Roman" w:eastAsia="Times New Roman" w:hint="default"/>
        </w:rPr>
        <w:t>SY3675</w:t>
      </w:r>
      <w:r>
        <w:rPr/>
        <w:t>）。</w:t>
      </w:r>
    </w:p>
    <w:p>
      <w:pPr>
        <w:pStyle w:val="BodyText"/>
        <w:spacing w:line="240" w:lineRule="auto" w:before="43"/>
        <w:ind w:left="1496" w:right="0"/>
        <w:jc w:val="left"/>
      </w:pPr>
      <w:r>
        <w:rPr/>
        <w:t>上述内</w:t>
      </w:r>
      <w:r>
        <w:rPr>
          <w:spacing w:val="-2"/>
        </w:rPr>
        <w:t>容</w:t>
      </w:r>
      <w:r>
        <w:rPr/>
        <w:t>详见公司分别于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28</w:t>
      </w:r>
      <w:r>
        <w:rPr/>
        <w:t>日</w:t>
      </w:r>
      <w:r>
        <w:rPr>
          <w:spacing w:val="-87"/>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16</w:t>
      </w:r>
      <w:r>
        <w:rPr/>
        <w:t>日以及</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8</w:t>
      </w:r>
      <w:r>
        <w:rPr/>
        <w:t>日披露于巨潮资讯网的相关公</w:t>
      </w:r>
      <w:r>
        <w:rPr>
          <w:spacing w:val="-87"/>
        </w:rPr>
        <w:t>告</w:t>
      </w:r>
      <w:r>
        <w:rPr/>
        <w:t>（公告编号：</w:t>
      </w:r>
    </w:p>
    <w:p>
      <w:pPr>
        <w:spacing w:line="240" w:lineRule="auto" w:before="9"/>
        <w:rPr>
          <w:rFonts w:ascii="宋体" w:hAnsi="宋体" w:cs="宋体" w:eastAsia="宋体" w:hint="default"/>
          <w:sz w:val="16"/>
          <w:szCs w:val="16"/>
        </w:rPr>
      </w:pPr>
    </w:p>
    <w:p>
      <w:pPr>
        <w:pStyle w:val="BodyText"/>
        <w:spacing w:line="240" w:lineRule="auto"/>
        <w:ind w:right="0"/>
        <w:jc w:val="left"/>
      </w:pPr>
      <w:r>
        <w:rPr>
          <w:rFonts w:ascii="Times New Roman" w:hAnsi="Times New Roman" w:cs="Times New Roman" w:eastAsia="Times New Roman" w:hint="default"/>
        </w:rPr>
        <w:t>2017-048</w:t>
      </w:r>
      <w:r>
        <w:rPr/>
        <w:t>；</w:t>
      </w:r>
      <w:r>
        <w:rPr>
          <w:rFonts w:ascii="Times New Roman" w:hAnsi="Times New Roman" w:cs="Times New Roman" w:eastAsia="Times New Roman" w:hint="default"/>
        </w:rPr>
        <w:t>2017-053</w:t>
      </w:r>
      <w:r>
        <w:rPr/>
        <w:t>；</w:t>
      </w:r>
      <w:r>
        <w:rPr>
          <w:rFonts w:ascii="Times New Roman" w:hAnsi="Times New Roman" w:cs="Times New Roman" w:eastAsia="Times New Roman" w:hint="default"/>
        </w:rPr>
        <w:t>2018-006</w:t>
      </w:r>
      <w:r>
        <w:rPr/>
        <w:t>）。</w:t>
      </w:r>
    </w:p>
    <w:p>
      <w:pPr>
        <w:spacing w:line="240" w:lineRule="auto" w:before="9"/>
        <w:rPr>
          <w:rFonts w:ascii="宋体" w:hAnsi="宋体" w:cs="宋体" w:eastAsia="宋体" w:hint="default"/>
          <w:sz w:val="16"/>
          <w:szCs w:val="16"/>
        </w:rPr>
      </w:pPr>
    </w:p>
    <w:p>
      <w:pPr>
        <w:pStyle w:val="BodyText"/>
        <w:spacing w:line="240" w:lineRule="auto"/>
        <w:ind w:left="1133" w:right="0"/>
        <w:jc w:val="left"/>
      </w:pPr>
      <w:r>
        <w:rPr>
          <w:rFonts w:ascii="Times New Roman" w:hAnsi="Times New Roman" w:cs="Times New Roman" w:eastAsia="Times New Roman" w:hint="default"/>
        </w:rPr>
        <w:t>4</w:t>
      </w:r>
      <w:r>
        <w:rPr/>
        <w:t>、重庆浩云公共安全物联网技术有限公司（以下简称</w:t>
      </w:r>
      <w:r>
        <w:rPr>
          <w:rFonts w:ascii="Times New Roman" w:hAnsi="Times New Roman" w:cs="Times New Roman" w:eastAsia="Times New Roman" w:hint="default"/>
        </w:rPr>
        <w:t>“</w:t>
      </w:r>
      <w:r>
        <w:rPr/>
        <w:t>浩云物联</w:t>
      </w:r>
      <w:r>
        <w:rPr>
          <w:rFonts w:ascii="Times New Roman" w:hAnsi="Times New Roman" w:cs="Times New Roman" w:eastAsia="Times New Roman" w:hint="default"/>
        </w:rPr>
        <w:t>”</w:t>
      </w:r>
      <w:r>
        <w:rPr/>
        <w:t>）</w:t>
      </w:r>
    </w:p>
    <w:p>
      <w:pPr>
        <w:spacing w:line="240" w:lineRule="auto" w:before="9"/>
        <w:rPr>
          <w:rFonts w:ascii="宋体" w:hAnsi="宋体" w:cs="宋体" w:eastAsia="宋体" w:hint="default"/>
          <w:sz w:val="16"/>
          <w:szCs w:val="16"/>
        </w:rPr>
      </w:pPr>
    </w:p>
    <w:p>
      <w:pPr>
        <w:pStyle w:val="BodyText"/>
        <w:spacing w:line="451" w:lineRule="auto"/>
        <w:ind w:left="1133" w:right="1131" w:firstLine="290"/>
        <w:jc w:val="both"/>
      </w:pPr>
      <w:r>
        <w:rPr>
          <w:rFonts w:ascii="Times New Roman" w:hAnsi="Times New Roman" w:cs="Times New Roman" w:eastAsia="Times New Roman" w:hint="default"/>
          <w:spacing w:val="-1"/>
        </w:rPr>
        <w:t>2016</w:t>
      </w:r>
      <w:r>
        <w:rPr>
          <w:spacing w:val="-1"/>
        </w:rPr>
        <w:t>年</w:t>
      </w:r>
      <w:r>
        <w:rPr>
          <w:rFonts w:ascii="Times New Roman" w:hAnsi="Times New Roman" w:cs="Times New Roman" w:eastAsia="Times New Roman" w:hint="default"/>
          <w:spacing w:val="-1"/>
        </w:rPr>
        <w:t>8</w:t>
      </w:r>
      <w:r>
        <w:rPr>
          <w:spacing w:val="-1"/>
        </w:rPr>
        <w:t>月</w:t>
      </w:r>
      <w:r>
        <w:rPr>
          <w:rFonts w:ascii="Times New Roman" w:hAnsi="Times New Roman" w:cs="Times New Roman" w:eastAsia="Times New Roman" w:hint="default"/>
          <w:spacing w:val="-1"/>
        </w:rPr>
        <w:t>3</w:t>
      </w:r>
      <w:r>
        <w:rPr>
          <w:spacing w:val="-1"/>
        </w:rPr>
        <w:t>日，公司获悉全资子公司浩云物联于</w:t>
      </w:r>
      <w:r>
        <w:rPr>
          <w:rFonts w:ascii="Times New Roman" w:hAnsi="Times New Roman" w:cs="Times New Roman" w:eastAsia="Times New Roman" w:hint="default"/>
          <w:spacing w:val="-1"/>
        </w:rPr>
        <w:t>2016</w:t>
      </w:r>
      <w:r>
        <w:rPr>
          <w:spacing w:val="-1"/>
        </w:rPr>
        <w:t>年</w:t>
      </w:r>
      <w:r>
        <w:rPr>
          <w:rFonts w:ascii="Times New Roman" w:hAnsi="Times New Roman" w:cs="Times New Roman" w:eastAsia="Times New Roman" w:hint="default"/>
          <w:spacing w:val="-1"/>
        </w:rPr>
        <w:t>8</w:t>
      </w:r>
      <w:r>
        <w:rPr>
          <w:spacing w:val="-1"/>
        </w:rPr>
        <w:t>月</w:t>
      </w:r>
      <w:r>
        <w:rPr>
          <w:rFonts w:ascii="Times New Roman" w:hAnsi="Times New Roman" w:cs="Times New Roman" w:eastAsia="Times New Roman" w:hint="default"/>
          <w:spacing w:val="-1"/>
        </w:rPr>
        <w:t>1</w:t>
      </w:r>
      <w:r>
        <w:rPr>
          <w:spacing w:val="-1"/>
        </w:rPr>
        <w:t>日与重庆市公安局渝北区分局签署了《渝北区公共安全视频</w:t>
      </w:r>
      <w:r>
        <w:rPr/>
        <w:t> 监控工程服务（智慧天网）合同书》，合同金额为</w:t>
      </w:r>
      <w:r>
        <w:rPr>
          <w:rFonts w:ascii="Times New Roman" w:hAnsi="Times New Roman" w:cs="Times New Roman" w:eastAsia="Times New Roman" w:hint="default"/>
        </w:rPr>
        <w:t>23,911.55</w:t>
      </w:r>
      <w:r>
        <w:rPr/>
        <w:t>万元，具体内容详见公司</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3</w:t>
      </w:r>
      <w:r>
        <w:rPr/>
        <w:t>日披露于巨潮资讯网</w:t>
      </w:r>
    </w:p>
    <w:p>
      <w:pPr>
        <w:pStyle w:val="BodyText"/>
        <w:spacing w:line="451" w:lineRule="auto" w:before="43"/>
        <w:ind w:right="1147"/>
        <w:jc w:val="left"/>
      </w:pPr>
      <w:r>
        <w:rPr/>
        <w:t>（</w:t>
      </w:r>
      <w:hyperlink r:id="rId25">
        <w:r>
          <w:rPr>
            <w:rFonts w:ascii="Times New Roman" w:hAnsi="Times New Roman" w:cs="Times New Roman" w:eastAsia="Times New Roman" w:hint="default"/>
          </w:rPr>
          <w:t>http://www.cninfo.com.cn</w:t>
        </w:r>
      </w:hyperlink>
      <w:r>
        <w:rPr/>
        <w:t>）上的《关于全资子公司签署重大合同的公告》（公告编号：</w:t>
      </w:r>
      <w:r>
        <w:rPr>
          <w:rFonts w:ascii="Times New Roman" w:hAnsi="Times New Roman" w:cs="Times New Roman" w:eastAsia="Times New Roman" w:hint="default"/>
        </w:rPr>
        <w:t>2016-039</w:t>
      </w:r>
      <w:r>
        <w:rPr/>
        <w:t>）。截至报告期末，前述 子公司就上述合同已累计确认收入</w:t>
      </w:r>
      <w:r>
        <w:rPr>
          <w:rFonts w:ascii="Times New Roman" w:hAnsi="Times New Roman" w:cs="Times New Roman" w:eastAsia="Times New Roman" w:hint="default"/>
        </w:rPr>
        <w:t>4,711.10</w:t>
      </w:r>
      <w:r>
        <w:rPr/>
        <w:t>万元。</w:t>
      </w:r>
    </w:p>
    <w:p>
      <w:pPr>
        <w:pStyle w:val="BodyText"/>
        <w:spacing w:line="240" w:lineRule="auto" w:before="43"/>
        <w:ind w:right="0"/>
        <w:jc w:val="left"/>
      </w:pPr>
      <w:r>
        <w:rPr>
          <w:rFonts w:ascii="Times New Roman" w:hAnsi="Times New Roman" w:cs="Times New Roman" w:eastAsia="Times New Roman" w:hint="default"/>
        </w:rPr>
        <w:t>5</w:t>
      </w:r>
      <w:r>
        <w:rPr/>
        <w:t>、深圳市润安科技发展有限公司（以下简称</w:t>
      </w:r>
      <w:r>
        <w:rPr>
          <w:rFonts w:ascii="Times New Roman" w:hAnsi="Times New Roman" w:cs="Times New Roman" w:eastAsia="Times New Roman" w:hint="default"/>
        </w:rPr>
        <w:t>“</w:t>
      </w:r>
      <w:r>
        <w:rPr/>
        <w:t>润安科技</w:t>
      </w:r>
      <w:r>
        <w:rPr>
          <w:rFonts w:ascii="Times New Roman" w:hAnsi="Times New Roman" w:cs="Times New Roman" w:eastAsia="Times New Roman" w:hint="default"/>
        </w:rPr>
        <w:t>”</w:t>
      </w:r>
      <w:r>
        <w:rPr/>
        <w:t>）</w:t>
      </w:r>
    </w:p>
    <w:p>
      <w:pPr>
        <w:spacing w:line="240" w:lineRule="auto" w:before="9"/>
        <w:rPr>
          <w:rFonts w:ascii="宋体" w:hAnsi="宋体" w:cs="宋体" w:eastAsia="宋体" w:hint="default"/>
          <w:sz w:val="16"/>
          <w:szCs w:val="16"/>
        </w:rPr>
      </w:pPr>
    </w:p>
    <w:p>
      <w:pPr>
        <w:pStyle w:val="BodyText"/>
        <w:spacing w:line="451" w:lineRule="auto"/>
        <w:ind w:right="1041" w:firstLine="362"/>
        <w:jc w:val="both"/>
      </w:pPr>
      <w:r>
        <w:rPr>
          <w:rFonts w:ascii="Times New Roman" w:hAnsi="Times New Roman" w:cs="Times New Roman" w:eastAsia="Times New Roman" w:hint="default"/>
          <w:spacing w:val="-7"/>
        </w:rPr>
        <w:t>2017</w:t>
      </w:r>
      <w:r>
        <w:rPr>
          <w:spacing w:val="-7"/>
        </w:rPr>
        <w:t>年</w:t>
      </w:r>
      <w:r>
        <w:rPr>
          <w:rFonts w:ascii="Times New Roman" w:hAnsi="Times New Roman" w:cs="Times New Roman" w:eastAsia="Times New Roman" w:hint="default"/>
          <w:spacing w:val="-7"/>
        </w:rPr>
        <w:t>11</w:t>
      </w:r>
      <w:r>
        <w:rPr>
          <w:spacing w:val="-7"/>
        </w:rPr>
        <w:t>月</w:t>
      </w:r>
      <w:r>
        <w:rPr>
          <w:rFonts w:ascii="Times New Roman" w:hAnsi="Times New Roman" w:cs="Times New Roman" w:eastAsia="Times New Roman" w:hint="default"/>
          <w:spacing w:val="-7"/>
        </w:rPr>
        <w:t>27</w:t>
      </w:r>
      <w:r>
        <w:rPr>
          <w:spacing w:val="-7"/>
        </w:rPr>
        <w:t>日，公司召开第二届董事会第四十二次会议，审议通过了《关于控股子公司员工股权激励框架方案的议案》，</w:t>
      </w:r>
      <w:r>
        <w:rPr/>
        <w:t> 同意润安科技实施其员工股权激励框架方案。</w:t>
      </w:r>
    </w:p>
    <w:p>
      <w:pPr>
        <w:pStyle w:val="BodyText"/>
        <w:spacing w:line="451" w:lineRule="auto" w:before="74"/>
        <w:ind w:left="1568" w:right="1546" w:hanging="73"/>
        <w:jc w:val="left"/>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t>月，润安科技已完成其实施第一期股权激励计划的相关工作。 上述内容详见公司分别于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27</w:t>
      </w:r>
      <w:r>
        <w:rPr/>
        <w:t>日和</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3</w:t>
      </w:r>
      <w:r>
        <w:rPr/>
        <w:t>日披露于巨潮资讯网的相关公告（公告编号：</w:t>
      </w:r>
      <w:r>
        <w:rPr>
          <w:rFonts w:ascii="Times New Roman" w:hAnsi="Times New Roman" w:cs="Times New Roman" w:eastAsia="Times New Roman" w:hint="default"/>
        </w:rPr>
        <w:t>2017-054</w:t>
      </w:r>
      <w:r>
        <w:rPr/>
        <w:t>；</w:t>
      </w:r>
    </w:p>
    <w:p>
      <w:pPr>
        <w:pStyle w:val="BodyText"/>
        <w:spacing w:line="240" w:lineRule="auto" w:before="43"/>
        <w:ind w:left="1133" w:right="0"/>
        <w:jc w:val="left"/>
      </w:pPr>
      <w:r>
        <w:rPr>
          <w:rFonts w:ascii="Times New Roman" w:hAnsi="Times New Roman" w:cs="Times New Roman" w:eastAsia="Times New Roman" w:hint="default"/>
        </w:rPr>
        <w:t>2018-001</w:t>
      </w:r>
      <w:r>
        <w:rPr/>
        <w:t>）。</w:t>
      </w:r>
    </w:p>
    <w:p>
      <w:pPr>
        <w:spacing w:after="0" w:line="240" w:lineRule="auto"/>
        <w:jc w:val="left"/>
        <w:sectPr>
          <w:footerReference w:type="default" r:id="rId34"/>
          <w:pgSz w:w="11910" w:h="16840"/>
          <w:pgMar w:footer="640" w:header="787" w:top="1100" w:bottom="84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0"/>
          <w:szCs w:val="20"/>
        </w:rPr>
      </w:pPr>
    </w:p>
    <w:p>
      <w:pPr>
        <w:pStyle w:val="Heading1"/>
        <w:spacing w:line="240" w:lineRule="auto"/>
        <w:ind w:left="3946" w:right="0"/>
        <w:jc w:val="left"/>
        <w:rPr>
          <w:b w:val="0"/>
          <w:bCs w:val="0"/>
        </w:rPr>
      </w:pPr>
      <w:bookmarkStart w:name="第六节 股份变动及股东情况" w:id="102"/>
      <w:bookmarkEnd w:id="102"/>
      <w:r>
        <w:rPr>
          <w:b w:val="0"/>
          <w:bCs w:val="0"/>
        </w:rPr>
      </w:r>
      <w:bookmarkStart w:name="_bookmark4" w:id="103"/>
      <w:bookmarkEnd w:id="103"/>
      <w:r>
        <w:rPr>
          <w:b w:val="0"/>
          <w:bCs w:val="0"/>
        </w:rPr>
      </w:r>
      <w:r>
        <w:rPr/>
        <w:t>第六节</w:t>
      </w:r>
      <w:r>
        <w:rPr>
          <w:spacing w:val="-10"/>
        </w:rPr>
        <w:t> </w:t>
      </w:r>
      <w:r>
        <w:rPr/>
        <w:t>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股份变动情况" w:id="104"/>
      <w:bookmarkEnd w:id="104"/>
      <w:r>
        <w:rPr>
          <w:b w:val="0"/>
          <w:bCs w:val="0"/>
        </w:rPr>
      </w:r>
      <w:r>
        <w:rPr/>
        <w:t>一、股份变动情况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133" w:right="0"/>
        <w:jc w:val="left"/>
        <w:rPr>
          <w:b w:val="0"/>
          <w:bCs w:val="0"/>
        </w:rPr>
      </w:pPr>
      <w:bookmarkStart w:name="1、股份变动情况" w:id="105"/>
      <w:bookmarkEnd w:id="105"/>
      <w:r>
        <w:rPr>
          <w:b w:val="0"/>
          <w:bCs w:val="0"/>
        </w:rPr>
      </w:r>
      <w:r>
        <w:rPr>
          <w:rFonts w:ascii="Times New Roman" w:hAnsi="Times New Roman" w:cs="Times New Roman" w:eastAsia="Times New Roman" w:hint="default"/>
        </w:rPr>
        <w:t>1</w:t>
      </w:r>
      <w:r>
        <w:rPr/>
        <w:t>、股份变动情况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单位：股</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2216"/>
        <w:gridCol w:w="823"/>
        <w:gridCol w:w="824"/>
        <w:gridCol w:w="822"/>
        <w:gridCol w:w="822"/>
        <w:gridCol w:w="822"/>
        <w:gridCol w:w="822"/>
        <w:gridCol w:w="822"/>
        <w:gridCol w:w="794"/>
        <w:gridCol w:w="794"/>
      </w:tblGrid>
      <w:tr>
        <w:trPr>
          <w:trHeight w:val="402"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164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7"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11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9"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5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39"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61" w:hRule="exact"/>
        </w:trPr>
        <w:tc>
          <w:tcPr>
            <w:tcW w:w="2216" w:type="dxa"/>
            <w:vMerge w:val="restart"/>
            <w:tcBorders>
              <w:top w:val="nil" w:sz="6" w:space="0" w:color="auto"/>
              <w:left w:val="single" w:sz="4" w:space="0" w:color="000000"/>
              <w:right w:val="single" w:sz="4" w:space="0" w:color="000000"/>
            </w:tcBorders>
            <w:shd w:val="clear" w:color="auto" w:fill="D2D2D2"/>
          </w:tcPr>
          <w:p>
            <w:pPr/>
          </w:p>
        </w:tc>
        <w:tc>
          <w:tcPr>
            <w:tcW w:w="823"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316" w:right="43" w:hanging="270"/>
              <w:jc w:val="left"/>
              <w:rPr>
                <w:rFonts w:ascii="宋体" w:hAnsi="宋体" w:cs="宋体" w:eastAsia="宋体" w:hint="default"/>
                <w:sz w:val="18"/>
                <w:szCs w:val="18"/>
              </w:rPr>
            </w:pPr>
            <w:r>
              <w:rPr>
                <w:rFonts w:ascii="宋体" w:hAnsi="宋体" w:cs="宋体" w:eastAsia="宋体" w:hint="default"/>
                <w:sz w:val="18"/>
                <w:szCs w:val="18"/>
              </w:rPr>
              <w:t>公积金转 股</w:t>
            </w: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794" w:type="dxa"/>
            <w:tcBorders>
              <w:top w:val="single" w:sz="4" w:space="0" w:color="000000"/>
              <w:left w:val="single" w:sz="4" w:space="0" w:color="000000"/>
              <w:bottom w:val="nil" w:sz="6" w:space="0" w:color="auto"/>
              <w:right w:val="single" w:sz="4" w:space="0" w:color="000000"/>
            </w:tcBorders>
            <w:shd w:val="clear" w:color="auto" w:fill="D2D2D2"/>
          </w:tcPr>
          <w:p>
            <w:pPr/>
          </w:p>
        </w:tc>
        <w:tc>
          <w:tcPr>
            <w:tcW w:w="79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1" w:hRule="exact"/>
        </w:trPr>
        <w:tc>
          <w:tcPr>
            <w:tcW w:w="2216" w:type="dxa"/>
            <w:vMerge/>
            <w:tcBorders>
              <w:left w:val="single" w:sz="4" w:space="0" w:color="000000"/>
              <w:bottom w:val="nil" w:sz="6" w:space="0" w:color="auto"/>
              <w:right w:val="single" w:sz="4" w:space="0" w:color="000000"/>
            </w:tcBorders>
            <w:shd w:val="clear" w:color="auto" w:fill="D2D2D2"/>
          </w:tcPr>
          <w:p>
            <w:pPr/>
          </w:p>
        </w:tc>
        <w:tc>
          <w:tcPr>
            <w:tcW w:w="8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2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45"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6"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822" w:type="dxa"/>
            <w:vMerge/>
            <w:tcBorders>
              <w:left w:val="single" w:sz="4" w:space="0" w:color="000000"/>
              <w:right w:val="single" w:sz="4" w:space="0" w:color="000000"/>
            </w:tcBorders>
            <w:shd w:val="clear" w:color="auto" w:fill="D2D2D2"/>
          </w:tcPr>
          <w:p>
            <w:pP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6"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12"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11"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202" w:hRule="exact"/>
        </w:trPr>
        <w:tc>
          <w:tcPr>
            <w:tcW w:w="2216" w:type="dxa"/>
            <w:vMerge w:val="restart"/>
            <w:tcBorders>
              <w:top w:val="nil" w:sz="6" w:space="0" w:color="auto"/>
              <w:left w:val="single" w:sz="4" w:space="0" w:color="000000"/>
              <w:right w:val="single" w:sz="4" w:space="0" w:color="000000"/>
            </w:tcBorders>
            <w:shd w:val="clear" w:color="auto" w:fill="D2D2D2"/>
          </w:tcPr>
          <w:p>
            <w:pPr/>
          </w:p>
        </w:tc>
        <w:tc>
          <w:tcPr>
            <w:tcW w:w="823" w:type="dxa"/>
            <w:vMerge/>
            <w:tcBorders>
              <w:left w:val="single" w:sz="4" w:space="0" w:color="000000"/>
              <w:bottom w:val="nil" w:sz="6" w:space="0" w:color="auto"/>
              <w:right w:val="single" w:sz="4" w:space="0" w:color="000000"/>
            </w:tcBorders>
            <w:shd w:val="clear" w:color="auto" w:fill="D2D2D2"/>
          </w:tcPr>
          <w:p>
            <w:pPr/>
          </w:p>
        </w:tc>
        <w:tc>
          <w:tcPr>
            <w:tcW w:w="824"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794" w:type="dxa"/>
            <w:vMerge/>
            <w:tcBorders>
              <w:left w:val="single" w:sz="4" w:space="0" w:color="000000"/>
              <w:bottom w:val="nil" w:sz="6" w:space="0" w:color="auto"/>
              <w:right w:val="single" w:sz="4" w:space="0" w:color="000000"/>
            </w:tcBorders>
            <w:shd w:val="clear" w:color="auto" w:fill="D2D2D2"/>
          </w:tcPr>
          <w:p>
            <w:pPr/>
          </w:p>
        </w:tc>
        <w:tc>
          <w:tcPr>
            <w:tcW w:w="794"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2216" w:type="dxa"/>
            <w:vMerge/>
            <w:tcBorders>
              <w:left w:val="single" w:sz="4" w:space="0" w:color="000000"/>
              <w:bottom w:val="single" w:sz="4" w:space="0" w:color="000000"/>
              <w:right w:val="single" w:sz="4" w:space="0" w:color="000000"/>
            </w:tcBorders>
            <w:shd w:val="clear" w:color="auto" w:fill="D2D2D2"/>
          </w:tcPr>
          <w:p>
            <w:pPr/>
          </w:p>
        </w:tc>
        <w:tc>
          <w:tcPr>
            <w:tcW w:w="823"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vMerge/>
            <w:tcBorders>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794" w:type="dxa"/>
            <w:tcBorders>
              <w:top w:val="nil" w:sz="6" w:space="0" w:color="auto"/>
              <w:left w:val="single" w:sz="4" w:space="0" w:color="000000"/>
              <w:bottom w:val="single" w:sz="4" w:space="0" w:color="000000"/>
              <w:right w:val="single" w:sz="4" w:space="0" w:color="000000"/>
            </w:tcBorders>
            <w:shd w:val="clear" w:color="auto" w:fill="D2D2D2"/>
          </w:tcPr>
          <w:p>
            <w:pPr/>
          </w:p>
        </w:tc>
        <w:tc>
          <w:tcPr>
            <w:tcW w:w="79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136,302,8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42</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67.34%</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16,094,76</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8</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-15,084,0</w:t>
            </w:r>
            <w:r>
              <w:rPr>
                <w:rFonts w:ascii="Times New Roman"/>
                <w:sz w:val="18"/>
              </w:rPr>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48</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1,010,720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137,313,5</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62</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62.88%</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136,302,8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42</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67.34%</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16,094,76</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8</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-15,084,0</w:t>
            </w:r>
            <w:r>
              <w:rPr>
                <w:rFonts w:ascii="Times New Roman"/>
                <w:sz w:val="18"/>
              </w:rPr>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48</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1,010,720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137,313,5</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62</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62.88%</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9,715,333</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25" w:right="0"/>
              <w:jc w:val="left"/>
              <w:rPr>
                <w:rFonts w:ascii="Times New Roman" w:hAnsi="Times New Roman" w:cs="Times New Roman" w:eastAsia="Times New Roman" w:hint="default"/>
                <w:sz w:val="18"/>
                <w:szCs w:val="18"/>
              </w:rPr>
            </w:pPr>
            <w:r>
              <w:rPr>
                <w:rFonts w:ascii="Times New Roman"/>
                <w:sz w:val="18"/>
              </w:rPr>
              <w:t>4.80%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15,945,36</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8</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15,945,36</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8</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25,660,70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1</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2" w:right="0"/>
              <w:jc w:val="left"/>
              <w:rPr>
                <w:rFonts w:ascii="Times New Roman" w:hAnsi="Times New Roman" w:cs="Times New Roman" w:eastAsia="Times New Roman" w:hint="default"/>
                <w:sz w:val="18"/>
                <w:szCs w:val="18"/>
              </w:rPr>
            </w:pPr>
            <w:r>
              <w:rPr>
                <w:rFonts w:ascii="Times New Roman"/>
                <w:sz w:val="18"/>
              </w:rPr>
              <w:t>11.75%</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126,587,5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09</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62.54%</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5" w:right="0"/>
              <w:jc w:val="left"/>
              <w:rPr>
                <w:rFonts w:ascii="Times New Roman" w:hAnsi="Times New Roman" w:cs="Times New Roman" w:eastAsia="Times New Roman" w:hint="default"/>
                <w:sz w:val="18"/>
                <w:szCs w:val="18"/>
              </w:rPr>
            </w:pPr>
            <w:r>
              <w:rPr>
                <w:rFonts w:ascii="Times New Roman"/>
                <w:sz w:val="18"/>
              </w:rPr>
              <w:t>149,400</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-15,084,0</w:t>
            </w:r>
            <w:r>
              <w:rPr>
                <w:rFonts w:ascii="Times New Roman"/>
                <w:sz w:val="18"/>
              </w:rPr>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48</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-14,934,6</w:t>
            </w:r>
            <w:r>
              <w:rPr>
                <w:rFonts w:ascii="Times New Roman"/>
                <w:sz w:val="18"/>
              </w:rPr>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48</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111,652,8</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61</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51.13%</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境内自然人持股</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66,098,60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32.66%</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14,958,49</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7</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14,958,49</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7</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81,057,09</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7</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37.12%</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66,098,60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32.66%</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14,958,49</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7</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14,958,49</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7</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81,057,09</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7</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37.12%</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202,401,4</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42</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100.00%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16,094,76</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8</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-125,551</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15,969,21</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7</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218,370,6</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59</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6" w:right="0"/>
              <w:jc w:val="left"/>
              <w:rPr>
                <w:rFonts w:ascii="Times New Roman" w:hAnsi="Times New Roman" w:cs="Times New Roman" w:eastAsia="Times New Roman" w:hint="default"/>
                <w:sz w:val="18"/>
                <w:szCs w:val="18"/>
              </w:rPr>
            </w:pPr>
            <w:r>
              <w:rPr>
                <w:rFonts w:ascii="Times New Roman"/>
                <w:sz w:val="18"/>
              </w:rPr>
              <w:t>100.00%</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bl>
    <w:p>
      <w:pPr>
        <w:spacing w:line="240" w:lineRule="auto" w:before="6"/>
        <w:rPr>
          <w:rFonts w:ascii="宋体" w:hAnsi="宋体" w:cs="宋体" w:eastAsia="宋体" w:hint="default"/>
          <w:sz w:val="6"/>
          <w:szCs w:val="6"/>
        </w:rPr>
      </w:pPr>
    </w:p>
    <w:p>
      <w:pPr>
        <w:pStyle w:val="BodyText"/>
        <w:spacing w:line="240" w:lineRule="auto" w:before="44"/>
        <w:ind w:right="0"/>
        <w:jc w:val="left"/>
      </w:pPr>
      <w:r>
        <w:rPr/>
        <w:t>股份变动的原因</w:t>
      </w:r>
    </w:p>
    <w:p>
      <w:pPr>
        <w:spacing w:line="240" w:lineRule="auto" w:before="12"/>
        <w:rPr>
          <w:rFonts w:ascii="宋体" w:hAnsi="宋体" w:cs="宋体" w:eastAsia="宋体" w:hint="default"/>
          <w:sz w:val="20"/>
          <w:szCs w:val="20"/>
        </w:rPr>
      </w:pPr>
    </w:p>
    <w:p>
      <w:pPr>
        <w:pStyle w:val="BodyText"/>
        <w:spacing w:line="240" w:lineRule="auto"/>
        <w:ind w:left="113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19"/>
          <w:szCs w:val="19"/>
        </w:rPr>
      </w:pPr>
    </w:p>
    <w:p>
      <w:pPr>
        <w:pStyle w:val="BodyText"/>
        <w:spacing w:line="240" w:lineRule="auto"/>
        <w:ind w:left="1133" w:right="0"/>
        <w:jc w:val="left"/>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3</w:t>
      </w:r>
      <w:r>
        <w:rPr/>
        <w:t>日，股东雷洪文、徐彪、袁小康和龙中胜其高管锁定股共有</w:t>
      </w:r>
      <w:r>
        <w:rPr>
          <w:rFonts w:ascii="Times New Roman" w:hAnsi="Times New Roman" w:cs="Times New Roman" w:eastAsia="Times New Roman" w:hint="default"/>
        </w:rPr>
        <w:t>7,695,000</w:t>
      </w:r>
      <w:r>
        <w:rPr/>
        <w:t>股股票上市流通。</w:t>
      </w:r>
    </w:p>
    <w:p>
      <w:pPr>
        <w:spacing w:line="240" w:lineRule="auto" w:before="9"/>
        <w:rPr>
          <w:rFonts w:ascii="宋体" w:hAnsi="宋体" w:cs="宋体" w:eastAsia="宋体" w:hint="default"/>
          <w:sz w:val="16"/>
          <w:szCs w:val="16"/>
        </w:rPr>
      </w:pPr>
    </w:p>
    <w:p>
      <w:pPr>
        <w:pStyle w:val="BodyText"/>
        <w:spacing w:line="463" w:lineRule="auto"/>
        <w:ind w:right="1167"/>
        <w:jc w:val="left"/>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w:t>
      </w:r>
      <w:r>
        <w:rPr/>
        <w:t>日，因部分员工辞职使其不具备股权激励资格，公司回购注销其持有的共</w:t>
      </w:r>
      <w:r>
        <w:rPr>
          <w:rFonts w:ascii="Times New Roman" w:hAnsi="Times New Roman" w:cs="Times New Roman" w:eastAsia="Times New Roman" w:hint="default"/>
        </w:rPr>
        <w:t>84,697</w:t>
      </w:r>
      <w:r>
        <w:rPr/>
        <w:t>股股票，并于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14 </w:t>
      </w:r>
      <w:r>
        <w:rPr/>
        <w:t>日办理完成回购注销手续。 </w:t>
      </w:r>
      <w:r>
        <w:rPr>
          <w:rFonts w:ascii="Times New Roman" w:hAnsi="Times New Roman" w:cs="Times New Roman" w:eastAsia="Times New Roman" w:hint="default"/>
        </w:rPr>
        <w:t>3</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10</w:t>
      </w:r>
      <w:r>
        <w:rPr/>
        <w:t>日，股东龙中胜辞去其高级管理人员职务，其所持流通股股票</w:t>
      </w:r>
      <w:r>
        <w:rPr>
          <w:rFonts w:ascii="Times New Roman" w:hAnsi="Times New Roman" w:cs="Times New Roman" w:eastAsia="Times New Roman" w:hint="default"/>
        </w:rPr>
        <w:t>1,254,133</w:t>
      </w:r>
      <w:r>
        <w:rPr/>
        <w:t>股被锁定。</w:t>
      </w:r>
    </w:p>
    <w:p>
      <w:pPr>
        <w:pStyle w:val="BodyText"/>
        <w:spacing w:line="451" w:lineRule="auto" w:before="33"/>
        <w:ind w:right="1131"/>
        <w:jc w:val="both"/>
      </w:pPr>
      <w:r>
        <w:rPr>
          <w:rFonts w:ascii="Times New Roman" w:hAnsi="Times New Roman" w:cs="Times New Roman" w:eastAsia="Times New Roman" w:hint="default"/>
          <w:spacing w:val="-2"/>
        </w:rPr>
        <w:t>4</w:t>
      </w:r>
      <w:r>
        <w:rPr>
          <w:spacing w:val="-2"/>
        </w:rPr>
        <w:t>、</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26</w:t>
      </w:r>
      <w:r>
        <w:rPr>
          <w:spacing w:val="-2"/>
        </w:rPr>
        <w:t>日，经公司第二届董事会第三十二次会议、第二届监事会第二十六次会议审议通过了《关于向激励对象授予</w:t>
      </w:r>
      <w:r>
        <w:rPr>
          <w:spacing w:val="-58"/>
        </w:rPr>
        <w:t> </w:t>
      </w:r>
      <w:r>
        <w:rPr>
          <w:spacing w:val="-58"/>
        </w:rPr>
      </w:r>
      <w:r>
        <w:rPr/>
        <w:t>第二期激励计划预留部分限制性股票的议案》，同意公司向</w:t>
      </w:r>
      <w:r>
        <w:rPr>
          <w:rFonts w:ascii="Times New Roman" w:hAnsi="Times New Roman" w:cs="Times New Roman" w:eastAsia="Times New Roman" w:hint="default"/>
        </w:rPr>
        <w:t>2</w:t>
      </w:r>
      <w:r>
        <w:rPr/>
        <w:t>名符合激励条件的激励对象授予第二期限制性股票预留部分共 </w:t>
      </w:r>
      <w:r>
        <w:rPr>
          <w:rFonts w:ascii="Times New Roman" w:hAnsi="Times New Roman" w:cs="Times New Roman" w:eastAsia="Times New Roman" w:hint="default"/>
        </w:rPr>
        <w:t>149,400</w:t>
      </w:r>
      <w:r>
        <w:rPr/>
        <w:t>股，并确定了</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26</w:t>
      </w:r>
      <w:r>
        <w:rPr/>
        <w:t>日为授予日。上述限制性股票已于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6</w:t>
      </w:r>
      <w:r>
        <w:rPr/>
        <w:t>日上市。</w:t>
      </w:r>
    </w:p>
    <w:p>
      <w:pPr>
        <w:pStyle w:val="BodyText"/>
        <w:spacing w:line="240" w:lineRule="auto" w:before="43"/>
        <w:ind w:left="1133" w:right="0"/>
        <w:jc w:val="left"/>
        <w:rPr>
          <w:rFonts w:ascii="Times New Roman" w:hAnsi="Times New Roman" w:cs="Times New Roman" w:eastAsia="Times New Roman" w:hint="default"/>
        </w:rPr>
      </w:pPr>
      <w:r>
        <w:rPr>
          <w:rFonts w:ascii="Times New Roman" w:hAnsi="Times New Roman" w:cs="Times New Roman" w:eastAsia="Times New Roman" w:hint="default"/>
        </w:rPr>
        <w:t>5</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11</w:t>
      </w:r>
      <w:r>
        <w:rPr/>
        <w:t>日，公司第二期激励计划首次授予限制性股票第一个解锁期解锁条件达成，</w:t>
      </w:r>
      <w:r>
        <w:rPr>
          <w:rFonts w:ascii="Times New Roman" w:hAnsi="Times New Roman" w:cs="Times New Roman" w:eastAsia="Times New Roman" w:hint="default"/>
        </w:rPr>
        <w:t>67</w:t>
      </w:r>
      <w:r>
        <w:rPr/>
        <w:t>名激励对象持有的共</w:t>
      </w:r>
      <w:r>
        <w:rPr>
          <w:rFonts w:ascii="Times New Roman" w:hAnsi="Times New Roman" w:cs="Times New Roman" w:eastAsia="Times New Roman" w:hint="default"/>
        </w:rPr>
        <w:t>438,412</w:t>
      </w:r>
    </w:p>
    <w:p>
      <w:pPr>
        <w:spacing w:after="0" w:line="240" w:lineRule="auto"/>
        <w:jc w:val="left"/>
        <w:rPr>
          <w:rFonts w:ascii="Times New Roman" w:hAnsi="Times New Roman" w:cs="Times New Roman" w:eastAsia="Times New Roman" w:hint="default"/>
        </w:rPr>
        <w:sectPr>
          <w:pgSz w:w="11910" w:h="16840"/>
          <w:pgMar w:header="787" w:footer="640" w:top="1100" w:bottom="84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6"/>
          <w:szCs w:val="16"/>
        </w:rPr>
      </w:pPr>
    </w:p>
    <w:p>
      <w:pPr>
        <w:pStyle w:val="BodyText"/>
        <w:spacing w:line="463" w:lineRule="auto"/>
        <w:ind w:right="1167"/>
        <w:jc w:val="left"/>
      </w:pPr>
      <w:r>
        <w:rPr/>
        <w:t>股股票上市流通。 </w:t>
      </w:r>
      <w:r>
        <w:rPr>
          <w:rFonts w:ascii="Times New Roman" w:hAnsi="Times New Roman" w:cs="Times New Roman" w:eastAsia="Times New Roman" w:hint="default"/>
        </w:rPr>
        <w:t>6</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11</w:t>
      </w:r>
      <w:r>
        <w:rPr/>
        <w:t>日，因部分员工辞职使其不具备股权激励资格，公司回购注销其持有的共</w:t>
      </w:r>
      <w:r>
        <w:rPr>
          <w:rFonts w:ascii="Times New Roman" w:hAnsi="Times New Roman" w:cs="Times New Roman" w:eastAsia="Times New Roman" w:hint="default"/>
        </w:rPr>
        <w:t>40,854</w:t>
      </w:r>
      <w:r>
        <w:rPr/>
        <w:t>股股票，并于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16 </w:t>
      </w:r>
      <w:r>
        <w:rPr/>
        <w:t>日办理完成回购注销手续。</w:t>
      </w:r>
    </w:p>
    <w:p>
      <w:pPr>
        <w:pStyle w:val="BodyText"/>
        <w:spacing w:line="240" w:lineRule="auto" w:before="65"/>
        <w:ind w:right="0"/>
        <w:jc w:val="left"/>
      </w:pPr>
      <w:r>
        <w:rPr>
          <w:rFonts w:ascii="Times New Roman" w:hAnsi="Times New Roman" w:cs="Times New Roman" w:eastAsia="Times New Roman" w:hint="default"/>
        </w:rPr>
        <w:t>7</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10</w:t>
      </w:r>
      <w:r>
        <w:rPr/>
        <w:t>日，股东龙中胜其高管离职锁定期届满共有</w:t>
      </w:r>
      <w:r>
        <w:rPr>
          <w:rFonts w:ascii="Times New Roman" w:hAnsi="Times New Roman" w:cs="Times New Roman" w:eastAsia="Times New Roman" w:hint="default"/>
        </w:rPr>
        <w:t>5,016,533</w:t>
      </w:r>
      <w:r>
        <w:rPr/>
        <w:t>股股票上市流通。</w:t>
      </w:r>
    </w:p>
    <w:p>
      <w:pPr>
        <w:spacing w:line="240" w:lineRule="auto" w:before="9"/>
        <w:rPr>
          <w:rFonts w:ascii="宋体" w:hAnsi="宋体" w:cs="宋体" w:eastAsia="宋体" w:hint="default"/>
          <w:sz w:val="16"/>
          <w:szCs w:val="16"/>
        </w:rPr>
      </w:pPr>
    </w:p>
    <w:p>
      <w:pPr>
        <w:pStyle w:val="BodyText"/>
        <w:spacing w:line="240" w:lineRule="auto"/>
        <w:ind w:left="1133" w:right="0"/>
        <w:jc w:val="left"/>
      </w:pPr>
      <w:r>
        <w:rPr>
          <w:rFonts w:ascii="Times New Roman" w:hAnsi="Times New Roman" w:cs="Times New Roman" w:eastAsia="Times New Roman" w:hint="default"/>
        </w:rPr>
        <w:t>8</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25</w:t>
      </w:r>
      <w:r>
        <w:rPr/>
        <w:t>日，股东张忠民其首次公开发行前已发行的股份限售期届满共有</w:t>
      </w:r>
      <w:r>
        <w:rPr>
          <w:rFonts w:ascii="Times New Roman" w:hAnsi="Times New Roman" w:cs="Times New Roman" w:eastAsia="Times New Roman" w:hint="default"/>
        </w:rPr>
        <w:t>2,491,110</w:t>
      </w:r>
      <w:r>
        <w:rPr/>
        <w:t>股股票上市流通。</w:t>
      </w:r>
    </w:p>
    <w:p>
      <w:pPr>
        <w:spacing w:line="240" w:lineRule="auto" w:before="9"/>
        <w:rPr>
          <w:rFonts w:ascii="宋体" w:hAnsi="宋体" w:cs="宋体" w:eastAsia="宋体" w:hint="default"/>
          <w:sz w:val="16"/>
          <w:szCs w:val="16"/>
        </w:rPr>
      </w:pPr>
    </w:p>
    <w:p>
      <w:pPr>
        <w:pStyle w:val="BodyText"/>
        <w:spacing w:line="451" w:lineRule="auto"/>
        <w:ind w:left="1133" w:right="1123"/>
        <w:jc w:val="left"/>
      </w:pPr>
      <w:r>
        <w:rPr>
          <w:rFonts w:ascii="Times New Roman" w:hAnsi="Times New Roman" w:cs="Times New Roman" w:eastAsia="Times New Roman" w:hint="default"/>
          <w:spacing w:val="-2"/>
        </w:rPr>
        <w:t>9</w:t>
      </w:r>
      <w:r>
        <w:rPr>
          <w:spacing w:val="-2"/>
        </w:rPr>
        <w:t>、</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27</w:t>
      </w:r>
      <w:r>
        <w:rPr>
          <w:spacing w:val="-2"/>
        </w:rPr>
        <w:t>日，公司非公开发行新增股份</w:t>
      </w:r>
      <w:r>
        <w:rPr>
          <w:rFonts w:ascii="Times New Roman" w:hAnsi="Times New Roman" w:cs="Times New Roman" w:eastAsia="Times New Roman" w:hint="default"/>
          <w:spacing w:val="-2"/>
        </w:rPr>
        <w:t>15,945,368</w:t>
      </w:r>
      <w:r>
        <w:rPr>
          <w:spacing w:val="-2"/>
        </w:rPr>
        <w:t>股在中国结算公司深圳分公司办理完毕登记托管手续，并于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8</w:t>
      </w:r>
      <w:r>
        <w:rPr>
          <w:rFonts w:ascii="Times New Roman" w:hAnsi="Times New Roman" w:cs="Times New Roman" w:eastAsia="Times New Roman" w:hint="default"/>
        </w:rPr>
        <w:t> </w:t>
      </w:r>
      <w:r>
        <w:rPr/>
        <w:t>月</w:t>
      </w:r>
      <w:r>
        <w:rPr>
          <w:rFonts w:ascii="Times New Roman" w:hAnsi="Times New Roman" w:cs="Times New Roman" w:eastAsia="Times New Roman" w:hint="default"/>
        </w:rPr>
        <w:t>8</w:t>
      </w:r>
      <w:r>
        <w:rPr/>
        <w:t>日在深圳证券交易所上市。 </w:t>
      </w:r>
      <w:r>
        <w:rPr>
          <w:rFonts w:ascii="Times New Roman" w:hAnsi="Times New Roman" w:cs="Times New Roman" w:eastAsia="Times New Roman" w:hint="default"/>
        </w:rPr>
        <w:t>10</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7</w:t>
      </w:r>
      <w:r>
        <w:rPr/>
        <w:t>日，公司首期激励计划首次授予限制性股票第二个解锁期和首期激励计划预留部分限制性股票第一个解锁 期解锁条件达成，</w:t>
      </w:r>
      <w:r>
        <w:rPr>
          <w:rFonts w:ascii="Times New Roman" w:hAnsi="Times New Roman" w:cs="Times New Roman" w:eastAsia="Times New Roman" w:hint="default"/>
        </w:rPr>
        <w:t>109</w:t>
      </w:r>
      <w:r>
        <w:rPr/>
        <w:t>名激励对象持有的共</w:t>
      </w:r>
      <w:r>
        <w:rPr>
          <w:rFonts w:ascii="Times New Roman" w:hAnsi="Times New Roman" w:cs="Times New Roman" w:eastAsia="Times New Roman" w:hint="default"/>
        </w:rPr>
        <w:t>571,575</w:t>
      </w:r>
      <w:r>
        <w:rPr/>
        <w:t>股股票上市流通。</w:t>
      </w:r>
    </w:p>
    <w:p>
      <w:pPr>
        <w:pStyle w:val="BodyText"/>
        <w:spacing w:line="240" w:lineRule="auto" w:before="84"/>
        <w:ind w:right="0"/>
        <w:jc w:val="left"/>
      </w:pPr>
      <w:r>
        <w:rPr/>
        <w:t>股份变动的批准情况</w:t>
      </w:r>
    </w:p>
    <w:p>
      <w:pPr>
        <w:spacing w:line="240" w:lineRule="auto" w:before="12"/>
        <w:rPr>
          <w:rFonts w:ascii="宋体" w:hAnsi="宋体" w:cs="宋体" w:eastAsia="宋体" w:hint="default"/>
          <w:sz w:val="20"/>
          <w:szCs w:val="20"/>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19"/>
          <w:szCs w:val="19"/>
        </w:rPr>
      </w:pPr>
    </w:p>
    <w:p>
      <w:pPr>
        <w:pStyle w:val="BodyText"/>
        <w:spacing w:line="453" w:lineRule="auto"/>
        <w:ind w:left="1133" w:right="1123"/>
        <w:jc w:val="left"/>
      </w:pPr>
      <w:r>
        <w:rPr>
          <w:rFonts w:ascii="Times New Roman" w:hAnsi="Times New Roman" w:cs="Times New Roman" w:eastAsia="Times New Roman" w:hint="default"/>
          <w:spacing w:val="-2"/>
        </w:rPr>
        <w:t>1</w:t>
      </w:r>
      <w:r>
        <w:rPr>
          <w:spacing w:val="-2"/>
        </w:rPr>
        <w:t>、</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1</w:t>
      </w:r>
      <w:r>
        <w:rPr>
          <w:spacing w:val="-2"/>
        </w:rPr>
        <w:t>日，经公司第二届董事会第二十四次会议、第二届监事会第十九次会议审议通过了《关于回购注销部分限制</w:t>
      </w:r>
      <w:r>
        <w:rPr>
          <w:spacing w:val="-58"/>
        </w:rPr>
        <w:t> </w:t>
      </w:r>
      <w:r>
        <w:rPr>
          <w:spacing w:val="-58"/>
        </w:rPr>
      </w:r>
      <w:r>
        <w:rPr>
          <w:spacing w:val="-1"/>
        </w:rPr>
        <w:t>性股票的议案》，同意回购并注销首期激励计划中</w:t>
      </w:r>
      <w:r>
        <w:rPr>
          <w:rFonts w:ascii="Times New Roman" w:hAnsi="Times New Roman" w:cs="Times New Roman" w:eastAsia="Times New Roman" w:hint="default"/>
          <w:spacing w:val="-1"/>
        </w:rPr>
        <w:t>2</w:t>
      </w:r>
      <w:r>
        <w:rPr>
          <w:spacing w:val="-1"/>
        </w:rPr>
        <w:t>名激励对象已授予但尚未解锁的合计</w:t>
      </w:r>
      <w:r>
        <w:rPr>
          <w:rFonts w:ascii="Times New Roman" w:hAnsi="Times New Roman" w:cs="Times New Roman" w:eastAsia="Times New Roman" w:hint="default"/>
          <w:spacing w:val="-1"/>
        </w:rPr>
        <w:t>9,964</w:t>
      </w:r>
      <w:r>
        <w:rPr>
          <w:spacing w:val="-1"/>
        </w:rPr>
        <w:t>股限制性股票和第二期激励计</w:t>
      </w:r>
      <w:r>
        <w:rPr>
          <w:spacing w:val="-73"/>
        </w:rPr>
        <w:t> </w:t>
      </w:r>
      <w:r>
        <w:rPr>
          <w:spacing w:val="-73"/>
        </w:rPr>
      </w:r>
      <w:r>
        <w:rPr/>
        <w:t>划中</w:t>
      </w:r>
      <w:r>
        <w:rPr>
          <w:rFonts w:ascii="Times New Roman" w:hAnsi="Times New Roman" w:cs="Times New Roman" w:eastAsia="Times New Roman" w:hint="default"/>
        </w:rPr>
        <w:t>1</w:t>
      </w:r>
      <w:r>
        <w:rPr/>
        <w:t>名激励对象已授予但尚未解锁的</w:t>
      </w:r>
      <w:r>
        <w:rPr>
          <w:rFonts w:ascii="Times New Roman" w:hAnsi="Times New Roman" w:cs="Times New Roman" w:eastAsia="Times New Roman" w:hint="default"/>
        </w:rPr>
        <w:t>74,733</w:t>
      </w:r>
      <w:r>
        <w:rPr/>
        <w:t>股限制性股票。公司独立董事对前述事项发表了独立意见，广东信达律师事务 所出具了法律意见书。</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14</w:t>
      </w:r>
      <w:r>
        <w:rPr/>
        <w:t>日，公司办理完成上述回购注销手续。 </w:t>
      </w:r>
      <w:r>
        <w:rPr>
          <w:rFonts w:ascii="Times New Roman" w:hAnsi="Times New Roman" w:cs="Times New Roman" w:eastAsia="Times New Roman" w:hint="default"/>
          <w:spacing w:val="-2"/>
        </w:rPr>
        <w:t>2</w:t>
      </w:r>
      <w:r>
        <w:rPr>
          <w:spacing w:val="-2"/>
        </w:rPr>
        <w:t>、</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26</w:t>
      </w:r>
      <w:r>
        <w:rPr>
          <w:spacing w:val="-2"/>
        </w:rPr>
        <w:t>日，经公司第二届董事会第三十二次会议、第二届监事会第二十六次会议审议通过了《关于向激励对象授予</w:t>
      </w:r>
      <w:r>
        <w:rPr>
          <w:spacing w:val="-58"/>
        </w:rPr>
        <w:t> </w:t>
      </w:r>
      <w:r>
        <w:rPr>
          <w:spacing w:val="-58"/>
        </w:rPr>
      </w:r>
      <w:r>
        <w:rPr/>
        <w:t>第二期激励计划预留部分限制性股票的议案》，同意公司向</w:t>
      </w:r>
      <w:r>
        <w:rPr>
          <w:rFonts w:ascii="Times New Roman" w:hAnsi="Times New Roman" w:cs="Times New Roman" w:eastAsia="Times New Roman" w:hint="default"/>
        </w:rPr>
        <w:t>2</w:t>
      </w:r>
      <w:r>
        <w:rPr/>
        <w:t>名符合激励条件的激励对象授予第二期限制性股票预留部分共 </w:t>
      </w:r>
      <w:r>
        <w:rPr>
          <w:rFonts w:ascii="Times New Roman" w:hAnsi="Times New Roman" w:cs="Times New Roman" w:eastAsia="Times New Roman" w:hint="default"/>
          <w:spacing w:val="-1"/>
        </w:rPr>
        <w:t>149,400</w:t>
      </w:r>
      <w:r>
        <w:rPr>
          <w:spacing w:val="-1"/>
        </w:rPr>
        <w:t>股，并确定了</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4</w:t>
      </w:r>
      <w:r>
        <w:rPr>
          <w:spacing w:val="-1"/>
        </w:rPr>
        <w:t>月</w:t>
      </w:r>
      <w:r>
        <w:rPr>
          <w:rFonts w:ascii="Times New Roman" w:hAnsi="Times New Roman" w:cs="Times New Roman" w:eastAsia="Times New Roman" w:hint="default"/>
          <w:spacing w:val="-1"/>
        </w:rPr>
        <w:t>26</w:t>
      </w:r>
      <w:r>
        <w:rPr>
          <w:spacing w:val="-1"/>
        </w:rPr>
        <w:t>日为授予日。公司独立董事对前述事项发表了独立意见，广东信达律师事务所出具了法律</w:t>
      </w:r>
      <w:r>
        <w:rPr>
          <w:spacing w:val="-71"/>
        </w:rPr>
        <w:t> </w:t>
      </w:r>
      <w:r>
        <w:rPr>
          <w:spacing w:val="-71"/>
        </w:rPr>
      </w:r>
      <w:r>
        <w:rPr/>
        <w:t>意见书。前述限制性股票已于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6</w:t>
      </w:r>
      <w:r>
        <w:rPr/>
        <w:t>日上市。 </w:t>
      </w:r>
      <w:r>
        <w:rPr>
          <w:rFonts w:ascii="Times New Roman" w:hAnsi="Times New Roman" w:cs="Times New Roman" w:eastAsia="Times New Roman" w:hint="default"/>
          <w:spacing w:val="-2"/>
        </w:rPr>
        <w:t>3</w:t>
      </w:r>
      <w:r>
        <w:rPr>
          <w:spacing w:val="-2"/>
        </w:rPr>
        <w:t>、</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11</w:t>
      </w:r>
      <w:r>
        <w:rPr>
          <w:spacing w:val="-2"/>
        </w:rPr>
        <w:t>日，经公司第二届董事会第三十四次会议、第二届监事会第二十八次会议审议通过了《关于公司第二期激励</w:t>
      </w:r>
      <w:r>
        <w:rPr>
          <w:spacing w:val="-58"/>
        </w:rPr>
        <w:t> </w:t>
      </w:r>
      <w:r>
        <w:rPr>
          <w:spacing w:val="-58"/>
        </w:rPr>
      </w:r>
      <w:r>
        <w:rPr>
          <w:spacing w:val="-2"/>
        </w:rPr>
        <w:t>计划首次授予的限制性股票第一个解锁期可解锁的议案》和《关于回购注销部分限制性股票的议案》，同意公司按照相关规</w:t>
      </w:r>
      <w:r>
        <w:rPr>
          <w:spacing w:val="-66"/>
        </w:rPr>
        <w:t> </w:t>
      </w:r>
      <w:r>
        <w:rPr>
          <w:spacing w:val="-66"/>
        </w:rPr>
      </w:r>
      <w:r>
        <w:rPr/>
        <w:t>定为</w:t>
      </w:r>
      <w:r>
        <w:rPr>
          <w:rFonts w:ascii="Times New Roman" w:hAnsi="Times New Roman" w:cs="Times New Roman" w:eastAsia="Times New Roman" w:hint="default"/>
        </w:rPr>
        <w:t>67</w:t>
      </w:r>
      <w:r>
        <w:rPr/>
        <w:t>名激励对象办理解锁相关事宜；同时，同意回购并注销首期激励计划中</w:t>
      </w:r>
      <w:r>
        <w:rPr>
          <w:rFonts w:ascii="Times New Roman" w:hAnsi="Times New Roman" w:cs="Times New Roman" w:eastAsia="Times New Roman" w:hint="default"/>
        </w:rPr>
        <w:t>1</w:t>
      </w:r>
      <w:r>
        <w:rPr/>
        <w:t>名激励对象已授予但尚未解锁的</w:t>
      </w:r>
      <w:r>
        <w:rPr>
          <w:rFonts w:ascii="Times New Roman" w:hAnsi="Times New Roman" w:cs="Times New Roman" w:eastAsia="Times New Roman" w:hint="default"/>
        </w:rPr>
        <w:t>14,947</w:t>
      </w:r>
      <w:r>
        <w:rPr/>
        <w:t>股限 制性股票和第二期激励计划中</w:t>
      </w:r>
      <w:r>
        <w:rPr>
          <w:rFonts w:ascii="Times New Roman" w:hAnsi="Times New Roman" w:cs="Times New Roman" w:eastAsia="Times New Roman" w:hint="default"/>
        </w:rPr>
        <w:t>2</w:t>
      </w:r>
      <w:r>
        <w:rPr/>
        <w:t>名激励对象已授予但尚未解锁的合计</w:t>
      </w:r>
      <w:r>
        <w:rPr>
          <w:rFonts w:ascii="Times New Roman" w:hAnsi="Times New Roman" w:cs="Times New Roman" w:eastAsia="Times New Roman" w:hint="default"/>
        </w:rPr>
        <w:t>25,907</w:t>
      </w:r>
      <w:r>
        <w:rPr/>
        <w:t>股限制性股票。公司独立董事对前述事项发表了 独立意见，广东信达律师事务所出具了法律意见书。</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16</w:t>
      </w:r>
      <w:r>
        <w:rPr/>
        <w:t>日，公司办理完成上述回购注销手续。</w:t>
      </w:r>
    </w:p>
    <w:p>
      <w:pPr>
        <w:pStyle w:val="BodyText"/>
        <w:spacing w:line="460" w:lineRule="auto" w:before="41"/>
        <w:ind w:left="1133" w:right="1131"/>
        <w:jc w:val="both"/>
      </w:pPr>
      <w:r>
        <w:rPr>
          <w:rFonts w:ascii="Times New Roman" w:hAnsi="Times New Roman" w:cs="Times New Roman" w:eastAsia="Times New Roman" w:hint="default"/>
          <w:spacing w:val="-2"/>
        </w:rPr>
        <w:t>4</w:t>
      </w:r>
      <w:r>
        <w:rPr>
          <w:spacing w:val="-2"/>
        </w:rPr>
        <w:t>、</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7</w:t>
      </w:r>
      <w:r>
        <w:rPr>
          <w:spacing w:val="-2"/>
        </w:rPr>
        <w:t>日，经公司第二届董事会第四十次会议、第二届监事会第三十四次会议审议通过了《关于公司首期激励计划</w:t>
      </w:r>
      <w:r>
        <w:rPr>
          <w:spacing w:val="-58"/>
        </w:rPr>
        <w:t> </w:t>
      </w:r>
      <w:r>
        <w:rPr>
          <w:spacing w:val="-58"/>
        </w:rPr>
      </w:r>
      <w:r>
        <w:rPr>
          <w:spacing w:val="-2"/>
        </w:rPr>
        <w:t>首次授予的限制性股票第二个解锁期可解锁的议案》和《关于公司首期激励计划预留部分的限制性股票第一个解锁期可解锁</w:t>
      </w:r>
      <w:r>
        <w:rPr>
          <w:spacing w:val="-64"/>
        </w:rPr>
        <w:t> </w:t>
      </w:r>
      <w:r>
        <w:rPr>
          <w:spacing w:val="-64"/>
        </w:rPr>
      </w:r>
      <w:r>
        <w:rPr/>
        <w:t>的议案》，同意公司按照相关规定为</w:t>
      </w:r>
      <w:r>
        <w:rPr>
          <w:rFonts w:ascii="Times New Roman" w:hAnsi="Times New Roman" w:cs="Times New Roman" w:eastAsia="Times New Roman" w:hint="default"/>
        </w:rPr>
        <w:t>109</w:t>
      </w:r>
      <w:r>
        <w:rPr/>
        <w:t>名激励对象办理解锁相关事宜。公司独立董事对前述事项发表了独立意见，广东信 达律师事务所出具了法律意见书。</w:t>
      </w:r>
    </w:p>
    <w:p>
      <w:pPr>
        <w:pStyle w:val="BodyText"/>
        <w:spacing w:line="240" w:lineRule="auto" w:before="107"/>
        <w:ind w:left="1133" w:right="0"/>
        <w:jc w:val="left"/>
      </w:pPr>
      <w:r>
        <w:rPr/>
        <w:t>股份变动的过户情况</w:t>
      </w:r>
    </w:p>
    <w:p>
      <w:pPr>
        <w:spacing w:after="0" w:line="240" w:lineRule="auto"/>
        <w:jc w:val="left"/>
        <w:sectPr>
          <w:pgSz w:w="11910" w:h="16840"/>
          <w:pgMar w:header="787" w:footer="640" w:top="1100" w:bottom="840" w:left="0" w:right="0"/>
        </w:sectPr>
      </w:pPr>
    </w:p>
    <w:p>
      <w:pPr>
        <w:spacing w:line="240" w:lineRule="auto" w:before="11"/>
        <w:rPr>
          <w:rFonts w:ascii="宋体" w:hAnsi="宋体" w:cs="宋体" w:eastAsia="宋体" w:hint="default"/>
          <w:sz w:val="28"/>
          <w:szCs w:val="28"/>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19"/>
          <w:szCs w:val="19"/>
        </w:rPr>
      </w:pPr>
    </w:p>
    <w:p>
      <w:pPr>
        <w:pStyle w:val="BodyText"/>
        <w:spacing w:line="240" w:lineRule="auto"/>
        <w:ind w:left="1133" w:right="0"/>
        <w:jc w:val="left"/>
      </w:pPr>
      <w:r>
        <w:rPr>
          <w:rFonts w:ascii="Times New Roman" w:hAnsi="Times New Roman" w:cs="Times New Roman" w:eastAsia="Times New Roman" w:hint="default"/>
        </w:rPr>
        <w:t>1</w:t>
      </w:r>
      <w:r>
        <w:rPr/>
        <w:t>、经公司申请，中国证券登记结算公司深圳分公司已于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14</w:t>
      </w:r>
      <w:r>
        <w:rPr/>
        <w:t>日为公司办理完毕限制性股票股份回购注销工作。</w:t>
      </w:r>
    </w:p>
    <w:p>
      <w:pPr>
        <w:spacing w:line="240" w:lineRule="auto" w:before="9"/>
        <w:rPr>
          <w:rFonts w:ascii="宋体" w:hAnsi="宋体" w:cs="宋体" w:eastAsia="宋体" w:hint="default"/>
          <w:sz w:val="16"/>
          <w:szCs w:val="16"/>
        </w:rPr>
      </w:pPr>
    </w:p>
    <w:p>
      <w:pPr>
        <w:pStyle w:val="BodyText"/>
        <w:spacing w:line="240" w:lineRule="auto"/>
        <w:ind w:left="1133" w:right="0"/>
        <w:jc w:val="left"/>
      </w:pPr>
      <w:r>
        <w:rPr>
          <w:rFonts w:ascii="Times New Roman" w:hAnsi="Times New Roman" w:cs="Times New Roman" w:eastAsia="Times New Roman" w:hint="default"/>
        </w:rPr>
        <w:t>2</w:t>
      </w:r>
      <w:r>
        <w:rPr/>
        <w:t>、经公司申请，中国证券登记结算公司深圳分公司已于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6</w:t>
      </w:r>
      <w:r>
        <w:rPr/>
        <w:t>日为公司办理完毕限制性股票股份登记工作。</w:t>
      </w:r>
    </w:p>
    <w:p>
      <w:pPr>
        <w:spacing w:line="240" w:lineRule="auto" w:before="10"/>
        <w:rPr>
          <w:rFonts w:ascii="宋体" w:hAnsi="宋体" w:cs="宋体" w:eastAsia="宋体" w:hint="default"/>
          <w:sz w:val="16"/>
          <w:szCs w:val="16"/>
        </w:rPr>
      </w:pPr>
    </w:p>
    <w:p>
      <w:pPr>
        <w:pStyle w:val="BodyText"/>
        <w:spacing w:line="240" w:lineRule="auto"/>
        <w:ind w:left="1133" w:right="0"/>
        <w:jc w:val="left"/>
      </w:pPr>
      <w:r>
        <w:rPr>
          <w:rFonts w:ascii="Times New Roman" w:hAnsi="Times New Roman" w:cs="Times New Roman" w:eastAsia="Times New Roman" w:hint="default"/>
        </w:rPr>
        <w:t>3</w:t>
      </w:r>
      <w:r>
        <w:rPr/>
        <w:t>、经公司申请，中国证券登记结算公司深圳分公司已于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27</w:t>
      </w:r>
      <w:r>
        <w:rPr/>
        <w:t>日为公司办理完毕非公开发行新增股份登记托管工作。</w:t>
      </w:r>
    </w:p>
    <w:p>
      <w:pPr>
        <w:spacing w:line="240" w:lineRule="auto" w:before="9"/>
        <w:rPr>
          <w:rFonts w:ascii="宋体" w:hAnsi="宋体" w:cs="宋体" w:eastAsia="宋体" w:hint="default"/>
          <w:sz w:val="16"/>
          <w:szCs w:val="16"/>
        </w:rPr>
      </w:pPr>
    </w:p>
    <w:p>
      <w:pPr>
        <w:pStyle w:val="BodyText"/>
        <w:spacing w:line="489" w:lineRule="auto"/>
        <w:ind w:left="1133" w:right="1393"/>
        <w:jc w:val="left"/>
      </w:pPr>
      <w:r>
        <w:rPr>
          <w:rFonts w:ascii="Times New Roman" w:hAnsi="Times New Roman" w:cs="Times New Roman" w:eastAsia="Times New Roman" w:hint="default"/>
        </w:rPr>
        <w:t>4</w:t>
      </w:r>
      <w:r>
        <w:rPr/>
        <w:t>、经公司申请，中国证券登记结算公司深圳分公司已于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16</w:t>
      </w:r>
      <w:r>
        <w:rPr/>
        <w:t>日为公司办理完毕限制性股票股份回购注销工作。 股份变动对最近一年和最近一期基本每股收益和稀释每股收益、归属于公司普通股股东的每股净资产等财务指标的影响</w:t>
      </w:r>
    </w:p>
    <w:p>
      <w:pPr>
        <w:pStyle w:val="BodyText"/>
        <w:spacing w:line="472" w:lineRule="auto" w:before="86"/>
        <w:ind w:left="113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spacing w:val="-2"/>
        </w:rPr>
        <w:t>本报告期内股份变动对公司最近一期的基本每股收益、稀释每股收益及归属于公司普通股股东的每股净资产等财务指标的影</w:t>
      </w:r>
      <w:r>
        <w:rPr>
          <w:spacing w:val="-64"/>
        </w:rPr>
        <w:t> </w:t>
      </w:r>
      <w:r>
        <w:rPr>
          <w:spacing w:val="-64"/>
        </w:rPr>
      </w:r>
      <w:r>
        <w:rPr/>
        <w:t>响情况如下：报告期公司基本每股收益、稀释每股收益分别为</w:t>
      </w:r>
      <w:r>
        <w:rPr>
          <w:rFonts w:ascii="Times New Roman" w:hAnsi="Times New Roman" w:cs="Times New Roman" w:eastAsia="Times New Roman" w:hint="default"/>
        </w:rPr>
        <w:t>0.54</w:t>
      </w:r>
      <w:r>
        <w:rPr/>
        <w:t>元</w:t>
      </w:r>
      <w:r>
        <w:rPr>
          <w:rFonts w:ascii="Times New Roman" w:hAnsi="Times New Roman" w:cs="Times New Roman" w:eastAsia="Times New Roman" w:hint="default"/>
        </w:rPr>
        <w:t>/</w:t>
      </w:r>
      <w:r>
        <w:rPr/>
        <w:t>股、</w:t>
      </w:r>
      <w:r>
        <w:rPr>
          <w:rFonts w:ascii="Times New Roman" w:hAnsi="Times New Roman" w:cs="Times New Roman" w:eastAsia="Times New Roman" w:hint="default"/>
        </w:rPr>
        <w:t>0.54</w:t>
      </w:r>
      <w:r>
        <w:rPr/>
        <w:t>元</w:t>
      </w:r>
      <w:r>
        <w:rPr>
          <w:rFonts w:ascii="Times New Roman" w:hAnsi="Times New Roman" w:cs="Times New Roman" w:eastAsia="Times New Roman" w:hint="default"/>
        </w:rPr>
        <w:t>/</w:t>
      </w:r>
      <w:r>
        <w:rPr/>
        <w:t>股，比去年同期上升</w:t>
      </w:r>
      <w:r>
        <w:rPr>
          <w:rFonts w:ascii="Times New Roman" w:hAnsi="Times New Roman" w:cs="Times New Roman" w:eastAsia="Times New Roman" w:hint="default"/>
        </w:rPr>
        <w:t>22.73%</w:t>
      </w:r>
      <w:r>
        <w:rPr/>
        <w:t>、</w:t>
      </w:r>
      <w:r>
        <w:rPr>
          <w:rFonts w:ascii="Times New Roman" w:hAnsi="Times New Roman" w:cs="Times New Roman" w:eastAsia="Times New Roman" w:hint="default"/>
        </w:rPr>
        <w:t>25.58%</w:t>
      </w:r>
      <w:r>
        <w:rPr/>
        <w:t>；归 属于公司普通股股东的每股净资产为</w:t>
      </w:r>
      <w:r>
        <w:rPr>
          <w:rFonts w:ascii="Times New Roman" w:hAnsi="Times New Roman" w:cs="Times New Roman" w:eastAsia="Times New Roman" w:hint="default"/>
        </w:rPr>
        <w:t>5.18</w:t>
      </w:r>
      <w:r>
        <w:rPr/>
        <w:t>元</w:t>
      </w:r>
      <w:r>
        <w:rPr>
          <w:rFonts w:ascii="Times New Roman" w:hAnsi="Times New Roman" w:cs="Times New Roman" w:eastAsia="Times New Roman" w:hint="default"/>
        </w:rPr>
        <w:t>/</w:t>
      </w:r>
      <w:r>
        <w:rPr/>
        <w:t>股，比去年同期上升</w:t>
      </w:r>
      <w:r>
        <w:rPr>
          <w:rFonts w:ascii="Times New Roman" w:hAnsi="Times New Roman" w:cs="Times New Roman" w:eastAsia="Times New Roman" w:hint="default"/>
        </w:rPr>
        <w:t>55.56%</w:t>
      </w:r>
      <w:r>
        <w:rPr/>
        <w:t>。</w:t>
      </w:r>
    </w:p>
    <w:p>
      <w:pPr>
        <w:pStyle w:val="BodyText"/>
        <w:spacing w:line="240" w:lineRule="auto" w:before="66"/>
        <w:ind w:left="1133" w:right="0"/>
        <w:jc w:val="left"/>
      </w:pPr>
      <w:r>
        <w:rPr/>
        <w:t>公司认为必要或证券监管机构要求披露的其他内容</w:t>
      </w:r>
    </w:p>
    <w:p>
      <w:pPr>
        <w:spacing w:line="240" w:lineRule="auto" w:before="12"/>
        <w:rPr>
          <w:rFonts w:ascii="宋体" w:hAnsi="宋体" w:cs="宋体" w:eastAsia="宋体" w:hint="default"/>
          <w:sz w:val="20"/>
          <w:szCs w:val="20"/>
        </w:rPr>
      </w:pPr>
    </w:p>
    <w:p>
      <w:pPr>
        <w:pStyle w:val="BodyText"/>
        <w:spacing w:line="240" w:lineRule="auto"/>
        <w:ind w:left="113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9"/>
          <w:szCs w:val="19"/>
        </w:rPr>
      </w:pPr>
    </w:p>
    <w:p>
      <w:pPr>
        <w:pStyle w:val="Heading3"/>
        <w:spacing w:line="240" w:lineRule="auto"/>
        <w:ind w:left="1133" w:right="0"/>
        <w:jc w:val="left"/>
        <w:rPr>
          <w:b w:val="0"/>
          <w:bCs w:val="0"/>
        </w:rPr>
      </w:pPr>
      <w:bookmarkStart w:name="2、限售股份变动情况" w:id="106"/>
      <w:bookmarkEnd w:id="106"/>
      <w:r>
        <w:rPr>
          <w:b w:val="0"/>
          <w:bCs w:val="0"/>
        </w:rPr>
      </w:r>
      <w:r>
        <w:rPr>
          <w:rFonts w:ascii="Times New Roman" w:hAnsi="Times New Roman" w:cs="Times New Roman" w:eastAsia="Times New Roman" w:hint="default"/>
        </w:rPr>
        <w:t>2</w:t>
      </w:r>
      <w:r>
        <w:rPr/>
        <w:t>、限售股份变动情况</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pStyle w:val="BodyText"/>
        <w:spacing w:line="240" w:lineRule="auto"/>
        <w:ind w:left="113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13"/>
          <w:szCs w:val="13"/>
        </w:rPr>
      </w:pPr>
    </w:p>
    <w:p>
      <w:pPr>
        <w:pStyle w:val="BodyText"/>
        <w:spacing w:line="240" w:lineRule="auto"/>
        <w:ind w:left="0" w:right="1130"/>
        <w:jc w:val="right"/>
      </w:pPr>
      <w:r>
        <w:rPr/>
        <w:t>单位：股</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362"/>
        <w:gridCol w:w="1369"/>
        <w:gridCol w:w="1370"/>
        <w:gridCol w:w="1369"/>
        <w:gridCol w:w="1368"/>
        <w:gridCol w:w="1370"/>
        <w:gridCol w:w="1362"/>
      </w:tblGrid>
      <w:tr>
        <w:trPr>
          <w:trHeight w:val="714" w:hRule="exact"/>
        </w:trPr>
        <w:tc>
          <w:tcPr>
            <w:tcW w:w="13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5"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期初限售股数</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89" w:right="48" w:hanging="540"/>
              <w:jc w:val="left"/>
              <w:rPr>
                <w:rFonts w:ascii="宋体" w:hAnsi="宋体" w:cs="宋体" w:eastAsia="宋体" w:hint="default"/>
                <w:sz w:val="18"/>
                <w:szCs w:val="18"/>
              </w:rPr>
            </w:pPr>
            <w:r>
              <w:rPr>
                <w:rFonts w:ascii="宋体" w:hAnsi="宋体" w:cs="宋体" w:eastAsia="宋体" w:hint="default"/>
                <w:sz w:val="18"/>
                <w:szCs w:val="18"/>
              </w:rPr>
              <w:t>本期解除限售股 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89" w:right="48" w:hanging="540"/>
              <w:jc w:val="left"/>
              <w:rPr>
                <w:rFonts w:ascii="宋体" w:hAnsi="宋体" w:cs="宋体" w:eastAsia="宋体" w:hint="default"/>
                <w:sz w:val="18"/>
                <w:szCs w:val="18"/>
              </w:rPr>
            </w:pPr>
            <w:r>
              <w:rPr>
                <w:rFonts w:ascii="宋体" w:hAnsi="宋体" w:cs="宋体" w:eastAsia="宋体" w:hint="default"/>
                <w:sz w:val="18"/>
                <w:szCs w:val="18"/>
              </w:rPr>
              <w:t>本期增加限售股 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期末限售股数</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20" w:right="0"/>
              <w:jc w:val="left"/>
              <w:rPr>
                <w:rFonts w:ascii="宋体" w:hAnsi="宋体" w:cs="宋体" w:eastAsia="宋体" w:hint="default"/>
                <w:sz w:val="18"/>
                <w:szCs w:val="18"/>
              </w:rPr>
            </w:pPr>
            <w:r>
              <w:rPr>
                <w:rFonts w:ascii="宋体" w:hAnsi="宋体" w:cs="宋体" w:eastAsia="宋体" w:hint="default"/>
                <w:sz w:val="18"/>
                <w:szCs w:val="18"/>
              </w:rPr>
              <w:t>限售原因</w:t>
            </w:r>
          </w:p>
        </w:tc>
        <w:tc>
          <w:tcPr>
            <w:tcW w:w="13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拟解除限售日期</w:t>
            </w:r>
          </w:p>
        </w:tc>
      </w:tr>
      <w:tr>
        <w:trPr>
          <w:trHeight w:val="402"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茅庆江</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78,918,400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78,918,400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2018/4/25</w:t>
            </w:r>
          </w:p>
        </w:tc>
      </w:tr>
      <w:tr>
        <w:trPr>
          <w:trHeight w:val="402"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雷洪文</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11,837,760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2,625,000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9,212,760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2018/1/1</w:t>
            </w:r>
          </w:p>
        </w:tc>
      </w:tr>
      <w:tr>
        <w:trPr>
          <w:trHeight w:val="402"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袁小康</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8,878,320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1,950,000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6,928,320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2018/1/1</w:t>
            </w:r>
          </w:p>
        </w:tc>
      </w:tr>
      <w:tr>
        <w:trPr>
          <w:trHeight w:val="402"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徐彪</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8,878,320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1,950,000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6,928,320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2018/1/1</w:t>
            </w:r>
          </w:p>
        </w:tc>
      </w:tr>
      <w:tr>
        <w:trPr>
          <w:trHeight w:val="1650"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both"/>
              <w:rPr>
                <w:rFonts w:ascii="宋体" w:hAnsi="宋体" w:cs="宋体" w:eastAsia="宋体" w:hint="default"/>
                <w:sz w:val="18"/>
                <w:szCs w:val="18"/>
              </w:rPr>
            </w:pPr>
            <w:r>
              <w:rPr>
                <w:rFonts w:ascii="宋体" w:hAnsi="宋体" w:cs="宋体" w:eastAsia="宋体" w:hint="default"/>
                <w:sz w:val="18"/>
                <w:szCs w:val="18"/>
              </w:rPr>
              <w:t>长信基金－浦发 银行－云南国际 信托－云信智兴 </w:t>
            </w:r>
            <w:r>
              <w:rPr>
                <w:rFonts w:ascii="Times New Roman" w:hAnsi="Times New Roman" w:cs="Times New Roman" w:eastAsia="Times New Roman" w:hint="default"/>
                <w:sz w:val="18"/>
                <w:szCs w:val="18"/>
              </w:rPr>
              <w:t>2017</w:t>
            </w:r>
            <w:r>
              <w:rPr>
                <w:rFonts w:ascii="宋体" w:hAnsi="宋体" w:cs="宋体" w:eastAsia="宋体" w:hint="default"/>
                <w:sz w:val="18"/>
                <w:szCs w:val="18"/>
              </w:rPr>
              <w:t>－</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号单</w:t>
            </w:r>
          </w:p>
          <w:p>
            <w:pPr>
              <w:pStyle w:val="TableParagraph"/>
              <w:spacing w:line="240" w:lineRule="auto"/>
              <w:ind w:left="22" w:right="0"/>
              <w:jc w:val="both"/>
              <w:rPr>
                <w:rFonts w:ascii="宋体" w:hAnsi="宋体" w:cs="宋体" w:eastAsia="宋体" w:hint="default"/>
                <w:sz w:val="18"/>
                <w:szCs w:val="18"/>
              </w:rPr>
            </w:pPr>
            <w:r>
              <w:rPr>
                <w:rFonts w:ascii="宋体" w:hAnsi="宋体" w:cs="宋体" w:eastAsia="宋体" w:hint="default"/>
                <w:sz w:val="18"/>
                <w:szCs w:val="18"/>
              </w:rPr>
              <w:t>一资金信托</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6,414,922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6,414,922</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首发后限售股</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2018/8/8</w:t>
            </w:r>
          </w:p>
        </w:tc>
      </w:tr>
      <w:tr>
        <w:trPr>
          <w:trHeight w:val="402"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张忠民</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4,135,244</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2,491,110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1,644,134</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2018/4/25</w:t>
            </w:r>
          </w:p>
        </w:tc>
      </w:tr>
      <w:tr>
        <w:trPr>
          <w:trHeight w:val="714"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龙中胜</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4,932,400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4,932,400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75"/>
              <w:jc w:val="left"/>
              <w:rPr>
                <w:rFonts w:ascii="宋体" w:hAnsi="宋体" w:cs="宋体" w:eastAsia="宋体" w:hint="default"/>
                <w:sz w:val="18"/>
                <w:szCs w:val="18"/>
              </w:rPr>
            </w:pPr>
            <w:r>
              <w:rPr>
                <w:rFonts w:ascii="宋体" w:hAnsi="宋体" w:cs="宋体" w:eastAsia="宋体" w:hint="default"/>
                <w:sz w:val="18"/>
                <w:szCs w:val="18"/>
              </w:rPr>
              <w:t>高管离职锁定期 届满</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2017/7/10</w:t>
            </w:r>
          </w:p>
        </w:tc>
      </w:tr>
      <w:tr>
        <w:trPr>
          <w:trHeight w:val="402"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茅屏萍</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6,576,533</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6,576,533</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2018/4/25</w:t>
            </w:r>
          </w:p>
        </w:tc>
      </w:tr>
      <w:tr>
        <w:trPr>
          <w:trHeight w:val="674"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9"/>
              <w:jc w:val="left"/>
              <w:rPr>
                <w:rFonts w:ascii="宋体" w:hAnsi="宋体" w:cs="宋体" w:eastAsia="宋体" w:hint="default"/>
                <w:sz w:val="18"/>
                <w:szCs w:val="18"/>
              </w:rPr>
            </w:pPr>
            <w:r>
              <w:rPr>
                <w:rFonts w:ascii="宋体" w:hAnsi="宋体" w:cs="宋体" w:eastAsia="宋体" w:hint="default"/>
                <w:sz w:val="18"/>
                <w:szCs w:val="18"/>
              </w:rPr>
              <w:t>广州市常森投资 咨询有限责任公</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5,978,666</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5,978,666</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2018/4/25</w:t>
            </w:r>
          </w:p>
        </w:tc>
      </w:tr>
    </w:tbl>
    <w:p>
      <w:pPr>
        <w:spacing w:after="0" w:line="240" w:lineRule="auto"/>
        <w:jc w:val="left"/>
        <w:rPr>
          <w:rFonts w:ascii="Times New Roman" w:hAnsi="Times New Roman" w:cs="Times New Roman" w:eastAsia="Times New Roman" w:hint="default"/>
          <w:sz w:val="18"/>
          <w:szCs w:val="18"/>
        </w:rPr>
        <w:sectPr>
          <w:footerReference w:type="default" r:id="rId35"/>
          <w:pgSz w:w="11910" w:h="16840"/>
          <w:pgMar w:footer="640" w:header="787" w:top="1100" w:bottom="840" w:left="0" w:right="0"/>
        </w:sectPr>
      </w:pPr>
    </w:p>
    <w:p>
      <w:pPr>
        <w:spacing w:line="240" w:lineRule="auto" w:before="5"/>
        <w:rPr>
          <w:rFonts w:ascii="宋体" w:hAnsi="宋体" w:cs="宋体" w:eastAsia="宋体" w:hint="default"/>
          <w:sz w:val="25"/>
          <w:szCs w:val="25"/>
        </w:rPr>
      </w:pPr>
      <w:r>
        <w:rPr/>
        <w:pict>
          <v:shape style="position:absolute;margin-left:73.857002pt;margin-top:264.139984pt;width:119.2pt;height:15.6pt;mso-position-horizontal-relative:page;mso-position-vertical-relative:page;z-index:-1170304" type="#_x0000_t202" filled="false" stroked="false">
            <v:textbox inset="0,0,0,0">
              <w:txbxContent>
                <w:p>
                  <w:pPr>
                    <w:pStyle w:val="BodyText"/>
                    <w:spacing w:line="207" w:lineRule="exact"/>
                    <w:ind w:left="0" w:right="0"/>
                    <w:jc w:val="left"/>
                  </w:pPr>
                  <w:r>
                    <w:rPr/>
                    <w:t>（有限合伙）</w:t>
                  </w:r>
                </w:p>
              </w:txbxContent>
            </v:textbox>
            <w10:wrap type="none"/>
          </v:shape>
        </w:pict>
      </w:r>
      <w:r>
        <w:rPr/>
        <w:pict>
          <v:group style="position:absolute;margin-left:125.059998pt;margin-top:264.139984pt;width:68pt;height:15.6pt;mso-position-horizontal-relative:page;mso-position-vertical-relative:page;z-index:-1170280" coordorigin="2501,5283" coordsize="1360,312">
            <v:shape style="position:absolute;left:2501;top:5283;width:1360;height:312" coordorigin="2501,5283" coordsize="1360,312" path="m2501,5595l3861,5595,3861,5283,2501,5283,2501,5595xe" filled="true" fillcolor="#ffffff" stroked="false">
              <v:path arrowok="t"/>
              <v:fill type="solid"/>
            </v:shape>
            <w10:wrap type="none"/>
          </v:group>
        </w:pict>
      </w:r>
    </w:p>
    <w:tbl>
      <w:tblPr>
        <w:tblW w:w="0" w:type="auto"/>
        <w:jc w:val="left"/>
        <w:tblInd w:w="1129" w:type="dxa"/>
        <w:tblLayout w:type="fixed"/>
        <w:tblCellMar>
          <w:top w:w="0" w:type="dxa"/>
          <w:left w:w="0" w:type="dxa"/>
          <w:bottom w:w="0" w:type="dxa"/>
          <w:right w:w="0" w:type="dxa"/>
        </w:tblCellMar>
        <w:tblLook w:val="01E0"/>
      </w:tblPr>
      <w:tblGrid>
        <w:gridCol w:w="1362"/>
        <w:gridCol w:w="656"/>
        <w:gridCol w:w="714"/>
        <w:gridCol w:w="1370"/>
        <w:gridCol w:w="1369"/>
        <w:gridCol w:w="1368"/>
        <w:gridCol w:w="1370"/>
        <w:gridCol w:w="1362"/>
      </w:tblGrid>
      <w:tr>
        <w:trPr>
          <w:trHeight w:val="362"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369" w:type="dxa"/>
            <w:gridSpan w:val="2"/>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c>
          <w:tcPr>
            <w:tcW w:w="136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9"/>
              <w:jc w:val="left"/>
              <w:rPr>
                <w:rFonts w:ascii="宋体" w:hAnsi="宋体" w:cs="宋体" w:eastAsia="宋体" w:hint="default"/>
                <w:sz w:val="18"/>
                <w:szCs w:val="18"/>
              </w:rPr>
            </w:pPr>
            <w:r>
              <w:rPr>
                <w:rFonts w:ascii="宋体" w:hAnsi="宋体" w:cs="宋体" w:eastAsia="宋体" w:hint="default"/>
                <w:sz w:val="18"/>
                <w:szCs w:val="18"/>
              </w:rPr>
              <w:t>广州市碧天投资 咨询有限公司</w:t>
            </w:r>
          </w:p>
        </w:tc>
        <w:tc>
          <w:tcPr>
            <w:tcW w:w="13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15" w:right="0"/>
              <w:jc w:val="left"/>
              <w:rPr>
                <w:rFonts w:ascii="Times New Roman" w:hAnsi="Times New Roman" w:cs="Times New Roman" w:eastAsia="Times New Roman" w:hint="default"/>
                <w:sz w:val="18"/>
                <w:szCs w:val="18"/>
              </w:rPr>
            </w:pPr>
            <w:r>
              <w:rPr>
                <w:rFonts w:ascii="Times New Roman"/>
                <w:sz w:val="18"/>
              </w:rPr>
              <w:t>3,736,667</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3,736,667</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2018/4/25</w:t>
            </w:r>
          </w:p>
        </w:tc>
      </w:tr>
      <w:tr>
        <w:trPr>
          <w:trHeight w:val="714"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69"/>
              <w:jc w:val="left"/>
              <w:rPr>
                <w:rFonts w:ascii="宋体" w:hAnsi="宋体" w:cs="宋体" w:eastAsia="宋体" w:hint="default"/>
                <w:sz w:val="18"/>
                <w:szCs w:val="18"/>
              </w:rPr>
            </w:pPr>
            <w:r>
              <w:rPr>
                <w:rFonts w:ascii="宋体" w:hAnsi="宋体" w:cs="宋体" w:eastAsia="宋体" w:hint="default"/>
                <w:sz w:val="18"/>
                <w:szCs w:val="18"/>
              </w:rPr>
              <w:t>赣州君恺投资咨 询有限公司</w:t>
            </w:r>
          </w:p>
        </w:tc>
        <w:tc>
          <w:tcPr>
            <w:tcW w:w="13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3,275,705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3,275,705</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首发后限售股</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2018/8/8</w:t>
            </w:r>
          </w:p>
        </w:tc>
      </w:tr>
      <w:tr>
        <w:trPr>
          <w:trHeight w:val="1338"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58"/>
              <w:jc w:val="both"/>
              <w:rPr>
                <w:rFonts w:ascii="宋体" w:hAnsi="宋体" w:cs="宋体" w:eastAsia="宋体" w:hint="default"/>
                <w:sz w:val="18"/>
                <w:szCs w:val="18"/>
              </w:rPr>
            </w:pPr>
            <w:r>
              <w:rPr>
                <w:rFonts w:ascii="宋体" w:hAnsi="宋体" w:cs="宋体" w:eastAsia="宋体" w:hint="default"/>
                <w:sz w:val="18"/>
                <w:szCs w:val="18"/>
              </w:rPr>
              <w:t>嘉兴君重资产管 理有限公司－君 重</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PIPE6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号私募 投资基金</w:t>
            </w:r>
          </w:p>
        </w:tc>
        <w:tc>
          <w:tcPr>
            <w:tcW w:w="13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3,275,705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3,275,705</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首发后限售股</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2018/8/8</w:t>
            </w:r>
          </w:p>
        </w:tc>
      </w:tr>
      <w:tr>
        <w:trPr>
          <w:trHeight w:val="1026"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7"/>
              <w:jc w:val="both"/>
              <w:rPr>
                <w:rFonts w:ascii="宋体" w:hAnsi="宋体" w:cs="宋体" w:eastAsia="宋体" w:hint="default"/>
                <w:sz w:val="18"/>
                <w:szCs w:val="18"/>
              </w:rPr>
            </w:pPr>
            <w:r>
              <w:rPr>
                <w:rFonts w:ascii="宋体" w:hAnsi="宋体" w:cs="宋体" w:eastAsia="宋体" w:hint="default"/>
                <w:sz w:val="18"/>
                <w:szCs w:val="18"/>
              </w:rPr>
              <w:t>宁波梅山保税港 区东旼投资合伙 企业</w:t>
            </w:r>
          </w:p>
        </w:tc>
        <w:tc>
          <w:tcPr>
            <w:tcW w:w="656" w:type="dxa"/>
            <w:tcBorders>
              <w:top w:val="single" w:sz="4" w:space="0" w:color="000000"/>
              <w:left w:val="single" w:sz="4" w:space="0" w:color="000000"/>
              <w:bottom w:val="single" w:sz="4" w:space="0" w:color="000000"/>
              <w:right w:val="nil" w:sz="6" w:space="0" w:color="auto"/>
            </w:tcBorders>
          </w:tcPr>
          <w:p>
            <w:pPr/>
          </w:p>
        </w:tc>
        <w:tc>
          <w:tcPr>
            <w:tcW w:w="714"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2,979,036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2,979,036</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首发后限售股</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2018/8/8</w:t>
            </w:r>
          </w:p>
        </w:tc>
      </w:tr>
      <w:tr>
        <w:trPr>
          <w:trHeight w:val="1338"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公司中层管理人 </w:t>
            </w:r>
            <w:r>
              <w:rPr>
                <w:rFonts w:ascii="宋体" w:hAnsi="宋体" w:cs="宋体" w:eastAsia="宋体" w:hint="default"/>
                <w:spacing w:val="-17"/>
                <w:sz w:val="18"/>
                <w:szCs w:val="18"/>
              </w:rPr>
              <w:t>员、核心技术（业</w:t>
            </w:r>
            <w:r>
              <w:rPr>
                <w:rFonts w:ascii="宋体" w:hAnsi="宋体" w:cs="宋体" w:eastAsia="宋体" w:hint="default"/>
                <w:sz w:val="18"/>
                <w:szCs w:val="18"/>
              </w:rPr>
              <w:t> 务）人员（</w:t>
            </w:r>
            <w:r>
              <w:rPr>
                <w:rFonts w:ascii="Times New Roman" w:hAnsi="Times New Roman" w:cs="Times New Roman" w:eastAsia="Times New Roman" w:hint="default"/>
                <w:sz w:val="18"/>
                <w:szCs w:val="18"/>
              </w:rPr>
              <w:t>184 </w:t>
            </w:r>
            <w:r>
              <w:rPr>
                <w:rFonts w:ascii="宋体" w:hAnsi="宋体" w:cs="宋体" w:eastAsia="宋体" w:hint="default"/>
                <w:sz w:val="18"/>
                <w:szCs w:val="18"/>
              </w:rPr>
              <w:t>人）</w:t>
            </w:r>
          </w:p>
        </w:tc>
        <w:tc>
          <w:tcPr>
            <w:tcW w:w="13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615" w:right="0"/>
              <w:jc w:val="left"/>
              <w:rPr>
                <w:rFonts w:ascii="Times New Roman" w:hAnsi="Times New Roman" w:cs="Times New Roman" w:eastAsia="Times New Roman" w:hint="default"/>
                <w:sz w:val="18"/>
                <w:szCs w:val="18"/>
              </w:rPr>
            </w:pPr>
            <w:r>
              <w:rPr>
                <w:rFonts w:ascii="Times New Roman"/>
                <w:sz w:val="18"/>
              </w:rPr>
              <w:t>2,430,532</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1,135,538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149,400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1,444,394</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股权激励</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7"/>
              <w:jc w:val="left"/>
              <w:rPr>
                <w:rFonts w:ascii="宋体" w:hAnsi="宋体" w:cs="宋体" w:eastAsia="宋体" w:hint="default"/>
                <w:sz w:val="18"/>
                <w:szCs w:val="18"/>
              </w:rPr>
            </w:pPr>
            <w:r>
              <w:rPr>
                <w:rFonts w:ascii="宋体" w:hAnsi="宋体" w:cs="宋体" w:eastAsia="宋体" w:hint="default"/>
                <w:sz w:val="18"/>
                <w:szCs w:val="18"/>
              </w:rPr>
              <w:t>根据公司《限制 性股票激励计 划》的相关规定 进行解锁</w:t>
            </w:r>
          </w:p>
        </w:tc>
      </w:tr>
      <w:tr>
        <w:trPr>
          <w:trHeight w:val="402" w:hRule="exact"/>
        </w:trPr>
        <w:tc>
          <w:tcPr>
            <w:tcW w:w="13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5" w:right="0"/>
              <w:jc w:val="left"/>
              <w:rPr>
                <w:rFonts w:ascii="Times New Roman" w:hAnsi="Times New Roman" w:cs="Times New Roman" w:eastAsia="Times New Roman" w:hint="default"/>
                <w:sz w:val="18"/>
                <w:szCs w:val="18"/>
              </w:rPr>
            </w:pPr>
            <w:r>
              <w:rPr>
                <w:rFonts w:ascii="Times New Roman"/>
                <w:sz w:val="18"/>
              </w:rPr>
              <w:t>136,302,842</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15,084,048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16,094,768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137,313,562</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3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0"/>
        <w:rPr>
          <w:rFonts w:ascii="宋体" w:hAnsi="宋体" w:cs="宋体" w:eastAsia="宋体" w:hint="default"/>
          <w:sz w:val="24"/>
          <w:szCs w:val="24"/>
        </w:rPr>
      </w:pPr>
    </w:p>
    <w:p>
      <w:pPr>
        <w:pStyle w:val="Heading2"/>
        <w:spacing w:line="240" w:lineRule="auto" w:before="26"/>
        <w:ind w:left="1134" w:right="0"/>
        <w:jc w:val="left"/>
        <w:rPr>
          <w:b w:val="0"/>
          <w:bCs w:val="0"/>
        </w:rPr>
      </w:pPr>
      <w:bookmarkStart w:name="二、证券发行与上市情况" w:id="107"/>
      <w:bookmarkEnd w:id="107"/>
      <w:r>
        <w:rPr>
          <w:b w:val="0"/>
          <w:bCs w:val="0"/>
        </w:rPr>
      </w:r>
      <w:r>
        <w:rPr/>
        <w:t>二、证券发行与上市情况</w:t>
      </w:r>
      <w:r>
        <w:rPr>
          <w:b w:val="0"/>
          <w:bCs w:val="0"/>
        </w:rPr>
      </w:r>
    </w:p>
    <w:p>
      <w:pPr>
        <w:spacing w:line="240" w:lineRule="auto" w:before="0"/>
        <w:rPr>
          <w:rFonts w:ascii="宋体" w:hAnsi="宋体" w:cs="宋体" w:eastAsia="宋体" w:hint="default"/>
          <w:b/>
          <w:bCs/>
          <w:sz w:val="24"/>
          <w:szCs w:val="24"/>
        </w:rPr>
      </w:pPr>
    </w:p>
    <w:p>
      <w:pPr>
        <w:pStyle w:val="Heading3"/>
        <w:spacing w:line="240" w:lineRule="auto" w:before="163"/>
        <w:ind w:left="1133" w:right="0"/>
        <w:jc w:val="left"/>
        <w:rPr>
          <w:b w:val="0"/>
          <w:bCs w:val="0"/>
        </w:rPr>
      </w:pPr>
      <w:bookmarkStart w:name="1、报告期内证券发行（不含优先股）情况" w:id="108"/>
      <w:bookmarkEnd w:id="108"/>
      <w:r>
        <w:rPr>
          <w:b w:val="0"/>
          <w:bCs w:val="0"/>
        </w:rPr>
      </w: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pStyle w:val="BodyText"/>
        <w:spacing w:line="240" w:lineRule="auto"/>
        <w:ind w:left="113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413"/>
        <w:gridCol w:w="1292"/>
        <w:gridCol w:w="1295"/>
        <w:gridCol w:w="1296"/>
        <w:gridCol w:w="1296"/>
        <w:gridCol w:w="1295"/>
        <w:gridCol w:w="1682"/>
      </w:tblGrid>
      <w:tr>
        <w:trPr>
          <w:trHeight w:val="714" w:hRule="exact"/>
        </w:trPr>
        <w:tc>
          <w:tcPr>
            <w:tcW w:w="14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30" w:right="70" w:hanging="360"/>
              <w:jc w:val="left"/>
              <w:rPr>
                <w:rFonts w:ascii="宋体" w:hAnsi="宋体" w:cs="宋体" w:eastAsia="宋体" w:hint="default"/>
                <w:sz w:val="18"/>
                <w:szCs w:val="18"/>
              </w:rPr>
            </w:pPr>
            <w:r>
              <w:rPr>
                <w:rFonts w:ascii="宋体" w:hAnsi="宋体" w:cs="宋体" w:eastAsia="宋体" w:hint="default"/>
                <w:sz w:val="18"/>
                <w:szCs w:val="18"/>
              </w:rPr>
              <w:t>股票及其衍生证 券名称</w:t>
            </w:r>
          </w:p>
        </w:tc>
        <w:tc>
          <w:tcPr>
            <w:tcW w:w="12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80"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1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62" w:right="22" w:hanging="440"/>
              <w:jc w:val="left"/>
              <w:rPr>
                <w:rFonts w:ascii="宋体" w:hAnsi="宋体" w:cs="宋体" w:eastAsia="宋体" w:hint="default"/>
                <w:sz w:val="18"/>
                <w:szCs w:val="18"/>
              </w:rPr>
            </w:pPr>
            <w:r>
              <w:rPr>
                <w:rFonts w:ascii="宋体" w:hAnsi="宋体" w:cs="宋体" w:eastAsia="宋体" w:hint="default"/>
                <w:spacing w:val="-4"/>
                <w:sz w:val="18"/>
                <w:szCs w:val="18"/>
              </w:rPr>
              <w:t>发行价格（或利</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率）</w:t>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83" w:right="0"/>
              <w:jc w:val="left"/>
              <w:rPr>
                <w:rFonts w:ascii="宋体" w:hAnsi="宋体" w:cs="宋体" w:eastAsia="宋体" w:hint="default"/>
                <w:sz w:val="18"/>
                <w:szCs w:val="18"/>
              </w:rPr>
            </w:pPr>
            <w:r>
              <w:rPr>
                <w:rFonts w:ascii="宋体" w:hAnsi="宋体" w:cs="宋体" w:eastAsia="宋体" w:hint="default"/>
                <w:sz w:val="18"/>
                <w:szCs w:val="18"/>
              </w:rPr>
              <w:t>发行数量</w:t>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82" w:right="0"/>
              <w:jc w:val="left"/>
              <w:rPr>
                <w:rFonts w:ascii="宋体" w:hAnsi="宋体" w:cs="宋体" w:eastAsia="宋体" w:hint="default"/>
                <w:sz w:val="18"/>
                <w:szCs w:val="18"/>
              </w:rPr>
            </w:pPr>
            <w:r>
              <w:rPr>
                <w:rFonts w:ascii="宋体" w:hAnsi="宋体" w:cs="宋体" w:eastAsia="宋体" w:hint="default"/>
                <w:sz w:val="18"/>
                <w:szCs w:val="18"/>
              </w:rPr>
              <w:t>上市日期</w:t>
            </w:r>
          </w:p>
        </w:tc>
        <w:tc>
          <w:tcPr>
            <w:tcW w:w="1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62" w:right="101" w:hanging="361"/>
              <w:jc w:val="left"/>
              <w:rPr>
                <w:rFonts w:ascii="宋体" w:hAnsi="宋体" w:cs="宋体" w:eastAsia="宋体" w:hint="default"/>
                <w:sz w:val="18"/>
                <w:szCs w:val="18"/>
              </w:rPr>
            </w:pPr>
            <w:r>
              <w:rPr>
                <w:rFonts w:ascii="宋体" w:hAnsi="宋体" w:cs="宋体" w:eastAsia="宋体" w:hint="default"/>
                <w:sz w:val="18"/>
                <w:szCs w:val="18"/>
              </w:rPr>
              <w:t>获准上市交易 数量</w:t>
            </w:r>
          </w:p>
        </w:tc>
        <w:tc>
          <w:tcPr>
            <w:tcW w:w="1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96" w:right="0"/>
              <w:jc w:val="left"/>
              <w:rPr>
                <w:rFonts w:ascii="宋体" w:hAnsi="宋体" w:cs="宋体" w:eastAsia="宋体" w:hint="default"/>
                <w:sz w:val="18"/>
                <w:szCs w:val="18"/>
              </w:rPr>
            </w:pPr>
            <w:r>
              <w:rPr>
                <w:rFonts w:ascii="宋体" w:hAnsi="宋体" w:cs="宋体" w:eastAsia="宋体" w:hint="default"/>
                <w:sz w:val="18"/>
                <w:szCs w:val="18"/>
              </w:rPr>
              <w:t>交易终止日期</w:t>
            </w:r>
          </w:p>
        </w:tc>
      </w:tr>
      <w:tr>
        <w:trPr>
          <w:trHeight w:val="401" w:hRule="exact"/>
        </w:trPr>
        <w:tc>
          <w:tcPr>
            <w:tcW w:w="9570"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股票类</w:t>
            </w:r>
          </w:p>
        </w:tc>
      </w:tr>
      <w:tr>
        <w:trPr>
          <w:trHeight w:val="1026" w:hRule="exact"/>
        </w:trPr>
        <w:tc>
          <w:tcPr>
            <w:tcW w:w="14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18"/>
              <w:jc w:val="both"/>
              <w:rPr>
                <w:rFonts w:ascii="宋体" w:hAnsi="宋体" w:cs="宋体" w:eastAsia="宋体" w:hint="default"/>
                <w:sz w:val="18"/>
                <w:szCs w:val="18"/>
              </w:rPr>
            </w:pPr>
            <w:r>
              <w:rPr>
                <w:rFonts w:ascii="宋体" w:hAnsi="宋体" w:cs="宋体" w:eastAsia="宋体" w:hint="default"/>
                <w:sz w:val="18"/>
                <w:szCs w:val="18"/>
              </w:rPr>
              <w:t>浩云科技第二期 激励计划预留部 分限制性股票</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12.163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149,400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149,400</w:t>
            </w:r>
          </w:p>
        </w:tc>
        <w:tc>
          <w:tcPr>
            <w:tcW w:w="168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18"/>
              <w:jc w:val="left"/>
              <w:rPr>
                <w:rFonts w:ascii="宋体" w:hAnsi="宋体" w:cs="宋体" w:eastAsia="宋体" w:hint="default"/>
                <w:sz w:val="18"/>
                <w:szCs w:val="18"/>
              </w:rPr>
            </w:pPr>
            <w:r>
              <w:rPr>
                <w:rFonts w:ascii="宋体" w:hAnsi="宋体" w:cs="宋体" w:eastAsia="宋体" w:hint="default"/>
                <w:sz w:val="18"/>
                <w:szCs w:val="18"/>
              </w:rPr>
              <w:t>浩云科技非公开 发行股票</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21.98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15,945,368</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15,945,368</w:t>
            </w:r>
          </w:p>
        </w:tc>
        <w:tc>
          <w:tcPr>
            <w:tcW w:w="16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570"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可转换公司债券、分离交易的可转换公司债券、公司债类</w:t>
            </w:r>
          </w:p>
        </w:tc>
      </w:tr>
      <w:tr>
        <w:trPr>
          <w:trHeight w:val="402" w:hRule="exact"/>
        </w:trPr>
        <w:tc>
          <w:tcPr>
            <w:tcW w:w="9570"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其他衍生证券类</w:t>
            </w:r>
          </w:p>
        </w:tc>
      </w:tr>
    </w:tbl>
    <w:p>
      <w:pPr>
        <w:spacing w:line="240" w:lineRule="auto" w:before="7"/>
        <w:rPr>
          <w:rFonts w:ascii="宋体" w:hAnsi="宋体" w:cs="宋体" w:eastAsia="宋体" w:hint="default"/>
          <w:sz w:val="6"/>
          <w:szCs w:val="6"/>
        </w:rPr>
      </w:pPr>
    </w:p>
    <w:p>
      <w:pPr>
        <w:pStyle w:val="BodyText"/>
        <w:spacing w:line="240" w:lineRule="auto" w:before="44"/>
        <w:ind w:right="0"/>
        <w:jc w:val="both"/>
      </w:pPr>
      <w:r>
        <w:rPr/>
        <w:t>报告期内证券发行（不含优先股）情况的说明</w:t>
      </w:r>
    </w:p>
    <w:p>
      <w:pPr>
        <w:spacing w:line="240" w:lineRule="auto" w:before="10"/>
        <w:rPr>
          <w:rFonts w:ascii="宋体" w:hAnsi="宋体" w:cs="宋体" w:eastAsia="宋体" w:hint="default"/>
          <w:sz w:val="20"/>
          <w:szCs w:val="20"/>
        </w:rPr>
      </w:pPr>
    </w:p>
    <w:p>
      <w:pPr>
        <w:pStyle w:val="BodyText"/>
        <w:spacing w:line="451" w:lineRule="auto"/>
        <w:ind w:right="1131"/>
        <w:jc w:val="both"/>
      </w:pPr>
      <w:r>
        <w:rPr>
          <w:rFonts w:ascii="Times New Roman" w:hAnsi="Times New Roman" w:cs="Times New Roman" w:eastAsia="Times New Roman" w:hint="default"/>
          <w:spacing w:val="-2"/>
        </w:rPr>
        <w:t>1</w:t>
      </w:r>
      <w:r>
        <w:rPr>
          <w:spacing w:val="-2"/>
        </w:rPr>
        <w:t>、</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26</w:t>
      </w:r>
      <w:r>
        <w:rPr>
          <w:spacing w:val="-2"/>
        </w:rPr>
        <w:t>日，经公司第二届董事会第三十二次会议、第二届监事会第二十六次会议审议通过了《关于向激励对象授予</w:t>
      </w:r>
      <w:r>
        <w:rPr>
          <w:spacing w:val="-58"/>
        </w:rPr>
        <w:t> </w:t>
      </w:r>
      <w:r>
        <w:rPr>
          <w:spacing w:val="-58"/>
        </w:rPr>
      </w:r>
      <w:r>
        <w:rPr/>
        <w:t>第二期激励计划预留部分限制性股票的议案》，同意公司向</w:t>
      </w:r>
      <w:r>
        <w:rPr>
          <w:rFonts w:ascii="Times New Roman" w:hAnsi="Times New Roman" w:cs="Times New Roman" w:eastAsia="Times New Roman" w:hint="default"/>
        </w:rPr>
        <w:t>2</w:t>
      </w:r>
      <w:r>
        <w:rPr/>
        <w:t>名符合激励条件的激励对象授予第二期限制性股票预留部分共 </w:t>
      </w:r>
      <w:r>
        <w:rPr>
          <w:rFonts w:ascii="Times New Roman" w:hAnsi="Times New Roman" w:cs="Times New Roman" w:eastAsia="Times New Roman" w:hint="default"/>
        </w:rPr>
        <w:t>149,400</w:t>
      </w:r>
      <w:r>
        <w:rPr/>
        <w:t>股，并确定了</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26</w:t>
      </w:r>
      <w:r>
        <w:rPr/>
        <w:t>日为授予日。上述限制性股票已于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6</w:t>
      </w:r>
      <w:r>
        <w:rPr/>
        <w:t>日上市。</w:t>
      </w:r>
    </w:p>
    <w:p>
      <w:pPr>
        <w:spacing w:after="0" w:line="451" w:lineRule="auto"/>
        <w:jc w:val="both"/>
        <w:sectPr>
          <w:pgSz w:w="11910" w:h="16840"/>
          <w:pgMar w:header="787" w:footer="640" w:top="1100" w:bottom="840" w:left="0" w:right="0"/>
        </w:sectPr>
      </w:pPr>
    </w:p>
    <w:p>
      <w:pPr>
        <w:spacing w:line="240" w:lineRule="auto" w:before="10"/>
        <w:rPr>
          <w:rFonts w:ascii="宋体" w:hAnsi="宋体" w:cs="宋体" w:eastAsia="宋体" w:hint="default"/>
          <w:sz w:val="28"/>
          <w:szCs w:val="28"/>
        </w:rPr>
      </w:pPr>
    </w:p>
    <w:p>
      <w:pPr>
        <w:pStyle w:val="BodyText"/>
        <w:spacing w:line="451" w:lineRule="auto" w:before="44"/>
        <w:ind w:left="1133" w:right="1123"/>
        <w:jc w:val="left"/>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12</w:t>
      </w:r>
      <w:r>
        <w:rPr/>
        <w:t>日，公司向</w:t>
      </w:r>
      <w:r>
        <w:rPr>
          <w:rFonts w:ascii="Times New Roman" w:hAnsi="Times New Roman" w:cs="Times New Roman" w:eastAsia="Times New Roman" w:hint="default"/>
        </w:rPr>
        <w:t>4</w:t>
      </w:r>
      <w:r>
        <w:rPr/>
        <w:t>名合格投资者非公开发行新增股份共</w:t>
      </w:r>
      <w:r>
        <w:rPr>
          <w:rFonts w:ascii="Times New Roman" w:hAnsi="Times New Roman" w:cs="Times New Roman" w:eastAsia="Times New Roman" w:hint="default"/>
        </w:rPr>
        <w:t>15,945,368</w:t>
      </w:r>
      <w:r>
        <w:rPr/>
        <w:t>股，上述股票于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27</w:t>
      </w:r>
      <w:r>
        <w:rPr/>
        <w:t>日在中国结算公司 深圳分公司办理完毕登记托管手续，并于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8</w:t>
      </w:r>
      <w:r>
        <w:rPr/>
        <w:t>日在深圳证券交易所上市。</w:t>
      </w:r>
    </w:p>
    <w:p>
      <w:pPr>
        <w:spacing w:line="240" w:lineRule="auto" w:before="4"/>
        <w:rPr>
          <w:rFonts w:ascii="宋体" w:hAnsi="宋体" w:cs="宋体" w:eastAsia="宋体" w:hint="default"/>
          <w:sz w:val="24"/>
          <w:szCs w:val="24"/>
        </w:rPr>
      </w:pPr>
    </w:p>
    <w:p>
      <w:pPr>
        <w:pStyle w:val="Heading3"/>
        <w:spacing w:line="240" w:lineRule="auto"/>
        <w:ind w:left="1133" w:right="0"/>
        <w:jc w:val="left"/>
        <w:rPr>
          <w:b w:val="0"/>
          <w:bCs w:val="0"/>
        </w:rPr>
      </w:pPr>
      <w:bookmarkStart w:name="2、公司股份总数及股东结构的变动、公司资产和负债结构的变动情况说明" w:id="109"/>
      <w:bookmarkEnd w:id="109"/>
      <w:r>
        <w:rPr>
          <w:b w:val="0"/>
          <w:bCs w:val="0"/>
        </w:rPr>
      </w: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pStyle w:val="BodyText"/>
        <w:spacing w:line="470" w:lineRule="auto"/>
        <w:ind w:left="1133" w:right="112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rFonts w:ascii="Times New Roman" w:hAnsi="Times New Roman" w:cs="Times New Roman" w:eastAsia="Times New Roman" w:hint="default"/>
        </w:rPr>
        <w:t>1</w:t>
      </w:r>
      <w:r>
        <w:rPr/>
        <w:t>、报告期内，公司股东雷洪文、徐彪、袁小康和龙中胜其高管锁定股共</w:t>
      </w:r>
      <w:r>
        <w:rPr>
          <w:rFonts w:ascii="Times New Roman" w:hAnsi="Times New Roman" w:cs="Times New Roman" w:eastAsia="Times New Roman" w:hint="default"/>
        </w:rPr>
        <w:t>7,695,000</w:t>
      </w:r>
      <w:r>
        <w:rPr/>
        <w:t>股上市流通，公司股本结构由限售股股东 占比</w:t>
      </w:r>
      <w:r>
        <w:rPr>
          <w:rFonts w:ascii="Times New Roman" w:hAnsi="Times New Roman" w:cs="Times New Roman" w:eastAsia="Times New Roman" w:hint="default"/>
        </w:rPr>
        <w:t>67.34%</w:t>
      </w:r>
      <w:r>
        <w:rPr/>
        <w:t>，无限售条件流通股股东占比</w:t>
      </w:r>
      <w:r>
        <w:rPr>
          <w:rFonts w:ascii="Times New Roman" w:hAnsi="Times New Roman" w:cs="Times New Roman" w:eastAsia="Times New Roman" w:hint="default"/>
        </w:rPr>
        <w:t>32.66%</w:t>
      </w:r>
      <w:r>
        <w:rPr/>
        <w:t>，变为限售股股东占比</w:t>
      </w:r>
      <w:r>
        <w:rPr>
          <w:rFonts w:ascii="Times New Roman" w:hAnsi="Times New Roman" w:cs="Times New Roman" w:eastAsia="Times New Roman" w:hint="default"/>
        </w:rPr>
        <w:t>63.54%</w:t>
      </w:r>
      <w:r>
        <w:rPr/>
        <w:t>，无限售条件流通股股东占比</w:t>
      </w:r>
      <w:r>
        <w:rPr>
          <w:rFonts w:ascii="Times New Roman" w:hAnsi="Times New Roman" w:cs="Times New Roman" w:eastAsia="Times New Roman" w:hint="default"/>
        </w:rPr>
        <w:t>36.46%</w:t>
      </w:r>
      <w:r>
        <w:rPr/>
        <w:t>。</w:t>
      </w:r>
    </w:p>
    <w:p>
      <w:pPr>
        <w:pStyle w:val="BodyText"/>
        <w:spacing w:line="451" w:lineRule="auto" w:before="27"/>
        <w:ind w:left="1133" w:right="0"/>
        <w:jc w:val="left"/>
      </w:pPr>
      <w:r>
        <w:rPr>
          <w:rFonts w:ascii="Times New Roman" w:hAnsi="Times New Roman" w:cs="Times New Roman" w:eastAsia="Times New Roman" w:hint="default"/>
        </w:rPr>
        <w:t>2</w:t>
      </w:r>
      <w:r>
        <w:rPr/>
        <w:t>、报告期内，股东龙中胜辞去其高级管理人员职务，其所持流通股股票</w:t>
      </w:r>
      <w:r>
        <w:rPr>
          <w:rFonts w:ascii="Times New Roman" w:hAnsi="Times New Roman" w:cs="Times New Roman" w:eastAsia="Times New Roman" w:hint="default"/>
        </w:rPr>
        <w:t>1,254,133</w:t>
      </w:r>
      <w:r>
        <w:rPr/>
        <w:t>股被锁定，公司股本结构由限售股股东占 比</w:t>
      </w:r>
      <w:r>
        <w:rPr>
          <w:rFonts w:ascii="Times New Roman" w:hAnsi="Times New Roman" w:cs="Times New Roman" w:eastAsia="Times New Roman" w:hint="default"/>
        </w:rPr>
        <w:t>63.54%</w:t>
      </w:r>
      <w:r>
        <w:rPr/>
        <w:t>，无限售条件流通股股东占比</w:t>
      </w:r>
      <w:r>
        <w:rPr>
          <w:rFonts w:ascii="Times New Roman" w:hAnsi="Times New Roman" w:cs="Times New Roman" w:eastAsia="Times New Roman" w:hint="default"/>
        </w:rPr>
        <w:t>36.46%</w:t>
      </w:r>
      <w:r>
        <w:rPr/>
        <w:t>，变为限售股股东占比</w:t>
      </w:r>
      <w:r>
        <w:rPr>
          <w:rFonts w:ascii="Times New Roman" w:hAnsi="Times New Roman" w:cs="Times New Roman" w:eastAsia="Times New Roman" w:hint="default"/>
        </w:rPr>
        <w:t>64.16%</w:t>
      </w:r>
      <w:r>
        <w:rPr/>
        <w:t>，无限售条件流通股股东占比</w:t>
      </w:r>
      <w:r>
        <w:rPr>
          <w:rFonts w:ascii="Times New Roman" w:hAnsi="Times New Roman" w:cs="Times New Roman" w:eastAsia="Times New Roman" w:hint="default"/>
        </w:rPr>
        <w:t>35.84%</w:t>
      </w:r>
      <w:r>
        <w:rPr/>
        <w:t>。 </w:t>
      </w:r>
      <w:r>
        <w:rPr>
          <w:rFonts w:ascii="Times New Roman" w:hAnsi="Times New Roman" w:cs="Times New Roman" w:eastAsia="Times New Roman" w:hint="default"/>
        </w:rPr>
        <w:t>3</w:t>
      </w:r>
      <w:r>
        <w:rPr/>
        <w:t>、报告期内，因部分员工辞职使其不具备股权激励资格，公司回购注销其持有的共</w:t>
      </w:r>
      <w:r>
        <w:rPr>
          <w:rFonts w:ascii="Times New Roman" w:hAnsi="Times New Roman" w:cs="Times New Roman" w:eastAsia="Times New Roman" w:hint="default"/>
        </w:rPr>
        <w:t>84,697</w:t>
      </w:r>
      <w:r>
        <w:rPr/>
        <w:t>股股票，公司股本结构由限售股 股东占比</w:t>
      </w:r>
      <w:r>
        <w:rPr>
          <w:rFonts w:ascii="Times New Roman" w:hAnsi="Times New Roman" w:cs="Times New Roman" w:eastAsia="Times New Roman" w:hint="default"/>
        </w:rPr>
        <w:t>64.16%</w:t>
      </w:r>
      <w:r>
        <w:rPr/>
        <w:t>，无限售条件流通股股东占比</w:t>
      </w:r>
      <w:r>
        <w:rPr>
          <w:rFonts w:ascii="Times New Roman" w:hAnsi="Times New Roman" w:cs="Times New Roman" w:eastAsia="Times New Roman" w:hint="default"/>
        </w:rPr>
        <w:t>35.84%</w:t>
      </w:r>
      <w:r>
        <w:rPr/>
        <w:t>，变为限售股股东占比</w:t>
      </w:r>
      <w:r>
        <w:rPr>
          <w:rFonts w:ascii="Times New Roman" w:hAnsi="Times New Roman" w:cs="Times New Roman" w:eastAsia="Times New Roman" w:hint="default"/>
        </w:rPr>
        <w:t>64.15%</w:t>
      </w:r>
      <w:r>
        <w:rPr/>
        <w:t>，无限售条件流通股股东占比</w:t>
      </w:r>
      <w:r>
        <w:rPr>
          <w:rFonts w:ascii="Times New Roman" w:hAnsi="Times New Roman" w:cs="Times New Roman" w:eastAsia="Times New Roman" w:hint="default"/>
        </w:rPr>
        <w:t>35.85%</w:t>
      </w:r>
      <w:r>
        <w:rPr/>
        <w:t>。 </w:t>
      </w:r>
      <w:r>
        <w:rPr>
          <w:rFonts w:ascii="Times New Roman" w:hAnsi="Times New Roman" w:cs="Times New Roman" w:eastAsia="Times New Roman" w:hint="default"/>
        </w:rPr>
        <w:t>4</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11</w:t>
      </w:r>
      <w:r>
        <w:rPr/>
        <w:t>日，公司第二期激励计划首次授予限制性股票第一个解锁期解锁条件达成，</w:t>
      </w:r>
      <w:r>
        <w:rPr>
          <w:rFonts w:ascii="Times New Roman" w:hAnsi="Times New Roman" w:cs="Times New Roman" w:eastAsia="Times New Roman" w:hint="default"/>
        </w:rPr>
        <w:t>67</w:t>
      </w:r>
      <w:r>
        <w:rPr/>
        <w:t>名激励对象持有的共</w:t>
      </w:r>
      <w:r>
        <w:rPr>
          <w:rFonts w:ascii="Times New Roman" w:hAnsi="Times New Roman" w:cs="Times New Roman" w:eastAsia="Times New Roman" w:hint="default"/>
        </w:rPr>
        <w:t>438,412 </w:t>
      </w:r>
      <w:r>
        <w:rPr>
          <w:spacing w:val="-4"/>
        </w:rPr>
        <w:t>股股票上市流通，公司股本结构由限售股股东占比</w:t>
      </w:r>
      <w:r>
        <w:rPr>
          <w:rFonts w:ascii="Times New Roman" w:hAnsi="Times New Roman" w:cs="Times New Roman" w:eastAsia="Times New Roman" w:hint="default"/>
          <w:spacing w:val="-4"/>
        </w:rPr>
        <w:t>64.15%</w:t>
      </w:r>
      <w:r>
        <w:rPr>
          <w:spacing w:val="-4"/>
        </w:rPr>
        <w:t>，无限售条件流通股股东占比</w:t>
      </w:r>
      <w:r>
        <w:rPr>
          <w:rFonts w:ascii="Times New Roman" w:hAnsi="Times New Roman" w:cs="Times New Roman" w:eastAsia="Times New Roman" w:hint="default"/>
          <w:spacing w:val="-4"/>
        </w:rPr>
        <w:t>35.85%</w:t>
      </w:r>
      <w:r>
        <w:rPr>
          <w:spacing w:val="-4"/>
        </w:rPr>
        <w:t>，变为限售股股东占比</w:t>
      </w:r>
      <w:r>
        <w:rPr>
          <w:rFonts w:ascii="Times New Roman" w:hAnsi="Times New Roman" w:cs="Times New Roman" w:eastAsia="Times New Roman" w:hint="default"/>
          <w:spacing w:val="-4"/>
        </w:rPr>
        <w:t>63.93%</w:t>
      </w:r>
      <w:r>
        <w:rPr>
          <w:spacing w:val="-4"/>
        </w:rPr>
        <w:t>，</w:t>
      </w:r>
      <w:r>
        <w:rPr>
          <w:spacing w:val="-54"/>
        </w:rPr>
        <w:t> </w:t>
      </w:r>
      <w:r>
        <w:rPr/>
        <w:t>无限售条件流通股股东占比</w:t>
      </w:r>
      <w:r>
        <w:rPr>
          <w:rFonts w:ascii="Times New Roman" w:hAnsi="Times New Roman" w:cs="Times New Roman" w:eastAsia="Times New Roman" w:hint="default"/>
        </w:rPr>
        <w:t>36.07%</w:t>
      </w:r>
      <w:r>
        <w:rPr/>
        <w:t>。 </w:t>
      </w:r>
      <w:r>
        <w:rPr>
          <w:rFonts w:ascii="Times New Roman" w:hAnsi="Times New Roman" w:cs="Times New Roman" w:eastAsia="Times New Roman" w:hint="default"/>
        </w:rPr>
        <w:t>5</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26</w:t>
      </w:r>
      <w:r>
        <w:rPr/>
        <w:t>日，公司向</w:t>
      </w:r>
      <w:r>
        <w:rPr>
          <w:rFonts w:ascii="Times New Roman" w:hAnsi="Times New Roman" w:cs="Times New Roman" w:eastAsia="Times New Roman" w:hint="default"/>
        </w:rPr>
        <w:t>4</w:t>
      </w:r>
      <w:r>
        <w:rPr/>
        <w:t>名激励对象授予第二期预留部分限制性股票</w:t>
      </w:r>
      <w:r>
        <w:rPr>
          <w:rFonts w:ascii="Times New Roman" w:hAnsi="Times New Roman" w:cs="Times New Roman" w:eastAsia="Times New Roman" w:hint="default"/>
        </w:rPr>
        <w:t>149,400</w:t>
      </w:r>
      <w:r>
        <w:rPr/>
        <w:t>股，并于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6</w:t>
      </w:r>
      <w:r>
        <w:rPr/>
        <w:t>日上市流通；公司股本 总额从</w:t>
      </w:r>
      <w:r>
        <w:rPr>
          <w:rFonts w:ascii="Times New Roman" w:hAnsi="Times New Roman" w:cs="Times New Roman" w:eastAsia="Times New Roman" w:hint="default"/>
        </w:rPr>
        <w:t>202,316,745</w:t>
      </w:r>
      <w:r>
        <w:rPr/>
        <w:t>股增加至</w:t>
      </w:r>
      <w:r>
        <w:rPr>
          <w:rFonts w:ascii="Times New Roman" w:hAnsi="Times New Roman" w:cs="Times New Roman" w:eastAsia="Times New Roman" w:hint="default"/>
        </w:rPr>
        <w:t>202,466,145</w:t>
      </w:r>
      <w:r>
        <w:rPr/>
        <w:t>股，公司股本结构由限售股股东占比</w:t>
      </w:r>
      <w:r>
        <w:rPr>
          <w:rFonts w:ascii="Times New Roman" w:hAnsi="Times New Roman" w:cs="Times New Roman" w:eastAsia="Times New Roman" w:hint="default"/>
        </w:rPr>
        <w:t>63.93%</w:t>
      </w:r>
      <w:r>
        <w:rPr/>
        <w:t>，无限售条件流通股股东占比</w:t>
      </w:r>
      <w:r>
        <w:rPr>
          <w:rFonts w:ascii="Times New Roman" w:hAnsi="Times New Roman" w:cs="Times New Roman" w:eastAsia="Times New Roman" w:hint="default"/>
        </w:rPr>
        <w:t>36.07%</w:t>
      </w:r>
      <w:r>
        <w:rPr/>
        <w:t>， 变为限售股股东占比</w:t>
      </w:r>
      <w:r>
        <w:rPr>
          <w:rFonts w:ascii="Times New Roman" w:hAnsi="Times New Roman" w:cs="Times New Roman" w:eastAsia="Times New Roman" w:hint="default"/>
        </w:rPr>
        <w:t>63.96%</w:t>
      </w:r>
      <w:r>
        <w:rPr/>
        <w:t>，无限售条件流通股股东占比</w:t>
      </w:r>
      <w:r>
        <w:rPr>
          <w:rFonts w:ascii="Times New Roman" w:hAnsi="Times New Roman" w:cs="Times New Roman" w:eastAsia="Times New Roman" w:hint="default"/>
        </w:rPr>
        <w:t>36.04%</w:t>
      </w:r>
      <w:r>
        <w:rPr/>
        <w:t>。 </w:t>
      </w:r>
      <w:r>
        <w:rPr>
          <w:rFonts w:ascii="Times New Roman" w:hAnsi="Times New Roman" w:cs="Times New Roman" w:eastAsia="Times New Roman" w:hint="default"/>
        </w:rPr>
        <w:t>6</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10</w:t>
      </w:r>
      <w:r>
        <w:rPr/>
        <w:t>日，股东龙中胜其高管离职锁定期届满共有</w:t>
      </w:r>
      <w:r>
        <w:rPr>
          <w:rFonts w:ascii="Times New Roman" w:hAnsi="Times New Roman" w:cs="Times New Roman" w:eastAsia="Times New Roman" w:hint="default"/>
        </w:rPr>
        <w:t>5,016,533</w:t>
      </w:r>
      <w:r>
        <w:rPr/>
        <w:t>股股票上市流通，公司股本结构由限售股股东占比</w:t>
      </w:r>
    </w:p>
    <w:p>
      <w:pPr>
        <w:pStyle w:val="BodyText"/>
        <w:spacing w:line="240" w:lineRule="auto" w:before="43"/>
        <w:ind w:left="1133" w:right="0"/>
        <w:jc w:val="left"/>
      </w:pPr>
      <w:r>
        <w:rPr>
          <w:rFonts w:ascii="Times New Roman" w:hAnsi="Times New Roman" w:cs="Times New Roman" w:eastAsia="Times New Roman" w:hint="default"/>
        </w:rPr>
        <w:t>63.96%</w:t>
      </w:r>
      <w:r>
        <w:rPr/>
        <w:t>，无限售条件流通股股东占比</w:t>
      </w:r>
      <w:r>
        <w:rPr>
          <w:rFonts w:ascii="Times New Roman" w:hAnsi="Times New Roman" w:cs="Times New Roman" w:eastAsia="Times New Roman" w:hint="default"/>
        </w:rPr>
        <w:t>36.04%</w:t>
      </w:r>
      <w:r>
        <w:rPr/>
        <w:t>，变为限售股股东占比</w:t>
      </w:r>
      <w:r>
        <w:rPr>
          <w:rFonts w:ascii="Times New Roman" w:hAnsi="Times New Roman" w:cs="Times New Roman" w:eastAsia="Times New Roman" w:hint="default"/>
        </w:rPr>
        <w:t>61.48%</w:t>
      </w:r>
      <w:r>
        <w:rPr/>
        <w:t>，无限售条件流通股股东占比</w:t>
      </w:r>
      <w:r>
        <w:rPr>
          <w:rFonts w:ascii="Times New Roman" w:hAnsi="Times New Roman" w:cs="Times New Roman" w:eastAsia="Times New Roman" w:hint="default"/>
        </w:rPr>
        <w:t>38.52%</w:t>
      </w:r>
      <w:r>
        <w:rPr/>
        <w:t>。</w:t>
      </w:r>
    </w:p>
    <w:p>
      <w:pPr>
        <w:spacing w:line="240" w:lineRule="auto" w:before="9"/>
        <w:rPr>
          <w:rFonts w:ascii="宋体" w:hAnsi="宋体" w:cs="宋体" w:eastAsia="宋体" w:hint="default"/>
          <w:sz w:val="16"/>
          <w:szCs w:val="16"/>
        </w:rPr>
      </w:pPr>
    </w:p>
    <w:p>
      <w:pPr>
        <w:pStyle w:val="BodyText"/>
        <w:spacing w:line="451" w:lineRule="auto"/>
        <w:ind w:left="1133" w:right="1118"/>
        <w:jc w:val="left"/>
      </w:pPr>
      <w:r>
        <w:rPr>
          <w:rFonts w:ascii="Times New Roman" w:hAnsi="Times New Roman" w:cs="Times New Roman" w:eastAsia="Times New Roman" w:hint="default"/>
          <w:spacing w:val="-2"/>
        </w:rPr>
        <w:t>7</w:t>
      </w:r>
      <w:r>
        <w:rPr>
          <w:spacing w:val="-2"/>
        </w:rPr>
        <w:t>、</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25</w:t>
      </w:r>
      <w:r>
        <w:rPr>
          <w:spacing w:val="-2"/>
        </w:rPr>
        <w:t>日，股东张忠民其首次公开发行前已发行的股份限售期届满共有</w:t>
      </w:r>
      <w:r>
        <w:rPr>
          <w:rFonts w:ascii="Times New Roman" w:hAnsi="Times New Roman" w:cs="Times New Roman" w:eastAsia="Times New Roman" w:hint="default"/>
          <w:spacing w:val="-2"/>
        </w:rPr>
        <w:t>2,491,110</w:t>
      </w:r>
      <w:r>
        <w:rPr>
          <w:spacing w:val="-2"/>
        </w:rPr>
        <w:t>股股票上市流通，公司股本结构由</w:t>
      </w:r>
      <w:r>
        <w:rPr>
          <w:spacing w:val="-49"/>
        </w:rPr>
        <w:t> </w:t>
      </w:r>
      <w:r>
        <w:rPr>
          <w:spacing w:val="-49"/>
        </w:rPr>
      </w:r>
      <w:r>
        <w:rPr/>
        <w:t>限售股股东占比</w:t>
      </w:r>
      <w:r>
        <w:rPr>
          <w:rFonts w:ascii="Times New Roman" w:hAnsi="Times New Roman" w:cs="Times New Roman" w:eastAsia="Times New Roman" w:hint="default"/>
        </w:rPr>
        <w:t>61.48%</w:t>
      </w:r>
      <w:r>
        <w:rPr/>
        <w:t>，无限售条件流通股股东占比</w:t>
      </w:r>
      <w:r>
        <w:rPr>
          <w:rFonts w:ascii="Times New Roman" w:hAnsi="Times New Roman" w:cs="Times New Roman" w:eastAsia="Times New Roman" w:hint="default"/>
        </w:rPr>
        <w:t>38.52%</w:t>
      </w:r>
      <w:r>
        <w:rPr/>
        <w:t>，变为限售股股东占比</w:t>
      </w:r>
      <w:r>
        <w:rPr>
          <w:rFonts w:ascii="Times New Roman" w:hAnsi="Times New Roman" w:cs="Times New Roman" w:eastAsia="Times New Roman" w:hint="default"/>
        </w:rPr>
        <w:t>60.25%</w:t>
      </w:r>
      <w:r>
        <w:rPr/>
        <w:t>，无限售条件流通股股东占比 </w:t>
      </w:r>
      <w:r>
        <w:rPr>
          <w:rFonts w:ascii="Times New Roman" w:hAnsi="Times New Roman" w:cs="Times New Roman" w:eastAsia="Times New Roman" w:hint="default"/>
        </w:rPr>
        <w:t>39.75%</w:t>
      </w:r>
      <w:r>
        <w:rPr/>
        <w:t>。</w:t>
      </w:r>
    </w:p>
    <w:p>
      <w:pPr>
        <w:pStyle w:val="BodyText"/>
        <w:spacing w:line="451" w:lineRule="auto" w:before="43"/>
        <w:ind w:left="1133" w:right="0"/>
        <w:jc w:val="left"/>
      </w:pPr>
      <w:r>
        <w:rPr>
          <w:rFonts w:ascii="Times New Roman" w:hAnsi="Times New Roman" w:cs="Times New Roman" w:eastAsia="Times New Roman" w:hint="default"/>
          <w:spacing w:val="-2"/>
        </w:rPr>
        <w:t>8</w:t>
      </w:r>
      <w:r>
        <w:rPr>
          <w:spacing w:val="-2"/>
        </w:rPr>
        <w:t>、</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27</w:t>
      </w:r>
      <w:r>
        <w:rPr>
          <w:spacing w:val="-2"/>
        </w:rPr>
        <w:t>日，公司非公开发行新增股份</w:t>
      </w:r>
      <w:r>
        <w:rPr>
          <w:rFonts w:ascii="Times New Roman" w:hAnsi="Times New Roman" w:cs="Times New Roman" w:eastAsia="Times New Roman" w:hint="default"/>
          <w:spacing w:val="-2"/>
        </w:rPr>
        <w:t>15,945,368</w:t>
      </w:r>
      <w:r>
        <w:rPr>
          <w:spacing w:val="-2"/>
        </w:rPr>
        <w:t>股在中国结算公司深圳分公司办理完毕登记托管手续，并于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8</w:t>
      </w:r>
      <w:r>
        <w:rPr>
          <w:rFonts w:ascii="Times New Roman" w:hAnsi="Times New Roman" w:cs="Times New Roman" w:eastAsia="Times New Roman" w:hint="default"/>
        </w:rPr>
        <w:t> </w:t>
      </w:r>
      <w:r>
        <w:rPr>
          <w:spacing w:val="-2"/>
        </w:rPr>
        <w:t>月</w:t>
      </w:r>
      <w:r>
        <w:rPr>
          <w:rFonts w:ascii="Times New Roman" w:hAnsi="Times New Roman" w:cs="Times New Roman" w:eastAsia="Times New Roman" w:hint="default"/>
          <w:spacing w:val="-2"/>
        </w:rPr>
        <w:t>8</w:t>
      </w:r>
      <w:r>
        <w:rPr>
          <w:spacing w:val="-2"/>
        </w:rPr>
        <w:t>日在深圳证券交易所上市；公司股本总额从</w:t>
      </w:r>
      <w:r>
        <w:rPr>
          <w:rFonts w:ascii="Times New Roman" w:hAnsi="Times New Roman" w:cs="Times New Roman" w:eastAsia="Times New Roman" w:hint="default"/>
          <w:spacing w:val="-2"/>
        </w:rPr>
        <w:t>202,466,145</w:t>
      </w:r>
      <w:r>
        <w:rPr>
          <w:spacing w:val="-2"/>
        </w:rPr>
        <w:t>股增加至</w:t>
      </w:r>
      <w:r>
        <w:rPr>
          <w:rFonts w:ascii="Times New Roman" w:hAnsi="Times New Roman" w:cs="Times New Roman" w:eastAsia="Times New Roman" w:hint="default"/>
          <w:spacing w:val="-2"/>
        </w:rPr>
        <w:t>218,411,513</w:t>
      </w:r>
      <w:r>
        <w:rPr>
          <w:spacing w:val="-2"/>
        </w:rPr>
        <w:t>股，公司股本结构由限售股股东占比</w:t>
      </w:r>
      <w:r>
        <w:rPr>
          <w:rFonts w:ascii="Times New Roman" w:hAnsi="Times New Roman" w:cs="Times New Roman" w:eastAsia="Times New Roman" w:hint="default"/>
          <w:spacing w:val="-2"/>
        </w:rPr>
        <w:t>60.25%</w:t>
      </w:r>
      <w:r>
        <w:rPr>
          <w:spacing w:val="-2"/>
        </w:rPr>
        <w:t>，</w:t>
      </w:r>
      <w:r>
        <w:rPr>
          <w:spacing w:val="-53"/>
        </w:rPr>
        <w:t> </w:t>
      </w:r>
      <w:r>
        <w:rPr/>
        <w:t>无限售条件流通股股东占比</w:t>
      </w:r>
      <w:r>
        <w:rPr>
          <w:rFonts w:ascii="Times New Roman" w:hAnsi="Times New Roman" w:cs="Times New Roman" w:eastAsia="Times New Roman" w:hint="default"/>
        </w:rPr>
        <w:t>39.75%</w:t>
      </w:r>
      <w:r>
        <w:rPr/>
        <w:t>，变为限售股股东占比</w:t>
      </w:r>
      <w:r>
        <w:rPr>
          <w:rFonts w:ascii="Times New Roman" w:hAnsi="Times New Roman" w:cs="Times New Roman" w:eastAsia="Times New Roman" w:hint="default"/>
        </w:rPr>
        <w:t>63.15%</w:t>
      </w:r>
      <w:r>
        <w:rPr/>
        <w:t>，无限售条件流通股股东占比</w:t>
      </w:r>
      <w:r>
        <w:rPr>
          <w:rFonts w:ascii="Times New Roman" w:hAnsi="Times New Roman" w:cs="Times New Roman" w:eastAsia="Times New Roman" w:hint="default"/>
        </w:rPr>
        <w:t>36.85%</w:t>
      </w:r>
      <w:r>
        <w:rPr/>
        <w:t>。 </w:t>
      </w:r>
      <w:r>
        <w:rPr>
          <w:rFonts w:ascii="Times New Roman" w:hAnsi="Times New Roman" w:cs="Times New Roman" w:eastAsia="Times New Roman" w:hint="default"/>
        </w:rPr>
        <w:t>9</w:t>
      </w:r>
      <w:r>
        <w:rPr/>
        <w:t>、报告期内，因部分员工辞职使其不具备股权激励资格，公司回购注销其持有的共</w:t>
      </w:r>
      <w:r>
        <w:rPr>
          <w:rFonts w:ascii="Times New Roman" w:hAnsi="Times New Roman" w:cs="Times New Roman" w:eastAsia="Times New Roman" w:hint="default"/>
        </w:rPr>
        <w:t>40,854</w:t>
      </w:r>
      <w:r>
        <w:rPr/>
        <w:t>股股票，公司股本结构由限售股 股东占比</w:t>
      </w:r>
      <w:r>
        <w:rPr>
          <w:rFonts w:ascii="Times New Roman" w:hAnsi="Times New Roman" w:cs="Times New Roman" w:eastAsia="Times New Roman" w:hint="default"/>
        </w:rPr>
        <w:t>63.15%</w:t>
      </w:r>
      <w:r>
        <w:rPr/>
        <w:t>，无限售条件流通股股东占比</w:t>
      </w:r>
      <w:r>
        <w:rPr>
          <w:rFonts w:ascii="Times New Roman" w:hAnsi="Times New Roman" w:cs="Times New Roman" w:eastAsia="Times New Roman" w:hint="default"/>
        </w:rPr>
        <w:t>36.85%</w:t>
      </w:r>
      <w:r>
        <w:rPr/>
        <w:t>，变为限售股股东占比</w:t>
      </w:r>
      <w:r>
        <w:rPr>
          <w:rFonts w:ascii="Times New Roman" w:hAnsi="Times New Roman" w:cs="Times New Roman" w:eastAsia="Times New Roman" w:hint="default"/>
        </w:rPr>
        <w:t>63.14%</w:t>
      </w:r>
      <w:r>
        <w:rPr/>
        <w:t>，无限售条件流通股股东占比</w:t>
      </w:r>
      <w:r>
        <w:rPr>
          <w:rFonts w:ascii="Times New Roman" w:hAnsi="Times New Roman" w:cs="Times New Roman" w:eastAsia="Times New Roman" w:hint="default"/>
        </w:rPr>
        <w:t>36.86%</w:t>
      </w:r>
      <w:r>
        <w:rPr/>
        <w:t>。 </w:t>
      </w:r>
      <w:r>
        <w:rPr>
          <w:rFonts w:ascii="Times New Roman" w:hAnsi="Times New Roman" w:cs="Times New Roman" w:eastAsia="Times New Roman" w:hint="default"/>
        </w:rPr>
        <w:t>10</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7</w:t>
      </w:r>
      <w:r>
        <w:rPr/>
        <w:t>日，公司首期激励计划首次授予限制性股票第二个解锁期和首期激励计划预留部分限制性股票第一个解锁</w:t>
      </w:r>
    </w:p>
    <w:p>
      <w:pPr>
        <w:spacing w:after="0" w:line="451" w:lineRule="auto"/>
        <w:jc w:val="left"/>
        <w:sectPr>
          <w:footerReference w:type="default" r:id="rId36"/>
          <w:pgSz w:w="11910" w:h="16840"/>
          <w:pgMar w:footer="1777" w:header="787" w:top="1100" w:bottom="1960" w:left="0" w:right="0"/>
        </w:sectPr>
      </w:pPr>
    </w:p>
    <w:p>
      <w:pPr>
        <w:spacing w:line="240" w:lineRule="auto" w:before="10"/>
        <w:rPr>
          <w:rFonts w:ascii="宋体" w:hAnsi="宋体" w:cs="宋体" w:eastAsia="宋体" w:hint="default"/>
          <w:sz w:val="28"/>
          <w:szCs w:val="28"/>
        </w:rPr>
      </w:pPr>
    </w:p>
    <w:p>
      <w:pPr>
        <w:pStyle w:val="BodyText"/>
        <w:spacing w:line="240" w:lineRule="auto" w:before="44"/>
        <w:ind w:right="0"/>
        <w:jc w:val="left"/>
      </w:pPr>
      <w:r>
        <w:rPr/>
        <w:t>通股股东占比</w:t>
      </w:r>
      <w:r>
        <w:rPr>
          <w:rFonts w:ascii="Times New Roman" w:hAnsi="Times New Roman" w:cs="Times New Roman" w:eastAsia="Times New Roman" w:hint="default"/>
        </w:rPr>
        <w:t>36.86%</w:t>
      </w:r>
      <w:r>
        <w:rPr/>
        <w:t>，变为限售股股东占比</w:t>
      </w:r>
      <w:r>
        <w:rPr>
          <w:rFonts w:ascii="Times New Roman" w:hAnsi="Times New Roman" w:cs="Times New Roman" w:eastAsia="Times New Roman" w:hint="default"/>
        </w:rPr>
        <w:t>62.88%</w:t>
      </w:r>
      <w:r>
        <w:rPr/>
        <w:t>，无限售条件流通股股东占比</w:t>
      </w:r>
      <w:r>
        <w:rPr>
          <w:rFonts w:ascii="Times New Roman" w:hAnsi="Times New Roman" w:cs="Times New Roman" w:eastAsia="Times New Roman" w:hint="default"/>
        </w:rPr>
        <w:t>37.12%</w:t>
      </w:r>
      <w:r>
        <w:rPr/>
        <w:t>。</w:t>
      </w:r>
    </w:p>
    <w:p>
      <w:pPr>
        <w:spacing w:line="240" w:lineRule="auto" w:before="9"/>
        <w:rPr>
          <w:rFonts w:ascii="宋体" w:hAnsi="宋体" w:cs="宋体" w:eastAsia="宋体" w:hint="default"/>
          <w:sz w:val="16"/>
          <w:szCs w:val="16"/>
        </w:rPr>
      </w:pPr>
    </w:p>
    <w:p>
      <w:pPr>
        <w:pStyle w:val="BodyText"/>
        <w:spacing w:line="240" w:lineRule="auto"/>
        <w:ind w:left="1133" w:right="0"/>
        <w:jc w:val="left"/>
      </w:pPr>
      <w:r>
        <w:rPr>
          <w:rFonts w:ascii="Times New Roman" w:hAnsi="Times New Roman" w:cs="Times New Roman" w:eastAsia="Times New Roman" w:hint="default"/>
        </w:rPr>
        <w:t>11</w:t>
      </w:r>
      <w:r>
        <w:rPr/>
        <w:t>、公司的资产负债率由上年末的</w:t>
      </w:r>
      <w:r>
        <w:rPr>
          <w:rFonts w:ascii="Times New Roman" w:hAnsi="Times New Roman" w:cs="Times New Roman" w:eastAsia="Times New Roman" w:hint="default"/>
        </w:rPr>
        <w:t>22.07%</w:t>
      </w:r>
      <w:r>
        <w:rPr/>
        <w:t>下降至本报告期末的</w:t>
      </w:r>
      <w:r>
        <w:rPr>
          <w:rFonts w:ascii="Times New Roman" w:hAnsi="Times New Roman" w:cs="Times New Roman" w:eastAsia="Times New Roman" w:hint="default"/>
        </w:rPr>
        <w:t>13.64%</w:t>
      </w:r>
      <w:r>
        <w:rPr/>
        <w:t>。</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9"/>
          <w:szCs w:val="19"/>
        </w:rPr>
      </w:pPr>
    </w:p>
    <w:p>
      <w:pPr>
        <w:pStyle w:val="Heading3"/>
        <w:spacing w:line="240" w:lineRule="auto"/>
        <w:ind w:left="1133" w:right="0"/>
        <w:jc w:val="left"/>
        <w:rPr>
          <w:b w:val="0"/>
          <w:bCs w:val="0"/>
        </w:rPr>
      </w:pPr>
      <w:bookmarkStart w:name="3、现存的内部职工股情况" w:id="110"/>
      <w:bookmarkEnd w:id="110"/>
      <w:r>
        <w:rPr>
          <w:b w:val="0"/>
          <w:bCs w:val="0"/>
        </w:rPr>
      </w:r>
      <w:r>
        <w:rPr>
          <w:rFonts w:ascii="Times New Roman" w:hAnsi="Times New Roman" w:cs="Times New Roman" w:eastAsia="Times New Roman" w:hint="default"/>
        </w:rPr>
        <w:t>3</w:t>
      </w:r>
      <w:r>
        <w:rPr/>
        <w:t>、现存的内部职工股情况</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pStyle w:val="BodyText"/>
        <w:spacing w:line="240" w:lineRule="auto"/>
        <w:ind w:left="113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p>
    <w:p>
      <w:pPr>
        <w:pStyle w:val="Heading2"/>
        <w:spacing w:line="240" w:lineRule="auto" w:before="155"/>
        <w:ind w:right="0"/>
        <w:jc w:val="left"/>
        <w:rPr>
          <w:b w:val="0"/>
          <w:bCs w:val="0"/>
        </w:rPr>
      </w:pPr>
      <w:bookmarkStart w:name="三、股东和实际控制人情况" w:id="111"/>
      <w:bookmarkEnd w:id="111"/>
      <w:r>
        <w:rPr>
          <w:b w:val="0"/>
          <w:bCs w:val="0"/>
        </w:rPr>
      </w:r>
      <w:r>
        <w:rPr/>
        <w:t>三、股东和实际控制人情况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133" w:right="0"/>
        <w:jc w:val="left"/>
        <w:rPr>
          <w:b w:val="0"/>
          <w:bCs w:val="0"/>
        </w:rPr>
      </w:pPr>
      <w:bookmarkStart w:name="1、公司股东数量及持股情况" w:id="112"/>
      <w:bookmarkEnd w:id="112"/>
      <w:r>
        <w:rPr>
          <w:b w:val="0"/>
          <w:bCs w:val="0"/>
        </w:rPr>
      </w:r>
      <w:r>
        <w:rPr>
          <w:rFonts w:ascii="Times New Roman" w:hAnsi="Times New Roman" w:cs="Times New Roman" w:eastAsia="Times New Roman" w:hint="default"/>
        </w:rPr>
        <w:t>1</w:t>
      </w:r>
      <w:r>
        <w:rPr/>
        <w:t>、公司股东数量及持股情况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pict>
          <v:shape style="position:absolute;margin-left:449.277008pt;margin-top:70.491722pt;width:85.6pt;height:31.2pt;mso-position-horizontal-relative:page;mso-position-vertical-relative:paragraph;z-index:-1170256" type="#_x0000_t202" filled="false" stroked="false">
            <v:textbox inset="0,0,0,0">
              <w:txbxContent>
                <w:p>
                  <w:pPr>
                    <w:pStyle w:val="BodyText"/>
                    <w:spacing w:line="207" w:lineRule="exact"/>
                    <w:ind w:left="0" w:right="0"/>
                    <w:jc w:val="left"/>
                  </w:pPr>
                  <w:r>
                    <w:rPr/>
                    <w:t>（如有）</w:t>
                  </w:r>
                </w:p>
              </w:txbxContent>
            </v:textbox>
            <w10:wrap type="none"/>
          </v:shape>
        </w:pict>
      </w:r>
      <w:r>
        <w:rPr/>
        <w:pict>
          <v:group style="position:absolute;margin-left:482.399994pt;margin-top:70.491722pt;width:52.45pt;height:31.2pt;mso-position-horizontal-relative:page;mso-position-vertical-relative:paragraph;z-index:-1170232" coordorigin="9648,1410" coordsize="1049,624">
            <v:shape style="position:absolute;left:9648;top:1410;width:1049;height:624" coordorigin="9648,1410" coordsize="1049,624" path="m9648,2034l10697,2034,10697,1410,9648,1410,9648,2034xe" filled="true" fillcolor="#ffffff" stroked="false">
              <v:path arrowok="t"/>
              <v:fill type="solid"/>
            </v:shape>
            <w10:wrap type="none"/>
          </v:group>
        </w:pict>
      </w:r>
      <w:r>
        <w:rPr/>
        <w:t>单位：股</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335"/>
        <w:gridCol w:w="134"/>
        <w:gridCol w:w="673"/>
        <w:gridCol w:w="739"/>
        <w:gridCol w:w="744"/>
        <w:gridCol w:w="831"/>
        <w:gridCol w:w="344"/>
        <w:gridCol w:w="445"/>
        <w:gridCol w:w="824"/>
        <w:gridCol w:w="802"/>
        <w:gridCol w:w="323"/>
        <w:gridCol w:w="1027"/>
        <w:gridCol w:w="279"/>
        <w:gridCol w:w="513"/>
        <w:gridCol w:w="558"/>
      </w:tblGrid>
      <w:tr>
        <w:trPr>
          <w:trHeight w:val="162" w:hRule="exact"/>
        </w:trPr>
        <w:tc>
          <w:tcPr>
            <w:tcW w:w="1335" w:type="dxa"/>
            <w:vMerge w:val="restart"/>
            <w:tcBorders>
              <w:top w:val="single" w:sz="4" w:space="0" w:color="000000"/>
              <w:left w:val="single" w:sz="4" w:space="0" w:color="000000"/>
              <w:right w:val="single" w:sz="4" w:space="0" w:color="000000"/>
            </w:tcBorders>
            <w:shd w:val="clear" w:color="auto" w:fill="D2D2D2"/>
          </w:tcPr>
          <w:p>
            <w:pPr/>
          </w:p>
        </w:tc>
        <w:tc>
          <w:tcPr>
            <w:tcW w:w="807" w:type="dxa"/>
            <w:gridSpan w:val="2"/>
            <w:vMerge w:val="restart"/>
            <w:tcBorders>
              <w:top w:val="single" w:sz="4" w:space="0" w:color="000000"/>
              <w:left w:val="single" w:sz="9"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262" w:right="0"/>
              <w:jc w:val="left"/>
              <w:rPr>
                <w:rFonts w:ascii="Times New Roman" w:hAnsi="Times New Roman" w:cs="Times New Roman" w:eastAsia="Times New Roman" w:hint="default"/>
                <w:sz w:val="18"/>
                <w:szCs w:val="18"/>
              </w:rPr>
            </w:pPr>
            <w:r>
              <w:rPr>
                <w:rFonts w:ascii="Times New Roman"/>
                <w:sz w:val="18"/>
              </w:rPr>
              <w:t>10,643</w:t>
            </w:r>
          </w:p>
        </w:tc>
        <w:tc>
          <w:tcPr>
            <w:tcW w:w="1483" w:type="dxa"/>
            <w:gridSpan w:val="2"/>
            <w:vMerge w:val="restart"/>
            <w:tcBorders>
              <w:top w:val="single" w:sz="4" w:space="0" w:color="000000"/>
              <w:left w:val="single" w:sz="4" w:space="0" w:color="000000"/>
              <w:right w:val="single" w:sz="4" w:space="0" w:color="000000"/>
            </w:tcBorders>
            <w:shd w:val="clear" w:color="auto" w:fill="D2D2D2"/>
          </w:tcPr>
          <w:p>
            <w:pPr/>
          </w:p>
        </w:tc>
        <w:tc>
          <w:tcPr>
            <w:tcW w:w="1174" w:type="dxa"/>
            <w:gridSpan w:val="2"/>
            <w:vMerge w:val="restart"/>
            <w:tcBorders>
              <w:top w:val="single" w:sz="4" w:space="0" w:color="000000"/>
              <w:left w:val="single" w:sz="9"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629" w:right="0"/>
              <w:jc w:val="left"/>
              <w:rPr>
                <w:rFonts w:ascii="Times New Roman" w:hAnsi="Times New Roman" w:cs="Times New Roman" w:eastAsia="Times New Roman" w:hint="default"/>
                <w:sz w:val="18"/>
                <w:szCs w:val="18"/>
              </w:rPr>
            </w:pPr>
            <w:r>
              <w:rPr>
                <w:rFonts w:ascii="Times New Roman"/>
                <w:sz w:val="18"/>
              </w:rPr>
              <w:t>10,256</w:t>
            </w:r>
          </w:p>
        </w:tc>
        <w:tc>
          <w:tcPr>
            <w:tcW w:w="1268"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125" w:type="dxa"/>
            <w:gridSpan w:val="2"/>
            <w:vMerge w:val="restart"/>
            <w:tcBorders>
              <w:top w:val="single" w:sz="4" w:space="0" w:color="000000"/>
              <w:left w:val="single" w:sz="10" w:space="0" w:color="D2D2D2"/>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0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11" w:right="22"/>
              <w:jc w:val="both"/>
              <w:rPr>
                <w:rFonts w:ascii="宋体" w:hAnsi="宋体" w:cs="宋体" w:eastAsia="宋体" w:hint="default"/>
                <w:sz w:val="18"/>
                <w:szCs w:val="18"/>
              </w:rPr>
            </w:pPr>
            <w:r>
              <w:rPr>
                <w:rFonts w:ascii="宋体" w:hAnsi="宋体" w:cs="宋体" w:eastAsia="宋体" w:hint="default"/>
                <w:sz w:val="18"/>
                <w:szCs w:val="18"/>
              </w:rPr>
              <w:t>年度报告披露日 前上一月末表决 权恢复的优先股 股东总数</w:t>
            </w:r>
          </w:p>
          <w:p>
            <w:pPr>
              <w:pStyle w:val="TableParagraph"/>
              <w:spacing w:line="240" w:lineRule="auto" w:before="20"/>
              <w:ind w:left="11" w:right="0"/>
              <w:jc w:val="both"/>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513" w:type="dxa"/>
            <w:tcBorders>
              <w:top w:val="single" w:sz="4" w:space="0" w:color="000000"/>
              <w:left w:val="single" w:sz="13" w:space="0" w:color="D2D2D2"/>
              <w:bottom w:val="nil" w:sz="6" w:space="0" w:color="auto"/>
              <w:right w:val="nil" w:sz="6" w:space="0" w:color="auto"/>
            </w:tcBorders>
          </w:tcPr>
          <w:p>
            <w:pPr/>
          </w:p>
        </w:tc>
        <w:tc>
          <w:tcPr>
            <w:tcW w:w="558" w:type="dxa"/>
            <w:tcBorders>
              <w:top w:val="single" w:sz="4" w:space="0" w:color="000000"/>
              <w:left w:val="nil" w:sz="6" w:space="0" w:color="auto"/>
              <w:bottom w:val="nil" w:sz="6" w:space="0" w:color="auto"/>
              <w:right w:val="single" w:sz="4" w:space="0" w:color="000000"/>
            </w:tcBorders>
          </w:tcPr>
          <w:p>
            <w:pPr/>
          </w:p>
        </w:tc>
      </w:tr>
      <w:tr>
        <w:trPr>
          <w:trHeight w:val="156" w:hRule="exact"/>
        </w:trPr>
        <w:tc>
          <w:tcPr>
            <w:tcW w:w="1335" w:type="dxa"/>
            <w:vMerge/>
            <w:tcBorders>
              <w:left w:val="single" w:sz="4" w:space="0" w:color="000000"/>
              <w:right w:val="single" w:sz="4" w:space="0" w:color="000000"/>
            </w:tcBorders>
            <w:shd w:val="clear" w:color="auto" w:fill="D2D2D2"/>
          </w:tcPr>
          <w:p>
            <w:pPr/>
          </w:p>
        </w:tc>
        <w:tc>
          <w:tcPr>
            <w:tcW w:w="807" w:type="dxa"/>
            <w:gridSpan w:val="2"/>
            <w:vMerge/>
            <w:tcBorders>
              <w:left w:val="single" w:sz="9" w:space="0" w:color="D2D2D2"/>
              <w:right w:val="single" w:sz="9" w:space="0" w:color="D2D2D2"/>
            </w:tcBorders>
          </w:tcPr>
          <w:p>
            <w:pPr/>
          </w:p>
        </w:tc>
        <w:tc>
          <w:tcPr>
            <w:tcW w:w="1483" w:type="dxa"/>
            <w:gridSpan w:val="2"/>
            <w:vMerge/>
            <w:tcBorders>
              <w:left w:val="single" w:sz="4" w:space="0" w:color="000000"/>
              <w:bottom w:val="nil" w:sz="6" w:space="0" w:color="auto"/>
              <w:right w:val="single" w:sz="4" w:space="0" w:color="000000"/>
            </w:tcBorders>
            <w:shd w:val="clear" w:color="auto" w:fill="D2D2D2"/>
          </w:tcPr>
          <w:p>
            <w:pPr/>
          </w:p>
        </w:tc>
        <w:tc>
          <w:tcPr>
            <w:tcW w:w="1174" w:type="dxa"/>
            <w:gridSpan w:val="2"/>
            <w:vMerge/>
            <w:tcBorders>
              <w:left w:val="single" w:sz="9" w:space="0" w:color="D2D2D2"/>
              <w:right w:val="single" w:sz="9" w:space="0" w:color="D2D2D2"/>
            </w:tcBorders>
          </w:tcPr>
          <w:p>
            <w:pPr/>
          </w:p>
        </w:tc>
        <w:tc>
          <w:tcPr>
            <w:tcW w:w="1268"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1" w:right="-13"/>
              <w:jc w:val="both"/>
              <w:rPr>
                <w:rFonts w:ascii="宋体" w:hAnsi="宋体" w:cs="宋体" w:eastAsia="宋体" w:hint="default"/>
                <w:sz w:val="18"/>
                <w:szCs w:val="18"/>
              </w:rPr>
            </w:pPr>
            <w:r>
              <w:rPr>
                <w:rFonts w:ascii="宋体" w:hAnsi="宋体" w:cs="宋体" w:eastAsia="宋体" w:hint="default"/>
                <w:sz w:val="18"/>
                <w:szCs w:val="18"/>
              </w:rPr>
              <w:t>报告期末表决权 恢复的优先股股 东总数（如有）</w:t>
            </w:r>
          </w:p>
          <w:p>
            <w:pPr>
              <w:pStyle w:val="TableParagraph"/>
              <w:spacing w:line="240" w:lineRule="auto" w:before="20"/>
              <w:ind w:left="11" w:right="0"/>
              <w:jc w:val="both"/>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1125" w:type="dxa"/>
            <w:gridSpan w:val="2"/>
            <w:vMerge/>
            <w:tcBorders>
              <w:left w:val="single" w:sz="10" w:space="0" w:color="D2D2D2"/>
              <w:right w:val="single" w:sz="13" w:space="0" w:color="D2D2D2"/>
            </w:tcBorders>
          </w:tcPr>
          <w:p>
            <w:pPr/>
          </w:p>
        </w:tc>
        <w:tc>
          <w:tcPr>
            <w:tcW w:w="1306" w:type="dxa"/>
            <w:gridSpan w:val="2"/>
            <w:vMerge/>
            <w:tcBorders>
              <w:left w:val="single" w:sz="4" w:space="0" w:color="000000"/>
              <w:right w:val="single" w:sz="4" w:space="0" w:color="000000"/>
            </w:tcBorders>
            <w:shd w:val="clear" w:color="auto" w:fill="D2D2D2"/>
          </w:tcPr>
          <w:p>
            <w:pPr/>
          </w:p>
        </w:tc>
        <w:tc>
          <w:tcPr>
            <w:tcW w:w="513" w:type="dxa"/>
            <w:vMerge w:val="restart"/>
            <w:tcBorders>
              <w:top w:val="nil" w:sz="6" w:space="0" w:color="auto"/>
              <w:left w:val="single" w:sz="13" w:space="0" w:color="D2D2D2"/>
              <w:right w:val="nil" w:sz="6" w:space="0" w:color="auto"/>
            </w:tcBorders>
          </w:tcPr>
          <w:p>
            <w:pPr/>
          </w:p>
        </w:tc>
        <w:tc>
          <w:tcPr>
            <w:tcW w:w="558" w:type="dxa"/>
            <w:tcBorders>
              <w:top w:val="nil" w:sz="6" w:space="0" w:color="auto"/>
              <w:left w:val="nil" w:sz="6" w:space="0" w:color="auto"/>
              <w:bottom w:val="nil" w:sz="6" w:space="0" w:color="auto"/>
              <w:right w:val="single" w:sz="4" w:space="0" w:color="000000"/>
            </w:tcBorders>
          </w:tcPr>
          <w:p>
            <w:pPr/>
          </w:p>
        </w:tc>
      </w:tr>
      <w:tr>
        <w:trPr>
          <w:trHeight w:val="156" w:hRule="exact"/>
        </w:trPr>
        <w:tc>
          <w:tcPr>
            <w:tcW w:w="1335" w:type="dxa"/>
            <w:vMerge/>
            <w:tcBorders>
              <w:left w:val="single" w:sz="4" w:space="0" w:color="000000"/>
              <w:bottom w:val="nil" w:sz="6" w:space="0" w:color="auto"/>
              <w:right w:val="single" w:sz="4" w:space="0" w:color="000000"/>
            </w:tcBorders>
            <w:shd w:val="clear" w:color="auto" w:fill="D2D2D2"/>
          </w:tcPr>
          <w:p>
            <w:pPr/>
          </w:p>
        </w:tc>
        <w:tc>
          <w:tcPr>
            <w:tcW w:w="807" w:type="dxa"/>
            <w:gridSpan w:val="2"/>
            <w:vMerge/>
            <w:tcBorders>
              <w:left w:val="single" w:sz="9" w:space="0" w:color="D2D2D2"/>
              <w:right w:val="single" w:sz="9" w:space="0" w:color="D2D2D2"/>
            </w:tcBorders>
          </w:tcPr>
          <w:p>
            <w:pPr/>
          </w:p>
        </w:tc>
        <w:tc>
          <w:tcPr>
            <w:tcW w:w="1483"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1" w:right="199"/>
              <w:jc w:val="both"/>
              <w:rPr>
                <w:rFonts w:ascii="宋体" w:hAnsi="宋体" w:cs="宋体" w:eastAsia="宋体" w:hint="default"/>
                <w:sz w:val="18"/>
                <w:szCs w:val="18"/>
              </w:rPr>
            </w:pPr>
            <w:r>
              <w:rPr>
                <w:rFonts w:ascii="宋体" w:hAnsi="宋体" w:cs="宋体" w:eastAsia="宋体" w:hint="default"/>
                <w:sz w:val="18"/>
                <w:szCs w:val="18"/>
              </w:rPr>
              <w:t>年度报告披露日 前上一月末普通 股股东总数</w:t>
            </w:r>
          </w:p>
        </w:tc>
        <w:tc>
          <w:tcPr>
            <w:tcW w:w="1174" w:type="dxa"/>
            <w:gridSpan w:val="2"/>
            <w:vMerge/>
            <w:tcBorders>
              <w:left w:val="single" w:sz="9" w:space="0" w:color="D2D2D2"/>
              <w:right w:val="single" w:sz="9" w:space="0" w:color="D2D2D2"/>
            </w:tcBorders>
          </w:tcPr>
          <w:p>
            <w:pPr/>
          </w:p>
        </w:tc>
        <w:tc>
          <w:tcPr>
            <w:tcW w:w="1268" w:type="dxa"/>
            <w:gridSpan w:val="2"/>
            <w:vMerge/>
            <w:tcBorders>
              <w:left w:val="single" w:sz="4" w:space="0" w:color="000000"/>
              <w:right w:val="single" w:sz="4" w:space="0" w:color="000000"/>
            </w:tcBorders>
            <w:shd w:val="clear" w:color="auto" w:fill="D2D2D2"/>
          </w:tcPr>
          <w:p>
            <w:pPr/>
          </w:p>
        </w:tc>
        <w:tc>
          <w:tcPr>
            <w:tcW w:w="1125" w:type="dxa"/>
            <w:gridSpan w:val="2"/>
            <w:vMerge/>
            <w:tcBorders>
              <w:left w:val="single" w:sz="10" w:space="0" w:color="D2D2D2"/>
              <w:right w:val="single" w:sz="13" w:space="0" w:color="D2D2D2"/>
            </w:tcBorders>
          </w:tcPr>
          <w:p>
            <w:pPr/>
          </w:p>
        </w:tc>
        <w:tc>
          <w:tcPr>
            <w:tcW w:w="1306" w:type="dxa"/>
            <w:gridSpan w:val="2"/>
            <w:vMerge/>
            <w:tcBorders>
              <w:left w:val="single" w:sz="4" w:space="0" w:color="000000"/>
              <w:right w:val="single" w:sz="4" w:space="0" w:color="000000"/>
            </w:tcBorders>
            <w:shd w:val="clear" w:color="auto" w:fill="D2D2D2"/>
          </w:tcPr>
          <w:p>
            <w:pPr/>
          </w:p>
        </w:tc>
        <w:tc>
          <w:tcPr>
            <w:tcW w:w="513" w:type="dxa"/>
            <w:vMerge/>
            <w:tcBorders>
              <w:left w:val="single" w:sz="13" w:space="0" w:color="D2D2D2"/>
              <w:right w:val="nil" w:sz="6" w:space="0" w:color="auto"/>
            </w:tcBorders>
          </w:tcPr>
          <w:p>
            <w:pPr/>
          </w:p>
        </w:tc>
        <w:tc>
          <w:tcPr>
            <w:tcW w:w="558" w:type="dxa"/>
            <w:tcBorders>
              <w:top w:val="nil" w:sz="6" w:space="0" w:color="auto"/>
              <w:left w:val="nil" w:sz="6" w:space="0" w:color="auto"/>
              <w:bottom w:val="nil" w:sz="6" w:space="0" w:color="auto"/>
              <w:right w:val="single" w:sz="4" w:space="0" w:color="000000"/>
            </w:tcBorders>
          </w:tcPr>
          <w:p>
            <w:pPr/>
          </w:p>
        </w:tc>
      </w:tr>
      <w:tr>
        <w:trPr>
          <w:trHeight w:val="703" w:hRule="exact"/>
        </w:trPr>
        <w:tc>
          <w:tcPr>
            <w:tcW w:w="133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1"/>
              <w:ind w:left="22" w:right="40"/>
              <w:jc w:val="left"/>
              <w:rPr>
                <w:rFonts w:ascii="宋体" w:hAnsi="宋体" w:cs="宋体" w:eastAsia="宋体" w:hint="default"/>
                <w:sz w:val="18"/>
                <w:szCs w:val="18"/>
              </w:rPr>
            </w:pPr>
            <w:r>
              <w:rPr>
                <w:rFonts w:ascii="宋体" w:hAnsi="宋体" w:cs="宋体" w:eastAsia="宋体" w:hint="default"/>
                <w:sz w:val="18"/>
                <w:szCs w:val="18"/>
              </w:rPr>
              <w:t>报告期末普通股 股东总数</w:t>
            </w:r>
          </w:p>
        </w:tc>
        <w:tc>
          <w:tcPr>
            <w:tcW w:w="807" w:type="dxa"/>
            <w:gridSpan w:val="2"/>
            <w:vMerge/>
            <w:tcBorders>
              <w:left w:val="single" w:sz="9" w:space="0" w:color="D2D2D2"/>
              <w:right w:val="single" w:sz="9" w:space="0" w:color="D2D2D2"/>
            </w:tcBorders>
          </w:tcPr>
          <w:p>
            <w:pPr/>
          </w:p>
        </w:tc>
        <w:tc>
          <w:tcPr>
            <w:tcW w:w="1483" w:type="dxa"/>
            <w:gridSpan w:val="2"/>
            <w:vMerge/>
            <w:tcBorders>
              <w:left w:val="single" w:sz="4" w:space="0" w:color="000000"/>
              <w:right w:val="single" w:sz="4" w:space="0" w:color="000000"/>
            </w:tcBorders>
            <w:shd w:val="clear" w:color="auto" w:fill="D2D2D2"/>
          </w:tcPr>
          <w:p>
            <w:pPr/>
          </w:p>
        </w:tc>
        <w:tc>
          <w:tcPr>
            <w:tcW w:w="1174" w:type="dxa"/>
            <w:gridSpan w:val="2"/>
            <w:vMerge/>
            <w:tcBorders>
              <w:left w:val="single" w:sz="9" w:space="0" w:color="D2D2D2"/>
              <w:right w:val="single" w:sz="9" w:space="0" w:color="D2D2D2"/>
            </w:tcBorders>
          </w:tcPr>
          <w:p>
            <w:pPr/>
          </w:p>
        </w:tc>
        <w:tc>
          <w:tcPr>
            <w:tcW w:w="1268" w:type="dxa"/>
            <w:gridSpan w:val="2"/>
            <w:vMerge/>
            <w:tcBorders>
              <w:left w:val="single" w:sz="4" w:space="0" w:color="000000"/>
              <w:right w:val="single" w:sz="4" w:space="0" w:color="000000"/>
            </w:tcBorders>
            <w:shd w:val="clear" w:color="auto" w:fill="D2D2D2"/>
          </w:tcPr>
          <w:p>
            <w:pPr/>
          </w:p>
        </w:tc>
        <w:tc>
          <w:tcPr>
            <w:tcW w:w="1125" w:type="dxa"/>
            <w:gridSpan w:val="2"/>
            <w:vMerge/>
            <w:tcBorders>
              <w:left w:val="single" w:sz="10" w:space="0" w:color="D2D2D2"/>
              <w:right w:val="single" w:sz="13" w:space="0" w:color="D2D2D2"/>
            </w:tcBorders>
          </w:tcPr>
          <w:p>
            <w:pPr/>
          </w:p>
        </w:tc>
        <w:tc>
          <w:tcPr>
            <w:tcW w:w="1306" w:type="dxa"/>
            <w:gridSpan w:val="2"/>
            <w:vMerge/>
            <w:tcBorders>
              <w:left w:val="single" w:sz="4" w:space="0" w:color="000000"/>
              <w:right w:val="single" w:sz="4" w:space="0" w:color="000000"/>
            </w:tcBorders>
            <w:shd w:val="clear" w:color="auto" w:fill="D2D2D2"/>
          </w:tcPr>
          <w:p>
            <w:pPr/>
          </w:p>
        </w:tc>
        <w:tc>
          <w:tcPr>
            <w:tcW w:w="513" w:type="dxa"/>
            <w:vMerge/>
            <w:tcBorders>
              <w:left w:val="single" w:sz="13" w:space="0" w:color="D2D2D2"/>
              <w:right w:val="nil" w:sz="6" w:space="0" w:color="auto"/>
            </w:tcBorders>
          </w:tcPr>
          <w:p>
            <w:pPr/>
          </w:p>
        </w:tc>
        <w:tc>
          <w:tcPr>
            <w:tcW w:w="558" w:type="dxa"/>
            <w:tcBorders>
              <w:top w:val="nil" w:sz="6" w:space="0" w:color="auto"/>
              <w:left w:val="nil" w:sz="6" w:space="0" w:color="auto"/>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56" w:hRule="exact"/>
        </w:trPr>
        <w:tc>
          <w:tcPr>
            <w:tcW w:w="1335" w:type="dxa"/>
            <w:vMerge w:val="restart"/>
            <w:tcBorders>
              <w:top w:val="nil" w:sz="6" w:space="0" w:color="auto"/>
              <w:left w:val="single" w:sz="4" w:space="0" w:color="000000"/>
              <w:right w:val="single" w:sz="4" w:space="0" w:color="000000"/>
            </w:tcBorders>
            <w:shd w:val="clear" w:color="auto" w:fill="D2D2D2"/>
          </w:tcPr>
          <w:p>
            <w:pPr/>
          </w:p>
        </w:tc>
        <w:tc>
          <w:tcPr>
            <w:tcW w:w="807" w:type="dxa"/>
            <w:gridSpan w:val="2"/>
            <w:vMerge/>
            <w:tcBorders>
              <w:left w:val="single" w:sz="9" w:space="0" w:color="D2D2D2"/>
              <w:right w:val="single" w:sz="9" w:space="0" w:color="D2D2D2"/>
            </w:tcBorders>
          </w:tcPr>
          <w:p>
            <w:pPr/>
          </w:p>
        </w:tc>
        <w:tc>
          <w:tcPr>
            <w:tcW w:w="1483" w:type="dxa"/>
            <w:gridSpan w:val="2"/>
            <w:vMerge/>
            <w:tcBorders>
              <w:left w:val="single" w:sz="4" w:space="0" w:color="000000"/>
              <w:bottom w:val="nil" w:sz="6" w:space="0" w:color="auto"/>
              <w:right w:val="single" w:sz="4" w:space="0" w:color="000000"/>
            </w:tcBorders>
            <w:shd w:val="clear" w:color="auto" w:fill="D2D2D2"/>
          </w:tcPr>
          <w:p>
            <w:pPr/>
          </w:p>
        </w:tc>
        <w:tc>
          <w:tcPr>
            <w:tcW w:w="1174" w:type="dxa"/>
            <w:gridSpan w:val="2"/>
            <w:vMerge/>
            <w:tcBorders>
              <w:left w:val="single" w:sz="9" w:space="0" w:color="D2D2D2"/>
              <w:right w:val="single" w:sz="9" w:space="0" w:color="D2D2D2"/>
            </w:tcBorders>
          </w:tcPr>
          <w:p>
            <w:pPr/>
          </w:p>
        </w:tc>
        <w:tc>
          <w:tcPr>
            <w:tcW w:w="1268" w:type="dxa"/>
            <w:gridSpan w:val="2"/>
            <w:vMerge/>
            <w:tcBorders>
              <w:left w:val="single" w:sz="4" w:space="0" w:color="000000"/>
              <w:right w:val="single" w:sz="4" w:space="0" w:color="000000"/>
            </w:tcBorders>
            <w:shd w:val="clear" w:color="auto" w:fill="D2D2D2"/>
          </w:tcPr>
          <w:p>
            <w:pPr/>
          </w:p>
        </w:tc>
        <w:tc>
          <w:tcPr>
            <w:tcW w:w="1125" w:type="dxa"/>
            <w:gridSpan w:val="2"/>
            <w:vMerge/>
            <w:tcBorders>
              <w:left w:val="single" w:sz="10" w:space="0" w:color="D2D2D2"/>
              <w:right w:val="single" w:sz="13" w:space="0" w:color="D2D2D2"/>
            </w:tcBorders>
          </w:tcPr>
          <w:p>
            <w:pPr/>
          </w:p>
        </w:tc>
        <w:tc>
          <w:tcPr>
            <w:tcW w:w="1306" w:type="dxa"/>
            <w:gridSpan w:val="2"/>
            <w:vMerge/>
            <w:tcBorders>
              <w:left w:val="single" w:sz="4" w:space="0" w:color="000000"/>
              <w:right w:val="single" w:sz="4" w:space="0" w:color="000000"/>
            </w:tcBorders>
            <w:shd w:val="clear" w:color="auto" w:fill="D2D2D2"/>
          </w:tcPr>
          <w:p>
            <w:pPr/>
          </w:p>
        </w:tc>
        <w:tc>
          <w:tcPr>
            <w:tcW w:w="513" w:type="dxa"/>
            <w:vMerge/>
            <w:tcBorders>
              <w:left w:val="single" w:sz="13" w:space="0" w:color="D2D2D2"/>
              <w:right w:val="nil" w:sz="6" w:space="0" w:color="auto"/>
            </w:tcBorders>
          </w:tcPr>
          <w:p>
            <w:pPr/>
          </w:p>
        </w:tc>
        <w:tc>
          <w:tcPr>
            <w:tcW w:w="558" w:type="dxa"/>
            <w:tcBorders>
              <w:top w:val="nil" w:sz="6" w:space="0" w:color="auto"/>
              <w:left w:val="nil" w:sz="6" w:space="0" w:color="auto"/>
              <w:bottom w:val="nil" w:sz="6" w:space="0" w:color="auto"/>
              <w:right w:val="single" w:sz="4" w:space="0" w:color="000000"/>
            </w:tcBorders>
          </w:tcPr>
          <w:p>
            <w:pPr/>
          </w:p>
        </w:tc>
      </w:tr>
      <w:tr>
        <w:trPr>
          <w:trHeight w:val="156" w:hRule="exact"/>
        </w:trPr>
        <w:tc>
          <w:tcPr>
            <w:tcW w:w="1335" w:type="dxa"/>
            <w:vMerge/>
            <w:tcBorders>
              <w:left w:val="single" w:sz="4" w:space="0" w:color="000000"/>
              <w:right w:val="single" w:sz="4" w:space="0" w:color="000000"/>
            </w:tcBorders>
            <w:shd w:val="clear" w:color="auto" w:fill="D2D2D2"/>
          </w:tcPr>
          <w:p>
            <w:pPr/>
          </w:p>
        </w:tc>
        <w:tc>
          <w:tcPr>
            <w:tcW w:w="807" w:type="dxa"/>
            <w:gridSpan w:val="2"/>
            <w:vMerge/>
            <w:tcBorders>
              <w:left w:val="single" w:sz="9" w:space="0" w:color="D2D2D2"/>
              <w:right w:val="single" w:sz="9" w:space="0" w:color="D2D2D2"/>
            </w:tcBorders>
          </w:tcPr>
          <w:p>
            <w:pPr/>
          </w:p>
        </w:tc>
        <w:tc>
          <w:tcPr>
            <w:tcW w:w="1483" w:type="dxa"/>
            <w:gridSpan w:val="2"/>
            <w:vMerge w:val="restart"/>
            <w:tcBorders>
              <w:top w:val="nil" w:sz="6" w:space="0" w:color="auto"/>
              <w:left w:val="single" w:sz="4" w:space="0" w:color="000000"/>
              <w:right w:val="single" w:sz="4" w:space="0" w:color="000000"/>
            </w:tcBorders>
            <w:shd w:val="clear" w:color="auto" w:fill="D2D2D2"/>
          </w:tcPr>
          <w:p>
            <w:pPr/>
          </w:p>
        </w:tc>
        <w:tc>
          <w:tcPr>
            <w:tcW w:w="1174" w:type="dxa"/>
            <w:gridSpan w:val="2"/>
            <w:vMerge/>
            <w:tcBorders>
              <w:left w:val="single" w:sz="9" w:space="0" w:color="D2D2D2"/>
              <w:right w:val="single" w:sz="9" w:space="0" w:color="D2D2D2"/>
            </w:tcBorders>
          </w:tcPr>
          <w:p>
            <w:pPr/>
          </w:p>
        </w:tc>
        <w:tc>
          <w:tcPr>
            <w:tcW w:w="1268" w:type="dxa"/>
            <w:gridSpan w:val="2"/>
            <w:vMerge/>
            <w:tcBorders>
              <w:left w:val="single" w:sz="4" w:space="0" w:color="000000"/>
              <w:bottom w:val="nil" w:sz="6" w:space="0" w:color="auto"/>
              <w:right w:val="single" w:sz="4" w:space="0" w:color="000000"/>
            </w:tcBorders>
            <w:shd w:val="clear" w:color="auto" w:fill="D2D2D2"/>
          </w:tcPr>
          <w:p>
            <w:pPr/>
          </w:p>
        </w:tc>
        <w:tc>
          <w:tcPr>
            <w:tcW w:w="1125" w:type="dxa"/>
            <w:gridSpan w:val="2"/>
            <w:vMerge/>
            <w:tcBorders>
              <w:left w:val="single" w:sz="10" w:space="0" w:color="D2D2D2"/>
              <w:right w:val="single" w:sz="13" w:space="0" w:color="D2D2D2"/>
            </w:tcBorders>
          </w:tcPr>
          <w:p>
            <w:pPr/>
          </w:p>
        </w:tc>
        <w:tc>
          <w:tcPr>
            <w:tcW w:w="1306" w:type="dxa"/>
            <w:gridSpan w:val="2"/>
            <w:vMerge/>
            <w:tcBorders>
              <w:left w:val="single" w:sz="4" w:space="0" w:color="000000"/>
              <w:right w:val="single" w:sz="4" w:space="0" w:color="000000"/>
            </w:tcBorders>
            <w:shd w:val="clear" w:color="auto" w:fill="D2D2D2"/>
          </w:tcPr>
          <w:p>
            <w:pPr/>
          </w:p>
        </w:tc>
        <w:tc>
          <w:tcPr>
            <w:tcW w:w="513" w:type="dxa"/>
            <w:vMerge/>
            <w:tcBorders>
              <w:left w:val="single" w:sz="13" w:space="0" w:color="D2D2D2"/>
              <w:right w:val="nil" w:sz="6" w:space="0" w:color="auto"/>
            </w:tcBorders>
          </w:tcPr>
          <w:p>
            <w:pPr/>
          </w:p>
        </w:tc>
        <w:tc>
          <w:tcPr>
            <w:tcW w:w="558" w:type="dxa"/>
            <w:tcBorders>
              <w:top w:val="nil" w:sz="6" w:space="0" w:color="auto"/>
              <w:left w:val="nil" w:sz="6" w:space="0" w:color="auto"/>
              <w:bottom w:val="nil" w:sz="6" w:space="0" w:color="auto"/>
              <w:right w:val="single" w:sz="4" w:space="0" w:color="000000"/>
            </w:tcBorders>
          </w:tcPr>
          <w:p>
            <w:pPr/>
          </w:p>
        </w:tc>
      </w:tr>
      <w:tr>
        <w:trPr>
          <w:trHeight w:val="167" w:hRule="exact"/>
        </w:trPr>
        <w:tc>
          <w:tcPr>
            <w:tcW w:w="1335" w:type="dxa"/>
            <w:vMerge/>
            <w:tcBorders>
              <w:left w:val="single" w:sz="4" w:space="0" w:color="000000"/>
              <w:bottom w:val="single" w:sz="4" w:space="0" w:color="000000"/>
              <w:right w:val="single" w:sz="4" w:space="0" w:color="000000"/>
            </w:tcBorders>
            <w:shd w:val="clear" w:color="auto" w:fill="D2D2D2"/>
          </w:tcPr>
          <w:p>
            <w:pPr/>
          </w:p>
        </w:tc>
        <w:tc>
          <w:tcPr>
            <w:tcW w:w="807" w:type="dxa"/>
            <w:gridSpan w:val="2"/>
            <w:vMerge/>
            <w:tcBorders>
              <w:left w:val="single" w:sz="9" w:space="0" w:color="D2D2D2"/>
              <w:bottom w:val="single" w:sz="4" w:space="0" w:color="000000"/>
              <w:right w:val="single" w:sz="9" w:space="0" w:color="D2D2D2"/>
            </w:tcBorders>
          </w:tcPr>
          <w:p>
            <w:pPr/>
          </w:p>
        </w:tc>
        <w:tc>
          <w:tcPr>
            <w:tcW w:w="1483" w:type="dxa"/>
            <w:gridSpan w:val="2"/>
            <w:vMerge/>
            <w:tcBorders>
              <w:left w:val="single" w:sz="4" w:space="0" w:color="000000"/>
              <w:bottom w:val="single" w:sz="4" w:space="0" w:color="000000"/>
              <w:right w:val="single" w:sz="4" w:space="0" w:color="000000"/>
            </w:tcBorders>
            <w:shd w:val="clear" w:color="auto" w:fill="D2D2D2"/>
          </w:tcPr>
          <w:p>
            <w:pPr/>
          </w:p>
        </w:tc>
        <w:tc>
          <w:tcPr>
            <w:tcW w:w="1174" w:type="dxa"/>
            <w:gridSpan w:val="2"/>
            <w:vMerge/>
            <w:tcBorders>
              <w:left w:val="single" w:sz="9" w:space="0" w:color="D2D2D2"/>
              <w:bottom w:val="single" w:sz="4" w:space="0" w:color="000000"/>
              <w:right w:val="single" w:sz="9" w:space="0" w:color="D2D2D2"/>
            </w:tcBorders>
          </w:tcPr>
          <w:p>
            <w:pPr/>
          </w:p>
        </w:tc>
        <w:tc>
          <w:tcPr>
            <w:tcW w:w="1268"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125" w:type="dxa"/>
            <w:gridSpan w:val="2"/>
            <w:vMerge/>
            <w:tcBorders>
              <w:left w:val="single" w:sz="10" w:space="0" w:color="D2D2D2"/>
              <w:bottom w:val="single" w:sz="4" w:space="0" w:color="000000"/>
              <w:right w:val="single" w:sz="13" w:space="0" w:color="D2D2D2"/>
            </w:tcBorders>
          </w:tcPr>
          <w:p>
            <w:pPr/>
          </w:p>
        </w:tc>
        <w:tc>
          <w:tcPr>
            <w:tcW w:w="1306" w:type="dxa"/>
            <w:gridSpan w:val="2"/>
            <w:vMerge/>
            <w:tcBorders>
              <w:left w:val="single" w:sz="4" w:space="0" w:color="000000"/>
              <w:bottom w:val="single" w:sz="4" w:space="0" w:color="000000"/>
              <w:right w:val="single" w:sz="4" w:space="0" w:color="000000"/>
            </w:tcBorders>
            <w:shd w:val="clear" w:color="auto" w:fill="D2D2D2"/>
          </w:tcPr>
          <w:p>
            <w:pPr/>
          </w:p>
        </w:tc>
        <w:tc>
          <w:tcPr>
            <w:tcW w:w="513" w:type="dxa"/>
            <w:vMerge/>
            <w:tcBorders>
              <w:left w:val="single" w:sz="13" w:space="0" w:color="D2D2D2"/>
              <w:bottom w:val="single" w:sz="4" w:space="0" w:color="000000"/>
              <w:right w:val="nil" w:sz="6" w:space="0" w:color="auto"/>
            </w:tcBorders>
          </w:tcPr>
          <w:p>
            <w:pPr/>
          </w:p>
        </w:tc>
        <w:tc>
          <w:tcPr>
            <w:tcW w:w="558" w:type="dxa"/>
            <w:tcBorders>
              <w:top w:val="nil" w:sz="6" w:space="0" w:color="auto"/>
              <w:left w:val="nil" w:sz="6" w:space="0" w:color="auto"/>
              <w:bottom w:val="single" w:sz="4" w:space="0" w:color="000000"/>
              <w:right w:val="single" w:sz="4" w:space="0" w:color="000000"/>
            </w:tcBorders>
          </w:tcPr>
          <w:p>
            <w:pPr/>
          </w:p>
        </w:tc>
      </w:tr>
      <w:tr>
        <w:trPr>
          <w:trHeight w:val="391" w:hRule="exact"/>
        </w:trPr>
        <w:tc>
          <w:tcPr>
            <w:tcW w:w="9569" w:type="dxa"/>
            <w:gridSpan w:val="1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3061"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167" w:hRule="exact"/>
        </w:trPr>
        <w:tc>
          <w:tcPr>
            <w:tcW w:w="1469" w:type="dxa"/>
            <w:gridSpan w:val="2"/>
            <w:vMerge w:val="restart"/>
            <w:tcBorders>
              <w:top w:val="single" w:sz="4" w:space="0" w:color="000000"/>
              <w:left w:val="single" w:sz="4" w:space="0" w:color="000000"/>
              <w:right w:val="single" w:sz="4" w:space="0" w:color="000000"/>
            </w:tcBorders>
            <w:shd w:val="clear" w:color="auto" w:fill="D2D2D2"/>
          </w:tcPr>
          <w:p>
            <w:pPr/>
          </w:p>
        </w:tc>
        <w:tc>
          <w:tcPr>
            <w:tcW w:w="1411" w:type="dxa"/>
            <w:gridSpan w:val="2"/>
            <w:vMerge w:val="restart"/>
            <w:tcBorders>
              <w:top w:val="single" w:sz="4" w:space="0" w:color="000000"/>
              <w:left w:val="single" w:sz="4" w:space="0" w:color="000000"/>
              <w:right w:val="single" w:sz="4" w:space="0" w:color="000000"/>
            </w:tcBorders>
            <w:shd w:val="clear" w:color="auto" w:fill="D2D2D2"/>
          </w:tcPr>
          <w:p>
            <w:pPr/>
          </w:p>
        </w:tc>
        <w:tc>
          <w:tcPr>
            <w:tcW w:w="744" w:type="dxa"/>
            <w:vMerge w:val="restart"/>
            <w:tcBorders>
              <w:top w:val="single" w:sz="4" w:space="0" w:color="000000"/>
              <w:left w:val="single" w:sz="4" w:space="0" w:color="000000"/>
              <w:right w:val="single" w:sz="4" w:space="0" w:color="FFFFFF"/>
            </w:tcBorders>
            <w:shd w:val="clear" w:color="auto" w:fill="D2D2D2"/>
          </w:tcPr>
          <w:p>
            <w:pPr/>
          </w:p>
        </w:tc>
        <w:tc>
          <w:tcPr>
            <w:tcW w:w="831" w:type="dxa"/>
            <w:tcBorders>
              <w:top w:val="single" w:sz="4" w:space="0" w:color="000000"/>
              <w:left w:val="single" w:sz="4" w:space="0" w:color="FFFFFF"/>
              <w:bottom w:val="nil" w:sz="6" w:space="0" w:color="auto"/>
              <w:right w:val="single" w:sz="4" w:space="0" w:color="000000"/>
            </w:tcBorders>
            <w:shd w:val="clear" w:color="auto" w:fill="D2D2D2"/>
          </w:tcPr>
          <w:p>
            <w:pPr/>
          </w:p>
        </w:tc>
        <w:tc>
          <w:tcPr>
            <w:tcW w:w="78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7"/>
              <w:ind w:left="28" w:right="29"/>
              <w:jc w:val="center"/>
              <w:rPr>
                <w:rFonts w:ascii="宋体" w:hAnsi="宋体" w:cs="宋体" w:eastAsia="宋体" w:hint="default"/>
                <w:sz w:val="18"/>
                <w:szCs w:val="18"/>
              </w:rPr>
            </w:pPr>
            <w:r>
              <w:rPr>
                <w:rFonts w:ascii="宋体" w:hAnsi="宋体" w:cs="宋体" w:eastAsia="宋体" w:hint="default"/>
                <w:sz w:val="18"/>
                <w:szCs w:val="18"/>
              </w:rPr>
              <w:t>报告期内 增减变动 情况</w:t>
            </w:r>
          </w:p>
        </w:tc>
        <w:tc>
          <w:tcPr>
            <w:tcW w:w="82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7"/>
              <w:ind w:left="27" w:right="64"/>
              <w:jc w:val="both"/>
              <w:rPr>
                <w:rFonts w:ascii="宋体" w:hAnsi="宋体" w:cs="宋体" w:eastAsia="宋体" w:hint="default"/>
                <w:sz w:val="18"/>
                <w:szCs w:val="18"/>
              </w:rPr>
            </w:pPr>
            <w:r>
              <w:rPr>
                <w:rFonts w:ascii="宋体" w:hAnsi="宋体" w:cs="宋体" w:eastAsia="宋体" w:hint="default"/>
                <w:sz w:val="18"/>
                <w:szCs w:val="18"/>
              </w:rPr>
              <w:t>持有有限 售条件的 股份数量</w:t>
            </w:r>
          </w:p>
        </w:tc>
        <w:tc>
          <w:tcPr>
            <w:tcW w:w="80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7"/>
              <w:ind w:left="16" w:right="54"/>
              <w:jc w:val="both"/>
              <w:rPr>
                <w:rFonts w:ascii="宋体" w:hAnsi="宋体" w:cs="宋体" w:eastAsia="宋体" w:hint="default"/>
                <w:sz w:val="18"/>
                <w:szCs w:val="18"/>
              </w:rPr>
            </w:pPr>
            <w:r>
              <w:rPr>
                <w:rFonts w:ascii="宋体" w:hAnsi="宋体" w:cs="宋体" w:eastAsia="宋体" w:hint="default"/>
                <w:sz w:val="18"/>
                <w:szCs w:val="18"/>
              </w:rPr>
              <w:t>持有无限 售条件的 股份数量</w:t>
            </w:r>
          </w:p>
        </w:tc>
        <w:tc>
          <w:tcPr>
            <w:tcW w:w="2699"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7"/>
              <w:ind w:left="714"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56" w:hRule="exact"/>
        </w:trPr>
        <w:tc>
          <w:tcPr>
            <w:tcW w:w="1469" w:type="dxa"/>
            <w:gridSpan w:val="2"/>
            <w:vMerge/>
            <w:tcBorders>
              <w:left w:val="single" w:sz="4" w:space="0" w:color="000000"/>
              <w:bottom w:val="nil" w:sz="6" w:space="0" w:color="auto"/>
              <w:right w:val="single" w:sz="4" w:space="0" w:color="000000"/>
            </w:tcBorders>
            <w:shd w:val="clear" w:color="auto" w:fill="D2D2D2"/>
          </w:tcPr>
          <w:p>
            <w:pPr/>
          </w:p>
        </w:tc>
        <w:tc>
          <w:tcPr>
            <w:tcW w:w="1411" w:type="dxa"/>
            <w:gridSpan w:val="2"/>
            <w:vMerge/>
            <w:tcBorders>
              <w:left w:val="single" w:sz="4" w:space="0" w:color="000000"/>
              <w:bottom w:val="nil" w:sz="6" w:space="0" w:color="auto"/>
              <w:right w:val="single" w:sz="4" w:space="0" w:color="000000"/>
            </w:tcBorders>
            <w:shd w:val="clear" w:color="auto" w:fill="D2D2D2"/>
          </w:tcPr>
          <w:p>
            <w:pPr/>
          </w:p>
        </w:tc>
        <w:tc>
          <w:tcPr>
            <w:tcW w:w="744" w:type="dxa"/>
            <w:vMerge/>
            <w:tcBorders>
              <w:left w:val="single" w:sz="4" w:space="0" w:color="000000"/>
              <w:bottom w:val="nil" w:sz="6" w:space="0" w:color="auto"/>
              <w:right w:val="single" w:sz="4" w:space="0" w:color="FFFFFF"/>
            </w:tcBorders>
            <w:shd w:val="clear" w:color="auto" w:fill="D2D2D2"/>
          </w:tcPr>
          <w:p>
            <w:pPr/>
          </w:p>
        </w:tc>
        <w:tc>
          <w:tcPr>
            <w:tcW w:w="831" w:type="dxa"/>
            <w:vMerge w:val="restart"/>
            <w:tcBorders>
              <w:top w:val="nil" w:sz="6" w:space="0" w:color="auto"/>
              <w:left w:val="single" w:sz="4" w:space="0" w:color="FFFFFF"/>
              <w:right w:val="single" w:sz="4" w:space="0" w:color="000000"/>
            </w:tcBorders>
            <w:shd w:val="clear" w:color="auto" w:fill="D2D2D2"/>
          </w:tcPr>
          <w:p>
            <w:pPr>
              <w:pStyle w:val="TableParagraph"/>
              <w:spacing w:line="319" w:lineRule="auto" w:before="51"/>
              <w:ind w:left="71" w:right="27"/>
              <w:jc w:val="left"/>
              <w:rPr>
                <w:rFonts w:ascii="宋体" w:hAnsi="宋体" w:cs="宋体" w:eastAsia="宋体" w:hint="default"/>
                <w:sz w:val="18"/>
                <w:szCs w:val="18"/>
              </w:rPr>
            </w:pPr>
            <w:r>
              <w:rPr>
                <w:rFonts w:ascii="宋体" w:hAnsi="宋体" w:cs="宋体" w:eastAsia="宋体" w:hint="default"/>
                <w:sz w:val="18"/>
                <w:szCs w:val="18"/>
              </w:rPr>
              <w:t>报告期末 持股数量</w:t>
            </w:r>
          </w:p>
        </w:tc>
        <w:tc>
          <w:tcPr>
            <w:tcW w:w="788" w:type="dxa"/>
            <w:gridSpan w:val="2"/>
            <w:vMerge/>
            <w:tcBorders>
              <w:left w:val="single" w:sz="4" w:space="0" w:color="000000"/>
              <w:right w:val="single" w:sz="4" w:space="0" w:color="000000"/>
            </w:tcBorders>
            <w:shd w:val="clear" w:color="auto" w:fill="D2D2D2"/>
          </w:tcPr>
          <w:p>
            <w:pPr/>
          </w:p>
        </w:tc>
        <w:tc>
          <w:tcPr>
            <w:tcW w:w="824" w:type="dxa"/>
            <w:vMerge/>
            <w:tcBorders>
              <w:left w:val="single" w:sz="4" w:space="0" w:color="000000"/>
              <w:right w:val="single" w:sz="4" w:space="0" w:color="000000"/>
            </w:tcBorders>
            <w:shd w:val="clear" w:color="auto" w:fill="D2D2D2"/>
          </w:tcPr>
          <w:p>
            <w:pPr/>
          </w:p>
        </w:tc>
        <w:tc>
          <w:tcPr>
            <w:tcW w:w="802" w:type="dxa"/>
            <w:vMerge/>
            <w:tcBorders>
              <w:left w:val="single" w:sz="4" w:space="0" w:color="000000"/>
              <w:right w:val="single" w:sz="4" w:space="0" w:color="000000"/>
            </w:tcBorders>
            <w:shd w:val="clear" w:color="auto" w:fill="D2D2D2"/>
          </w:tcPr>
          <w:p>
            <w:pPr/>
          </w:p>
        </w:tc>
        <w:tc>
          <w:tcPr>
            <w:tcW w:w="2699" w:type="dxa"/>
            <w:gridSpan w:val="5"/>
            <w:vMerge/>
            <w:tcBorders>
              <w:left w:val="single" w:sz="4" w:space="0" w:color="000000"/>
              <w:right w:val="single" w:sz="4" w:space="0" w:color="000000"/>
            </w:tcBorders>
            <w:shd w:val="clear" w:color="auto" w:fill="D2D2D2"/>
          </w:tcPr>
          <w:p>
            <w:pPr/>
          </w:p>
        </w:tc>
      </w:tr>
      <w:tr>
        <w:trPr>
          <w:trHeight w:val="140" w:hRule="exact"/>
        </w:trPr>
        <w:tc>
          <w:tcPr>
            <w:tcW w:w="1469"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68"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411"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9"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744" w:type="dxa"/>
            <w:vMerge w:val="restart"/>
            <w:tcBorders>
              <w:top w:val="nil" w:sz="6" w:space="0" w:color="auto"/>
              <w:left w:val="single" w:sz="4" w:space="0" w:color="000000"/>
              <w:right w:val="single" w:sz="4" w:space="0" w:color="FFFFFF"/>
            </w:tcBorders>
            <w:shd w:val="clear" w:color="auto" w:fill="D2D2D2"/>
          </w:tcPr>
          <w:p>
            <w:pPr>
              <w:pStyle w:val="TableParagraph"/>
              <w:spacing w:line="240" w:lineRule="auto" w:before="51"/>
              <w:ind w:left="28" w:right="-15"/>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831" w:type="dxa"/>
            <w:vMerge/>
            <w:tcBorders>
              <w:left w:val="single" w:sz="4" w:space="0" w:color="FFFFFF"/>
              <w:right w:val="single" w:sz="4" w:space="0" w:color="000000"/>
            </w:tcBorders>
            <w:shd w:val="clear" w:color="auto" w:fill="D2D2D2"/>
          </w:tcPr>
          <w:p>
            <w:pPr/>
          </w:p>
        </w:tc>
        <w:tc>
          <w:tcPr>
            <w:tcW w:w="788" w:type="dxa"/>
            <w:gridSpan w:val="2"/>
            <w:vMerge/>
            <w:tcBorders>
              <w:left w:val="single" w:sz="4" w:space="0" w:color="000000"/>
              <w:right w:val="single" w:sz="4" w:space="0" w:color="000000"/>
            </w:tcBorders>
            <w:shd w:val="clear" w:color="auto" w:fill="D2D2D2"/>
          </w:tcPr>
          <w:p>
            <w:pPr/>
          </w:p>
        </w:tc>
        <w:tc>
          <w:tcPr>
            <w:tcW w:w="824" w:type="dxa"/>
            <w:vMerge/>
            <w:tcBorders>
              <w:left w:val="single" w:sz="4" w:space="0" w:color="000000"/>
              <w:right w:val="single" w:sz="4" w:space="0" w:color="000000"/>
            </w:tcBorders>
            <w:shd w:val="clear" w:color="auto" w:fill="D2D2D2"/>
          </w:tcPr>
          <w:p>
            <w:pPr/>
          </w:p>
        </w:tc>
        <w:tc>
          <w:tcPr>
            <w:tcW w:w="802" w:type="dxa"/>
            <w:vMerge/>
            <w:tcBorders>
              <w:left w:val="single" w:sz="4" w:space="0" w:color="000000"/>
              <w:right w:val="single" w:sz="4" w:space="0" w:color="000000"/>
            </w:tcBorders>
            <w:shd w:val="clear" w:color="auto" w:fill="D2D2D2"/>
          </w:tcPr>
          <w:p>
            <w:pPr/>
          </w:p>
        </w:tc>
        <w:tc>
          <w:tcPr>
            <w:tcW w:w="2699" w:type="dxa"/>
            <w:gridSpan w:val="5"/>
            <w:vMerge/>
            <w:tcBorders>
              <w:left w:val="single" w:sz="4" w:space="0" w:color="000000"/>
              <w:bottom w:val="single" w:sz="4" w:space="0" w:color="000000"/>
              <w:right w:val="single" w:sz="4" w:space="0" w:color="000000"/>
            </w:tcBorders>
            <w:shd w:val="clear" w:color="auto" w:fill="D2D2D2"/>
          </w:tcPr>
          <w:p>
            <w:pPr/>
          </w:p>
        </w:tc>
      </w:tr>
      <w:tr>
        <w:trPr>
          <w:trHeight w:val="252" w:hRule="exact"/>
        </w:trPr>
        <w:tc>
          <w:tcPr>
            <w:tcW w:w="1469" w:type="dxa"/>
            <w:gridSpan w:val="2"/>
            <w:vMerge/>
            <w:tcBorders>
              <w:left w:val="single" w:sz="4" w:space="0" w:color="000000"/>
              <w:bottom w:val="nil" w:sz="6" w:space="0" w:color="auto"/>
              <w:right w:val="single" w:sz="4" w:space="0" w:color="000000"/>
            </w:tcBorders>
            <w:shd w:val="clear" w:color="auto" w:fill="D2D2D2"/>
          </w:tcPr>
          <w:p>
            <w:pPr/>
          </w:p>
        </w:tc>
        <w:tc>
          <w:tcPr>
            <w:tcW w:w="1411" w:type="dxa"/>
            <w:gridSpan w:val="2"/>
            <w:vMerge/>
            <w:tcBorders>
              <w:left w:val="single" w:sz="4" w:space="0" w:color="000000"/>
              <w:bottom w:val="nil" w:sz="6" w:space="0" w:color="auto"/>
              <w:right w:val="single" w:sz="4" w:space="0" w:color="000000"/>
            </w:tcBorders>
            <w:shd w:val="clear" w:color="auto" w:fill="D2D2D2"/>
          </w:tcPr>
          <w:p>
            <w:pPr/>
          </w:p>
        </w:tc>
        <w:tc>
          <w:tcPr>
            <w:tcW w:w="744" w:type="dxa"/>
            <w:vMerge/>
            <w:tcBorders>
              <w:left w:val="single" w:sz="4" w:space="0" w:color="000000"/>
              <w:bottom w:val="nil" w:sz="6" w:space="0" w:color="auto"/>
              <w:right w:val="single" w:sz="4" w:space="0" w:color="FFFFFF"/>
            </w:tcBorders>
            <w:shd w:val="clear" w:color="auto" w:fill="D2D2D2"/>
          </w:tcPr>
          <w:p>
            <w:pPr/>
          </w:p>
        </w:tc>
        <w:tc>
          <w:tcPr>
            <w:tcW w:w="831" w:type="dxa"/>
            <w:vMerge/>
            <w:tcBorders>
              <w:left w:val="single" w:sz="4" w:space="0" w:color="FFFFFF"/>
              <w:right w:val="single" w:sz="4" w:space="0" w:color="000000"/>
            </w:tcBorders>
            <w:shd w:val="clear" w:color="auto" w:fill="D2D2D2"/>
          </w:tcPr>
          <w:p>
            <w:pPr/>
          </w:p>
        </w:tc>
        <w:tc>
          <w:tcPr>
            <w:tcW w:w="788" w:type="dxa"/>
            <w:gridSpan w:val="2"/>
            <w:vMerge/>
            <w:tcBorders>
              <w:left w:val="single" w:sz="4" w:space="0" w:color="000000"/>
              <w:right w:val="single" w:sz="4" w:space="0" w:color="000000"/>
            </w:tcBorders>
            <w:shd w:val="clear" w:color="auto" w:fill="D2D2D2"/>
          </w:tcPr>
          <w:p>
            <w:pPr/>
          </w:p>
        </w:tc>
        <w:tc>
          <w:tcPr>
            <w:tcW w:w="824" w:type="dxa"/>
            <w:vMerge/>
            <w:tcBorders>
              <w:left w:val="single" w:sz="4" w:space="0" w:color="000000"/>
              <w:right w:val="single" w:sz="4" w:space="0" w:color="000000"/>
            </w:tcBorders>
            <w:shd w:val="clear" w:color="auto" w:fill="D2D2D2"/>
          </w:tcPr>
          <w:p>
            <w:pPr/>
          </w:p>
        </w:tc>
        <w:tc>
          <w:tcPr>
            <w:tcW w:w="802" w:type="dxa"/>
            <w:vMerge/>
            <w:tcBorders>
              <w:left w:val="single" w:sz="4" w:space="0" w:color="000000"/>
              <w:right w:val="single" w:sz="4" w:space="0" w:color="000000"/>
            </w:tcBorders>
            <w:shd w:val="clear" w:color="auto" w:fill="D2D2D2"/>
          </w:tcPr>
          <w:p>
            <w:pPr/>
          </w:p>
        </w:tc>
        <w:tc>
          <w:tcPr>
            <w:tcW w:w="134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7"/>
              <w:ind w:left="308"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350"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7"/>
              <w:ind w:right="1"/>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156" w:hRule="exact"/>
        </w:trPr>
        <w:tc>
          <w:tcPr>
            <w:tcW w:w="1469" w:type="dxa"/>
            <w:gridSpan w:val="2"/>
            <w:vMerge w:val="restart"/>
            <w:tcBorders>
              <w:top w:val="nil" w:sz="6" w:space="0" w:color="auto"/>
              <w:left w:val="single" w:sz="4" w:space="0" w:color="000000"/>
              <w:right w:val="single" w:sz="4" w:space="0" w:color="000000"/>
            </w:tcBorders>
            <w:shd w:val="clear" w:color="auto" w:fill="D2D2D2"/>
          </w:tcPr>
          <w:p>
            <w:pPr/>
          </w:p>
        </w:tc>
        <w:tc>
          <w:tcPr>
            <w:tcW w:w="1411" w:type="dxa"/>
            <w:gridSpan w:val="2"/>
            <w:vMerge w:val="restart"/>
            <w:tcBorders>
              <w:top w:val="nil" w:sz="6" w:space="0" w:color="auto"/>
              <w:left w:val="single" w:sz="4" w:space="0" w:color="000000"/>
              <w:right w:val="single" w:sz="4" w:space="0" w:color="000000"/>
            </w:tcBorders>
            <w:shd w:val="clear" w:color="auto" w:fill="D2D2D2"/>
          </w:tcPr>
          <w:p>
            <w:pPr/>
          </w:p>
        </w:tc>
        <w:tc>
          <w:tcPr>
            <w:tcW w:w="744" w:type="dxa"/>
            <w:vMerge w:val="restart"/>
            <w:tcBorders>
              <w:top w:val="nil" w:sz="6" w:space="0" w:color="auto"/>
              <w:left w:val="single" w:sz="4" w:space="0" w:color="000000"/>
              <w:right w:val="single" w:sz="4" w:space="0" w:color="FFFFFF"/>
            </w:tcBorders>
            <w:shd w:val="clear" w:color="auto" w:fill="D2D2D2"/>
          </w:tcPr>
          <w:p>
            <w:pPr/>
          </w:p>
        </w:tc>
        <w:tc>
          <w:tcPr>
            <w:tcW w:w="831" w:type="dxa"/>
            <w:vMerge/>
            <w:tcBorders>
              <w:left w:val="single" w:sz="4" w:space="0" w:color="FFFFFF"/>
              <w:bottom w:val="nil" w:sz="6" w:space="0" w:color="auto"/>
              <w:right w:val="single" w:sz="4" w:space="0" w:color="000000"/>
            </w:tcBorders>
            <w:shd w:val="clear" w:color="auto" w:fill="D2D2D2"/>
          </w:tcPr>
          <w:p>
            <w:pPr/>
          </w:p>
        </w:tc>
        <w:tc>
          <w:tcPr>
            <w:tcW w:w="788" w:type="dxa"/>
            <w:gridSpan w:val="2"/>
            <w:vMerge/>
            <w:tcBorders>
              <w:left w:val="single" w:sz="4" w:space="0" w:color="000000"/>
              <w:right w:val="single" w:sz="4" w:space="0" w:color="000000"/>
            </w:tcBorders>
            <w:shd w:val="clear" w:color="auto" w:fill="D2D2D2"/>
          </w:tcPr>
          <w:p>
            <w:pPr/>
          </w:p>
        </w:tc>
        <w:tc>
          <w:tcPr>
            <w:tcW w:w="824" w:type="dxa"/>
            <w:vMerge/>
            <w:tcBorders>
              <w:left w:val="single" w:sz="4" w:space="0" w:color="000000"/>
              <w:right w:val="single" w:sz="4" w:space="0" w:color="000000"/>
            </w:tcBorders>
            <w:shd w:val="clear" w:color="auto" w:fill="D2D2D2"/>
          </w:tcPr>
          <w:p>
            <w:pPr/>
          </w:p>
        </w:tc>
        <w:tc>
          <w:tcPr>
            <w:tcW w:w="802" w:type="dxa"/>
            <w:vMerge/>
            <w:tcBorders>
              <w:left w:val="single" w:sz="4" w:space="0" w:color="000000"/>
              <w:right w:val="single" w:sz="4" w:space="0" w:color="000000"/>
            </w:tcBorders>
            <w:shd w:val="clear" w:color="auto" w:fill="D2D2D2"/>
          </w:tcPr>
          <w:p>
            <w:pPr/>
          </w:p>
        </w:tc>
        <w:tc>
          <w:tcPr>
            <w:tcW w:w="1349" w:type="dxa"/>
            <w:gridSpan w:val="2"/>
            <w:vMerge/>
            <w:tcBorders>
              <w:left w:val="single" w:sz="4" w:space="0" w:color="000000"/>
              <w:right w:val="single" w:sz="4" w:space="0" w:color="000000"/>
            </w:tcBorders>
            <w:shd w:val="clear" w:color="auto" w:fill="D2D2D2"/>
          </w:tcPr>
          <w:p>
            <w:pPr/>
          </w:p>
        </w:tc>
        <w:tc>
          <w:tcPr>
            <w:tcW w:w="1350" w:type="dxa"/>
            <w:gridSpan w:val="3"/>
            <w:vMerge/>
            <w:tcBorders>
              <w:left w:val="single" w:sz="4" w:space="0" w:color="000000"/>
              <w:right w:val="single" w:sz="4" w:space="0" w:color="000000"/>
            </w:tcBorders>
            <w:shd w:val="clear" w:color="auto" w:fill="D2D2D2"/>
          </w:tcPr>
          <w:p>
            <w:pPr/>
          </w:p>
        </w:tc>
      </w:tr>
      <w:tr>
        <w:trPr>
          <w:trHeight w:val="161" w:hRule="exact"/>
        </w:trPr>
        <w:tc>
          <w:tcPr>
            <w:tcW w:w="1469" w:type="dxa"/>
            <w:gridSpan w:val="2"/>
            <w:vMerge/>
            <w:tcBorders>
              <w:left w:val="single" w:sz="4" w:space="0" w:color="000000"/>
              <w:bottom w:val="single" w:sz="4" w:space="0" w:color="000000"/>
              <w:right w:val="single" w:sz="4" w:space="0" w:color="000000"/>
            </w:tcBorders>
            <w:shd w:val="clear" w:color="auto" w:fill="D2D2D2"/>
          </w:tcPr>
          <w:p>
            <w:pPr/>
          </w:p>
        </w:tc>
        <w:tc>
          <w:tcPr>
            <w:tcW w:w="1411" w:type="dxa"/>
            <w:gridSpan w:val="2"/>
            <w:vMerge/>
            <w:tcBorders>
              <w:left w:val="single" w:sz="4" w:space="0" w:color="000000"/>
              <w:bottom w:val="single" w:sz="4" w:space="0" w:color="000000"/>
              <w:right w:val="single" w:sz="4" w:space="0" w:color="000000"/>
            </w:tcBorders>
            <w:shd w:val="clear" w:color="auto" w:fill="D2D2D2"/>
          </w:tcPr>
          <w:p>
            <w:pPr/>
          </w:p>
        </w:tc>
        <w:tc>
          <w:tcPr>
            <w:tcW w:w="744" w:type="dxa"/>
            <w:vMerge/>
            <w:tcBorders>
              <w:left w:val="single" w:sz="4" w:space="0" w:color="000000"/>
              <w:bottom w:val="single" w:sz="4" w:space="0" w:color="000000"/>
              <w:right w:val="single" w:sz="4" w:space="0" w:color="FFFFFF"/>
            </w:tcBorders>
            <w:shd w:val="clear" w:color="auto" w:fill="D2D2D2"/>
          </w:tcPr>
          <w:p>
            <w:pPr/>
          </w:p>
        </w:tc>
        <w:tc>
          <w:tcPr>
            <w:tcW w:w="831" w:type="dxa"/>
            <w:tcBorders>
              <w:top w:val="nil" w:sz="6" w:space="0" w:color="auto"/>
              <w:left w:val="single" w:sz="4" w:space="0" w:color="FFFFFF"/>
              <w:bottom w:val="single" w:sz="4" w:space="0" w:color="000000"/>
              <w:right w:val="single" w:sz="4" w:space="0" w:color="000000"/>
            </w:tcBorders>
            <w:shd w:val="clear" w:color="auto" w:fill="D2D2D2"/>
          </w:tcPr>
          <w:p>
            <w:pPr/>
          </w:p>
        </w:tc>
        <w:tc>
          <w:tcPr>
            <w:tcW w:w="788" w:type="dxa"/>
            <w:gridSpan w:val="2"/>
            <w:vMerge/>
            <w:tcBorders>
              <w:left w:val="single" w:sz="4" w:space="0" w:color="000000"/>
              <w:bottom w:val="single" w:sz="4" w:space="0" w:color="000000"/>
              <w:right w:val="single" w:sz="4" w:space="0" w:color="000000"/>
            </w:tcBorders>
            <w:shd w:val="clear" w:color="auto" w:fill="D2D2D2"/>
          </w:tcPr>
          <w:p>
            <w:pPr/>
          </w:p>
        </w:tc>
        <w:tc>
          <w:tcPr>
            <w:tcW w:w="824" w:type="dxa"/>
            <w:vMerge/>
            <w:tcBorders>
              <w:left w:val="single" w:sz="4" w:space="0" w:color="000000"/>
              <w:bottom w:val="single" w:sz="4" w:space="0" w:color="000000"/>
              <w:right w:val="single" w:sz="4" w:space="0" w:color="000000"/>
            </w:tcBorders>
            <w:shd w:val="clear" w:color="auto" w:fill="D2D2D2"/>
          </w:tcPr>
          <w:p>
            <w:pPr/>
          </w:p>
        </w:tc>
        <w:tc>
          <w:tcPr>
            <w:tcW w:w="802" w:type="dxa"/>
            <w:vMerge/>
            <w:tcBorders>
              <w:left w:val="single" w:sz="4" w:space="0" w:color="000000"/>
              <w:bottom w:val="single" w:sz="4" w:space="0" w:color="000000"/>
              <w:right w:val="single" w:sz="4" w:space="0" w:color="000000"/>
            </w:tcBorders>
            <w:shd w:val="clear" w:color="auto" w:fill="D2D2D2"/>
          </w:tcPr>
          <w:p>
            <w:pPr/>
          </w:p>
        </w:tc>
        <w:tc>
          <w:tcPr>
            <w:tcW w:w="1349" w:type="dxa"/>
            <w:gridSpan w:val="2"/>
            <w:vMerge/>
            <w:tcBorders>
              <w:left w:val="single" w:sz="4" w:space="0" w:color="000000"/>
              <w:bottom w:val="single" w:sz="4" w:space="0" w:color="000000"/>
              <w:right w:val="single" w:sz="4" w:space="0" w:color="000000"/>
            </w:tcBorders>
            <w:shd w:val="clear" w:color="auto" w:fill="D2D2D2"/>
          </w:tcPr>
          <w:p>
            <w:pPr/>
          </w:p>
        </w:tc>
        <w:tc>
          <w:tcPr>
            <w:tcW w:w="1350" w:type="dxa"/>
            <w:gridSpan w:val="3"/>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茅庆江</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44"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36.14%</w:t>
            </w:r>
          </w:p>
        </w:tc>
        <w:tc>
          <w:tcPr>
            <w:tcW w:w="831"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78,918,40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59"/>
              <w:jc w:val="right"/>
              <w:rPr>
                <w:rFonts w:ascii="Times New Roman" w:hAnsi="Times New Roman" w:cs="Times New Roman" w:eastAsia="Times New Roman" w:hint="default"/>
                <w:sz w:val="18"/>
                <w:szCs w:val="18"/>
              </w:rPr>
            </w:pPr>
            <w:r>
              <w:rPr>
                <w:rFonts w:ascii="Times New Roman"/>
                <w:sz w:val="18"/>
              </w:rPr>
              <w:t>78,918,40</w:t>
            </w:r>
          </w:p>
          <w:p>
            <w:pPr>
              <w:pStyle w:val="TableParagraph"/>
              <w:spacing w:line="240" w:lineRule="auto" w:before="105"/>
              <w:ind w:right="59"/>
              <w:jc w:val="right"/>
              <w:rPr>
                <w:rFonts w:ascii="Times New Roman" w:hAnsi="Times New Roman" w:cs="Times New Roman" w:eastAsia="Times New Roman" w:hint="default"/>
                <w:sz w:val="18"/>
                <w:szCs w:val="18"/>
              </w:rPr>
            </w:pPr>
            <w:r>
              <w:rPr>
                <w:rFonts w:ascii="Times New Roman"/>
                <w:sz w:val="18"/>
              </w:rPr>
              <w:t>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49" w:type="dxa"/>
            <w:gridSpan w:val="2"/>
            <w:tcBorders>
              <w:top w:val="single" w:sz="48" w:space="0" w:color="D2D2D2"/>
              <w:left w:val="single" w:sz="4" w:space="0" w:color="000000"/>
              <w:bottom w:val="single" w:sz="4" w:space="0" w:color="000000"/>
              <w:right w:val="single" w:sz="4" w:space="0" w:color="000000"/>
            </w:tcBorders>
          </w:tcPr>
          <w:p>
            <w:pPr>
              <w:pStyle w:val="TableParagraph"/>
              <w:spacing w:line="240" w:lineRule="auto" w:before="153"/>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50" w:type="dxa"/>
            <w:gridSpan w:val="3"/>
            <w:tcBorders>
              <w:top w:val="single" w:sz="48" w:space="0" w:color="D2D2D2"/>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596" w:right="0"/>
              <w:jc w:val="left"/>
              <w:rPr>
                <w:rFonts w:ascii="Times New Roman" w:hAnsi="Times New Roman" w:cs="Times New Roman" w:eastAsia="Times New Roman" w:hint="default"/>
                <w:sz w:val="18"/>
                <w:szCs w:val="18"/>
              </w:rPr>
            </w:pPr>
            <w:r>
              <w:rPr>
                <w:rFonts w:ascii="Times New Roman"/>
                <w:sz w:val="18"/>
              </w:rPr>
              <w:t>8,345,221</w:t>
            </w: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雷洪文</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44"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5.63%</w:t>
            </w:r>
          </w:p>
        </w:tc>
        <w:tc>
          <w:tcPr>
            <w:tcW w:w="831"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12,283,68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59"/>
              <w:jc w:val="right"/>
              <w:rPr>
                <w:rFonts w:ascii="Times New Roman" w:hAnsi="Times New Roman" w:cs="Times New Roman" w:eastAsia="Times New Roman" w:hint="default"/>
                <w:sz w:val="18"/>
                <w:szCs w:val="18"/>
              </w:rPr>
            </w:pPr>
            <w:r>
              <w:rPr>
                <w:rFonts w:ascii="Times New Roman"/>
                <w:sz w:val="18"/>
              </w:rPr>
              <w:t>9,212,760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3,070,920</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5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96" w:right="0"/>
              <w:jc w:val="left"/>
              <w:rPr>
                <w:rFonts w:ascii="Times New Roman" w:hAnsi="Times New Roman" w:cs="Times New Roman" w:eastAsia="Times New Roman" w:hint="default"/>
                <w:sz w:val="18"/>
                <w:szCs w:val="18"/>
              </w:rPr>
            </w:pPr>
            <w:r>
              <w:rPr>
                <w:rFonts w:ascii="Times New Roman"/>
                <w:sz w:val="18"/>
              </w:rPr>
              <w:t>7,500,000</w:t>
            </w:r>
          </w:p>
        </w:tc>
      </w:tr>
      <w:tr>
        <w:trPr>
          <w:trHeight w:val="402"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袁小康</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44"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4.23%</w:t>
            </w:r>
          </w:p>
        </w:tc>
        <w:tc>
          <w:tcPr>
            <w:tcW w:w="831"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9,237,760</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59"/>
              <w:jc w:val="right"/>
              <w:rPr>
                <w:rFonts w:ascii="Times New Roman" w:hAnsi="Times New Roman" w:cs="Times New Roman" w:eastAsia="Times New Roman" w:hint="default"/>
                <w:sz w:val="18"/>
                <w:szCs w:val="18"/>
              </w:rPr>
            </w:pPr>
            <w:r>
              <w:rPr>
                <w:rFonts w:ascii="Times New Roman"/>
                <w:sz w:val="18"/>
              </w:rPr>
              <w:t>6,928,320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2,309,440</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5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96" w:right="0"/>
              <w:jc w:val="left"/>
              <w:rPr>
                <w:rFonts w:ascii="Times New Roman" w:hAnsi="Times New Roman" w:cs="Times New Roman" w:eastAsia="Times New Roman" w:hint="default"/>
                <w:sz w:val="18"/>
                <w:szCs w:val="18"/>
              </w:rPr>
            </w:pPr>
            <w:r>
              <w:rPr>
                <w:rFonts w:ascii="Times New Roman"/>
                <w:sz w:val="18"/>
              </w:rPr>
              <w:t>7,000,000</w:t>
            </w:r>
          </w:p>
        </w:tc>
      </w:tr>
      <w:tr>
        <w:trPr>
          <w:trHeight w:val="402"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徐彪</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44"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4.23%</w:t>
            </w:r>
          </w:p>
        </w:tc>
        <w:tc>
          <w:tcPr>
            <w:tcW w:w="831"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9,237,760</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59"/>
              <w:jc w:val="right"/>
              <w:rPr>
                <w:rFonts w:ascii="Times New Roman" w:hAnsi="Times New Roman" w:cs="Times New Roman" w:eastAsia="Times New Roman" w:hint="default"/>
                <w:sz w:val="18"/>
                <w:szCs w:val="18"/>
              </w:rPr>
            </w:pPr>
            <w:r>
              <w:rPr>
                <w:rFonts w:ascii="Times New Roman"/>
                <w:sz w:val="18"/>
              </w:rPr>
              <w:t>6,928,320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2,309,440</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5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96" w:right="0"/>
              <w:jc w:val="left"/>
              <w:rPr>
                <w:rFonts w:ascii="Times New Roman" w:hAnsi="Times New Roman" w:cs="Times New Roman" w:eastAsia="Times New Roman" w:hint="default"/>
                <w:sz w:val="18"/>
                <w:szCs w:val="18"/>
              </w:rPr>
            </w:pPr>
            <w:r>
              <w:rPr>
                <w:rFonts w:ascii="Times New Roman"/>
                <w:sz w:val="18"/>
              </w:rPr>
              <w:t>6,660,000</w:t>
            </w:r>
          </w:p>
        </w:tc>
      </w:tr>
      <w:tr>
        <w:trPr>
          <w:trHeight w:val="402"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茅屏萍</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44"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3.01%</w:t>
            </w:r>
          </w:p>
        </w:tc>
        <w:tc>
          <w:tcPr>
            <w:tcW w:w="831"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6,576,533</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59"/>
              <w:jc w:val="right"/>
              <w:rPr>
                <w:rFonts w:ascii="Times New Roman" w:hAnsi="Times New Roman" w:cs="Times New Roman" w:eastAsia="Times New Roman" w:hint="default"/>
                <w:sz w:val="18"/>
                <w:szCs w:val="18"/>
              </w:rPr>
            </w:pPr>
            <w:r>
              <w:rPr>
                <w:rFonts w:ascii="Times New Roman"/>
                <w:sz w:val="18"/>
              </w:rPr>
              <w:t>6,576,533</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5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96" w:right="0"/>
              <w:jc w:val="left"/>
              <w:rPr>
                <w:rFonts w:ascii="Times New Roman" w:hAnsi="Times New Roman" w:cs="Times New Roman" w:eastAsia="Times New Roman" w:hint="default"/>
                <w:sz w:val="18"/>
                <w:szCs w:val="18"/>
              </w:rPr>
            </w:pPr>
            <w:r>
              <w:rPr>
                <w:rFonts w:ascii="Times New Roman"/>
                <w:sz w:val="18"/>
              </w:rPr>
              <w:t>2,420,000</w:t>
            </w:r>
          </w:p>
        </w:tc>
      </w:tr>
      <w:tr>
        <w:trPr>
          <w:trHeight w:val="1650"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31"/>
              <w:jc w:val="both"/>
              <w:rPr>
                <w:rFonts w:ascii="宋体" w:hAnsi="宋体" w:cs="宋体" w:eastAsia="宋体" w:hint="default"/>
                <w:sz w:val="18"/>
                <w:szCs w:val="18"/>
              </w:rPr>
            </w:pPr>
            <w:r>
              <w:rPr>
                <w:rFonts w:ascii="宋体" w:hAnsi="宋体" w:cs="宋体" w:eastAsia="宋体" w:hint="default"/>
                <w:sz w:val="18"/>
                <w:szCs w:val="18"/>
              </w:rPr>
              <w:t>长信基金－浦发 银行－云南国际 信托－云信智兴 </w:t>
            </w:r>
            <w:r>
              <w:rPr>
                <w:rFonts w:ascii="Times New Roman" w:hAnsi="Times New Roman" w:cs="Times New Roman" w:eastAsia="Times New Roman" w:hint="default"/>
                <w:sz w:val="18"/>
                <w:szCs w:val="18"/>
              </w:rPr>
              <w:t>2017</w:t>
            </w:r>
            <w:r>
              <w:rPr>
                <w:rFonts w:ascii="宋体" w:hAnsi="宋体" w:cs="宋体" w:eastAsia="宋体" w:hint="default"/>
                <w:sz w:val="18"/>
                <w:szCs w:val="18"/>
              </w:rPr>
              <w:t>－</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号单</w:t>
            </w:r>
          </w:p>
          <w:p>
            <w:pPr>
              <w:pStyle w:val="TableParagraph"/>
              <w:spacing w:line="240" w:lineRule="auto"/>
              <w:ind w:left="22" w:right="0"/>
              <w:jc w:val="both"/>
              <w:rPr>
                <w:rFonts w:ascii="宋体" w:hAnsi="宋体" w:cs="宋体" w:eastAsia="宋体" w:hint="default"/>
                <w:sz w:val="18"/>
                <w:szCs w:val="18"/>
              </w:rPr>
            </w:pPr>
            <w:r>
              <w:rPr>
                <w:rFonts w:ascii="宋体" w:hAnsi="宋体" w:cs="宋体" w:eastAsia="宋体" w:hint="default"/>
                <w:sz w:val="18"/>
                <w:szCs w:val="18"/>
              </w:rPr>
              <w:t>一资金信托</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44"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2.94%</w:t>
            </w:r>
          </w:p>
        </w:tc>
        <w:tc>
          <w:tcPr>
            <w:tcW w:w="831"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6,414,922</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6,414,922</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59"/>
              <w:jc w:val="right"/>
              <w:rPr>
                <w:rFonts w:ascii="Times New Roman" w:hAnsi="Times New Roman" w:cs="Times New Roman" w:eastAsia="Times New Roman" w:hint="default"/>
                <w:sz w:val="18"/>
                <w:szCs w:val="18"/>
              </w:rPr>
            </w:pPr>
            <w:r>
              <w:rPr>
                <w:rFonts w:ascii="Times New Roman"/>
                <w:sz w:val="18"/>
              </w:rPr>
              <w:t>6,414,922</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50" w:type="dxa"/>
            <w:gridSpan w:val="3"/>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174"/>
              <w:jc w:val="both"/>
              <w:rPr>
                <w:rFonts w:ascii="宋体" w:hAnsi="宋体" w:cs="宋体" w:eastAsia="宋体" w:hint="default"/>
                <w:sz w:val="18"/>
                <w:szCs w:val="18"/>
              </w:rPr>
            </w:pPr>
            <w:r>
              <w:rPr>
                <w:rFonts w:ascii="宋体" w:hAnsi="宋体" w:cs="宋体" w:eastAsia="宋体" w:hint="default"/>
                <w:sz w:val="18"/>
                <w:szCs w:val="18"/>
              </w:rPr>
              <w:t>广州市常森投资 咨询有限责任公 司</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44"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2.74%</w:t>
            </w:r>
          </w:p>
        </w:tc>
        <w:tc>
          <w:tcPr>
            <w:tcW w:w="831"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5,978,666</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59"/>
              <w:jc w:val="right"/>
              <w:rPr>
                <w:rFonts w:ascii="Times New Roman" w:hAnsi="Times New Roman" w:cs="Times New Roman" w:eastAsia="Times New Roman" w:hint="default"/>
                <w:sz w:val="18"/>
                <w:szCs w:val="18"/>
              </w:rPr>
            </w:pPr>
            <w:r>
              <w:rPr>
                <w:rFonts w:ascii="Times New Roman"/>
                <w:sz w:val="18"/>
              </w:rPr>
              <w:t>5,978,666</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5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32" w:right="0"/>
              <w:jc w:val="left"/>
              <w:rPr>
                <w:rFonts w:ascii="Times New Roman" w:hAnsi="Times New Roman" w:cs="Times New Roman" w:eastAsia="Times New Roman" w:hint="default"/>
                <w:sz w:val="18"/>
                <w:szCs w:val="18"/>
              </w:rPr>
            </w:pPr>
            <w:r>
              <w:rPr>
                <w:rFonts w:ascii="Times New Roman"/>
                <w:sz w:val="18"/>
              </w:rPr>
              <w:t>810,000</w:t>
            </w:r>
          </w:p>
        </w:tc>
      </w:tr>
      <w:tr>
        <w:trPr>
          <w:trHeight w:val="402"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张忠民</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44"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2.37%</w:t>
            </w:r>
          </w:p>
        </w:tc>
        <w:tc>
          <w:tcPr>
            <w:tcW w:w="831"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5,173,966</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3,046,700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59"/>
              <w:jc w:val="right"/>
              <w:rPr>
                <w:rFonts w:ascii="Times New Roman" w:hAnsi="Times New Roman" w:cs="Times New Roman" w:eastAsia="Times New Roman" w:hint="default"/>
                <w:sz w:val="18"/>
                <w:szCs w:val="18"/>
              </w:rPr>
            </w:pPr>
            <w:r>
              <w:rPr>
                <w:rFonts w:ascii="Times New Roman"/>
                <w:sz w:val="18"/>
              </w:rPr>
              <w:t>1,644,134</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3,529,832</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5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96" w:right="0"/>
              <w:jc w:val="left"/>
              <w:rPr>
                <w:rFonts w:ascii="Times New Roman" w:hAnsi="Times New Roman" w:cs="Times New Roman" w:eastAsia="Times New Roman" w:hint="default"/>
                <w:sz w:val="18"/>
                <w:szCs w:val="18"/>
              </w:rPr>
            </w:pPr>
            <w:r>
              <w:rPr>
                <w:rFonts w:ascii="Times New Roman"/>
                <w:sz w:val="18"/>
              </w:rPr>
              <w:t>2,810,000</w:t>
            </w:r>
          </w:p>
        </w:tc>
      </w:tr>
      <w:tr>
        <w:trPr>
          <w:trHeight w:val="402"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龙中胜</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44"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2.30%</w:t>
            </w:r>
          </w:p>
        </w:tc>
        <w:tc>
          <w:tcPr>
            <w:tcW w:w="831"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5,016,533</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59"/>
              <w:jc w:val="right"/>
              <w:rPr>
                <w:rFonts w:ascii="Times New Roman" w:hAnsi="Times New Roman" w:cs="Times New Roman" w:eastAsia="Times New Roman" w:hint="default"/>
                <w:sz w:val="18"/>
                <w:szCs w:val="18"/>
              </w:rPr>
            </w:pPr>
            <w:r>
              <w:rPr>
                <w:rFonts w:ascii="Times New Roman"/>
                <w:sz w:val="18"/>
              </w:rPr>
              <w:t>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5,016,533</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5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96" w:right="0"/>
              <w:jc w:val="left"/>
              <w:rPr>
                <w:rFonts w:ascii="Times New Roman" w:hAnsi="Times New Roman" w:cs="Times New Roman" w:eastAsia="Times New Roman" w:hint="default"/>
                <w:sz w:val="18"/>
                <w:szCs w:val="18"/>
              </w:rPr>
            </w:pPr>
            <w:r>
              <w:rPr>
                <w:rFonts w:ascii="Times New Roman"/>
                <w:sz w:val="18"/>
              </w:rPr>
              <w:t>4,000,000</w:t>
            </w:r>
          </w:p>
        </w:tc>
      </w:tr>
      <w:tr>
        <w:trPr>
          <w:trHeight w:val="403"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广州市碧天投资</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44"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1.71%</w:t>
            </w:r>
          </w:p>
        </w:tc>
        <w:tc>
          <w:tcPr>
            <w:tcW w:w="831"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3,736,667</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59"/>
              <w:jc w:val="right"/>
              <w:rPr>
                <w:rFonts w:ascii="Times New Roman" w:hAnsi="Times New Roman" w:cs="Times New Roman" w:eastAsia="Times New Roman" w:hint="default"/>
                <w:sz w:val="18"/>
                <w:szCs w:val="18"/>
              </w:rPr>
            </w:pPr>
            <w:r>
              <w:rPr>
                <w:rFonts w:ascii="Times New Roman"/>
                <w:sz w:val="18"/>
              </w:rPr>
              <w:t>3,736,667</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5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32" w:right="0"/>
              <w:jc w:val="left"/>
              <w:rPr>
                <w:rFonts w:ascii="Times New Roman" w:hAnsi="Times New Roman" w:cs="Times New Roman" w:eastAsia="Times New Roman" w:hint="default"/>
                <w:sz w:val="18"/>
                <w:szCs w:val="18"/>
              </w:rPr>
            </w:pPr>
            <w:r>
              <w:rPr>
                <w:rFonts w:ascii="Times New Roman"/>
                <w:sz w:val="18"/>
              </w:rPr>
              <w:t>495,000</w:t>
            </w:r>
          </w:p>
        </w:tc>
      </w:tr>
    </w:tbl>
    <w:p>
      <w:pPr>
        <w:spacing w:after="0" w:line="240" w:lineRule="auto"/>
        <w:jc w:val="left"/>
        <w:rPr>
          <w:rFonts w:ascii="Times New Roman" w:hAnsi="Times New Roman" w:cs="Times New Roman" w:eastAsia="Times New Roman" w:hint="default"/>
          <w:sz w:val="18"/>
          <w:szCs w:val="18"/>
        </w:rPr>
        <w:sectPr>
          <w:footerReference w:type="default" r:id="rId37"/>
          <w:pgSz w:w="11910" w:h="16840"/>
          <w:pgMar w:footer="640" w:header="787" w:top="1100" w:bottom="840" w:left="0" w:right="0"/>
        </w:sectPr>
      </w:pPr>
    </w:p>
    <w:p>
      <w:pPr>
        <w:spacing w:line="240" w:lineRule="auto" w:before="5"/>
        <w:rPr>
          <w:rFonts w:ascii="宋体" w:hAnsi="宋体" w:cs="宋体" w:eastAsia="宋体" w:hint="default"/>
          <w:sz w:val="25"/>
          <w:szCs w:val="25"/>
        </w:rPr>
      </w:pPr>
    </w:p>
    <w:tbl>
      <w:tblPr>
        <w:tblW w:w="0" w:type="auto"/>
        <w:jc w:val="left"/>
        <w:tblInd w:w="1129" w:type="dxa"/>
        <w:tblLayout w:type="fixed"/>
        <w:tblCellMar>
          <w:top w:w="0" w:type="dxa"/>
          <w:left w:w="0" w:type="dxa"/>
          <w:bottom w:w="0" w:type="dxa"/>
          <w:right w:w="0" w:type="dxa"/>
        </w:tblCellMar>
        <w:tblLook w:val="01E0"/>
      </w:tblPr>
      <w:tblGrid>
        <w:gridCol w:w="1469"/>
        <w:gridCol w:w="1405"/>
        <w:gridCol w:w="794"/>
        <w:gridCol w:w="786"/>
        <w:gridCol w:w="788"/>
        <w:gridCol w:w="786"/>
        <w:gridCol w:w="840"/>
        <w:gridCol w:w="1349"/>
        <w:gridCol w:w="1350"/>
      </w:tblGrid>
      <w:tr>
        <w:trPr>
          <w:trHeight w:val="362"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咨询有限公司</w:t>
            </w:r>
          </w:p>
        </w:tc>
        <w:tc>
          <w:tcPr>
            <w:tcW w:w="1405"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c>
          <w:tcPr>
            <w:tcW w:w="786" w:type="dxa"/>
            <w:tcBorders>
              <w:top w:val="single" w:sz="4" w:space="0" w:color="000000"/>
              <w:left w:val="single" w:sz="4" w:space="0" w:color="000000"/>
              <w:bottom w:val="single" w:sz="4" w:space="0" w:color="000000"/>
              <w:right w:val="single" w:sz="4" w:space="0" w:color="000000"/>
            </w:tcBorders>
          </w:tcPr>
          <w:p>
            <w:pPr/>
          </w:p>
        </w:tc>
        <w:tc>
          <w:tcPr>
            <w:tcW w:w="788" w:type="dxa"/>
            <w:tcBorders>
              <w:top w:val="single" w:sz="4" w:space="0" w:color="000000"/>
              <w:left w:val="single" w:sz="4" w:space="0" w:color="000000"/>
              <w:bottom w:val="single" w:sz="4" w:space="0" w:color="000000"/>
              <w:right w:val="single" w:sz="4" w:space="0" w:color="000000"/>
            </w:tcBorders>
          </w:tcPr>
          <w:p>
            <w:pPr/>
          </w:p>
        </w:tc>
        <w:tc>
          <w:tcPr>
            <w:tcW w:w="786"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87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15"/>
              <w:jc w:val="left"/>
              <w:rPr>
                <w:rFonts w:ascii="宋体" w:hAnsi="宋体" w:cs="宋体" w:eastAsia="宋体" w:hint="default"/>
                <w:sz w:val="18"/>
                <w:szCs w:val="18"/>
              </w:rPr>
            </w:pPr>
            <w:r>
              <w:rPr>
                <w:rFonts w:ascii="宋体" w:hAnsi="宋体" w:cs="宋体" w:eastAsia="宋体" w:hint="default"/>
                <w:sz w:val="18"/>
                <w:szCs w:val="18"/>
              </w:rPr>
              <w:t>战略投资者或一般法人因配售新股 成为前</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pacing w:val="-13"/>
                <w:sz w:val="18"/>
                <w:szCs w:val="18"/>
              </w:rPr>
              <w:t>名股东的情况（如有）（参</w:t>
            </w:r>
            <w:r>
              <w:rPr>
                <w:rFonts w:ascii="宋体" w:hAnsi="宋体" w:cs="宋体" w:eastAsia="宋体" w:hint="default"/>
                <w:sz w:val="18"/>
                <w:szCs w:val="18"/>
              </w:rPr>
              <w:t> 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6694" w:type="dxa"/>
            <w:gridSpan w:val="7"/>
            <w:tcBorders>
              <w:top w:val="single" w:sz="4" w:space="0" w:color="000000"/>
              <w:left w:val="single" w:sz="9"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714" w:hRule="exact"/>
        </w:trPr>
        <w:tc>
          <w:tcPr>
            <w:tcW w:w="287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40"/>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上述股东关联关系或一致行动的说 明</w:t>
            </w:r>
          </w:p>
        </w:tc>
        <w:tc>
          <w:tcPr>
            <w:tcW w:w="6694" w:type="dxa"/>
            <w:gridSpan w:val="7"/>
            <w:tcBorders>
              <w:top w:val="single" w:sz="4" w:space="0" w:color="000000"/>
              <w:left w:val="single" w:sz="9" w:space="0" w:color="D2D2D2"/>
              <w:bottom w:val="single" w:sz="4" w:space="0" w:color="000000"/>
              <w:right w:val="single" w:sz="4" w:space="0" w:color="000000"/>
            </w:tcBorders>
          </w:tcPr>
          <w:p>
            <w:pPr>
              <w:pStyle w:val="TableParagraph"/>
              <w:spacing w:line="316" w:lineRule="auto" w:before="51"/>
              <w:ind w:left="21" w:right="22"/>
              <w:jc w:val="left"/>
              <w:rPr>
                <w:rFonts w:ascii="宋体" w:hAnsi="宋体" w:cs="宋体" w:eastAsia="宋体" w:hint="default"/>
                <w:sz w:val="18"/>
                <w:szCs w:val="18"/>
              </w:rPr>
            </w:pPr>
            <w:r>
              <w:rPr>
                <w:rFonts w:ascii="宋体" w:hAnsi="宋体" w:cs="宋体" w:eastAsia="宋体" w:hint="default"/>
                <w:spacing w:val="-1"/>
                <w:sz w:val="18"/>
                <w:szCs w:val="18"/>
              </w:rPr>
              <w:t>股东茅屏萍与股东茅庆江系姐弟关系，除此以外，公司未知其他股东是否存在关联关</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系或是否属一致行动人。</w:t>
            </w:r>
          </w:p>
        </w:tc>
      </w:tr>
      <w:tr>
        <w:trPr>
          <w:trHeight w:val="402" w:hRule="exact"/>
        </w:trPr>
        <w:tc>
          <w:tcPr>
            <w:tcW w:w="9569"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名无限售条件股东持股情况</w:t>
            </w:r>
          </w:p>
        </w:tc>
      </w:tr>
      <w:tr>
        <w:trPr>
          <w:trHeight w:val="205" w:hRule="exact"/>
        </w:trPr>
        <w:tc>
          <w:tcPr>
            <w:tcW w:w="2875"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3995" w:type="dxa"/>
            <w:gridSpan w:val="5"/>
            <w:tcBorders>
              <w:top w:val="single" w:sz="4" w:space="0" w:color="000000"/>
              <w:left w:val="single" w:sz="4" w:space="0" w:color="000000"/>
              <w:bottom w:val="nil" w:sz="6" w:space="0" w:color="auto"/>
              <w:right w:val="single" w:sz="4" w:space="0" w:color="000000"/>
            </w:tcBorders>
            <w:shd w:val="clear" w:color="auto" w:fill="D2D2D2"/>
          </w:tcPr>
          <w:p>
            <w:pPr/>
          </w:p>
        </w:tc>
        <w:tc>
          <w:tcPr>
            <w:tcW w:w="269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2" w:hRule="exact"/>
        </w:trPr>
        <w:tc>
          <w:tcPr>
            <w:tcW w:w="2875"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3995" w:type="dxa"/>
            <w:gridSpan w:val="5"/>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44"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699"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875" w:type="dxa"/>
            <w:gridSpan w:val="2"/>
            <w:vMerge/>
            <w:tcBorders>
              <w:left w:val="single" w:sz="4" w:space="0" w:color="000000"/>
              <w:bottom w:val="nil" w:sz="6" w:space="0" w:color="auto"/>
              <w:right w:val="single" w:sz="4" w:space="0" w:color="000000"/>
            </w:tcBorders>
            <w:shd w:val="clear" w:color="auto" w:fill="D2D2D2"/>
          </w:tcPr>
          <w:p>
            <w:pPr/>
          </w:p>
        </w:tc>
        <w:tc>
          <w:tcPr>
            <w:tcW w:w="3995" w:type="dxa"/>
            <w:gridSpan w:val="5"/>
            <w:vMerge/>
            <w:tcBorders>
              <w:left w:val="single" w:sz="4" w:space="0" w:color="000000"/>
              <w:bottom w:val="nil" w:sz="6" w:space="0" w:color="auto"/>
              <w:right w:val="single" w:sz="4" w:space="0" w:color="000000"/>
            </w:tcBorders>
            <w:shd w:val="clear" w:color="auto" w:fill="D2D2D2"/>
          </w:tcPr>
          <w:p>
            <w:pPr/>
          </w:p>
        </w:tc>
        <w:tc>
          <w:tcPr>
            <w:tcW w:w="134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08"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06" w:hRule="exact"/>
        </w:trPr>
        <w:tc>
          <w:tcPr>
            <w:tcW w:w="2875"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3995" w:type="dxa"/>
            <w:gridSpan w:val="5"/>
            <w:tcBorders>
              <w:top w:val="nil" w:sz="6" w:space="0" w:color="auto"/>
              <w:left w:val="single" w:sz="4" w:space="0" w:color="000000"/>
              <w:bottom w:val="single" w:sz="4" w:space="0" w:color="000000"/>
              <w:right w:val="single" w:sz="4" w:space="0" w:color="000000"/>
            </w:tcBorders>
            <w:shd w:val="clear" w:color="auto" w:fill="D2D2D2"/>
          </w:tcPr>
          <w:p>
            <w:pPr/>
          </w:p>
        </w:tc>
        <w:tc>
          <w:tcPr>
            <w:tcW w:w="1349" w:type="dxa"/>
            <w:vMerge/>
            <w:tcBorders>
              <w:left w:val="single" w:sz="4" w:space="0" w:color="000000"/>
              <w:bottom w:val="single" w:sz="4" w:space="0" w:color="000000"/>
              <w:right w:val="single" w:sz="4" w:space="0" w:color="000000"/>
            </w:tcBorders>
            <w:shd w:val="clear" w:color="auto" w:fill="D2D2D2"/>
          </w:tcPr>
          <w:p>
            <w:pPr/>
          </w:p>
        </w:tc>
        <w:tc>
          <w:tcPr>
            <w:tcW w:w="1350"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8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龙中胜</w:t>
            </w:r>
          </w:p>
        </w:tc>
        <w:tc>
          <w:tcPr>
            <w:tcW w:w="399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5,016,533</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5,016,533</w:t>
            </w:r>
          </w:p>
        </w:tc>
      </w:tr>
      <w:tr>
        <w:trPr>
          <w:trHeight w:val="402" w:hRule="exact"/>
        </w:trPr>
        <w:tc>
          <w:tcPr>
            <w:tcW w:w="28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张忠民</w:t>
            </w:r>
          </w:p>
        </w:tc>
        <w:tc>
          <w:tcPr>
            <w:tcW w:w="399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3,529,832</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3,529,832</w:t>
            </w:r>
          </w:p>
        </w:tc>
      </w:tr>
      <w:tr>
        <w:trPr>
          <w:trHeight w:val="402" w:hRule="exact"/>
        </w:trPr>
        <w:tc>
          <w:tcPr>
            <w:tcW w:w="28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雷洪文</w:t>
            </w:r>
          </w:p>
        </w:tc>
        <w:tc>
          <w:tcPr>
            <w:tcW w:w="399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3,070,920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3,070,920</w:t>
            </w:r>
          </w:p>
        </w:tc>
      </w:tr>
      <w:tr>
        <w:trPr>
          <w:trHeight w:val="714" w:hRule="exact"/>
        </w:trPr>
        <w:tc>
          <w:tcPr>
            <w:tcW w:w="2875"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40"/>
              <w:jc w:val="left"/>
              <w:rPr>
                <w:rFonts w:ascii="宋体" w:hAnsi="宋体" w:cs="宋体" w:eastAsia="宋体" w:hint="default"/>
                <w:sz w:val="18"/>
                <w:szCs w:val="18"/>
              </w:rPr>
            </w:pPr>
            <w:r>
              <w:rPr>
                <w:rFonts w:ascii="宋体" w:hAnsi="宋体" w:cs="宋体" w:eastAsia="宋体" w:hint="default"/>
                <w:sz w:val="18"/>
                <w:szCs w:val="18"/>
              </w:rPr>
              <w:t>渤海国际信托股份有限公司－渤海 富盈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号单一资金信托</w:t>
            </w:r>
          </w:p>
        </w:tc>
        <w:tc>
          <w:tcPr>
            <w:tcW w:w="399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2,639,600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2,639,600</w:t>
            </w:r>
          </w:p>
        </w:tc>
      </w:tr>
      <w:tr>
        <w:trPr>
          <w:trHeight w:val="402" w:hRule="exact"/>
        </w:trPr>
        <w:tc>
          <w:tcPr>
            <w:tcW w:w="28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袁小康</w:t>
            </w:r>
          </w:p>
        </w:tc>
        <w:tc>
          <w:tcPr>
            <w:tcW w:w="399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2,309,440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2,309,440</w:t>
            </w:r>
          </w:p>
        </w:tc>
      </w:tr>
      <w:tr>
        <w:trPr>
          <w:trHeight w:val="402" w:hRule="exact"/>
        </w:trPr>
        <w:tc>
          <w:tcPr>
            <w:tcW w:w="28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徐彪</w:t>
            </w:r>
          </w:p>
        </w:tc>
        <w:tc>
          <w:tcPr>
            <w:tcW w:w="399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2,309,440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2,309,440</w:t>
            </w:r>
          </w:p>
        </w:tc>
      </w:tr>
      <w:tr>
        <w:trPr>
          <w:trHeight w:val="714" w:hRule="exact"/>
        </w:trPr>
        <w:tc>
          <w:tcPr>
            <w:tcW w:w="2875"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0"/>
              <w:jc w:val="left"/>
              <w:rPr>
                <w:rFonts w:ascii="宋体" w:hAnsi="宋体" w:cs="宋体" w:eastAsia="宋体" w:hint="default"/>
                <w:sz w:val="18"/>
                <w:szCs w:val="18"/>
              </w:rPr>
            </w:pPr>
            <w:r>
              <w:rPr>
                <w:rFonts w:ascii="宋体" w:hAnsi="宋体" w:cs="宋体" w:eastAsia="宋体" w:hint="default"/>
                <w:sz w:val="18"/>
                <w:szCs w:val="18"/>
              </w:rPr>
              <w:t>中融国际信托有限公司－中融－瞰 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号证券投资集合资金信托计划</w:t>
            </w:r>
          </w:p>
        </w:tc>
        <w:tc>
          <w:tcPr>
            <w:tcW w:w="399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2,274,490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2,274,490</w:t>
            </w:r>
          </w:p>
        </w:tc>
      </w:tr>
      <w:tr>
        <w:trPr>
          <w:trHeight w:val="714" w:hRule="exact"/>
        </w:trPr>
        <w:tc>
          <w:tcPr>
            <w:tcW w:w="2875"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0"/>
              <w:jc w:val="left"/>
              <w:rPr>
                <w:rFonts w:ascii="宋体" w:hAnsi="宋体" w:cs="宋体" w:eastAsia="宋体" w:hint="default"/>
                <w:sz w:val="18"/>
                <w:szCs w:val="18"/>
              </w:rPr>
            </w:pPr>
            <w:r>
              <w:rPr>
                <w:rFonts w:ascii="宋体" w:hAnsi="宋体" w:cs="宋体" w:eastAsia="宋体" w:hint="default"/>
                <w:sz w:val="18"/>
                <w:szCs w:val="18"/>
              </w:rPr>
              <w:t>中融国际信托有限公司－中融－瞰 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号证券投资集合资金信托计划</w:t>
            </w:r>
          </w:p>
        </w:tc>
        <w:tc>
          <w:tcPr>
            <w:tcW w:w="399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2,063,010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2,063,010</w:t>
            </w:r>
          </w:p>
        </w:tc>
      </w:tr>
      <w:tr>
        <w:trPr>
          <w:trHeight w:val="402" w:hRule="exact"/>
        </w:trPr>
        <w:tc>
          <w:tcPr>
            <w:tcW w:w="28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中央汇金资产管理有限责任公司</w:t>
            </w:r>
          </w:p>
        </w:tc>
        <w:tc>
          <w:tcPr>
            <w:tcW w:w="399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1,171,819</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1,171,819</w:t>
            </w:r>
          </w:p>
        </w:tc>
      </w:tr>
      <w:tr>
        <w:trPr>
          <w:trHeight w:val="714" w:hRule="exact"/>
        </w:trPr>
        <w:tc>
          <w:tcPr>
            <w:tcW w:w="2875"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40"/>
              <w:jc w:val="left"/>
              <w:rPr>
                <w:rFonts w:ascii="宋体" w:hAnsi="宋体" w:cs="宋体" w:eastAsia="宋体" w:hint="default"/>
                <w:sz w:val="18"/>
                <w:szCs w:val="18"/>
              </w:rPr>
            </w:pPr>
            <w:r>
              <w:rPr>
                <w:rFonts w:ascii="宋体" w:hAnsi="宋体" w:cs="宋体" w:eastAsia="宋体" w:hint="default"/>
                <w:sz w:val="18"/>
                <w:szCs w:val="18"/>
              </w:rPr>
              <w:t>广州市银国达资产管理有限公司－ 银国达佛山</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号基金</w:t>
            </w:r>
          </w:p>
        </w:tc>
        <w:tc>
          <w:tcPr>
            <w:tcW w:w="399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1,125,000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1,125,000</w:t>
            </w:r>
          </w:p>
        </w:tc>
      </w:tr>
      <w:tr>
        <w:trPr>
          <w:trHeight w:val="1338" w:hRule="exact"/>
        </w:trPr>
        <w:tc>
          <w:tcPr>
            <w:tcW w:w="287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名无限售流通股股东之间，以</w:t>
            </w:r>
          </w:p>
          <w:p>
            <w:pPr>
              <w:pStyle w:val="TableParagraph"/>
              <w:spacing w:line="309" w:lineRule="auto" w:before="61"/>
              <w:ind w:left="22" w:right="16"/>
              <w:jc w:val="left"/>
              <w:rPr>
                <w:rFonts w:ascii="宋体" w:hAnsi="宋体" w:cs="宋体" w:eastAsia="宋体" w:hint="default"/>
                <w:sz w:val="18"/>
                <w:szCs w:val="18"/>
              </w:rPr>
            </w:pPr>
            <w:r>
              <w:rPr>
                <w:rFonts w:ascii="宋体" w:hAnsi="宋体" w:cs="宋体" w:eastAsia="宋体" w:hint="default"/>
                <w:sz w:val="18"/>
                <w:szCs w:val="18"/>
              </w:rPr>
              <w:t>及前</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名无限售流通股股东和前</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名股东之间关联关系或一致行动的 说明</w:t>
            </w:r>
          </w:p>
        </w:tc>
        <w:tc>
          <w:tcPr>
            <w:tcW w:w="6694" w:type="dxa"/>
            <w:gridSpan w:val="7"/>
            <w:tcBorders>
              <w:top w:val="single" w:sz="4" w:space="0" w:color="000000"/>
              <w:left w:val="single" w:sz="9"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00" w:lineRule="auto" w:before="128"/>
              <w:ind w:left="21" w:right="84"/>
              <w:jc w:val="left"/>
              <w:rPr>
                <w:rFonts w:ascii="宋体" w:hAnsi="宋体" w:cs="宋体" w:eastAsia="宋体" w:hint="default"/>
                <w:sz w:val="18"/>
                <w:szCs w:val="18"/>
              </w:rPr>
            </w:pPr>
            <w:r>
              <w:rPr>
                <w:rFonts w:ascii="宋体" w:hAnsi="宋体" w:cs="宋体" w:eastAsia="宋体" w:hint="default"/>
                <w:sz w:val="18"/>
                <w:szCs w:val="18"/>
              </w:rPr>
              <w:t>公司未知前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名无限售股东之间，以及前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名无限售流通股股东和前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名股东之 间是否存在关联关系，也未知是否属一致行动人。</w:t>
            </w:r>
          </w:p>
        </w:tc>
      </w:tr>
      <w:tr>
        <w:trPr>
          <w:trHeight w:val="714" w:hRule="exact"/>
        </w:trPr>
        <w:tc>
          <w:tcPr>
            <w:tcW w:w="287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6"/>
              <w:jc w:val="left"/>
              <w:rPr>
                <w:rFonts w:ascii="宋体" w:hAnsi="宋体" w:cs="宋体" w:eastAsia="宋体" w:hint="default"/>
                <w:sz w:val="18"/>
                <w:szCs w:val="18"/>
              </w:rPr>
            </w:pPr>
            <w:r>
              <w:rPr>
                <w:rFonts w:ascii="宋体" w:hAnsi="宋体" w:cs="宋体" w:eastAsia="宋体" w:hint="default"/>
                <w:spacing w:val="-4"/>
                <w:sz w:val="18"/>
                <w:szCs w:val="18"/>
              </w:rPr>
              <w:t>参与融资融券业务股东情况说明（如</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15"/>
                <w:sz w:val="18"/>
                <w:szCs w:val="18"/>
              </w:rPr>
              <w:t>有）（参见注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tc>
        <w:tc>
          <w:tcPr>
            <w:tcW w:w="6694" w:type="dxa"/>
            <w:gridSpan w:val="7"/>
            <w:tcBorders>
              <w:top w:val="single" w:sz="4" w:space="0" w:color="000000"/>
              <w:left w:val="single" w:sz="9"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6"/>
        <w:rPr>
          <w:rFonts w:ascii="宋体" w:hAnsi="宋体" w:cs="宋体" w:eastAsia="宋体" w:hint="default"/>
          <w:sz w:val="6"/>
          <w:szCs w:val="6"/>
        </w:rPr>
      </w:pPr>
    </w:p>
    <w:p>
      <w:pPr>
        <w:pStyle w:val="BodyText"/>
        <w:spacing w:line="240" w:lineRule="auto" w:before="44"/>
        <w:ind w:right="0"/>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名无限售条件普通股股东在报告期内是否进行约定购回交易</w:t>
      </w:r>
    </w:p>
    <w:p>
      <w:pPr>
        <w:spacing w:line="240" w:lineRule="auto" w:before="11"/>
        <w:rPr>
          <w:rFonts w:ascii="宋体" w:hAnsi="宋体" w:cs="宋体" w:eastAsia="宋体" w:hint="default"/>
          <w:sz w:val="19"/>
          <w:szCs w:val="19"/>
        </w:rPr>
      </w:pPr>
    </w:p>
    <w:p>
      <w:pPr>
        <w:pStyle w:val="BodyText"/>
        <w:spacing w:line="240" w:lineRule="auto"/>
        <w:ind w:left="1133"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0"/>
        <w:rPr>
          <w:rFonts w:ascii="宋体" w:hAnsi="宋体" w:cs="宋体" w:eastAsia="宋体" w:hint="default"/>
          <w:sz w:val="19"/>
          <w:szCs w:val="19"/>
        </w:rPr>
      </w:pPr>
    </w:p>
    <w:p>
      <w:pPr>
        <w:pStyle w:val="BodyText"/>
        <w:spacing w:line="240" w:lineRule="auto"/>
        <w:ind w:left="1133" w:right="0"/>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名无限售条件普通股股东在报告期内未进行约定购回交易。</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9"/>
          <w:szCs w:val="19"/>
        </w:rPr>
      </w:pPr>
    </w:p>
    <w:p>
      <w:pPr>
        <w:pStyle w:val="Heading3"/>
        <w:spacing w:line="240" w:lineRule="auto"/>
        <w:ind w:left="1133" w:right="0"/>
        <w:jc w:val="left"/>
        <w:rPr>
          <w:b w:val="0"/>
          <w:bCs w:val="0"/>
        </w:rPr>
      </w:pPr>
      <w:bookmarkStart w:name="2、公司控股股东情况" w:id="113"/>
      <w:bookmarkEnd w:id="113"/>
      <w:r>
        <w:rPr>
          <w:b w:val="0"/>
          <w:bCs w:val="0"/>
        </w:rPr>
      </w:r>
      <w:r>
        <w:rPr>
          <w:rFonts w:ascii="Times New Roman" w:hAnsi="Times New Roman" w:cs="Times New Roman" w:eastAsia="Times New Roman" w:hint="default"/>
        </w:rPr>
        <w:t>2</w:t>
      </w:r>
      <w:r>
        <w:rPr/>
        <w:t>、公司控股股东情况</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pStyle w:val="BodyText"/>
        <w:spacing w:line="240" w:lineRule="auto"/>
        <w:ind w:left="1133" w:right="0"/>
        <w:jc w:val="left"/>
      </w:pPr>
      <w:r>
        <w:rPr/>
        <w:t>控股股东性质：自然人控股</w:t>
      </w:r>
    </w:p>
    <w:p>
      <w:pPr>
        <w:spacing w:after="0" w:line="240" w:lineRule="auto"/>
        <w:jc w:val="left"/>
        <w:sectPr>
          <w:pgSz w:w="11910" w:h="16840"/>
          <w:pgMar w:header="787" w:footer="640" w:top="1100" w:bottom="840" w:left="0" w:right="0"/>
        </w:sectPr>
      </w:pPr>
    </w:p>
    <w:p>
      <w:pPr>
        <w:spacing w:line="240" w:lineRule="auto" w:before="11"/>
        <w:rPr>
          <w:rFonts w:ascii="宋体" w:hAnsi="宋体" w:cs="宋体" w:eastAsia="宋体" w:hint="default"/>
          <w:sz w:val="28"/>
          <w:szCs w:val="28"/>
        </w:rPr>
      </w:pPr>
    </w:p>
    <w:p>
      <w:pPr>
        <w:pStyle w:val="BodyText"/>
        <w:spacing w:line="240" w:lineRule="auto" w:before="44"/>
        <w:ind w:right="0"/>
        <w:jc w:val="left"/>
      </w:pPr>
      <w:r>
        <w:rPr/>
        <w:t>控股股东类型：自然人</w:t>
      </w:r>
    </w:p>
    <w:p>
      <w:pPr>
        <w:spacing w:line="240" w:lineRule="auto" w:before="13"/>
        <w:rPr>
          <w:rFonts w:ascii="宋体" w:hAnsi="宋体" w:cs="宋体" w:eastAsia="宋体" w:hint="default"/>
          <w:sz w:val="13"/>
          <w:szCs w:val="13"/>
        </w:rPr>
      </w:pPr>
    </w:p>
    <w:tbl>
      <w:tblPr>
        <w:tblW w:w="0" w:type="auto"/>
        <w:jc w:val="left"/>
        <w:tblInd w:w="1129" w:type="dxa"/>
        <w:tblLayout w:type="fixed"/>
        <w:tblCellMar>
          <w:top w:w="0" w:type="dxa"/>
          <w:left w:w="0" w:type="dxa"/>
          <w:bottom w:w="0" w:type="dxa"/>
          <w:right w:w="0" w:type="dxa"/>
        </w:tblCellMar>
        <w:tblLook w:val="01E0"/>
      </w:tblPr>
      <w:tblGrid>
        <w:gridCol w:w="3418"/>
        <w:gridCol w:w="2030"/>
        <w:gridCol w:w="4121"/>
      </w:tblGrid>
      <w:tr>
        <w:trPr>
          <w:trHeight w:val="401"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控股股东姓名</w:t>
            </w:r>
          </w:p>
        </w:tc>
        <w:tc>
          <w:tcPr>
            <w:tcW w:w="20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94"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茅庆江</w:t>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1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担任本公司董事长</w:t>
            </w:r>
          </w:p>
        </w:tc>
      </w:tr>
      <w:tr>
        <w:trPr>
          <w:trHeight w:val="715"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143"/>
              <w:jc w:val="left"/>
              <w:rPr>
                <w:rFonts w:ascii="宋体" w:hAnsi="宋体" w:cs="宋体" w:eastAsia="宋体" w:hint="default"/>
                <w:sz w:val="18"/>
                <w:szCs w:val="18"/>
              </w:rPr>
            </w:pPr>
            <w:r>
              <w:rPr>
                <w:rFonts w:ascii="宋体" w:hAnsi="宋体" w:cs="宋体" w:eastAsia="宋体" w:hint="default"/>
                <w:sz w:val="18"/>
                <w:szCs w:val="18"/>
              </w:rPr>
              <w:t>报告期内控股和参股的其他境内外上市公 司的股权情况</w:t>
            </w:r>
          </w:p>
        </w:tc>
        <w:tc>
          <w:tcPr>
            <w:tcW w:w="61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6"/>
        <w:rPr>
          <w:rFonts w:ascii="宋体" w:hAnsi="宋体" w:cs="宋体" w:eastAsia="宋体" w:hint="default"/>
          <w:sz w:val="6"/>
          <w:szCs w:val="6"/>
        </w:rPr>
      </w:pPr>
    </w:p>
    <w:p>
      <w:pPr>
        <w:pStyle w:val="BodyText"/>
        <w:spacing w:line="240" w:lineRule="auto" w:before="44"/>
        <w:ind w:right="0"/>
        <w:jc w:val="left"/>
      </w:pPr>
      <w:r>
        <w:rPr/>
        <w:t>控股股东报告期内变更</w:t>
      </w:r>
    </w:p>
    <w:p>
      <w:pPr>
        <w:spacing w:line="240" w:lineRule="auto" w:before="10"/>
        <w:rPr>
          <w:rFonts w:ascii="宋体" w:hAnsi="宋体" w:cs="宋体" w:eastAsia="宋体" w:hint="default"/>
          <w:sz w:val="20"/>
          <w:szCs w:val="20"/>
        </w:rPr>
      </w:pPr>
    </w:p>
    <w:p>
      <w:pPr>
        <w:pStyle w:val="BodyText"/>
        <w:spacing w:line="489" w:lineRule="auto"/>
        <w:ind w:left="1133" w:right="80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公司报告期控股股东未发生变更。</w:t>
      </w:r>
    </w:p>
    <w:p>
      <w:pPr>
        <w:spacing w:line="240" w:lineRule="auto" w:before="5"/>
        <w:rPr>
          <w:rFonts w:ascii="宋体" w:hAnsi="宋体" w:cs="宋体" w:eastAsia="宋体" w:hint="default"/>
          <w:sz w:val="24"/>
          <w:szCs w:val="24"/>
        </w:rPr>
      </w:pPr>
    </w:p>
    <w:p>
      <w:pPr>
        <w:pStyle w:val="Heading3"/>
        <w:spacing w:line="240" w:lineRule="auto"/>
        <w:ind w:left="1133" w:right="0"/>
        <w:jc w:val="left"/>
        <w:rPr>
          <w:b w:val="0"/>
          <w:bCs w:val="0"/>
        </w:rPr>
      </w:pPr>
      <w:bookmarkStart w:name="3、公司实际控制人情况" w:id="114"/>
      <w:bookmarkEnd w:id="114"/>
      <w:r>
        <w:rPr>
          <w:b w:val="0"/>
          <w:bCs w:val="0"/>
        </w:rPr>
      </w:r>
      <w:r>
        <w:rPr>
          <w:rFonts w:ascii="Times New Roman" w:hAnsi="Times New Roman" w:cs="Times New Roman" w:eastAsia="Times New Roman" w:hint="default"/>
        </w:rPr>
        <w:t>3</w:t>
      </w:r>
      <w:r>
        <w:rPr/>
        <w:t>、公司实际控制人情况</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pStyle w:val="BodyText"/>
        <w:spacing w:line="516" w:lineRule="auto"/>
        <w:ind w:left="1133" w:right="8413"/>
        <w:jc w:val="left"/>
      </w:pPr>
      <w:r>
        <w:rPr/>
        <w:pict>
          <v:shape style="position:absolute;margin-left:56.459999pt;margin-top:46.301723pt;width:479.2pt;height:80.95pt;mso-position-horizontal-relative:page;mso-position-vertical-relative:paragraph;z-index:22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335"/>
                    <w:gridCol w:w="2057"/>
                    <w:gridCol w:w="4176"/>
                  </w:tblGrid>
                  <w:tr>
                    <w:trPr>
                      <w:trHeight w:val="401" w:hRule="exact"/>
                    </w:trPr>
                    <w:tc>
                      <w:tcPr>
                        <w:tcW w:w="3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2"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23"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2" w:hRule="exact"/>
                    </w:trPr>
                    <w:tc>
                      <w:tcPr>
                        <w:tcW w:w="3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茅庆江</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3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234"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53"/>
                          <w:ind w:left="16" w:right="0"/>
                          <w:jc w:val="left"/>
                          <w:rPr>
                            <w:rFonts w:ascii="宋体" w:hAnsi="宋体" w:cs="宋体" w:eastAsia="宋体" w:hint="default"/>
                            <w:sz w:val="18"/>
                            <w:szCs w:val="18"/>
                          </w:rPr>
                        </w:pPr>
                        <w:r>
                          <w:rPr>
                            <w:rFonts w:ascii="宋体" w:hAnsi="宋体" w:cs="宋体" w:eastAsia="宋体" w:hint="default"/>
                            <w:sz w:val="18"/>
                            <w:szCs w:val="18"/>
                          </w:rPr>
                          <w:t>担任本公司董事长</w:t>
                        </w:r>
                      </w:p>
                    </w:tc>
                  </w:tr>
                  <w:tr>
                    <w:trPr>
                      <w:trHeight w:val="403" w:hRule="exact"/>
                    </w:trPr>
                    <w:tc>
                      <w:tcPr>
                        <w:tcW w:w="3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年曾控股的境内外上市公司情况</w:t>
                        </w:r>
                      </w:p>
                    </w:tc>
                    <w:tc>
                      <w:tcPr>
                        <w:tcW w:w="6234"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16"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
              </w:txbxContent>
            </v:textbox>
            <w10:wrap type="none"/>
          </v:shape>
        </w:pict>
      </w:r>
      <w:r>
        <w:rPr/>
        <w:t>实际控制人性质：境内自然人 实际控制人类型：自然人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8"/>
          <w:szCs w:val="28"/>
        </w:rPr>
      </w:pPr>
    </w:p>
    <w:p>
      <w:pPr>
        <w:pStyle w:val="BodyText"/>
        <w:spacing w:line="240" w:lineRule="auto" w:before="44"/>
        <w:ind w:right="0"/>
        <w:jc w:val="left"/>
      </w:pPr>
      <w:r>
        <w:rPr/>
        <w:t>实际控制人报告期内变更</w:t>
      </w:r>
    </w:p>
    <w:p>
      <w:pPr>
        <w:spacing w:line="240" w:lineRule="auto" w:before="10"/>
        <w:rPr>
          <w:rFonts w:ascii="宋体" w:hAnsi="宋体" w:cs="宋体" w:eastAsia="宋体" w:hint="default"/>
          <w:sz w:val="20"/>
          <w:szCs w:val="20"/>
        </w:rPr>
      </w:pPr>
    </w:p>
    <w:p>
      <w:pPr>
        <w:pStyle w:val="BodyText"/>
        <w:spacing w:line="504" w:lineRule="auto"/>
        <w:ind w:left="1133"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公司报告期实际控制人未发生变更。 公司与实际控制人之间的产权及控制关系的方框图</w:t>
      </w:r>
    </w:p>
    <w:p>
      <w:pPr>
        <w:spacing w:line="240" w:lineRule="auto" w:before="9"/>
        <w:rPr>
          <w:rFonts w:ascii="宋体" w:hAnsi="宋体" w:cs="宋体" w:eastAsia="宋体" w:hint="default"/>
          <w:sz w:val="11"/>
          <w:szCs w:val="11"/>
        </w:rPr>
      </w:pPr>
    </w:p>
    <w:p>
      <w:pPr>
        <w:spacing w:line="4018" w:lineRule="exact"/>
        <w:ind w:left="2336" w:right="0" w:firstLine="0"/>
        <w:rPr>
          <w:rFonts w:ascii="宋体" w:hAnsi="宋体" w:cs="宋体" w:eastAsia="宋体" w:hint="default"/>
          <w:sz w:val="20"/>
          <w:szCs w:val="20"/>
        </w:rPr>
      </w:pPr>
      <w:r>
        <w:rPr>
          <w:rFonts w:ascii="宋体" w:hAnsi="宋体" w:cs="宋体" w:eastAsia="宋体" w:hint="default"/>
          <w:position w:val="-79"/>
          <w:sz w:val="20"/>
          <w:szCs w:val="20"/>
        </w:rPr>
        <w:drawing>
          <wp:inline distT="0" distB="0" distL="0" distR="0">
            <wp:extent cx="4574464" cy="2551557"/>
            <wp:effectExtent l="0" t="0" r="0" b="0"/>
            <wp:docPr id="3" name="image3.jpeg" descr=""/>
            <wp:cNvGraphicFramePr>
              <a:graphicFrameLocks noChangeAspect="1"/>
            </wp:cNvGraphicFramePr>
            <a:graphic>
              <a:graphicData uri="http://schemas.openxmlformats.org/drawingml/2006/picture">
                <pic:pic>
                  <pic:nvPicPr>
                    <pic:cNvPr id="4" name="image3.jpeg"/>
                    <pic:cNvPicPr/>
                  </pic:nvPicPr>
                  <pic:blipFill>
                    <a:blip r:embed="rId39" cstate="print"/>
                    <a:stretch>
                      <a:fillRect/>
                    </a:stretch>
                  </pic:blipFill>
                  <pic:spPr>
                    <a:xfrm>
                      <a:off x="0" y="0"/>
                      <a:ext cx="4574464" cy="2551557"/>
                    </a:xfrm>
                    <a:prstGeom prst="rect">
                      <a:avLst/>
                    </a:prstGeom>
                  </pic:spPr>
                </pic:pic>
              </a:graphicData>
            </a:graphic>
          </wp:inline>
        </w:drawing>
      </w:r>
      <w:r>
        <w:rPr>
          <w:rFonts w:ascii="宋体" w:hAnsi="宋体" w:cs="宋体" w:eastAsia="宋体" w:hint="default"/>
          <w:position w:val="-79"/>
          <w:sz w:val="20"/>
          <w:szCs w:val="20"/>
        </w:rPr>
      </w:r>
    </w:p>
    <w:p>
      <w:pPr>
        <w:spacing w:after="0" w:line="4018" w:lineRule="exact"/>
        <w:rPr>
          <w:rFonts w:ascii="宋体" w:hAnsi="宋体" w:cs="宋体" w:eastAsia="宋体" w:hint="default"/>
          <w:sz w:val="20"/>
          <w:szCs w:val="20"/>
        </w:rPr>
        <w:sectPr>
          <w:footerReference w:type="default" r:id="rId38"/>
          <w:pgSz w:w="11910" w:h="16840"/>
          <w:pgMar w:footer="640" w:header="787" w:top="1100" w:bottom="840" w:left="0" w:right="0"/>
        </w:sectPr>
      </w:pPr>
    </w:p>
    <w:p>
      <w:pPr>
        <w:spacing w:line="240" w:lineRule="auto" w:before="11"/>
        <w:rPr>
          <w:rFonts w:ascii="宋体" w:hAnsi="宋体" w:cs="宋体" w:eastAsia="宋体" w:hint="default"/>
          <w:sz w:val="28"/>
          <w:szCs w:val="28"/>
        </w:rPr>
      </w:pPr>
    </w:p>
    <w:p>
      <w:pPr>
        <w:pStyle w:val="BodyText"/>
        <w:spacing w:line="240" w:lineRule="auto" w:before="44"/>
        <w:ind w:right="0"/>
        <w:jc w:val="left"/>
      </w:pPr>
      <w:r>
        <w:rPr/>
        <w:t>实际控制人通过信托或其他资产管理方式控制公司</w:t>
      </w:r>
    </w:p>
    <w:p>
      <w:pPr>
        <w:spacing w:line="240" w:lineRule="auto" w:before="10"/>
        <w:rPr>
          <w:rFonts w:ascii="宋体" w:hAnsi="宋体" w:cs="宋体" w:eastAsia="宋体" w:hint="default"/>
          <w:sz w:val="20"/>
          <w:szCs w:val="20"/>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9"/>
          <w:szCs w:val="19"/>
        </w:rPr>
      </w:pPr>
    </w:p>
    <w:p>
      <w:pPr>
        <w:pStyle w:val="Heading3"/>
        <w:spacing w:line="240" w:lineRule="auto"/>
        <w:ind w:left="1133" w:right="0"/>
        <w:jc w:val="left"/>
        <w:rPr>
          <w:b w:val="0"/>
          <w:bCs w:val="0"/>
        </w:rPr>
      </w:pPr>
      <w:bookmarkStart w:name="4、其他持股在10%以上的法人股东" w:id="115"/>
      <w:bookmarkEnd w:id="115"/>
      <w:r>
        <w:rPr>
          <w:b w:val="0"/>
          <w:bCs w:val="0"/>
        </w:rPr>
      </w:r>
      <w:r>
        <w:rPr>
          <w:rFonts w:ascii="Times New Roman" w:hAnsi="Times New Roman" w:cs="Times New Roman" w:eastAsia="Times New Roman" w:hint="default"/>
        </w:rPr>
        <w:t>4</w:t>
      </w:r>
      <w:r>
        <w:rPr/>
        <w:t>、其他持股在</w:t>
      </w:r>
      <w:r>
        <w:rPr>
          <w:spacing w:val="-57"/>
        </w:rPr>
        <w:t> </w:t>
      </w:r>
      <w:r>
        <w:rPr>
          <w:rFonts w:ascii="Times New Roman" w:hAnsi="Times New Roman" w:cs="Times New Roman" w:eastAsia="Times New Roman" w:hint="default"/>
        </w:rPr>
        <w:t>10%</w:t>
      </w:r>
      <w:r>
        <w:rPr/>
        <w:t>以上的法人股东</w:t>
      </w:r>
      <w:r>
        <w:rPr>
          <w:b w:val="0"/>
          <w:bCs w:val="0"/>
        </w:rPr>
      </w:r>
    </w:p>
    <w:p>
      <w:pPr>
        <w:spacing w:line="240" w:lineRule="auto" w:before="0"/>
        <w:rPr>
          <w:rFonts w:ascii="宋体" w:hAnsi="宋体" w:cs="宋体" w:eastAsia="宋体" w:hint="default"/>
          <w:b/>
          <w:bCs/>
          <w:sz w:val="22"/>
          <w:szCs w:val="22"/>
        </w:rPr>
      </w:pPr>
    </w:p>
    <w:p>
      <w:pPr>
        <w:spacing w:line="240" w:lineRule="auto" w:before="5"/>
        <w:rPr>
          <w:rFonts w:ascii="宋体" w:hAnsi="宋体" w:cs="宋体" w:eastAsia="宋体" w:hint="default"/>
          <w:b/>
          <w:bCs/>
          <w:sz w:val="16"/>
          <w:szCs w:val="1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9"/>
          <w:szCs w:val="19"/>
        </w:rPr>
      </w:pPr>
    </w:p>
    <w:p>
      <w:pPr>
        <w:pStyle w:val="Heading3"/>
        <w:spacing w:line="240" w:lineRule="auto"/>
        <w:ind w:left="1133" w:right="0"/>
        <w:jc w:val="left"/>
        <w:rPr>
          <w:b w:val="0"/>
          <w:bCs w:val="0"/>
        </w:rPr>
      </w:pPr>
      <w:bookmarkStart w:name="5、控股股东、实际控制人、重组方及其他承诺主体股份限制减持情况" w:id="116"/>
      <w:bookmarkEnd w:id="116"/>
      <w:r>
        <w:rPr>
          <w:b w:val="0"/>
          <w:bCs w:val="0"/>
        </w:rPr>
      </w: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0"/>
        <w:rPr>
          <w:rFonts w:ascii="宋体" w:hAnsi="宋体" w:cs="宋体" w:eastAsia="宋体" w:hint="default"/>
          <w:b/>
          <w:bCs/>
          <w:sz w:val="22"/>
          <w:szCs w:val="22"/>
        </w:rPr>
      </w:pPr>
    </w:p>
    <w:p>
      <w:pPr>
        <w:spacing w:line="240" w:lineRule="auto" w:before="5"/>
        <w:rPr>
          <w:rFonts w:ascii="宋体" w:hAnsi="宋体" w:cs="宋体" w:eastAsia="宋体" w:hint="default"/>
          <w:b/>
          <w:bCs/>
          <w:sz w:val="16"/>
          <w:szCs w:val="1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87" w:footer="640" w:top="1100" w:bottom="84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7"/>
          <w:szCs w:val="17"/>
        </w:rPr>
      </w:pPr>
    </w:p>
    <w:p>
      <w:pPr>
        <w:pStyle w:val="Heading1"/>
        <w:spacing w:line="240" w:lineRule="auto"/>
        <w:ind w:right="4090"/>
        <w:jc w:val="center"/>
        <w:rPr>
          <w:b w:val="0"/>
          <w:bCs w:val="0"/>
        </w:rPr>
      </w:pPr>
      <w:bookmarkStart w:name="第七节 优先股相关情况" w:id="117"/>
      <w:bookmarkEnd w:id="117"/>
      <w:r>
        <w:rPr>
          <w:b w:val="0"/>
          <w:bCs w:val="0"/>
        </w:rPr>
      </w:r>
      <w:bookmarkStart w:name="_bookmark5" w:id="118"/>
      <w:bookmarkEnd w:id="118"/>
      <w:r>
        <w:rPr>
          <w:b w:val="0"/>
          <w:bCs w:val="0"/>
        </w:rPr>
      </w:r>
      <w:r>
        <w:rPr/>
        <w:t>第七节</w:t>
      </w:r>
      <w:r>
        <w:rPr>
          <w:spacing w:val="-8"/>
        </w:rPr>
        <w:t> </w:t>
      </w:r>
      <w:r>
        <w:rPr/>
        <w:t>优先股相关情况</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p>
      <w:pPr>
        <w:pStyle w:val="BodyText"/>
        <w:spacing w:line="489" w:lineRule="auto" w:before="44"/>
        <w:ind w:left="1133" w:right="85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报告期公司不存在优先股。</w:t>
      </w:r>
    </w:p>
    <w:p>
      <w:pPr>
        <w:spacing w:after="0" w:line="489" w:lineRule="auto"/>
        <w:jc w:val="left"/>
        <w:sectPr>
          <w:pgSz w:w="11910" w:h="16840"/>
          <w:pgMar w:header="787" w:footer="640" w:top="1100" w:bottom="84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7"/>
          <w:szCs w:val="17"/>
        </w:rPr>
      </w:pPr>
    </w:p>
    <w:p>
      <w:pPr>
        <w:pStyle w:val="Heading1"/>
        <w:spacing w:line="240" w:lineRule="auto"/>
        <w:ind w:left="2660" w:right="0"/>
        <w:jc w:val="left"/>
        <w:rPr>
          <w:b w:val="0"/>
          <w:bCs w:val="0"/>
        </w:rPr>
      </w:pPr>
      <w:bookmarkStart w:name="第八节 董事、监事、高级管理人员和员工情况" w:id="119"/>
      <w:bookmarkEnd w:id="119"/>
      <w:r>
        <w:rPr>
          <w:b w:val="0"/>
          <w:bCs w:val="0"/>
        </w:rPr>
      </w:r>
      <w:bookmarkStart w:name="_bookmark6" w:id="120"/>
      <w:bookmarkEnd w:id="120"/>
      <w:r>
        <w:rPr>
          <w:b w:val="0"/>
          <w:bCs w:val="0"/>
        </w:rPr>
      </w:r>
      <w:r>
        <w:rPr/>
        <w:t>第八节</w:t>
      </w:r>
      <w:r>
        <w:rPr>
          <w:spacing w:val="-16"/>
        </w:rPr>
        <w:t> </w:t>
      </w:r>
      <w:r>
        <w:rPr/>
        <w:t>董事、监事、高级管理人员和员工情况</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0"/>
        <w:jc w:val="left"/>
        <w:rPr>
          <w:b w:val="0"/>
          <w:bCs w:val="0"/>
        </w:rPr>
      </w:pPr>
      <w:bookmarkStart w:name="一、董事、监事和高级管理人员持股变动" w:id="121"/>
      <w:bookmarkEnd w:id="121"/>
      <w:r>
        <w:rPr>
          <w:b w:val="0"/>
          <w:bCs w:val="0"/>
        </w:rPr>
      </w: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798"/>
        <w:gridCol w:w="797"/>
        <w:gridCol w:w="797"/>
        <w:gridCol w:w="798"/>
        <w:gridCol w:w="798"/>
        <w:gridCol w:w="797"/>
        <w:gridCol w:w="798"/>
        <w:gridCol w:w="798"/>
        <w:gridCol w:w="798"/>
        <w:gridCol w:w="798"/>
        <w:gridCol w:w="798"/>
        <w:gridCol w:w="798"/>
      </w:tblGrid>
      <w:tr>
        <w:trPr>
          <w:trHeight w:val="1025"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4"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13" w:right="31"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期初持股 数（股）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3"/>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20"/>
              <w:ind w:left="12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2"/>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20"/>
              <w:ind w:left="12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44" w:firstLine="10"/>
              <w:jc w:val="left"/>
              <w:rPr>
                <w:rFonts w:ascii="宋体" w:hAnsi="宋体" w:cs="宋体" w:eastAsia="宋体" w:hint="default"/>
                <w:sz w:val="18"/>
                <w:szCs w:val="18"/>
              </w:rPr>
            </w:pPr>
            <w:r>
              <w:rPr>
                <w:rFonts w:ascii="宋体" w:hAnsi="宋体" w:cs="宋体" w:eastAsia="宋体" w:hint="default"/>
                <w:sz w:val="18"/>
                <w:szCs w:val="18"/>
              </w:rPr>
              <w:t>其他增减 </w:t>
            </w:r>
            <w:r>
              <w:rPr>
                <w:rFonts w:ascii="宋体" w:hAnsi="宋体" w:cs="宋体" w:eastAsia="宋体" w:hint="default"/>
                <w:spacing w:val="-19"/>
                <w:sz w:val="18"/>
                <w:szCs w:val="18"/>
              </w:rPr>
              <w:t>变动（股）</w:t>
            </w:r>
            <w:r>
              <w:rPr>
                <w:rFonts w:ascii="宋体" w:hAnsi="宋体" w:cs="宋体" w:eastAsia="宋体" w:hint="default"/>
                <w:sz w:val="18"/>
                <w:szCs w:val="18"/>
              </w:rPr>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期末持股 数（股）</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茅庆江</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78,918,40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78,918,40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雷洪文</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42"/>
              <w:jc w:val="left"/>
              <w:rPr>
                <w:rFonts w:ascii="宋体" w:hAnsi="宋体" w:cs="宋体" w:eastAsia="宋体" w:hint="default"/>
                <w:sz w:val="18"/>
                <w:szCs w:val="18"/>
              </w:rPr>
            </w:pPr>
            <w:r>
              <w:rPr>
                <w:rFonts w:ascii="宋体" w:hAnsi="宋体" w:cs="宋体" w:eastAsia="宋体" w:hint="default"/>
                <w:sz w:val="18"/>
                <w:szCs w:val="18"/>
              </w:rPr>
              <w:t>董事、总 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12,283,68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12,283,68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王朝曦</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秦家银</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黄洋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高传江</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42"/>
              <w:jc w:val="left"/>
              <w:rPr>
                <w:rFonts w:ascii="宋体" w:hAnsi="宋体" w:cs="宋体" w:eastAsia="宋体" w:hint="default"/>
                <w:sz w:val="18"/>
                <w:szCs w:val="18"/>
              </w:rPr>
            </w:pPr>
            <w:r>
              <w:rPr>
                <w:rFonts w:ascii="宋体" w:hAnsi="宋体" w:cs="宋体" w:eastAsia="宋体" w:hint="default"/>
                <w:sz w:val="18"/>
                <w:szCs w:val="18"/>
              </w:rPr>
              <w:t>监事会主 席</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郑盛泰</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龙  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袁小康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9,237,760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9,237,760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徐  彪</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9,237,760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9,237,760</w:t>
            </w:r>
          </w:p>
        </w:tc>
      </w:tr>
      <w:tr>
        <w:trPr>
          <w:trHeight w:val="402"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龙中胜</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5,016,533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5,016,533</w:t>
            </w:r>
          </w:p>
        </w:tc>
      </w:tr>
    </w:tbl>
    <w:p>
      <w:pPr>
        <w:spacing w:after="0" w:line="240" w:lineRule="auto"/>
        <w:jc w:val="right"/>
        <w:rPr>
          <w:rFonts w:ascii="Times New Roman" w:hAnsi="Times New Roman" w:cs="Times New Roman" w:eastAsia="Times New Roman" w:hint="default"/>
          <w:sz w:val="18"/>
          <w:szCs w:val="18"/>
        </w:rPr>
        <w:sectPr>
          <w:pgSz w:w="11910" w:h="16840"/>
          <w:pgMar w:header="787" w:footer="640" w:top="1100" w:bottom="840" w:left="0" w:right="0"/>
        </w:sectPr>
      </w:pPr>
    </w:p>
    <w:p>
      <w:pPr>
        <w:spacing w:line="240" w:lineRule="auto" w:before="5"/>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798"/>
        <w:gridCol w:w="797"/>
        <w:gridCol w:w="797"/>
        <w:gridCol w:w="798"/>
        <w:gridCol w:w="798"/>
        <w:gridCol w:w="797"/>
        <w:gridCol w:w="798"/>
        <w:gridCol w:w="798"/>
        <w:gridCol w:w="798"/>
        <w:gridCol w:w="798"/>
        <w:gridCol w:w="798"/>
        <w:gridCol w:w="798"/>
      </w:tblGrid>
      <w:tr>
        <w:trPr>
          <w:trHeight w:val="674" w:hRule="exact"/>
        </w:trPr>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茅屏萍</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19"/>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6,576,533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6,576,533</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陈  翩</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2"/>
              <w:jc w:val="both"/>
              <w:rPr>
                <w:rFonts w:ascii="宋体" w:hAnsi="宋体" w:cs="宋体" w:eastAsia="宋体" w:hint="default"/>
                <w:sz w:val="18"/>
                <w:szCs w:val="18"/>
              </w:rPr>
            </w:pPr>
            <w:r>
              <w:rPr>
                <w:rFonts w:ascii="宋体" w:hAnsi="宋体" w:cs="宋体" w:eastAsia="宋体" w:hint="default"/>
                <w:sz w:val="18"/>
                <w:szCs w:val="18"/>
              </w:rPr>
              <w:t>副总经理 董事会秘 书</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劳仲秀</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19"/>
              <w:jc w:val="center"/>
              <w:rPr>
                <w:rFonts w:ascii="宋体" w:hAnsi="宋体" w:cs="宋体" w:eastAsia="宋体" w:hint="default"/>
                <w:sz w:val="18"/>
                <w:szCs w:val="18"/>
              </w:rPr>
            </w:pPr>
            <w:r>
              <w:rPr>
                <w:rFonts w:ascii="宋体" w:hAnsi="宋体" w:cs="宋体" w:eastAsia="宋体" w:hint="default"/>
                <w:sz w:val="18"/>
                <w:szCs w:val="18"/>
              </w:rPr>
              <w:t>财务总监</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王汉晖</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19"/>
              <w:jc w:val="center"/>
              <w:rPr>
                <w:rFonts w:ascii="宋体" w:hAnsi="宋体" w:cs="宋体" w:eastAsia="宋体" w:hint="default"/>
                <w:sz w:val="18"/>
                <w:szCs w:val="18"/>
              </w:rPr>
            </w:pPr>
            <w:r>
              <w:rPr>
                <w:rFonts w:ascii="宋体" w:hAnsi="宋体" w:cs="宋体" w:eastAsia="宋体" w:hint="default"/>
                <w:sz w:val="18"/>
                <w:szCs w:val="18"/>
              </w:rPr>
              <w:t>财务总监</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121,270,6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121,270,6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66</w:t>
            </w:r>
          </w:p>
        </w:tc>
      </w:tr>
    </w:tbl>
    <w:p>
      <w:pPr>
        <w:spacing w:line="240" w:lineRule="auto" w:before="0"/>
        <w:rPr>
          <w:rFonts w:ascii="宋体" w:hAnsi="宋体" w:cs="宋体" w:eastAsia="宋体" w:hint="default"/>
          <w:b/>
          <w:bCs/>
          <w:sz w:val="24"/>
          <w:szCs w:val="24"/>
        </w:rPr>
      </w:pPr>
    </w:p>
    <w:p>
      <w:pPr>
        <w:pStyle w:val="Heading2"/>
        <w:spacing w:line="240" w:lineRule="auto" w:before="26"/>
        <w:ind w:left="1134" w:right="0"/>
        <w:jc w:val="left"/>
        <w:rPr>
          <w:b w:val="0"/>
          <w:bCs w:val="0"/>
        </w:rPr>
      </w:pPr>
      <w:bookmarkStart w:name="二、公司董事、监事、高级管理人员变动情况" w:id="122"/>
      <w:bookmarkEnd w:id="122"/>
      <w:r>
        <w:rPr>
          <w:b w:val="0"/>
          <w:bCs w:val="0"/>
        </w:rPr>
      </w:r>
      <w:r>
        <w:rPr/>
        <w:t>二、公司董事、监事、高级管理人员变动情况</w:t>
      </w:r>
      <w:r>
        <w:rPr>
          <w:b w:val="0"/>
          <w:bCs w:val="0"/>
        </w:rPr>
      </w:r>
    </w:p>
    <w:p>
      <w:pPr>
        <w:spacing w:line="240" w:lineRule="auto" w:before="0"/>
        <w:rPr>
          <w:rFonts w:ascii="宋体" w:hAnsi="宋体" w:cs="宋体" w:eastAsia="宋体" w:hint="default"/>
          <w:b/>
          <w:bCs/>
          <w:sz w:val="24"/>
          <w:szCs w:val="24"/>
        </w:rPr>
      </w:pPr>
    </w:p>
    <w:p>
      <w:pPr>
        <w:pStyle w:val="BodyText"/>
        <w:spacing w:line="240" w:lineRule="auto" w:before="189"/>
        <w:ind w:left="113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330"/>
        <w:gridCol w:w="1330"/>
        <w:gridCol w:w="1330"/>
        <w:gridCol w:w="1331"/>
        <w:gridCol w:w="4248"/>
      </w:tblGrid>
      <w:tr>
        <w:trPr>
          <w:trHeight w:val="401" w:hRule="exact"/>
        </w:trPr>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0"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3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日期</w:t>
            </w:r>
          </w:p>
        </w:tc>
        <w:tc>
          <w:tcPr>
            <w:tcW w:w="4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龙中胜</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工作原因</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茅屏萍</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工作原因</w:t>
            </w:r>
          </w:p>
        </w:tc>
      </w:tr>
      <w:tr>
        <w:trPr>
          <w:trHeight w:val="715"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劳仲秀</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个人原因</w:t>
            </w:r>
          </w:p>
        </w:tc>
      </w:tr>
    </w:tbl>
    <w:p>
      <w:pPr>
        <w:spacing w:line="240" w:lineRule="auto" w:before="0"/>
        <w:rPr>
          <w:rFonts w:ascii="宋体" w:hAnsi="宋体" w:cs="宋体" w:eastAsia="宋体" w:hint="default"/>
          <w:sz w:val="24"/>
          <w:szCs w:val="24"/>
        </w:rPr>
      </w:pPr>
    </w:p>
    <w:p>
      <w:pPr>
        <w:pStyle w:val="Heading2"/>
        <w:spacing w:line="240" w:lineRule="auto" w:before="26"/>
        <w:ind w:left="1134" w:right="0"/>
        <w:jc w:val="left"/>
        <w:rPr>
          <w:b w:val="0"/>
          <w:bCs w:val="0"/>
        </w:rPr>
      </w:pPr>
      <w:bookmarkStart w:name="三、任职情况" w:id="123"/>
      <w:bookmarkEnd w:id="123"/>
      <w:r>
        <w:rPr>
          <w:b w:val="0"/>
          <w:bCs w:val="0"/>
        </w:rPr>
      </w:r>
      <w:r>
        <w:rPr/>
        <w:t>三、任职情况</w:t>
      </w:r>
      <w:r>
        <w:rPr>
          <w:b w:val="0"/>
          <w:bCs w:val="0"/>
        </w:rPr>
      </w:r>
    </w:p>
    <w:p>
      <w:pPr>
        <w:spacing w:line="240" w:lineRule="auto" w:before="0"/>
        <w:rPr>
          <w:rFonts w:ascii="宋体" w:hAnsi="宋体" w:cs="宋体" w:eastAsia="宋体" w:hint="default"/>
          <w:b/>
          <w:bCs/>
          <w:sz w:val="24"/>
          <w:szCs w:val="24"/>
        </w:rPr>
      </w:pPr>
    </w:p>
    <w:p>
      <w:pPr>
        <w:pStyle w:val="BodyText"/>
        <w:spacing w:line="240" w:lineRule="auto" w:before="189"/>
        <w:ind w:left="1133" w:right="0"/>
        <w:jc w:val="left"/>
      </w:pPr>
      <w:r>
        <w:rPr/>
        <w:t>公司现任董事、监事、高级管理人员专业背景、主要工作经历以及目前在公司的主要职责</w:t>
      </w:r>
    </w:p>
    <w:p>
      <w:pPr>
        <w:spacing w:line="240" w:lineRule="auto" w:before="9"/>
        <w:rPr>
          <w:rFonts w:ascii="宋体" w:hAnsi="宋体" w:cs="宋体" w:eastAsia="宋体" w:hint="default"/>
          <w:sz w:val="20"/>
          <w:szCs w:val="20"/>
        </w:rPr>
      </w:pPr>
    </w:p>
    <w:p>
      <w:pPr>
        <w:pStyle w:val="BodyText"/>
        <w:spacing w:line="240" w:lineRule="auto"/>
        <w:ind w:left="1133" w:right="0"/>
        <w:jc w:val="left"/>
      </w:pPr>
      <w:r>
        <w:rPr>
          <w:rFonts w:ascii="Times New Roman" w:hAnsi="Times New Roman" w:cs="Times New Roman" w:eastAsia="Times New Roman" w:hint="default"/>
        </w:rPr>
        <w:t>1</w:t>
      </w:r>
      <w:r>
        <w:rPr/>
        <w:t>、董事会成员</w:t>
      </w:r>
    </w:p>
    <w:p>
      <w:pPr>
        <w:spacing w:line="240" w:lineRule="auto" w:before="9"/>
        <w:rPr>
          <w:rFonts w:ascii="宋体" w:hAnsi="宋体" w:cs="宋体" w:eastAsia="宋体" w:hint="default"/>
          <w:sz w:val="16"/>
          <w:szCs w:val="16"/>
        </w:rPr>
      </w:pPr>
    </w:p>
    <w:p>
      <w:pPr>
        <w:pStyle w:val="BodyText"/>
        <w:spacing w:line="451" w:lineRule="auto"/>
        <w:ind w:right="1029"/>
        <w:jc w:val="left"/>
      </w:pPr>
      <w:r>
        <w:rPr>
          <w:spacing w:val="-2"/>
        </w:rPr>
        <w:t>（</w:t>
      </w:r>
      <w:r>
        <w:rPr>
          <w:rFonts w:ascii="Times New Roman" w:hAnsi="Times New Roman" w:cs="Times New Roman" w:eastAsia="Times New Roman" w:hint="default"/>
          <w:spacing w:val="-2"/>
        </w:rPr>
        <w:t>1</w:t>
      </w:r>
      <w:r>
        <w:rPr>
          <w:spacing w:val="-2"/>
        </w:rPr>
        <w:t>）茅庆江先生，中国国籍，拥有新西兰永久居留权，</w:t>
      </w:r>
      <w:r>
        <w:rPr>
          <w:rFonts w:ascii="Times New Roman" w:hAnsi="Times New Roman" w:cs="Times New Roman" w:eastAsia="Times New Roman" w:hint="default"/>
          <w:spacing w:val="-2"/>
        </w:rPr>
        <w:t>1964</w:t>
      </w:r>
      <w:r>
        <w:rPr>
          <w:spacing w:val="-2"/>
        </w:rPr>
        <w:t>年</w:t>
      </w:r>
      <w:r>
        <w:rPr>
          <w:rFonts w:ascii="Times New Roman" w:hAnsi="Times New Roman" w:cs="Times New Roman" w:eastAsia="Times New Roman" w:hint="default"/>
          <w:spacing w:val="-2"/>
        </w:rPr>
        <w:t>7</w:t>
      </w:r>
      <w:r>
        <w:rPr>
          <w:spacing w:val="-2"/>
        </w:rPr>
        <w:t>月出生，硕士学历，工程师资格。</w:t>
      </w:r>
      <w:r>
        <w:rPr>
          <w:rFonts w:ascii="Times New Roman" w:hAnsi="Times New Roman" w:cs="Times New Roman" w:eastAsia="Times New Roman" w:hint="default"/>
          <w:spacing w:val="-2"/>
        </w:rPr>
        <w:t>1986</w:t>
      </w:r>
      <w:r>
        <w:rPr>
          <w:spacing w:val="-2"/>
        </w:rPr>
        <w:t>年至</w:t>
      </w:r>
      <w:r>
        <w:rPr>
          <w:rFonts w:ascii="Times New Roman" w:hAnsi="Times New Roman" w:cs="Times New Roman" w:eastAsia="Times New Roman" w:hint="default"/>
          <w:spacing w:val="-2"/>
        </w:rPr>
        <w:t>1989</w:t>
      </w:r>
      <w:r>
        <w:rPr>
          <w:spacing w:val="-2"/>
        </w:rPr>
        <w:t>年，任中国</w:t>
      </w:r>
      <w:r>
        <w:rPr>
          <w:spacing w:val="-52"/>
        </w:rPr>
        <w:t> </w:t>
      </w:r>
      <w:r>
        <w:rPr>
          <w:spacing w:val="-52"/>
        </w:rPr>
      </w:r>
      <w:r>
        <w:rPr>
          <w:spacing w:val="-3"/>
        </w:rPr>
        <w:t>纺织大学自动化系老师、实习研究员；</w:t>
      </w:r>
      <w:r>
        <w:rPr>
          <w:rFonts w:ascii="Times New Roman" w:hAnsi="Times New Roman" w:cs="Times New Roman" w:eastAsia="Times New Roman" w:hint="default"/>
          <w:spacing w:val="-3"/>
        </w:rPr>
        <w:t>1992</w:t>
      </w:r>
      <w:r>
        <w:rPr>
          <w:spacing w:val="-3"/>
        </w:rPr>
        <w:t>年至</w:t>
      </w:r>
      <w:r>
        <w:rPr>
          <w:rFonts w:ascii="Times New Roman" w:hAnsi="Times New Roman" w:cs="Times New Roman" w:eastAsia="Times New Roman" w:hint="default"/>
          <w:spacing w:val="-3"/>
        </w:rPr>
        <w:t>2001</w:t>
      </w:r>
      <w:r>
        <w:rPr>
          <w:spacing w:val="-3"/>
        </w:rPr>
        <w:t>年担任番禺市电子工业总公司副总经理兼番禺市保安器材工程公司经理；</w:t>
      </w:r>
      <w:r>
        <w:rPr>
          <w:spacing w:val="-86"/>
        </w:rPr>
        <w:t> </w:t>
      </w:r>
      <w:r>
        <w:rPr>
          <w:rFonts w:ascii="Times New Roman" w:hAnsi="Times New Roman" w:cs="Times New Roman" w:eastAsia="Times New Roman" w:hint="default"/>
        </w:rPr>
        <w:t>2001</w:t>
      </w:r>
      <w:r>
        <w:rPr/>
        <w:t>年至</w:t>
      </w:r>
      <w:r>
        <w:rPr>
          <w:rFonts w:ascii="Times New Roman" w:hAnsi="Times New Roman" w:cs="Times New Roman" w:eastAsia="Times New Roman" w:hint="default"/>
        </w:rPr>
        <w:t>2011</w:t>
      </w:r>
      <w:r>
        <w:rPr/>
        <w:t>年在浩云有限任技术总监、董事长等职务；</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9</w:t>
      </w:r>
      <w:r>
        <w:rPr/>
        <w:t>月至今，担任本公司董事长。</w:t>
      </w:r>
    </w:p>
    <w:p>
      <w:pPr>
        <w:pStyle w:val="BodyText"/>
        <w:spacing w:line="451" w:lineRule="auto" w:before="43"/>
        <w:ind w:left="1133" w:right="0"/>
        <w:jc w:val="left"/>
      </w:pPr>
      <w:r>
        <w:rPr>
          <w:spacing w:val="-2"/>
        </w:rPr>
        <w:t>（</w:t>
      </w:r>
      <w:r>
        <w:rPr>
          <w:rFonts w:ascii="Times New Roman" w:hAnsi="Times New Roman" w:cs="Times New Roman" w:eastAsia="Times New Roman" w:hint="default"/>
          <w:spacing w:val="-2"/>
        </w:rPr>
        <w:t>2</w:t>
      </w:r>
      <w:r>
        <w:rPr>
          <w:spacing w:val="-2"/>
        </w:rPr>
        <w:t>）雷洪文先生，中国国籍，无永久境外居留权，</w:t>
      </w:r>
      <w:r>
        <w:rPr>
          <w:rFonts w:ascii="Times New Roman" w:hAnsi="Times New Roman" w:cs="Times New Roman" w:eastAsia="Times New Roman" w:hint="default"/>
          <w:spacing w:val="-2"/>
        </w:rPr>
        <w:t>1967</w:t>
      </w:r>
      <w:r>
        <w:rPr>
          <w:spacing w:val="-2"/>
        </w:rPr>
        <w:t>年</w:t>
      </w:r>
      <w:r>
        <w:rPr>
          <w:rFonts w:ascii="Times New Roman" w:hAnsi="Times New Roman" w:cs="Times New Roman" w:eastAsia="Times New Roman" w:hint="default"/>
          <w:spacing w:val="-2"/>
        </w:rPr>
        <w:t>8</w:t>
      </w:r>
      <w:r>
        <w:rPr>
          <w:spacing w:val="-2"/>
        </w:rPr>
        <w:t>月出生，大学本科学历，电子工程师资格。</w:t>
      </w:r>
      <w:r>
        <w:rPr>
          <w:rFonts w:ascii="Times New Roman" w:hAnsi="Times New Roman" w:cs="Times New Roman" w:eastAsia="Times New Roman" w:hint="default"/>
          <w:spacing w:val="-2"/>
        </w:rPr>
        <w:t>1989</w:t>
      </w:r>
      <w:r>
        <w:rPr>
          <w:spacing w:val="-2"/>
        </w:rPr>
        <w:t>年至</w:t>
      </w:r>
      <w:r>
        <w:rPr>
          <w:rFonts w:ascii="Times New Roman" w:hAnsi="Times New Roman" w:cs="Times New Roman" w:eastAsia="Times New Roman" w:hint="default"/>
          <w:spacing w:val="-2"/>
        </w:rPr>
        <w:t>1993</w:t>
      </w:r>
      <w:r>
        <w:rPr>
          <w:spacing w:val="-2"/>
        </w:rPr>
        <w:t>年在广</w:t>
      </w:r>
      <w:r>
        <w:rPr>
          <w:spacing w:val="-56"/>
        </w:rPr>
        <w:t> </w:t>
      </w:r>
      <w:r>
        <w:rPr>
          <w:spacing w:val="-56"/>
        </w:rPr>
      </w:r>
      <w:r>
        <w:rPr>
          <w:spacing w:val="-2"/>
        </w:rPr>
        <w:t>东宏达家用电器厂任技术员；</w:t>
      </w:r>
      <w:r>
        <w:rPr>
          <w:rFonts w:ascii="Times New Roman" w:hAnsi="Times New Roman" w:cs="Times New Roman" w:eastAsia="Times New Roman" w:hint="default"/>
          <w:spacing w:val="-2"/>
        </w:rPr>
        <w:t>1993</w:t>
      </w:r>
      <w:r>
        <w:rPr>
          <w:spacing w:val="-2"/>
        </w:rPr>
        <w:t>年至</w:t>
      </w:r>
      <w:r>
        <w:rPr>
          <w:rFonts w:ascii="Times New Roman" w:hAnsi="Times New Roman" w:cs="Times New Roman" w:eastAsia="Times New Roman" w:hint="default"/>
          <w:spacing w:val="-2"/>
        </w:rPr>
        <w:t>2001</w:t>
      </w:r>
      <w:r>
        <w:rPr>
          <w:spacing w:val="-2"/>
        </w:rPr>
        <w:t>年任职于番禺市保安器材工程公司；</w:t>
      </w:r>
      <w:r>
        <w:rPr>
          <w:rFonts w:ascii="Times New Roman" w:hAnsi="Times New Roman" w:cs="Times New Roman" w:eastAsia="Times New Roman" w:hint="default"/>
          <w:spacing w:val="-2"/>
        </w:rPr>
        <w:t>2001</w:t>
      </w:r>
      <w:r>
        <w:rPr>
          <w:spacing w:val="-2"/>
        </w:rPr>
        <w:t>年至</w:t>
      </w:r>
      <w:r>
        <w:rPr>
          <w:rFonts w:ascii="Times New Roman" w:hAnsi="Times New Roman" w:cs="Times New Roman" w:eastAsia="Times New Roman" w:hint="default"/>
          <w:spacing w:val="-2"/>
        </w:rPr>
        <w:t>2011</w:t>
      </w:r>
      <w:r>
        <w:rPr>
          <w:spacing w:val="-2"/>
        </w:rPr>
        <w:t>年担任浩云有限董事长、执行</w:t>
      </w:r>
    </w:p>
    <w:p>
      <w:pPr>
        <w:spacing w:after="0" w:line="451" w:lineRule="auto"/>
        <w:jc w:val="left"/>
        <w:sectPr>
          <w:pgSz w:w="11910" w:h="16840"/>
          <w:pgMar w:header="787" w:footer="640" w:top="1100" w:bottom="840" w:left="0" w:right="0"/>
        </w:sectPr>
      </w:pPr>
    </w:p>
    <w:p>
      <w:pPr>
        <w:spacing w:line="240" w:lineRule="auto" w:before="10"/>
        <w:rPr>
          <w:rFonts w:ascii="宋体" w:hAnsi="宋体" w:cs="宋体" w:eastAsia="宋体" w:hint="default"/>
          <w:sz w:val="28"/>
          <w:szCs w:val="28"/>
        </w:rPr>
      </w:pPr>
    </w:p>
    <w:p>
      <w:pPr>
        <w:pStyle w:val="BodyText"/>
        <w:spacing w:line="240" w:lineRule="auto" w:before="44"/>
        <w:ind w:right="0"/>
        <w:jc w:val="left"/>
      </w:pPr>
      <w:r>
        <w:rPr/>
        <w:t>董事等职务；</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9</w:t>
      </w:r>
      <w:r>
        <w:rPr/>
        <w:t>月至今，担任本公司董事、总经理。</w:t>
      </w:r>
    </w:p>
    <w:p>
      <w:pPr>
        <w:spacing w:line="240" w:lineRule="auto" w:before="9"/>
        <w:rPr>
          <w:rFonts w:ascii="宋体" w:hAnsi="宋体" w:cs="宋体" w:eastAsia="宋体" w:hint="default"/>
          <w:sz w:val="16"/>
          <w:szCs w:val="16"/>
        </w:rPr>
      </w:pPr>
    </w:p>
    <w:p>
      <w:pPr>
        <w:pStyle w:val="BodyText"/>
        <w:spacing w:line="451" w:lineRule="auto"/>
        <w:ind w:left="1133" w:right="0"/>
        <w:jc w:val="left"/>
      </w:pPr>
      <w:r>
        <w:rPr>
          <w:spacing w:val="-4"/>
        </w:rPr>
        <w:t>（</w:t>
      </w:r>
      <w:r>
        <w:rPr>
          <w:rFonts w:ascii="Times New Roman" w:hAnsi="Times New Roman" w:cs="Times New Roman" w:eastAsia="Times New Roman" w:hint="default"/>
          <w:spacing w:val="-4"/>
        </w:rPr>
        <w:t>3</w:t>
      </w:r>
      <w:r>
        <w:rPr>
          <w:spacing w:val="-4"/>
        </w:rPr>
        <w:t>）黄洋先生，中国国籍，无永久境外居留权，</w:t>
      </w:r>
      <w:r>
        <w:rPr>
          <w:rFonts w:ascii="Times New Roman" w:hAnsi="Times New Roman" w:cs="Times New Roman" w:eastAsia="Times New Roman" w:hint="default"/>
          <w:spacing w:val="-4"/>
        </w:rPr>
        <w:t>1963</w:t>
      </w:r>
      <w:r>
        <w:rPr>
          <w:spacing w:val="-4"/>
        </w:rPr>
        <w:t>年</w:t>
      </w:r>
      <w:r>
        <w:rPr>
          <w:rFonts w:ascii="Times New Roman" w:hAnsi="Times New Roman" w:cs="Times New Roman" w:eastAsia="Times New Roman" w:hint="default"/>
          <w:spacing w:val="-4"/>
        </w:rPr>
        <w:t>5</w:t>
      </w:r>
      <w:r>
        <w:rPr>
          <w:spacing w:val="-4"/>
        </w:rPr>
        <w:t>月出生，大学本科学历，中国科学院工程师、中国执业专利代理人。</w:t>
      </w:r>
      <w:r>
        <w:rPr>
          <w:spacing w:val="-35"/>
        </w:rPr>
        <w:t> </w:t>
      </w:r>
      <w:r>
        <w:rPr>
          <w:spacing w:val="-35"/>
        </w:rPr>
      </w:r>
      <w:r>
        <w:rPr>
          <w:rFonts w:ascii="Times New Roman" w:hAnsi="Times New Roman" w:cs="Times New Roman" w:eastAsia="Times New Roman" w:hint="default"/>
        </w:rPr>
        <w:t>1986</w:t>
      </w:r>
      <w:r>
        <w:rPr/>
        <w:t>年至</w:t>
      </w:r>
      <w:r>
        <w:rPr>
          <w:rFonts w:ascii="Times New Roman" w:hAnsi="Times New Roman" w:cs="Times New Roman" w:eastAsia="Times New Roman" w:hint="default"/>
        </w:rPr>
        <w:t>1997</w:t>
      </w:r>
      <w:r>
        <w:rPr/>
        <w:t>年在中国科学院广州电子技术研究所担任工程师；</w:t>
      </w:r>
      <w:r>
        <w:rPr>
          <w:rFonts w:ascii="Times New Roman" w:hAnsi="Times New Roman" w:cs="Times New Roman" w:eastAsia="Times New Roman" w:hint="default"/>
        </w:rPr>
        <w:t>1997</w:t>
      </w:r>
      <w:r>
        <w:rPr/>
        <w:t>年至</w:t>
      </w:r>
      <w:r>
        <w:rPr>
          <w:rFonts w:ascii="Times New Roman" w:hAnsi="Times New Roman" w:cs="Times New Roman" w:eastAsia="Times New Roman" w:hint="default"/>
        </w:rPr>
        <w:t>2001</w:t>
      </w:r>
      <w:r>
        <w:rPr/>
        <w:t>年任职中国科学院广州分院；</w:t>
      </w:r>
      <w:r>
        <w:rPr>
          <w:rFonts w:ascii="Times New Roman" w:hAnsi="Times New Roman" w:cs="Times New Roman" w:eastAsia="Times New Roman" w:hint="default"/>
        </w:rPr>
        <w:t>2001</w:t>
      </w:r>
      <w:r>
        <w:rPr/>
        <w:t>年至</w:t>
      </w:r>
      <w:r>
        <w:rPr>
          <w:rFonts w:ascii="Times New Roman" w:hAnsi="Times New Roman" w:cs="Times New Roman" w:eastAsia="Times New Roman" w:hint="default"/>
        </w:rPr>
        <w:t>2002 </w:t>
      </w:r>
      <w:r>
        <w:rPr>
          <w:spacing w:val="-2"/>
        </w:rPr>
        <w:t>年，任中国科学院广州专利事务所专利代理人；</w:t>
      </w:r>
      <w:r>
        <w:rPr>
          <w:rFonts w:ascii="Times New Roman" w:hAnsi="Times New Roman" w:cs="Times New Roman" w:eastAsia="Times New Roman" w:hint="default"/>
          <w:spacing w:val="-2"/>
        </w:rPr>
        <w:t>2003</w:t>
      </w:r>
      <w:r>
        <w:rPr>
          <w:spacing w:val="-2"/>
        </w:rPr>
        <w:t>年至今任广州中瀚专利商标事务所执行主任、广州中瀚法律咨询服务有</w:t>
      </w:r>
      <w:r>
        <w:rPr>
          <w:spacing w:val="-62"/>
        </w:rPr>
        <w:t> </w:t>
      </w:r>
      <w:r>
        <w:rPr>
          <w:spacing w:val="-62"/>
        </w:rPr>
      </w:r>
      <w:r>
        <w:rPr/>
        <w:t>限公司总经理；</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30</w:t>
      </w:r>
      <w:r>
        <w:rPr/>
        <w:t>日至今，担任本公司董事。</w:t>
      </w:r>
    </w:p>
    <w:p>
      <w:pPr>
        <w:pStyle w:val="BodyText"/>
        <w:spacing w:line="451" w:lineRule="auto" w:before="43"/>
        <w:ind w:left="1133" w:right="1033"/>
        <w:jc w:val="left"/>
      </w:pPr>
      <w:r>
        <w:rPr/>
        <w:t>（</w:t>
      </w:r>
      <w:r>
        <w:rPr>
          <w:rFonts w:ascii="Times New Roman" w:hAnsi="Times New Roman" w:cs="Times New Roman" w:eastAsia="Times New Roman" w:hint="default"/>
        </w:rPr>
        <w:t>4</w:t>
      </w:r>
      <w:r>
        <w:rPr/>
        <w:t>）王朝曦先生，中国国籍，无永久境外居留权，</w:t>
      </w:r>
      <w:r>
        <w:rPr>
          <w:rFonts w:ascii="Times New Roman" w:hAnsi="Times New Roman" w:cs="Times New Roman" w:eastAsia="Times New Roman" w:hint="default"/>
        </w:rPr>
        <w:t>1972</w:t>
      </w:r>
      <w:r>
        <w:rPr/>
        <w:t>年</w:t>
      </w:r>
      <w:r>
        <w:rPr>
          <w:rFonts w:ascii="Times New Roman" w:hAnsi="Times New Roman" w:cs="Times New Roman" w:eastAsia="Times New Roman" w:hint="default"/>
        </w:rPr>
        <w:t>7</w:t>
      </w:r>
      <w:r>
        <w:rPr/>
        <w:t>月出生，硕士学历，会计师、中国注册会计师及中国律师资格。 </w:t>
      </w:r>
      <w:r>
        <w:rPr>
          <w:rFonts w:ascii="Times New Roman" w:hAnsi="Times New Roman" w:cs="Times New Roman" w:eastAsia="Times New Roman" w:hint="default"/>
          <w:spacing w:val="-2"/>
        </w:rPr>
        <w:t>1994</w:t>
      </w:r>
      <w:r>
        <w:rPr>
          <w:spacing w:val="-2"/>
        </w:rPr>
        <w:t>年至</w:t>
      </w:r>
      <w:r>
        <w:rPr>
          <w:rFonts w:ascii="Times New Roman" w:hAnsi="Times New Roman" w:cs="Times New Roman" w:eastAsia="Times New Roman" w:hint="default"/>
          <w:spacing w:val="-2"/>
        </w:rPr>
        <w:t>1997</w:t>
      </w:r>
      <w:r>
        <w:rPr>
          <w:spacing w:val="-2"/>
        </w:rPr>
        <w:t>年湖南商学院会计系教师；</w:t>
      </w:r>
      <w:r>
        <w:rPr>
          <w:rFonts w:ascii="Times New Roman" w:hAnsi="Times New Roman" w:cs="Times New Roman" w:eastAsia="Times New Roman" w:hint="default"/>
          <w:spacing w:val="-2"/>
        </w:rPr>
        <w:t>2000</w:t>
      </w:r>
      <w:r>
        <w:rPr>
          <w:spacing w:val="-2"/>
        </w:rPr>
        <w:t>年至</w:t>
      </w:r>
      <w:r>
        <w:rPr>
          <w:rFonts w:ascii="Times New Roman" w:hAnsi="Times New Roman" w:cs="Times New Roman" w:eastAsia="Times New Roman" w:hint="default"/>
          <w:spacing w:val="-2"/>
        </w:rPr>
        <w:t>2001</w:t>
      </w:r>
      <w:r>
        <w:rPr>
          <w:spacing w:val="-2"/>
        </w:rPr>
        <w:t>年任职于广东省白马广告有限公司；</w:t>
      </w:r>
      <w:r>
        <w:rPr>
          <w:rFonts w:ascii="Times New Roman" w:hAnsi="Times New Roman" w:cs="Times New Roman" w:eastAsia="Times New Roman" w:hint="default"/>
          <w:spacing w:val="-2"/>
        </w:rPr>
        <w:t>2001</w:t>
      </w:r>
      <w:r>
        <w:rPr>
          <w:spacing w:val="-2"/>
        </w:rPr>
        <w:t>年至</w:t>
      </w:r>
      <w:r>
        <w:rPr>
          <w:rFonts w:ascii="Times New Roman" w:hAnsi="Times New Roman" w:cs="Times New Roman" w:eastAsia="Times New Roman" w:hint="default"/>
          <w:spacing w:val="-2"/>
        </w:rPr>
        <w:t>2002</w:t>
      </w:r>
      <w:r>
        <w:rPr>
          <w:spacing w:val="-2"/>
        </w:rPr>
        <w:t>年任中讯群通科技</w:t>
      </w:r>
      <w:r>
        <w:rPr>
          <w:spacing w:val="-40"/>
        </w:rPr>
        <w:t> </w:t>
      </w:r>
      <w:r>
        <w:rPr>
          <w:spacing w:val="-2"/>
        </w:rPr>
        <w:t>股份有限公司财务总监兼中讯华亿（集团）有限公司财务副总监；</w:t>
      </w:r>
      <w:r>
        <w:rPr>
          <w:rFonts w:ascii="Times New Roman" w:hAnsi="Times New Roman" w:cs="Times New Roman" w:eastAsia="Times New Roman" w:hint="default"/>
          <w:spacing w:val="-2"/>
        </w:rPr>
        <w:t>2002</w:t>
      </w:r>
      <w:r>
        <w:rPr>
          <w:spacing w:val="-2"/>
        </w:rPr>
        <w:t>年至</w:t>
      </w:r>
      <w:r>
        <w:rPr>
          <w:rFonts w:ascii="Times New Roman" w:hAnsi="Times New Roman" w:cs="Times New Roman" w:eastAsia="Times New Roman" w:hint="default"/>
          <w:spacing w:val="-2"/>
        </w:rPr>
        <w:t>2004</w:t>
      </w:r>
      <w:r>
        <w:rPr>
          <w:spacing w:val="-2"/>
        </w:rPr>
        <w:t>年任香港白马控股有限公司董事、财务总监</w:t>
      </w:r>
      <w:r>
        <w:rPr>
          <w:spacing w:val="-57"/>
        </w:rPr>
        <w:t> </w:t>
      </w:r>
      <w:r>
        <w:rPr>
          <w:spacing w:val="-57"/>
        </w:rPr>
      </w:r>
      <w:r>
        <w:rPr>
          <w:spacing w:val="-2"/>
        </w:rPr>
        <w:t>兼白马控股下属文德广运出版发行集团财务总监；</w:t>
      </w:r>
      <w:r>
        <w:rPr>
          <w:rFonts w:ascii="Times New Roman" w:hAnsi="Times New Roman" w:cs="Times New Roman" w:eastAsia="Times New Roman" w:hint="default"/>
          <w:spacing w:val="-2"/>
        </w:rPr>
        <w:t>2004</w:t>
      </w:r>
      <w:r>
        <w:rPr>
          <w:spacing w:val="-2"/>
        </w:rPr>
        <w:t>年至</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12</w:t>
      </w:r>
      <w:r>
        <w:rPr>
          <w:spacing w:val="-2"/>
        </w:rPr>
        <w:t>月任广州市天高集团有限公司副总裁兼财务总监；</w:t>
      </w:r>
      <w:r>
        <w:rPr>
          <w:rFonts w:ascii="Times New Roman" w:hAnsi="Times New Roman" w:cs="Times New Roman" w:eastAsia="Times New Roman" w:hint="default"/>
          <w:spacing w:val="-2"/>
        </w:rPr>
        <w:t>2016</w:t>
      </w:r>
      <w:r>
        <w:rPr>
          <w:rFonts w:ascii="Times New Roman" w:hAnsi="Times New Roman" w:cs="Times New Roman" w:eastAsia="Times New Roman" w:hint="default"/>
          <w:spacing w:val="-4"/>
        </w:rPr>
        <w:t> </w:t>
      </w:r>
      <w:r>
        <w:rPr/>
        <w:t>年</w:t>
      </w:r>
      <w:r>
        <w:rPr>
          <w:rFonts w:ascii="Times New Roman" w:hAnsi="Times New Roman" w:cs="Times New Roman" w:eastAsia="Times New Roman" w:hint="default"/>
        </w:rPr>
        <w:t>2</w:t>
      </w:r>
      <w:r>
        <w:rPr/>
        <w:t>月至今任广州大富时投资有限公司合伙人；</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9</w:t>
      </w:r>
      <w:r>
        <w:rPr/>
        <w:t>月至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3</w:t>
      </w:r>
      <w:r>
        <w:rPr/>
        <w:t>日，担任本公司独立董事。</w:t>
      </w:r>
    </w:p>
    <w:p>
      <w:pPr>
        <w:pStyle w:val="BodyText"/>
        <w:spacing w:line="451" w:lineRule="auto" w:before="43"/>
        <w:ind w:left="1133" w:right="1123"/>
        <w:jc w:val="left"/>
      </w:pPr>
      <w:r>
        <w:rPr>
          <w:spacing w:val="-2"/>
        </w:rPr>
        <w:t>（</w:t>
      </w:r>
      <w:r>
        <w:rPr>
          <w:rFonts w:ascii="Times New Roman" w:hAnsi="Times New Roman" w:cs="Times New Roman" w:eastAsia="Times New Roman" w:hint="default"/>
          <w:spacing w:val="-2"/>
        </w:rPr>
        <w:t>5</w:t>
      </w:r>
      <w:r>
        <w:rPr>
          <w:spacing w:val="-2"/>
        </w:rPr>
        <w:t>）秦家银先生，中国国籍，无永久境外居留权，</w:t>
      </w:r>
      <w:r>
        <w:rPr>
          <w:rFonts w:ascii="Times New Roman" w:hAnsi="Times New Roman" w:cs="Times New Roman" w:eastAsia="Times New Roman" w:hint="default"/>
          <w:spacing w:val="-2"/>
        </w:rPr>
        <w:t>1961</w:t>
      </w:r>
      <w:r>
        <w:rPr>
          <w:spacing w:val="-2"/>
        </w:rPr>
        <w:t>年</w:t>
      </w:r>
      <w:r>
        <w:rPr>
          <w:rFonts w:ascii="Times New Roman" w:hAnsi="Times New Roman" w:cs="Times New Roman" w:eastAsia="Times New Roman" w:hint="default"/>
          <w:spacing w:val="-2"/>
        </w:rPr>
        <w:t>9</w:t>
      </w:r>
      <w:r>
        <w:rPr>
          <w:spacing w:val="-2"/>
        </w:rPr>
        <w:t>月出生，博士学历，教授职称。</w:t>
      </w:r>
      <w:r>
        <w:rPr>
          <w:rFonts w:ascii="Times New Roman" w:hAnsi="Times New Roman" w:cs="Times New Roman" w:eastAsia="Times New Roman" w:hint="default"/>
          <w:spacing w:val="-2"/>
        </w:rPr>
        <w:t>1998</w:t>
      </w:r>
      <w:r>
        <w:rPr>
          <w:spacing w:val="-2"/>
        </w:rPr>
        <w:t>年在中山大学信息科学与技</w:t>
      </w:r>
      <w:r>
        <w:rPr>
          <w:spacing w:val="-60"/>
        </w:rPr>
        <w:t> </w:t>
      </w:r>
      <w:r>
        <w:rPr>
          <w:spacing w:val="-60"/>
        </w:rPr>
      </w:r>
      <w:r>
        <w:rPr/>
        <w:t>术学院电子与通信工程系任副教授；</w:t>
      </w:r>
      <w:r>
        <w:rPr>
          <w:rFonts w:ascii="Times New Roman" w:hAnsi="Times New Roman" w:cs="Times New Roman" w:eastAsia="Times New Roman" w:hint="default"/>
        </w:rPr>
        <w:t>1999</w:t>
      </w:r>
      <w:r>
        <w:rPr/>
        <w:t>年至今在中山大学信息科学与技术学院任教授，</w:t>
      </w:r>
      <w:r>
        <w:rPr>
          <w:rFonts w:ascii="Times New Roman" w:hAnsi="Times New Roman" w:cs="Times New Roman" w:eastAsia="Times New Roman" w:hint="default"/>
        </w:rPr>
        <w:t>2000</w:t>
      </w:r>
      <w:r>
        <w:rPr/>
        <w:t>年至今任博士生导师；</w:t>
      </w:r>
      <w:r>
        <w:rPr>
          <w:rFonts w:ascii="Times New Roman" w:hAnsi="Times New Roman" w:cs="Times New Roman" w:eastAsia="Times New Roman" w:hint="default"/>
        </w:rPr>
        <w:t>2003 </w:t>
      </w:r>
      <w:r>
        <w:rPr/>
        <w:t>至</w:t>
      </w:r>
      <w:r>
        <w:rPr>
          <w:rFonts w:ascii="Times New Roman" w:hAnsi="Times New Roman" w:cs="Times New Roman" w:eastAsia="Times New Roman" w:hint="default"/>
        </w:rPr>
        <w:t>2008</w:t>
      </w:r>
      <w:r>
        <w:rPr/>
        <w:t>年任中山大学信息科学与技术学院副院长；</w:t>
      </w:r>
      <w:r>
        <w:rPr>
          <w:rFonts w:ascii="Times New Roman" w:hAnsi="Times New Roman" w:cs="Times New Roman" w:eastAsia="Times New Roman" w:hint="default"/>
        </w:rPr>
        <w:t>2002</w:t>
      </w:r>
      <w:r>
        <w:rPr/>
        <w:t>年至</w:t>
      </w:r>
      <w:r>
        <w:rPr>
          <w:rFonts w:ascii="Times New Roman" w:hAnsi="Times New Roman" w:cs="Times New Roman" w:eastAsia="Times New Roman" w:hint="default"/>
        </w:rPr>
        <w:t>2004</w:t>
      </w:r>
      <w:r>
        <w:rPr/>
        <w:t>年任中山大学信息科学与技术学院电子与通信工程系系主 任；</w:t>
      </w:r>
      <w:r>
        <w:rPr>
          <w:rFonts w:ascii="Times New Roman" w:hAnsi="Times New Roman" w:cs="Times New Roman" w:eastAsia="Times New Roman" w:hint="default"/>
        </w:rPr>
        <w:t>2002</w:t>
      </w:r>
      <w:r>
        <w:rPr/>
        <w:t>年至今兼任广东省通信学会副理事长；</w:t>
      </w:r>
      <w:r>
        <w:rPr>
          <w:rFonts w:ascii="Times New Roman" w:hAnsi="Times New Roman" w:cs="Times New Roman" w:eastAsia="Times New Roman" w:hint="default"/>
        </w:rPr>
        <w:t>2010</w:t>
      </w:r>
      <w:r>
        <w:rPr/>
        <w:t>年至今兼任广东省电子学会常务理事；</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9</w:t>
      </w:r>
      <w:r>
        <w:rPr/>
        <w:t>月至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3</w:t>
      </w:r>
      <w:r>
        <w:rPr/>
        <w:t>日，担 任本公司独立董事。</w:t>
      </w:r>
    </w:p>
    <w:p>
      <w:pPr>
        <w:pStyle w:val="BodyText"/>
        <w:spacing w:line="240" w:lineRule="auto" w:before="74"/>
        <w:ind w:left="1133" w:right="0"/>
        <w:jc w:val="left"/>
      </w:pPr>
      <w:r>
        <w:rPr>
          <w:rFonts w:ascii="Times New Roman" w:hAnsi="Times New Roman" w:cs="Times New Roman" w:eastAsia="Times New Roman" w:hint="default"/>
        </w:rPr>
        <w:t>2</w:t>
      </w:r>
      <w:r>
        <w:rPr/>
        <w:t>、监事会成员</w:t>
      </w:r>
    </w:p>
    <w:p>
      <w:pPr>
        <w:spacing w:line="240" w:lineRule="auto" w:before="9"/>
        <w:rPr>
          <w:rFonts w:ascii="宋体" w:hAnsi="宋体" w:cs="宋体" w:eastAsia="宋体" w:hint="default"/>
          <w:sz w:val="16"/>
          <w:szCs w:val="16"/>
        </w:rPr>
      </w:pPr>
    </w:p>
    <w:p>
      <w:pPr>
        <w:pStyle w:val="BodyText"/>
        <w:spacing w:line="451" w:lineRule="auto"/>
        <w:ind w:left="1133" w:right="1130"/>
        <w:jc w:val="both"/>
      </w:pPr>
      <w:r>
        <w:rPr/>
        <w:t>（</w:t>
      </w:r>
      <w:r>
        <w:rPr>
          <w:rFonts w:ascii="Times New Roman" w:hAnsi="Times New Roman" w:cs="Times New Roman" w:eastAsia="Times New Roman" w:hint="default"/>
        </w:rPr>
        <w:t>1</w:t>
      </w:r>
      <w:r>
        <w:rPr/>
        <w:t>）高传江先生，中国国籍，无永久境外居留权，</w:t>
      </w:r>
      <w:r>
        <w:rPr>
          <w:rFonts w:ascii="Times New Roman" w:hAnsi="Times New Roman" w:cs="Times New Roman" w:eastAsia="Times New Roman" w:hint="default"/>
        </w:rPr>
        <w:t>1976</w:t>
      </w:r>
      <w:r>
        <w:rPr/>
        <w:t>年</w:t>
      </w:r>
      <w:r>
        <w:rPr>
          <w:rFonts w:ascii="Times New Roman" w:hAnsi="Times New Roman" w:cs="Times New Roman" w:eastAsia="Times New Roman" w:hint="default"/>
        </w:rPr>
        <w:t>10</w:t>
      </w:r>
      <w:r>
        <w:rPr/>
        <w:t>月出生，大学本科学历。</w:t>
      </w:r>
      <w:r>
        <w:rPr>
          <w:rFonts w:ascii="Times New Roman" w:hAnsi="Times New Roman" w:cs="Times New Roman" w:eastAsia="Times New Roman" w:hint="default"/>
        </w:rPr>
        <w:t>2001</w:t>
      </w:r>
      <w:r>
        <w:rPr/>
        <w:t>年至</w:t>
      </w:r>
      <w:r>
        <w:rPr>
          <w:rFonts w:ascii="Times New Roman" w:hAnsi="Times New Roman" w:cs="Times New Roman" w:eastAsia="Times New Roman" w:hint="default"/>
        </w:rPr>
        <w:t>2011</w:t>
      </w:r>
      <w:r>
        <w:rPr/>
        <w:t>年在浩云有限工作，历 </w:t>
      </w:r>
      <w:r>
        <w:rPr>
          <w:spacing w:val="-2"/>
        </w:rPr>
        <w:t>任技术员、技术经理、采购部经理、售后服务部经理、运维中心经理。</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9</w:t>
      </w:r>
      <w:r>
        <w:rPr>
          <w:spacing w:val="-2"/>
        </w:rPr>
        <w:t>月至今，担任本公司职工监事；</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1</w:t>
      </w:r>
      <w:r>
        <w:rPr>
          <w:spacing w:val="-2"/>
        </w:rPr>
        <w:t>月至</w:t>
      </w:r>
      <w:r>
        <w:rPr>
          <w:spacing w:val="-58"/>
        </w:rPr>
        <w:t> </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3</w:t>
      </w:r>
      <w:r>
        <w:rPr/>
        <w:t>日，担任本公司监事会主席。</w:t>
      </w:r>
    </w:p>
    <w:p>
      <w:pPr>
        <w:pStyle w:val="BodyText"/>
        <w:spacing w:line="451" w:lineRule="auto" w:before="43"/>
        <w:ind w:left="1133" w:right="1132"/>
        <w:jc w:val="both"/>
      </w:pPr>
      <w:r>
        <w:rPr>
          <w:spacing w:val="-2"/>
        </w:rPr>
        <w:t>（</w:t>
      </w:r>
      <w:r>
        <w:rPr>
          <w:rFonts w:ascii="Times New Roman" w:hAnsi="Times New Roman" w:cs="Times New Roman" w:eastAsia="Times New Roman" w:hint="default"/>
          <w:spacing w:val="-2"/>
        </w:rPr>
        <w:t>2</w:t>
      </w:r>
      <w:r>
        <w:rPr>
          <w:spacing w:val="-2"/>
        </w:rPr>
        <w:t>）郑盛泰先生，中国国籍，无永久境外居留权，</w:t>
      </w:r>
      <w:r>
        <w:rPr>
          <w:rFonts w:ascii="Times New Roman" w:hAnsi="Times New Roman" w:cs="Times New Roman" w:eastAsia="Times New Roman" w:hint="default"/>
          <w:spacing w:val="-2"/>
        </w:rPr>
        <w:t>1965</w:t>
      </w:r>
      <w:r>
        <w:rPr>
          <w:spacing w:val="-2"/>
        </w:rPr>
        <w:t>年</w:t>
      </w:r>
      <w:r>
        <w:rPr>
          <w:rFonts w:ascii="Times New Roman" w:hAnsi="Times New Roman" w:cs="Times New Roman" w:eastAsia="Times New Roman" w:hint="default"/>
          <w:spacing w:val="-2"/>
        </w:rPr>
        <w:t>1</w:t>
      </w:r>
      <w:r>
        <w:rPr>
          <w:spacing w:val="-2"/>
        </w:rPr>
        <w:t>月出生，大学本科学历，工程师。</w:t>
      </w:r>
      <w:r>
        <w:rPr>
          <w:rFonts w:ascii="Times New Roman" w:hAnsi="Times New Roman" w:cs="Times New Roman" w:eastAsia="Times New Roman" w:hint="default"/>
          <w:spacing w:val="-2"/>
        </w:rPr>
        <w:t>1986</w:t>
      </w:r>
      <w:r>
        <w:rPr>
          <w:spacing w:val="-2"/>
        </w:rPr>
        <w:t>年至</w:t>
      </w:r>
      <w:r>
        <w:rPr>
          <w:rFonts w:ascii="Times New Roman" w:hAnsi="Times New Roman" w:cs="Times New Roman" w:eastAsia="Times New Roman" w:hint="default"/>
          <w:spacing w:val="-2"/>
        </w:rPr>
        <w:t>1994</w:t>
      </w:r>
      <w:r>
        <w:rPr>
          <w:spacing w:val="-2"/>
        </w:rPr>
        <w:t>年任职于江西南</w:t>
      </w:r>
      <w:r>
        <w:rPr>
          <w:spacing w:val="-56"/>
        </w:rPr>
        <w:t> </w:t>
      </w:r>
      <w:r>
        <w:rPr>
          <w:spacing w:val="-56"/>
        </w:rPr>
      </w:r>
      <w:r>
        <w:rPr>
          <w:spacing w:val="-2"/>
        </w:rPr>
        <w:t>昌自动化仪表厂；</w:t>
      </w:r>
      <w:r>
        <w:rPr>
          <w:rFonts w:ascii="Times New Roman" w:hAnsi="Times New Roman" w:cs="Times New Roman" w:eastAsia="Times New Roman" w:hint="default"/>
          <w:spacing w:val="-2"/>
        </w:rPr>
        <w:t>1994</w:t>
      </w:r>
      <w:r>
        <w:rPr>
          <w:spacing w:val="-2"/>
        </w:rPr>
        <w:t>年至</w:t>
      </w:r>
      <w:r>
        <w:rPr>
          <w:rFonts w:ascii="Times New Roman" w:hAnsi="Times New Roman" w:cs="Times New Roman" w:eastAsia="Times New Roman" w:hint="default"/>
          <w:spacing w:val="-2"/>
        </w:rPr>
        <w:t>1997</w:t>
      </w:r>
      <w:r>
        <w:rPr>
          <w:spacing w:val="-2"/>
        </w:rPr>
        <w:t>年在番禺市电子工业总公司任职；</w:t>
      </w:r>
      <w:r>
        <w:rPr>
          <w:rFonts w:ascii="Times New Roman" w:hAnsi="Times New Roman" w:cs="Times New Roman" w:eastAsia="Times New Roman" w:hint="default"/>
          <w:spacing w:val="-2"/>
        </w:rPr>
        <w:t>1997</w:t>
      </w:r>
      <w:r>
        <w:rPr>
          <w:spacing w:val="-2"/>
        </w:rPr>
        <w:t>年至</w:t>
      </w:r>
      <w:r>
        <w:rPr>
          <w:rFonts w:ascii="Times New Roman" w:hAnsi="Times New Roman" w:cs="Times New Roman" w:eastAsia="Times New Roman" w:hint="default"/>
          <w:spacing w:val="-2"/>
        </w:rPr>
        <w:t>2001</w:t>
      </w:r>
      <w:r>
        <w:rPr>
          <w:spacing w:val="-2"/>
        </w:rPr>
        <w:t>年任职于番禺保安器材工程公司；</w:t>
      </w:r>
      <w:r>
        <w:rPr>
          <w:rFonts w:ascii="Times New Roman" w:hAnsi="Times New Roman" w:cs="Times New Roman" w:eastAsia="Times New Roman" w:hint="default"/>
          <w:spacing w:val="-2"/>
        </w:rPr>
        <w:t>2001</w:t>
      </w:r>
      <w:r>
        <w:rPr>
          <w:spacing w:val="-2"/>
        </w:rPr>
        <w:t>年至</w:t>
      </w:r>
      <w:r>
        <w:rPr>
          <w:spacing w:val="-46"/>
        </w:rPr>
        <w:t> </w:t>
      </w:r>
      <w:r>
        <w:rPr>
          <w:rFonts w:ascii="Times New Roman" w:hAnsi="Times New Roman" w:cs="Times New Roman" w:eastAsia="Times New Roman" w:hint="default"/>
        </w:rPr>
        <w:t>2007</w:t>
      </w:r>
      <w:r>
        <w:rPr/>
        <w:t>年，任职于浩云有限；</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9</w:t>
      </w:r>
      <w:r>
        <w:rPr/>
        <w:t>月至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3</w:t>
      </w:r>
      <w:r>
        <w:rPr/>
        <w:t>日，担任本公司监事；</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9</w:t>
      </w:r>
      <w:r>
        <w:rPr/>
        <w:t>月至今，担任本公司证券部经理。</w:t>
      </w:r>
    </w:p>
    <w:p>
      <w:pPr>
        <w:pStyle w:val="BodyText"/>
        <w:spacing w:line="451" w:lineRule="auto" w:before="43"/>
        <w:ind w:left="1133" w:right="1139"/>
        <w:jc w:val="both"/>
      </w:pPr>
      <w:r>
        <w:rPr/>
        <w:t>（</w:t>
      </w:r>
      <w:r>
        <w:rPr>
          <w:rFonts w:ascii="Times New Roman" w:hAnsi="Times New Roman" w:cs="Times New Roman" w:eastAsia="Times New Roman" w:hint="default"/>
        </w:rPr>
        <w:t>3</w:t>
      </w:r>
      <w:r>
        <w:rPr/>
        <w:t>）龙罡先生，中国国籍，无永久境外居留权，</w:t>
      </w:r>
      <w:r>
        <w:rPr>
          <w:rFonts w:ascii="Times New Roman" w:hAnsi="Times New Roman" w:cs="Times New Roman" w:eastAsia="Times New Roman" w:hint="default"/>
        </w:rPr>
        <w:t>1976</w:t>
      </w:r>
      <w:r>
        <w:rPr/>
        <w:t>年</w:t>
      </w:r>
      <w:r>
        <w:rPr>
          <w:rFonts w:ascii="Times New Roman" w:hAnsi="Times New Roman" w:cs="Times New Roman" w:eastAsia="Times New Roman" w:hint="default"/>
        </w:rPr>
        <w:t>11</w:t>
      </w:r>
      <w:r>
        <w:rPr/>
        <w:t>月出生，大学本科学历，工程师。</w:t>
      </w:r>
      <w:r>
        <w:rPr>
          <w:rFonts w:ascii="Times New Roman" w:hAnsi="Times New Roman" w:cs="Times New Roman" w:eastAsia="Times New Roman" w:hint="default"/>
        </w:rPr>
        <w:t>2001</w:t>
      </w:r>
      <w:r>
        <w:rPr/>
        <w:t>年至</w:t>
      </w:r>
      <w:r>
        <w:rPr>
          <w:rFonts w:ascii="Times New Roman" w:hAnsi="Times New Roman" w:cs="Times New Roman" w:eastAsia="Times New Roman" w:hint="default"/>
        </w:rPr>
        <w:t>2004</w:t>
      </w:r>
      <w:r>
        <w:rPr/>
        <w:t>年任职于广东高 新兴通信设备有限公司；</w:t>
      </w:r>
      <w:r>
        <w:rPr>
          <w:rFonts w:ascii="Times New Roman" w:hAnsi="Times New Roman" w:cs="Times New Roman" w:eastAsia="Times New Roman" w:hint="default"/>
        </w:rPr>
        <w:t>2004</w:t>
      </w:r>
      <w:r>
        <w:rPr/>
        <w:t>年至</w:t>
      </w:r>
      <w:r>
        <w:rPr>
          <w:rFonts w:ascii="Times New Roman" w:hAnsi="Times New Roman" w:cs="Times New Roman" w:eastAsia="Times New Roman" w:hint="default"/>
        </w:rPr>
        <w:t>2011</w:t>
      </w:r>
      <w:r>
        <w:rPr/>
        <w:t>年在浩云有限任职，历任开发工程师、硬件开发部经理等职；</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9</w:t>
      </w:r>
      <w:r>
        <w:rPr/>
        <w:t>月至今，担任 公司研发中心副经理；</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w:t>
      </w:r>
      <w:r>
        <w:rPr/>
        <w:t>月至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3</w:t>
      </w:r>
      <w:r>
        <w:rPr/>
        <w:t>日，担任本公司监事。</w:t>
      </w:r>
    </w:p>
    <w:p>
      <w:pPr>
        <w:pStyle w:val="BodyText"/>
        <w:spacing w:line="240" w:lineRule="auto" w:before="43"/>
        <w:ind w:left="1133" w:right="0"/>
        <w:jc w:val="left"/>
      </w:pPr>
      <w:r>
        <w:rPr>
          <w:rFonts w:ascii="Times New Roman" w:hAnsi="Times New Roman" w:cs="Times New Roman" w:eastAsia="Times New Roman" w:hint="default"/>
        </w:rPr>
        <w:t>3</w:t>
      </w:r>
      <w:r>
        <w:rPr/>
        <w:t>、高级管理人员</w:t>
      </w:r>
    </w:p>
    <w:p>
      <w:pPr>
        <w:spacing w:line="240" w:lineRule="auto" w:before="9"/>
        <w:rPr>
          <w:rFonts w:ascii="宋体" w:hAnsi="宋体" w:cs="宋体" w:eastAsia="宋体" w:hint="default"/>
          <w:sz w:val="16"/>
          <w:szCs w:val="16"/>
        </w:rPr>
      </w:pPr>
    </w:p>
    <w:p>
      <w:pPr>
        <w:pStyle w:val="BodyText"/>
        <w:spacing w:line="240" w:lineRule="auto"/>
        <w:ind w:right="0"/>
        <w:jc w:val="left"/>
      </w:pPr>
      <w:r>
        <w:rPr/>
        <w:t>（</w:t>
      </w:r>
      <w:r>
        <w:rPr>
          <w:rFonts w:ascii="Times New Roman" w:hAnsi="Times New Roman" w:cs="Times New Roman" w:eastAsia="Times New Roman" w:hint="default"/>
        </w:rPr>
        <w:t>1</w:t>
      </w:r>
      <w:r>
        <w:rPr/>
        <w:t>）雷洪文先生，简历见上。</w:t>
      </w:r>
    </w:p>
    <w:p>
      <w:pPr>
        <w:spacing w:line="240" w:lineRule="auto" w:before="10"/>
        <w:rPr>
          <w:rFonts w:ascii="宋体" w:hAnsi="宋体" w:cs="宋体" w:eastAsia="宋体" w:hint="default"/>
          <w:sz w:val="16"/>
          <w:szCs w:val="16"/>
        </w:rPr>
      </w:pPr>
    </w:p>
    <w:p>
      <w:pPr>
        <w:pStyle w:val="BodyText"/>
        <w:spacing w:line="451" w:lineRule="auto"/>
        <w:ind w:left="1133" w:right="0"/>
        <w:jc w:val="left"/>
      </w:pPr>
      <w:r>
        <w:rPr>
          <w:spacing w:val="-2"/>
        </w:rPr>
        <w:t>（</w:t>
      </w:r>
      <w:r>
        <w:rPr>
          <w:rFonts w:ascii="Times New Roman" w:hAnsi="Times New Roman" w:cs="Times New Roman" w:eastAsia="Times New Roman" w:hint="default"/>
          <w:spacing w:val="-2"/>
        </w:rPr>
        <w:t>2</w:t>
      </w:r>
      <w:r>
        <w:rPr>
          <w:spacing w:val="-2"/>
        </w:rPr>
        <w:t>）袁小康先生，中国国籍，无永久境外居留权，</w:t>
      </w:r>
      <w:r>
        <w:rPr>
          <w:rFonts w:ascii="Times New Roman" w:hAnsi="Times New Roman" w:cs="Times New Roman" w:eastAsia="Times New Roman" w:hint="default"/>
          <w:spacing w:val="-2"/>
        </w:rPr>
        <w:t>1965</w:t>
      </w:r>
      <w:r>
        <w:rPr>
          <w:spacing w:val="-2"/>
        </w:rPr>
        <w:t>年</w:t>
      </w:r>
      <w:r>
        <w:rPr>
          <w:rFonts w:ascii="Times New Roman" w:hAnsi="Times New Roman" w:cs="Times New Roman" w:eastAsia="Times New Roman" w:hint="default"/>
          <w:spacing w:val="-2"/>
        </w:rPr>
        <w:t>6</w:t>
      </w:r>
      <w:r>
        <w:rPr>
          <w:spacing w:val="-2"/>
        </w:rPr>
        <w:t>月出生，大学本科学历，计算机工程师职称。</w:t>
      </w:r>
      <w:r>
        <w:rPr>
          <w:rFonts w:ascii="Times New Roman" w:hAnsi="Times New Roman" w:cs="Times New Roman" w:eastAsia="Times New Roman" w:hint="default"/>
          <w:spacing w:val="-2"/>
        </w:rPr>
        <w:t>1986</w:t>
      </w:r>
      <w:r>
        <w:rPr>
          <w:spacing w:val="-2"/>
        </w:rPr>
        <w:t>年至</w:t>
      </w:r>
      <w:r>
        <w:rPr>
          <w:rFonts w:ascii="Times New Roman" w:hAnsi="Times New Roman" w:cs="Times New Roman" w:eastAsia="Times New Roman" w:hint="default"/>
          <w:spacing w:val="-2"/>
        </w:rPr>
        <w:t>1992</w:t>
      </w:r>
      <w:r>
        <w:rPr>
          <w:spacing w:val="-2"/>
        </w:rPr>
        <w:t>年在</w:t>
      </w:r>
      <w:r>
        <w:rPr>
          <w:spacing w:val="-55"/>
        </w:rPr>
        <w:t> </w:t>
      </w:r>
      <w:r>
        <w:rPr>
          <w:spacing w:val="-2"/>
        </w:rPr>
        <w:t>广州市外国语学院附中任教；</w:t>
      </w:r>
      <w:r>
        <w:rPr>
          <w:rFonts w:ascii="Times New Roman" w:hAnsi="Times New Roman" w:cs="Times New Roman" w:eastAsia="Times New Roman" w:hint="default"/>
          <w:spacing w:val="-2"/>
        </w:rPr>
        <w:t>1992</w:t>
      </w:r>
      <w:r>
        <w:rPr>
          <w:spacing w:val="-2"/>
        </w:rPr>
        <w:t>年至</w:t>
      </w:r>
      <w:r>
        <w:rPr>
          <w:rFonts w:ascii="Times New Roman" w:hAnsi="Times New Roman" w:cs="Times New Roman" w:eastAsia="Times New Roman" w:hint="default"/>
          <w:spacing w:val="-2"/>
        </w:rPr>
        <w:t>1996</w:t>
      </w:r>
      <w:r>
        <w:rPr>
          <w:spacing w:val="-2"/>
        </w:rPr>
        <w:t>年在广州市番禺江南电脑公司工作，任经理；</w:t>
      </w:r>
      <w:r>
        <w:rPr>
          <w:rFonts w:ascii="Times New Roman" w:hAnsi="Times New Roman" w:cs="Times New Roman" w:eastAsia="Times New Roman" w:hint="default"/>
          <w:spacing w:val="-2"/>
        </w:rPr>
        <w:t>1996</w:t>
      </w:r>
      <w:r>
        <w:rPr>
          <w:spacing w:val="-2"/>
        </w:rPr>
        <w:t>年至</w:t>
      </w:r>
      <w:r>
        <w:rPr>
          <w:rFonts w:ascii="Times New Roman" w:hAnsi="Times New Roman" w:cs="Times New Roman" w:eastAsia="Times New Roman" w:hint="default"/>
          <w:spacing w:val="-2"/>
        </w:rPr>
        <w:t>2001</w:t>
      </w:r>
      <w:r>
        <w:rPr>
          <w:spacing w:val="-2"/>
        </w:rPr>
        <w:t>年在番禺市保安器材</w:t>
      </w:r>
    </w:p>
    <w:p>
      <w:pPr>
        <w:spacing w:after="0" w:line="451" w:lineRule="auto"/>
        <w:jc w:val="left"/>
        <w:sectPr>
          <w:footerReference w:type="default" r:id="rId40"/>
          <w:pgSz w:w="11910" w:h="16840"/>
          <w:pgMar w:footer="1505" w:header="787" w:top="1100" w:bottom="1700" w:left="0" w:right="0"/>
        </w:sectPr>
      </w:pPr>
    </w:p>
    <w:p>
      <w:pPr>
        <w:spacing w:line="240" w:lineRule="auto" w:before="10"/>
        <w:rPr>
          <w:rFonts w:ascii="宋体" w:hAnsi="宋体" w:cs="宋体" w:eastAsia="宋体" w:hint="default"/>
          <w:sz w:val="28"/>
          <w:szCs w:val="28"/>
        </w:rPr>
      </w:pPr>
    </w:p>
    <w:p>
      <w:pPr>
        <w:pStyle w:val="BodyText"/>
        <w:spacing w:line="451" w:lineRule="auto" w:before="44"/>
        <w:ind w:left="1133" w:right="1123"/>
        <w:jc w:val="left"/>
      </w:pPr>
      <w:r>
        <w:rPr/>
        <w:t>总经理；</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3</w:t>
      </w:r>
      <w:r>
        <w:rPr/>
        <w:t>月起至今，担任公司全资子公司重庆浩云公共安全物联网技术有限公司的执行董事；</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12</w:t>
      </w:r>
      <w:r>
        <w:rPr/>
        <w:t>月起至今， 担任全资子公司西藏浩云创业投资有限公司执行董事。</w:t>
      </w:r>
    </w:p>
    <w:p>
      <w:pPr>
        <w:pStyle w:val="BodyText"/>
        <w:spacing w:line="451" w:lineRule="auto" w:before="74"/>
        <w:ind w:left="1133" w:right="1132"/>
        <w:jc w:val="both"/>
      </w:pPr>
      <w:r>
        <w:rPr>
          <w:spacing w:val="-2"/>
        </w:rPr>
        <w:t>（</w:t>
      </w:r>
      <w:r>
        <w:rPr>
          <w:rFonts w:ascii="Times New Roman" w:hAnsi="Times New Roman" w:cs="Times New Roman" w:eastAsia="Times New Roman" w:hint="default"/>
          <w:spacing w:val="-2"/>
        </w:rPr>
        <w:t>3</w:t>
      </w:r>
      <w:r>
        <w:rPr>
          <w:spacing w:val="-2"/>
        </w:rPr>
        <w:t>）徐彪先生，中国国籍，无永久境外居留权，</w:t>
      </w:r>
      <w:r>
        <w:rPr>
          <w:rFonts w:ascii="Times New Roman" w:hAnsi="Times New Roman" w:cs="Times New Roman" w:eastAsia="Times New Roman" w:hint="default"/>
          <w:spacing w:val="-2"/>
        </w:rPr>
        <w:t>1971</w:t>
      </w:r>
      <w:r>
        <w:rPr>
          <w:spacing w:val="-2"/>
        </w:rPr>
        <w:t>年</w:t>
      </w:r>
      <w:r>
        <w:rPr>
          <w:rFonts w:ascii="Times New Roman" w:hAnsi="Times New Roman" w:cs="Times New Roman" w:eastAsia="Times New Roman" w:hint="default"/>
          <w:spacing w:val="-2"/>
        </w:rPr>
        <w:t>2</w:t>
      </w:r>
      <w:r>
        <w:rPr>
          <w:spacing w:val="-2"/>
        </w:rPr>
        <w:t>月出生，大专学历，助理经济师资格。</w:t>
      </w:r>
      <w:r>
        <w:rPr>
          <w:rFonts w:ascii="Times New Roman" w:hAnsi="Times New Roman" w:cs="Times New Roman" w:eastAsia="Times New Roman" w:hint="default"/>
          <w:spacing w:val="-2"/>
        </w:rPr>
        <w:t>1994</w:t>
      </w:r>
      <w:r>
        <w:rPr>
          <w:spacing w:val="-2"/>
        </w:rPr>
        <w:t>年至</w:t>
      </w:r>
      <w:r>
        <w:rPr>
          <w:rFonts w:ascii="Times New Roman" w:hAnsi="Times New Roman" w:cs="Times New Roman" w:eastAsia="Times New Roman" w:hint="default"/>
          <w:spacing w:val="-2"/>
        </w:rPr>
        <w:t>2001</w:t>
      </w:r>
      <w:r>
        <w:rPr>
          <w:spacing w:val="-2"/>
        </w:rPr>
        <w:t>年任职于番禺</w:t>
      </w:r>
      <w:r>
        <w:rPr>
          <w:spacing w:val="-56"/>
        </w:rPr>
        <w:t> </w:t>
      </w:r>
      <w:r>
        <w:rPr>
          <w:spacing w:val="-56"/>
        </w:rPr>
      </w:r>
      <w:r>
        <w:rPr/>
        <w:t>市电子工业总公司；</w:t>
      </w:r>
      <w:r>
        <w:rPr>
          <w:rFonts w:ascii="Times New Roman" w:hAnsi="Times New Roman" w:cs="Times New Roman" w:eastAsia="Times New Roman" w:hint="default"/>
        </w:rPr>
        <w:t>2001</w:t>
      </w:r>
      <w:r>
        <w:rPr/>
        <w:t>年至</w:t>
      </w:r>
      <w:r>
        <w:rPr>
          <w:rFonts w:ascii="Times New Roman" w:hAnsi="Times New Roman" w:cs="Times New Roman" w:eastAsia="Times New Roman" w:hint="default"/>
        </w:rPr>
        <w:t>2011</w:t>
      </w:r>
      <w:r>
        <w:rPr/>
        <w:t>年就职于广州市浩云安防科技工程有限公司，历任担任监事、总经理等职务。</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9</w:t>
      </w:r>
      <w:r>
        <w:rPr/>
        <w:t>月 至今，担任本公司副总经理。</w:t>
      </w:r>
    </w:p>
    <w:p>
      <w:pPr>
        <w:pStyle w:val="BodyText"/>
        <w:spacing w:line="451" w:lineRule="auto" w:before="74"/>
        <w:ind w:left="1133" w:right="0"/>
        <w:jc w:val="left"/>
      </w:pPr>
      <w:r>
        <w:rPr>
          <w:spacing w:val="-2"/>
        </w:rPr>
        <w:t>（</w:t>
      </w:r>
      <w:r>
        <w:rPr>
          <w:rFonts w:ascii="Times New Roman" w:hAnsi="Times New Roman" w:cs="Times New Roman" w:eastAsia="Times New Roman" w:hint="default"/>
          <w:spacing w:val="-2"/>
        </w:rPr>
        <w:t>4</w:t>
      </w:r>
      <w:r>
        <w:rPr>
          <w:spacing w:val="-2"/>
        </w:rPr>
        <w:t>）龙中胜先生，中国国籍，无永久境外居留权，</w:t>
      </w:r>
      <w:r>
        <w:rPr>
          <w:rFonts w:ascii="Times New Roman" w:hAnsi="Times New Roman" w:cs="Times New Roman" w:eastAsia="Times New Roman" w:hint="default"/>
          <w:spacing w:val="-2"/>
        </w:rPr>
        <w:t>1963</w:t>
      </w:r>
      <w:r>
        <w:rPr>
          <w:spacing w:val="-2"/>
        </w:rPr>
        <w:t>年</w:t>
      </w:r>
      <w:r>
        <w:rPr>
          <w:rFonts w:ascii="Times New Roman" w:hAnsi="Times New Roman" w:cs="Times New Roman" w:eastAsia="Times New Roman" w:hint="default"/>
          <w:spacing w:val="-2"/>
        </w:rPr>
        <w:t>9</w:t>
      </w:r>
      <w:r>
        <w:rPr>
          <w:spacing w:val="-2"/>
        </w:rPr>
        <w:t>月出生，硕士学历，高级工程师。</w:t>
      </w:r>
      <w:r>
        <w:rPr>
          <w:rFonts w:ascii="Times New Roman" w:hAnsi="Times New Roman" w:cs="Times New Roman" w:eastAsia="Times New Roman" w:hint="default"/>
          <w:spacing w:val="-2"/>
        </w:rPr>
        <w:t>1989</w:t>
      </w:r>
      <w:r>
        <w:rPr>
          <w:spacing w:val="-2"/>
        </w:rPr>
        <w:t>年至</w:t>
      </w:r>
      <w:r>
        <w:rPr>
          <w:rFonts w:ascii="Times New Roman" w:hAnsi="Times New Roman" w:cs="Times New Roman" w:eastAsia="Times New Roman" w:hint="default"/>
          <w:spacing w:val="-2"/>
        </w:rPr>
        <w:t>1999</w:t>
      </w:r>
      <w:r>
        <w:rPr>
          <w:spacing w:val="-2"/>
        </w:rPr>
        <w:t>年任职于湖北沙</w:t>
      </w:r>
      <w:r>
        <w:rPr>
          <w:spacing w:val="-56"/>
        </w:rPr>
        <w:t> </w:t>
      </w:r>
      <w:r>
        <w:rPr>
          <w:spacing w:val="-56"/>
        </w:rPr>
      </w:r>
      <w:r>
        <w:rPr>
          <w:spacing w:val="-3"/>
        </w:rPr>
        <w:t>市自动化研究所；</w:t>
      </w:r>
      <w:r>
        <w:rPr>
          <w:rFonts w:ascii="Times New Roman" w:hAnsi="Times New Roman" w:cs="Times New Roman" w:eastAsia="Times New Roman" w:hint="default"/>
          <w:spacing w:val="-3"/>
        </w:rPr>
        <w:t>1999</w:t>
      </w:r>
      <w:r>
        <w:rPr>
          <w:spacing w:val="-3"/>
        </w:rPr>
        <w:t>年至</w:t>
      </w:r>
      <w:r>
        <w:rPr>
          <w:rFonts w:ascii="Times New Roman" w:hAnsi="Times New Roman" w:cs="Times New Roman" w:eastAsia="Times New Roman" w:hint="default"/>
          <w:spacing w:val="-3"/>
        </w:rPr>
        <w:t>2001</w:t>
      </w:r>
      <w:r>
        <w:rPr>
          <w:spacing w:val="-3"/>
        </w:rPr>
        <w:t>年在番禺市保安器材工程公司担任总工程师；</w:t>
      </w:r>
      <w:r>
        <w:rPr>
          <w:rFonts w:ascii="Times New Roman" w:hAnsi="Times New Roman" w:cs="Times New Roman" w:eastAsia="Times New Roman" w:hint="default"/>
          <w:spacing w:val="-3"/>
        </w:rPr>
        <w:t>2001</w:t>
      </w:r>
      <w:r>
        <w:rPr>
          <w:spacing w:val="-3"/>
        </w:rPr>
        <w:t>年至</w:t>
      </w:r>
      <w:r>
        <w:rPr>
          <w:rFonts w:ascii="Times New Roman" w:hAnsi="Times New Roman" w:cs="Times New Roman" w:eastAsia="Times New Roman" w:hint="default"/>
          <w:spacing w:val="-3"/>
        </w:rPr>
        <w:t>2011</w:t>
      </w:r>
      <w:r>
        <w:rPr>
          <w:spacing w:val="-3"/>
        </w:rPr>
        <w:t>年担任浩云有限总工程师、监事。</w:t>
      </w:r>
      <w:r>
        <w:rPr>
          <w:spacing w:val="-75"/>
        </w:rPr>
        <w:t> </w:t>
      </w:r>
      <w:r>
        <w:rPr>
          <w:spacing w:val="-75"/>
        </w:rPr>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9</w:t>
      </w:r>
      <w:r>
        <w:rPr/>
        <w:t>月至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10</w:t>
      </w:r>
      <w:r>
        <w:rPr/>
        <w:t>日，担任本公司副总经理，</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10</w:t>
      </w:r>
      <w:r>
        <w:rPr/>
        <w:t>日至今，担任本公司总工程师。</w:t>
      </w:r>
    </w:p>
    <w:p>
      <w:pPr>
        <w:pStyle w:val="BodyText"/>
        <w:spacing w:line="451" w:lineRule="auto" w:before="43"/>
        <w:ind w:left="1133" w:right="0"/>
        <w:jc w:val="left"/>
      </w:pPr>
      <w:r>
        <w:rPr>
          <w:spacing w:val="-2"/>
        </w:rPr>
        <w:t>（</w:t>
      </w:r>
      <w:r>
        <w:rPr>
          <w:rFonts w:ascii="Times New Roman" w:hAnsi="Times New Roman" w:cs="Times New Roman" w:eastAsia="Times New Roman" w:hint="default"/>
          <w:spacing w:val="-2"/>
        </w:rPr>
        <w:t>5</w:t>
      </w:r>
      <w:r>
        <w:rPr>
          <w:spacing w:val="-2"/>
        </w:rPr>
        <w:t>）茅屏萍女士，中国国籍，无永久境外居留权，</w:t>
      </w:r>
      <w:r>
        <w:rPr>
          <w:rFonts w:ascii="Times New Roman" w:hAnsi="Times New Roman" w:cs="Times New Roman" w:eastAsia="Times New Roman" w:hint="default"/>
          <w:spacing w:val="-2"/>
        </w:rPr>
        <w:t>1962</w:t>
      </w:r>
      <w:r>
        <w:rPr>
          <w:spacing w:val="-2"/>
        </w:rPr>
        <w:t>年</w:t>
      </w:r>
      <w:r>
        <w:rPr>
          <w:rFonts w:ascii="Times New Roman" w:hAnsi="Times New Roman" w:cs="Times New Roman" w:eastAsia="Times New Roman" w:hint="default"/>
          <w:spacing w:val="-2"/>
        </w:rPr>
        <w:t>1</w:t>
      </w:r>
      <w:r>
        <w:rPr>
          <w:spacing w:val="-2"/>
        </w:rPr>
        <w:t>月出生，大专学历，会计师。</w:t>
      </w:r>
      <w:r>
        <w:rPr>
          <w:rFonts w:ascii="Times New Roman" w:hAnsi="Times New Roman" w:cs="Times New Roman" w:eastAsia="Times New Roman" w:hint="default"/>
          <w:spacing w:val="-2"/>
        </w:rPr>
        <w:t>1983</w:t>
      </w:r>
      <w:r>
        <w:rPr>
          <w:spacing w:val="-2"/>
        </w:rPr>
        <w:t>年至</w:t>
      </w:r>
      <w:r>
        <w:rPr>
          <w:rFonts w:ascii="Times New Roman" w:hAnsi="Times New Roman" w:cs="Times New Roman" w:eastAsia="Times New Roman" w:hint="default"/>
          <w:spacing w:val="-2"/>
        </w:rPr>
        <w:t>1998</w:t>
      </w:r>
      <w:r>
        <w:rPr>
          <w:spacing w:val="-2"/>
        </w:rPr>
        <w:t>年就职于扬州市印刷</w:t>
      </w:r>
      <w:r>
        <w:rPr>
          <w:spacing w:val="-56"/>
        </w:rPr>
        <w:t> </w:t>
      </w:r>
      <w:r>
        <w:rPr>
          <w:spacing w:val="-56"/>
        </w:rPr>
      </w:r>
      <w:r>
        <w:rPr/>
        <w:t>总厂；</w:t>
      </w:r>
      <w:r>
        <w:rPr>
          <w:rFonts w:ascii="Times New Roman" w:hAnsi="Times New Roman" w:cs="Times New Roman" w:eastAsia="Times New Roman" w:hint="default"/>
        </w:rPr>
        <w:t>1998</w:t>
      </w:r>
      <w:r>
        <w:rPr/>
        <w:t>年至</w:t>
      </w:r>
      <w:r>
        <w:rPr>
          <w:rFonts w:ascii="Times New Roman" w:hAnsi="Times New Roman" w:cs="Times New Roman" w:eastAsia="Times New Roman" w:hint="default"/>
        </w:rPr>
        <w:t>2001</w:t>
      </w:r>
      <w:r>
        <w:rPr/>
        <w:t>年就职于广州市嘉视达电子有限公司，担任财务主管；</w:t>
      </w:r>
      <w:r>
        <w:rPr>
          <w:rFonts w:ascii="Times New Roman" w:hAnsi="Times New Roman" w:cs="Times New Roman" w:eastAsia="Times New Roman" w:hint="default"/>
        </w:rPr>
        <w:t>2001</w:t>
      </w:r>
      <w:r>
        <w:rPr/>
        <w:t>年至</w:t>
      </w:r>
      <w:r>
        <w:rPr>
          <w:rFonts w:ascii="Times New Roman" w:hAnsi="Times New Roman" w:cs="Times New Roman" w:eastAsia="Times New Roman" w:hint="default"/>
        </w:rPr>
        <w:t>2011</w:t>
      </w:r>
      <w:r>
        <w:rPr/>
        <w:t>年担任浩云有限财务总监；</w:t>
      </w:r>
      <w:r>
        <w:rPr>
          <w:rFonts w:ascii="Times New Roman" w:hAnsi="Times New Roman" w:cs="Times New Roman" w:eastAsia="Times New Roman" w:hint="default"/>
        </w:rPr>
        <w:t>2011 </w:t>
      </w:r>
      <w:r>
        <w:rPr/>
        <w:t>年</w:t>
      </w:r>
      <w:r>
        <w:rPr>
          <w:rFonts w:ascii="Times New Roman" w:hAnsi="Times New Roman" w:cs="Times New Roman" w:eastAsia="Times New Roman" w:hint="default"/>
        </w:rPr>
        <w:t>9</w:t>
      </w:r>
      <w:r>
        <w:rPr/>
        <w:t>月至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21</w:t>
      </w:r>
      <w:r>
        <w:rPr/>
        <w:t>日，担任本公司副总经理。</w:t>
      </w:r>
    </w:p>
    <w:p>
      <w:pPr>
        <w:pStyle w:val="BodyText"/>
        <w:spacing w:line="240" w:lineRule="auto" w:before="43"/>
        <w:ind w:right="0"/>
        <w:jc w:val="left"/>
      </w:pPr>
      <w:r>
        <w:rPr/>
        <w:t>（</w:t>
      </w:r>
      <w:r>
        <w:rPr>
          <w:rFonts w:ascii="Times New Roman" w:hAnsi="Times New Roman" w:cs="Times New Roman" w:eastAsia="Times New Roman" w:hint="default"/>
        </w:rPr>
        <w:t>6</w:t>
      </w:r>
      <w:r>
        <w:rPr/>
        <w:t>）陈翩女士，中国国籍，无永久境外居留权，</w:t>
      </w:r>
      <w:r>
        <w:rPr>
          <w:rFonts w:ascii="Times New Roman" w:hAnsi="Times New Roman" w:cs="Times New Roman" w:eastAsia="Times New Roman" w:hint="default"/>
        </w:rPr>
        <w:t>1979</w:t>
      </w:r>
      <w:r>
        <w:rPr/>
        <w:t>年</w:t>
      </w:r>
      <w:r>
        <w:rPr>
          <w:rFonts w:ascii="Times New Roman" w:hAnsi="Times New Roman" w:cs="Times New Roman" w:eastAsia="Times New Roman" w:hint="default"/>
        </w:rPr>
        <w:t>9</w:t>
      </w:r>
      <w:r>
        <w:rPr/>
        <w:t>月出生，大学本科学历，中国注册会计师，英国特许公认会计师</w:t>
      </w:r>
    </w:p>
    <w:p>
      <w:pPr>
        <w:spacing w:line="240" w:lineRule="auto" w:before="9"/>
        <w:rPr>
          <w:rFonts w:ascii="宋体" w:hAnsi="宋体" w:cs="宋体" w:eastAsia="宋体" w:hint="default"/>
          <w:sz w:val="16"/>
          <w:szCs w:val="16"/>
        </w:rPr>
      </w:pPr>
    </w:p>
    <w:p>
      <w:pPr>
        <w:pStyle w:val="BodyText"/>
        <w:spacing w:line="451" w:lineRule="auto"/>
        <w:ind w:left="1133" w:right="1131"/>
        <w:jc w:val="both"/>
      </w:pPr>
      <w:r>
        <w:rPr/>
        <w:t>（</w:t>
      </w:r>
      <w:r>
        <w:rPr>
          <w:rFonts w:ascii="Times New Roman" w:hAnsi="Times New Roman" w:cs="Times New Roman" w:eastAsia="Times New Roman" w:hint="default"/>
        </w:rPr>
        <w:t>ACCA</w:t>
      </w:r>
      <w:r>
        <w:rPr/>
        <w:t>）。历任安永华明会计师事务所审计部经理、毕马威华振会计师事务所审计部经理。</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9</w:t>
      </w:r>
      <w:r>
        <w:rPr/>
        <w:t>月至今，担任本公司 </w:t>
      </w:r>
      <w:r>
        <w:rPr>
          <w:spacing w:val="-1"/>
        </w:rPr>
        <w:t>董事会秘书；</w:t>
      </w:r>
      <w:r>
        <w:rPr>
          <w:rFonts w:ascii="Times New Roman" w:hAnsi="Times New Roman" w:cs="Times New Roman" w:eastAsia="Times New Roman" w:hint="default"/>
          <w:spacing w:val="-1"/>
        </w:rPr>
        <w:t>2011</w:t>
      </w:r>
      <w:r>
        <w:rPr>
          <w:spacing w:val="-1"/>
        </w:rPr>
        <w:t>年</w:t>
      </w:r>
      <w:r>
        <w:rPr>
          <w:rFonts w:ascii="Times New Roman" w:hAnsi="Times New Roman" w:cs="Times New Roman" w:eastAsia="Times New Roman" w:hint="default"/>
          <w:spacing w:val="-1"/>
        </w:rPr>
        <w:t>9</w:t>
      </w:r>
      <w:r>
        <w:rPr>
          <w:spacing w:val="-1"/>
        </w:rPr>
        <w:t>月至</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9</w:t>
      </w:r>
      <w:r>
        <w:rPr>
          <w:spacing w:val="-1"/>
        </w:rPr>
        <w:t>月</w:t>
      </w:r>
      <w:r>
        <w:rPr>
          <w:rFonts w:ascii="Times New Roman" w:hAnsi="Times New Roman" w:cs="Times New Roman" w:eastAsia="Times New Roman" w:hint="default"/>
          <w:spacing w:val="-1"/>
        </w:rPr>
        <w:t>,</w:t>
      </w:r>
      <w:r>
        <w:rPr>
          <w:spacing w:val="-1"/>
        </w:rPr>
        <w:t>担任本公司财务总监；</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9</w:t>
      </w:r>
      <w:r>
        <w:rPr>
          <w:spacing w:val="-1"/>
        </w:rPr>
        <w:t>月至今，担任海博伦（苏州）环境科技股份有限公司董</w:t>
      </w:r>
      <w:r>
        <w:rPr>
          <w:spacing w:val="-68"/>
        </w:rPr>
        <w:t> </w:t>
      </w:r>
      <w:r>
        <w:rPr>
          <w:spacing w:val="-68"/>
        </w:rPr>
      </w:r>
      <w:r>
        <w:rPr/>
        <w:t>事；</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月至今，担任本公司副总经理；</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3</w:t>
      </w:r>
      <w:r>
        <w:rPr/>
        <w:t>月至今，担任广州酷游娱乐科技股份有限公司独立董事。</w:t>
      </w:r>
    </w:p>
    <w:p>
      <w:pPr>
        <w:pStyle w:val="BodyText"/>
        <w:spacing w:line="451" w:lineRule="auto" w:before="44"/>
        <w:ind w:left="1133" w:right="1132"/>
        <w:jc w:val="both"/>
      </w:pPr>
      <w:r>
        <w:rPr>
          <w:spacing w:val="-2"/>
        </w:rPr>
        <w:t>（</w:t>
      </w:r>
      <w:r>
        <w:rPr>
          <w:rFonts w:ascii="Times New Roman" w:hAnsi="Times New Roman" w:cs="Times New Roman" w:eastAsia="Times New Roman" w:hint="default"/>
          <w:spacing w:val="-2"/>
        </w:rPr>
        <w:t>7</w:t>
      </w:r>
      <w:r>
        <w:rPr>
          <w:spacing w:val="-2"/>
        </w:rPr>
        <w:t>）劳仲秀女士，中国国籍，无永久境外居留权，</w:t>
      </w:r>
      <w:r>
        <w:rPr>
          <w:rFonts w:ascii="Times New Roman" w:hAnsi="Times New Roman" w:cs="Times New Roman" w:eastAsia="Times New Roman" w:hint="default"/>
          <w:spacing w:val="-2"/>
        </w:rPr>
        <w:t>1983</w:t>
      </w:r>
      <w:r>
        <w:rPr>
          <w:spacing w:val="-2"/>
        </w:rPr>
        <w:t>年</w:t>
      </w:r>
      <w:r>
        <w:rPr>
          <w:rFonts w:ascii="Times New Roman" w:hAnsi="Times New Roman" w:cs="Times New Roman" w:eastAsia="Times New Roman" w:hint="default"/>
          <w:spacing w:val="-2"/>
        </w:rPr>
        <w:t>6</w:t>
      </w:r>
      <w:r>
        <w:rPr>
          <w:spacing w:val="-2"/>
        </w:rPr>
        <w:t>月出生，大学本科学历，双学士，中国注册会计师。历任深圳市</w:t>
      </w:r>
      <w:r>
        <w:rPr>
          <w:spacing w:val="-60"/>
        </w:rPr>
        <w:t> </w:t>
      </w:r>
      <w:r>
        <w:rPr>
          <w:spacing w:val="-60"/>
        </w:rPr>
      </w:r>
      <w:r>
        <w:rPr/>
        <w:t>鹏城会计师事务所有限公司广州分公司项目经理、天健会计师事务所（特殊普通合伙）广东分所高级项目经理；</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9</w:t>
      </w:r>
      <w:r>
        <w:rPr/>
        <w:t>月 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21</w:t>
      </w:r>
      <w:r>
        <w:rPr/>
        <w:t>日，担任本公司财务总监。</w:t>
      </w:r>
    </w:p>
    <w:p>
      <w:pPr>
        <w:pStyle w:val="BodyText"/>
        <w:spacing w:line="451" w:lineRule="auto" w:before="43"/>
        <w:ind w:left="1133" w:right="1032"/>
        <w:jc w:val="left"/>
      </w:pPr>
      <w:r>
        <w:rPr>
          <w:spacing w:val="-2"/>
        </w:rPr>
        <w:t>（</w:t>
      </w:r>
      <w:r>
        <w:rPr>
          <w:rFonts w:ascii="Times New Roman" w:hAnsi="Times New Roman" w:cs="Times New Roman" w:eastAsia="Times New Roman" w:hint="default"/>
          <w:spacing w:val="-2"/>
        </w:rPr>
        <w:t>8</w:t>
      </w:r>
      <w:r>
        <w:rPr>
          <w:spacing w:val="-2"/>
        </w:rPr>
        <w:t>）王汉晖先生，中国国籍，无永久境外居留权，</w:t>
      </w:r>
      <w:r>
        <w:rPr>
          <w:rFonts w:ascii="Times New Roman" w:hAnsi="Times New Roman" w:cs="Times New Roman" w:eastAsia="Times New Roman" w:hint="default"/>
          <w:spacing w:val="-2"/>
        </w:rPr>
        <w:t>1977</w:t>
      </w:r>
      <w:r>
        <w:rPr>
          <w:spacing w:val="-2"/>
        </w:rPr>
        <w:t>年</w:t>
      </w:r>
      <w:r>
        <w:rPr>
          <w:rFonts w:ascii="Times New Roman" w:hAnsi="Times New Roman" w:cs="Times New Roman" w:eastAsia="Times New Roman" w:hint="default"/>
          <w:spacing w:val="-2"/>
        </w:rPr>
        <w:t>9</w:t>
      </w:r>
      <w:r>
        <w:rPr>
          <w:spacing w:val="-2"/>
        </w:rPr>
        <w:t>月出生，大学本科学历，毕业于暨南大学管理学院注册会计师专</w:t>
      </w:r>
      <w:r>
        <w:rPr>
          <w:spacing w:val="-61"/>
        </w:rPr>
        <w:t> </w:t>
      </w:r>
      <w:r>
        <w:rPr>
          <w:spacing w:val="-61"/>
        </w:rPr>
      </w:r>
      <w:r>
        <w:rPr>
          <w:spacing w:val="-2"/>
        </w:rPr>
        <w:t>业，中国注册会计师、中国注册税务师、会计师。</w:t>
      </w:r>
      <w:r>
        <w:rPr>
          <w:rFonts w:ascii="Times New Roman" w:hAnsi="Times New Roman" w:cs="Times New Roman" w:eastAsia="Times New Roman" w:hint="default"/>
          <w:spacing w:val="-2"/>
        </w:rPr>
        <w:t>2000</w:t>
      </w:r>
      <w:r>
        <w:rPr>
          <w:spacing w:val="-2"/>
        </w:rPr>
        <w:t>年</w:t>
      </w:r>
      <w:r>
        <w:rPr>
          <w:rFonts w:ascii="Times New Roman" w:hAnsi="Times New Roman" w:cs="Times New Roman" w:eastAsia="Times New Roman" w:hint="default"/>
          <w:spacing w:val="-2"/>
        </w:rPr>
        <w:t>7</w:t>
      </w:r>
      <w:r>
        <w:rPr>
          <w:spacing w:val="-2"/>
        </w:rPr>
        <w:t>月至</w:t>
      </w:r>
      <w:r>
        <w:rPr/>
        <w:t> </w:t>
      </w:r>
      <w:r>
        <w:rPr>
          <w:rFonts w:ascii="Times New Roman" w:hAnsi="Times New Roman" w:cs="Times New Roman" w:eastAsia="Times New Roman" w:hint="default"/>
          <w:spacing w:val="-1"/>
        </w:rPr>
        <w:t>2005</w:t>
      </w:r>
      <w:r>
        <w:rPr>
          <w:spacing w:val="-1"/>
        </w:rPr>
        <w:t>年</w:t>
      </w:r>
      <w:r>
        <w:rPr>
          <w:rFonts w:ascii="Times New Roman" w:hAnsi="Times New Roman" w:cs="Times New Roman" w:eastAsia="Times New Roman" w:hint="default"/>
          <w:spacing w:val="-1"/>
        </w:rPr>
        <w:t>2</w:t>
      </w:r>
      <w:r>
        <w:rPr>
          <w:spacing w:val="-1"/>
        </w:rPr>
        <w:t>月在广东康元会计师事务所有限公司，历任审计员、</w:t>
      </w:r>
      <w:r>
        <w:rPr>
          <w:spacing w:val="-88"/>
        </w:rPr>
        <w:t> </w:t>
      </w:r>
      <w:r>
        <w:rPr>
          <w:spacing w:val="-88"/>
        </w:rPr>
      </w:r>
      <w:r>
        <w:rPr/>
        <w:t>项目经理；</w:t>
      </w:r>
      <w:r>
        <w:rPr>
          <w:rFonts w:ascii="Times New Roman" w:hAnsi="Times New Roman" w:cs="Times New Roman" w:eastAsia="Times New Roman" w:hint="default"/>
        </w:rPr>
        <w:t>2005</w:t>
      </w:r>
      <w:r>
        <w:rPr/>
        <w:t>年</w:t>
      </w:r>
      <w:r>
        <w:rPr>
          <w:rFonts w:ascii="Times New Roman" w:hAnsi="Times New Roman" w:cs="Times New Roman" w:eastAsia="Times New Roman" w:hint="default"/>
        </w:rPr>
        <w:t>3</w:t>
      </w:r>
      <w:r>
        <w:rPr/>
        <w:t>月至</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6</w:t>
      </w:r>
      <w:r>
        <w:rPr/>
        <w:t>月，就职于广州无线电集团有限公司内审主管一职；</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7</w:t>
      </w:r>
      <w:r>
        <w:rPr/>
        <w:t>月至</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10</w:t>
      </w:r>
      <w:r>
        <w:rPr/>
        <w:t>月在德勤华永会 计师事务所广州分所工作，历任高级审计员、审计经理；</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10</w:t>
      </w:r>
      <w:r>
        <w:rPr/>
        <w:t>月至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8</w:t>
      </w:r>
      <w:r>
        <w:rPr/>
        <w:t>日在广东世运电路科技股份有限公司历 任财务经理、财务总监；</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21</w:t>
      </w:r>
      <w:r>
        <w:rPr/>
        <w:t>日至今，任本公司财务总监。</w:t>
      </w:r>
    </w:p>
    <w:p>
      <w:pPr>
        <w:pStyle w:val="BodyText"/>
        <w:spacing w:line="240" w:lineRule="auto" w:before="84"/>
        <w:ind w:left="1133" w:right="0"/>
        <w:jc w:val="left"/>
      </w:pPr>
      <w:r>
        <w:rPr/>
        <w:t>在股东单位任职情况</w:t>
      </w:r>
    </w:p>
    <w:p>
      <w:pPr>
        <w:spacing w:line="240" w:lineRule="auto" w:before="12"/>
        <w:rPr>
          <w:rFonts w:ascii="宋体" w:hAnsi="宋体" w:cs="宋体" w:eastAsia="宋体" w:hint="default"/>
          <w:sz w:val="20"/>
          <w:szCs w:val="20"/>
        </w:rPr>
      </w:pPr>
    </w:p>
    <w:p>
      <w:pPr>
        <w:pStyle w:val="BodyText"/>
        <w:spacing w:line="489" w:lineRule="auto"/>
        <w:ind w:left="1133" w:right="9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在其他单位任职情况</w:t>
      </w:r>
    </w:p>
    <w:p>
      <w:pPr>
        <w:pStyle w:val="BodyText"/>
        <w:spacing w:line="240" w:lineRule="auto" w:before="85"/>
        <w:ind w:left="113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202"/>
        <w:gridCol w:w="3190"/>
        <w:gridCol w:w="1063"/>
        <w:gridCol w:w="1196"/>
        <w:gridCol w:w="1324"/>
        <w:gridCol w:w="1594"/>
      </w:tblGrid>
      <w:tr>
        <w:trPr>
          <w:trHeight w:val="714" w:hRule="exact"/>
        </w:trPr>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5"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0"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5" w:right="77"/>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6"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41" w:right="71" w:hanging="270"/>
              <w:jc w:val="left"/>
              <w:rPr>
                <w:rFonts w:ascii="宋体" w:hAnsi="宋体" w:cs="宋体" w:eastAsia="宋体" w:hint="default"/>
                <w:sz w:val="18"/>
                <w:szCs w:val="18"/>
              </w:rPr>
            </w:pPr>
            <w:r>
              <w:rPr>
                <w:rFonts w:ascii="宋体" w:hAnsi="宋体" w:cs="宋体" w:eastAsia="宋体" w:hint="default"/>
                <w:sz w:val="18"/>
                <w:szCs w:val="18"/>
              </w:rPr>
              <w:t>在其他单位是否领 取报酬津贴</w:t>
            </w:r>
          </w:p>
        </w:tc>
      </w:tr>
    </w:tbl>
    <w:p>
      <w:pPr>
        <w:spacing w:after="0" w:line="316" w:lineRule="auto"/>
        <w:jc w:val="left"/>
        <w:rPr>
          <w:rFonts w:ascii="宋体" w:hAnsi="宋体" w:cs="宋体" w:eastAsia="宋体" w:hint="default"/>
          <w:sz w:val="18"/>
          <w:szCs w:val="18"/>
        </w:rPr>
        <w:sectPr>
          <w:footerReference w:type="default" r:id="rId41"/>
          <w:pgSz w:w="11910" w:h="16840"/>
          <w:pgMar w:footer="640" w:header="787" w:top="1100" w:bottom="840" w:left="0" w:right="0"/>
        </w:sectPr>
      </w:pPr>
    </w:p>
    <w:p>
      <w:pPr>
        <w:spacing w:line="240" w:lineRule="auto" w:before="5"/>
        <w:rPr>
          <w:rFonts w:ascii="宋体" w:hAnsi="宋体" w:cs="宋体" w:eastAsia="宋体" w:hint="default"/>
          <w:sz w:val="25"/>
          <w:szCs w:val="25"/>
        </w:rPr>
      </w:pPr>
    </w:p>
    <w:tbl>
      <w:tblPr>
        <w:tblW w:w="0" w:type="auto"/>
        <w:jc w:val="left"/>
        <w:tblInd w:w="1129" w:type="dxa"/>
        <w:tblLayout w:type="fixed"/>
        <w:tblCellMar>
          <w:top w:w="0" w:type="dxa"/>
          <w:left w:w="0" w:type="dxa"/>
          <w:bottom w:w="0" w:type="dxa"/>
          <w:right w:w="0" w:type="dxa"/>
        </w:tblCellMar>
        <w:tblLook w:val="01E0"/>
      </w:tblPr>
      <w:tblGrid>
        <w:gridCol w:w="1202"/>
        <w:gridCol w:w="3190"/>
        <w:gridCol w:w="1063"/>
        <w:gridCol w:w="1196"/>
        <w:gridCol w:w="1324"/>
        <w:gridCol w:w="1594"/>
      </w:tblGrid>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海博伦（苏州）环境科技股份有限公司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广州酷游娱乐科技股份有限公司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黄洋</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广州中瀚法律咨询服务有限公司</w:t>
            </w:r>
          </w:p>
        </w:tc>
        <w:tc>
          <w:tcPr>
            <w:tcW w:w="1063" w:type="dxa"/>
            <w:tcBorders>
              <w:top w:val="single" w:sz="4" w:space="0" w:color="000000"/>
              <w:left w:val="single" w:sz="4" w:space="0" w:color="000000"/>
              <w:bottom w:val="single" w:sz="4" w:space="0" w:color="000000"/>
              <w:right w:val="single" w:sz="13" w:space="0" w:color="FFFFFF"/>
            </w:tcBorders>
          </w:tcPr>
          <w:p>
            <w:pPr>
              <w:pStyle w:val="TableParagraph"/>
              <w:spacing w:line="319" w:lineRule="auto" w:before="51"/>
              <w:ind w:left="22" w:right="-61"/>
              <w:jc w:val="left"/>
              <w:rPr>
                <w:rFonts w:ascii="宋体" w:hAnsi="宋体" w:cs="宋体" w:eastAsia="宋体" w:hint="default"/>
                <w:sz w:val="18"/>
                <w:szCs w:val="18"/>
              </w:rPr>
            </w:pPr>
            <w:r>
              <w:rPr>
                <w:rFonts w:ascii="宋体" w:hAnsi="宋体" w:cs="宋体" w:eastAsia="宋体" w:hint="default"/>
                <w:sz w:val="18"/>
                <w:szCs w:val="18"/>
              </w:rPr>
              <w:t>法定代表人、 总经理</w:t>
            </w:r>
          </w:p>
        </w:tc>
        <w:tc>
          <w:tcPr>
            <w:tcW w:w="1196"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黄洋</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广州中瀚专利商标事务所（普通合伙）</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8"/>
              <w:jc w:val="left"/>
              <w:rPr>
                <w:rFonts w:ascii="宋体" w:hAnsi="宋体" w:cs="宋体" w:eastAsia="宋体" w:hint="default"/>
                <w:sz w:val="18"/>
                <w:szCs w:val="18"/>
              </w:rPr>
            </w:pPr>
            <w:r>
              <w:rPr>
                <w:rFonts w:ascii="宋体" w:hAnsi="宋体" w:cs="宋体" w:eastAsia="宋体" w:hint="default"/>
                <w:sz w:val="18"/>
                <w:szCs w:val="18"/>
              </w:rPr>
              <w:t>执行事务合 伙人</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秦家银</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中山大学信息科技学院</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教授</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1999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王朝曦</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广东天高矿业股份有限公司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王朝曦</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河源市紫金天鸥矿业有限公司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王朝曦</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广州市宝山贸易有限公司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王朝曦</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吉水县谊达物资有限责任公司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王朝曦</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深圳华信资源投资管理股份有限公司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王朝曦</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大富时基金管理（深圳）有限公司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王朝曦</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广州大富时投资有限公司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合伙人</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王朝曦</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广州市骏宝投资有限公司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王朝曦</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深圳大富时投资有限公司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王朝曦</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广州市浩荣贸易有限公司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王朝曦</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得富基金管理（深圳）有限公司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王朝曦</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广东峰山投资有限公司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87"/>
              <w:jc w:val="left"/>
              <w:rPr>
                <w:rFonts w:ascii="宋体" w:hAnsi="宋体" w:cs="宋体" w:eastAsia="宋体" w:hint="default"/>
                <w:sz w:val="18"/>
                <w:szCs w:val="18"/>
              </w:rPr>
            </w:pPr>
            <w:r>
              <w:rPr>
                <w:rFonts w:ascii="宋体" w:hAnsi="宋体" w:cs="宋体" w:eastAsia="宋体" w:hint="default"/>
                <w:sz w:val="18"/>
                <w:szCs w:val="18"/>
              </w:rPr>
              <w:t>在其他单位任 职情况的说明</w:t>
            </w:r>
          </w:p>
        </w:tc>
        <w:tc>
          <w:tcPr>
            <w:tcW w:w="8367"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6"/>
        <w:rPr>
          <w:rFonts w:ascii="宋体" w:hAnsi="宋体" w:cs="宋体" w:eastAsia="宋体" w:hint="default"/>
          <w:sz w:val="6"/>
          <w:szCs w:val="6"/>
        </w:rPr>
      </w:pPr>
    </w:p>
    <w:p>
      <w:pPr>
        <w:pStyle w:val="BodyText"/>
        <w:spacing w:line="240" w:lineRule="auto" w:before="44"/>
        <w:ind w:right="0"/>
        <w:jc w:val="left"/>
      </w:pPr>
      <w:r>
        <w:rPr/>
        <w:t>公司现任及报告期内离任董事、监事和高级管理人员近三年证券监管机构处罚的情况</w:t>
      </w:r>
    </w:p>
    <w:p>
      <w:pPr>
        <w:spacing w:line="240" w:lineRule="auto" w:before="12"/>
        <w:rPr>
          <w:rFonts w:ascii="宋体" w:hAnsi="宋体" w:cs="宋体" w:eastAsia="宋体" w:hint="default"/>
          <w:sz w:val="20"/>
          <w:szCs w:val="20"/>
        </w:rPr>
      </w:pPr>
    </w:p>
    <w:p>
      <w:pPr>
        <w:pStyle w:val="BodyText"/>
        <w:spacing w:line="240" w:lineRule="auto"/>
        <w:ind w:left="113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87" w:footer="640" w:top="1100" w:bottom="840" w:left="0" w:right="0"/>
        </w:sectPr>
      </w:pPr>
    </w:p>
    <w:p>
      <w:pPr>
        <w:spacing w:line="240" w:lineRule="auto" w:before="6"/>
        <w:rPr>
          <w:rFonts w:ascii="宋体" w:hAnsi="宋体" w:cs="宋体" w:eastAsia="宋体" w:hint="default"/>
          <w:sz w:val="26"/>
          <w:szCs w:val="26"/>
        </w:rPr>
      </w:pPr>
    </w:p>
    <w:p>
      <w:pPr>
        <w:pStyle w:val="Heading2"/>
        <w:spacing w:line="240" w:lineRule="auto" w:before="26"/>
        <w:ind w:left="1134" w:right="0"/>
        <w:jc w:val="left"/>
        <w:rPr>
          <w:b w:val="0"/>
          <w:bCs w:val="0"/>
        </w:rPr>
      </w:pPr>
      <w:bookmarkStart w:name="四、董事、监事、高级管理人员报酬情况" w:id="124"/>
      <w:bookmarkEnd w:id="124"/>
      <w:r>
        <w:rPr>
          <w:b w:val="0"/>
          <w:bCs w:val="0"/>
        </w:rPr>
      </w:r>
      <w:r>
        <w:rPr/>
        <w:t>四、董事、监事、高级管理人员报酬情况</w:t>
      </w:r>
      <w:r>
        <w:rPr>
          <w:b w:val="0"/>
          <w:bCs w:val="0"/>
        </w:rPr>
      </w:r>
    </w:p>
    <w:p>
      <w:pPr>
        <w:spacing w:line="240" w:lineRule="auto" w:before="0"/>
        <w:rPr>
          <w:rFonts w:ascii="宋体" w:hAnsi="宋体" w:cs="宋体" w:eastAsia="宋体" w:hint="default"/>
          <w:b/>
          <w:bCs/>
          <w:sz w:val="24"/>
          <w:szCs w:val="24"/>
        </w:rPr>
      </w:pPr>
    </w:p>
    <w:p>
      <w:pPr>
        <w:pStyle w:val="BodyText"/>
        <w:spacing w:line="240" w:lineRule="auto" w:before="189"/>
        <w:ind w:left="1133" w:right="0"/>
        <w:jc w:val="left"/>
      </w:pPr>
      <w:r>
        <w:rPr/>
        <w:t>董事、监事、高级管理人员报酬的决策程序、确定依据、实际支付情况</w:t>
      </w:r>
    </w:p>
    <w:p>
      <w:pPr>
        <w:spacing w:line="240" w:lineRule="auto" w:before="10"/>
        <w:rPr>
          <w:rFonts w:ascii="宋体" w:hAnsi="宋体" w:cs="宋体" w:eastAsia="宋体" w:hint="default"/>
          <w:sz w:val="20"/>
          <w:szCs w:val="20"/>
        </w:rPr>
      </w:pPr>
    </w:p>
    <w:p>
      <w:pPr>
        <w:pStyle w:val="BodyText"/>
        <w:spacing w:line="472" w:lineRule="auto"/>
        <w:ind w:left="1133" w:right="0"/>
        <w:jc w:val="left"/>
      </w:pPr>
      <w:r>
        <w:rPr>
          <w:spacing w:val="-2"/>
        </w:rPr>
        <w:t>公司董事、监事的薪酬政策由</w:t>
      </w:r>
      <w:r>
        <w:rPr>
          <w:rFonts w:ascii="Times New Roman" w:hAnsi="Times New Roman" w:cs="Times New Roman" w:eastAsia="Times New Roman" w:hint="default"/>
          <w:spacing w:val="-2"/>
        </w:rPr>
        <w:t>2015</w:t>
      </w:r>
      <w:r>
        <w:rPr>
          <w:spacing w:val="-2"/>
        </w:rPr>
        <w:t>年年度股东大会审议通过并执行；高级管理人员及其他核心人员的薪酬政策由第二届董事</w:t>
      </w:r>
      <w:r>
        <w:rPr>
          <w:spacing w:val="-60"/>
        </w:rPr>
        <w:t> </w:t>
      </w:r>
      <w:r>
        <w:rPr>
          <w:spacing w:val="-60"/>
        </w:rPr>
      </w:r>
      <w:r>
        <w:rPr/>
        <w:t>会第十六次会议审议通过并执行。 </w:t>
      </w:r>
      <w:r>
        <w:rPr>
          <w:spacing w:val="-2"/>
        </w:rPr>
        <w:t>公司董事黄洋先生不在公司领取薪酬。公司独立董事除领取独立董事津贴外，不享有其他福利待遇。其他在公司领取薪酬的</w:t>
      </w:r>
      <w:r>
        <w:rPr>
          <w:spacing w:val="-65"/>
        </w:rPr>
        <w:t> </w:t>
      </w:r>
      <w:r>
        <w:rPr>
          <w:spacing w:val="-65"/>
        </w:rPr>
      </w:r>
      <w:r>
        <w:rPr>
          <w:spacing w:val="-2"/>
        </w:rPr>
        <w:t>董事、监事、高级管理人员与其他核心人员的薪酬主要由固定薪酬和年终绩效奖金两部分组成。固定薪酬根据其所任职位的</w:t>
      </w:r>
      <w:r>
        <w:rPr>
          <w:spacing w:val="-66"/>
        </w:rPr>
        <w:t> </w:t>
      </w:r>
      <w:r>
        <w:rPr>
          <w:spacing w:val="-66"/>
        </w:rPr>
      </w:r>
      <w:r>
        <w:rPr>
          <w:spacing w:val="-2"/>
        </w:rPr>
        <w:t>价值、责任、能力、市场薪资行情等因素确定，并考虑其在公司的任职年限及股份分红等其他收入综合平衡确定；年终绩效</w:t>
      </w:r>
      <w:r>
        <w:rPr>
          <w:spacing w:val="-66"/>
        </w:rPr>
        <w:t> </w:t>
      </w:r>
      <w:r>
        <w:rPr>
          <w:spacing w:val="-66"/>
        </w:rPr>
      </w:r>
      <w:r>
        <w:rPr/>
        <w:t>奖金根据公司年度目标绩效奖金为基础，与公司年度经营绩效相挂钩，年终根据当年考核结果统算兑付。 </w:t>
      </w:r>
      <w:r>
        <w:rPr>
          <w:spacing w:val="-2"/>
        </w:rPr>
        <w:t>报告期内，在本公司领取报酬的董事、监事和高级管理人员的年度报酬（包括基本工资、各项奖金、福利、补贴及其他津贴</w:t>
      </w:r>
      <w:r>
        <w:rPr>
          <w:spacing w:val="-68"/>
        </w:rPr>
        <w:t> </w:t>
      </w:r>
      <w:r>
        <w:rPr>
          <w:spacing w:val="-68"/>
        </w:rPr>
      </w:r>
      <w:r>
        <w:rPr/>
        <w:t>等）总额合计为</w:t>
      </w:r>
      <w:r>
        <w:rPr>
          <w:rFonts w:ascii="Times New Roman" w:hAnsi="Times New Roman" w:cs="Times New Roman" w:eastAsia="Times New Roman" w:hint="default"/>
        </w:rPr>
        <w:t>321.14</w:t>
      </w:r>
      <w:r>
        <w:rPr/>
        <w:t>万元。</w:t>
      </w:r>
    </w:p>
    <w:p>
      <w:pPr>
        <w:pStyle w:val="BodyText"/>
        <w:spacing w:line="240" w:lineRule="auto" w:before="66"/>
        <w:ind w:right="0"/>
        <w:jc w:val="left"/>
      </w:pPr>
      <w:r>
        <w:rPr/>
        <w:t>公司报告期内董事、监事和高级管理人员报酬情况</w:t>
      </w:r>
    </w:p>
    <w:p>
      <w:pPr>
        <w:spacing w:line="240" w:lineRule="auto" w:before="12"/>
        <w:rPr>
          <w:rFonts w:ascii="宋体" w:hAnsi="宋体" w:cs="宋体" w:eastAsia="宋体" w:hint="default"/>
          <w:sz w:val="20"/>
          <w:szCs w:val="20"/>
        </w:rPr>
      </w:pPr>
    </w:p>
    <w:p>
      <w:pPr>
        <w:pStyle w:val="BodyText"/>
        <w:spacing w:line="240" w:lineRule="auto"/>
        <w:ind w:left="0" w:right="1130"/>
        <w:jc w:val="right"/>
      </w:pPr>
      <w:r>
        <w:rPr/>
        <w:t>单位：万元</w:t>
      </w:r>
    </w:p>
    <w:p>
      <w:pPr>
        <w:spacing w:line="240" w:lineRule="auto" w:before="13"/>
        <w:rPr>
          <w:rFonts w:ascii="宋体" w:hAnsi="宋体" w:cs="宋体" w:eastAsia="宋体" w:hint="default"/>
          <w:sz w:val="13"/>
          <w:szCs w:val="13"/>
        </w:rPr>
      </w:pPr>
    </w:p>
    <w:tbl>
      <w:tblPr>
        <w:tblW w:w="0" w:type="auto"/>
        <w:jc w:val="left"/>
        <w:tblInd w:w="112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713"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498"/>
              <w:jc w:val="right"/>
              <w:rPr>
                <w:rFonts w:ascii="宋体" w:hAnsi="宋体" w:cs="宋体" w:eastAsia="宋体" w:hint="default"/>
                <w:sz w:val="18"/>
                <w:szCs w:val="18"/>
              </w:rPr>
            </w:pPr>
            <w:r>
              <w:rPr>
                <w:rFonts w:ascii="宋体" w:hAnsi="宋体" w:cs="宋体" w:eastAsia="宋体" w:hint="default"/>
                <w:sz w:val="18"/>
                <w:szCs w:val="18"/>
              </w:rPr>
              <w:t>姓名</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职务</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性别</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年龄</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8" w:right="47" w:hanging="181"/>
              <w:jc w:val="left"/>
              <w:rPr>
                <w:rFonts w:ascii="宋体" w:hAnsi="宋体" w:cs="宋体" w:eastAsia="宋体" w:hint="default"/>
                <w:sz w:val="18"/>
                <w:szCs w:val="18"/>
              </w:rPr>
            </w:pPr>
            <w:r>
              <w:rPr>
                <w:rFonts w:ascii="宋体" w:hAnsi="宋体" w:cs="宋体" w:eastAsia="宋体" w:hint="default"/>
                <w:sz w:val="18"/>
                <w:szCs w:val="18"/>
              </w:rPr>
              <w:t>从公司获得的税 前报酬总额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7" w:right="47" w:hanging="180"/>
              <w:jc w:val="left"/>
              <w:rPr>
                <w:rFonts w:ascii="宋体" w:hAnsi="宋体" w:cs="宋体" w:eastAsia="宋体" w:hint="default"/>
                <w:sz w:val="18"/>
                <w:szCs w:val="18"/>
              </w:rPr>
            </w:pPr>
            <w:r>
              <w:rPr>
                <w:rFonts w:ascii="宋体" w:hAnsi="宋体" w:cs="宋体" w:eastAsia="宋体" w:hint="default"/>
                <w:sz w:val="18"/>
                <w:szCs w:val="18"/>
              </w:rPr>
              <w:t>是否在公司关联 方获取报酬</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茅庆江</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44.19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雷洪文</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37.63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黄洋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王朝曦</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秦家银</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高传江</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19.02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郑盛泰</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龙  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28.22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袁小康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36.78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徐  彪</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36.78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龙中胜</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2.97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茅屏萍</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13.6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  翩</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2"/>
              <w:jc w:val="left"/>
              <w:rPr>
                <w:rFonts w:ascii="宋体" w:hAnsi="宋体" w:cs="宋体" w:eastAsia="宋体" w:hint="default"/>
                <w:sz w:val="18"/>
                <w:szCs w:val="18"/>
              </w:rPr>
            </w:pPr>
            <w:r>
              <w:rPr>
                <w:rFonts w:ascii="宋体" w:hAnsi="宋体" w:cs="宋体" w:eastAsia="宋体" w:hint="default"/>
                <w:sz w:val="18"/>
                <w:szCs w:val="18"/>
              </w:rPr>
              <w:t>副总经理、董事 会秘书</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48.92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劳仲秀</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25.03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王汉晖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98"/>
              <w:jc w:val="righ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321.14</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7"/>
        <w:rPr>
          <w:rFonts w:ascii="宋体" w:hAnsi="宋体" w:cs="宋体" w:eastAsia="宋体" w:hint="default"/>
          <w:sz w:val="6"/>
          <w:szCs w:val="6"/>
        </w:rPr>
      </w:pPr>
    </w:p>
    <w:p>
      <w:pPr>
        <w:pStyle w:val="BodyText"/>
        <w:spacing w:line="240" w:lineRule="auto" w:before="44"/>
        <w:ind w:right="0"/>
        <w:jc w:val="left"/>
      </w:pPr>
      <w:r>
        <w:rPr/>
        <w:t>公司董事、高级管理人员报告期内被授予的股权激励情况</w:t>
      </w:r>
    </w:p>
    <w:p>
      <w:pPr>
        <w:spacing w:after="0" w:line="240" w:lineRule="auto"/>
        <w:jc w:val="left"/>
        <w:sectPr>
          <w:pgSz w:w="11910" w:h="16840"/>
          <w:pgMar w:header="787" w:footer="640" w:top="1100" w:bottom="840" w:left="0" w:right="0"/>
        </w:sectPr>
      </w:pPr>
    </w:p>
    <w:p>
      <w:pPr>
        <w:spacing w:line="240" w:lineRule="auto" w:before="11"/>
        <w:rPr>
          <w:rFonts w:ascii="宋体" w:hAnsi="宋体" w:cs="宋体" w:eastAsia="宋体" w:hint="default"/>
          <w:sz w:val="28"/>
          <w:szCs w:val="28"/>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p>
    <w:p>
      <w:pPr>
        <w:pStyle w:val="Heading2"/>
        <w:spacing w:line="240" w:lineRule="auto" w:before="155"/>
        <w:ind w:right="0"/>
        <w:jc w:val="left"/>
        <w:rPr>
          <w:b w:val="0"/>
          <w:bCs w:val="0"/>
        </w:rPr>
      </w:pPr>
      <w:bookmarkStart w:name="五、公司员工情况" w:id="125"/>
      <w:bookmarkEnd w:id="125"/>
      <w:r>
        <w:rPr>
          <w:b w:val="0"/>
          <w:bCs w:val="0"/>
        </w:rPr>
      </w:r>
      <w:r>
        <w:rPr/>
        <w:t>五、公司员工情况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133" w:right="0"/>
        <w:jc w:val="left"/>
        <w:rPr>
          <w:b w:val="0"/>
          <w:bCs w:val="0"/>
        </w:rPr>
      </w:pPr>
      <w:bookmarkStart w:name="1、员工数量、专业构成及教育程度" w:id="126"/>
      <w:bookmarkEnd w:id="126"/>
      <w:r>
        <w:rPr>
          <w:b w:val="0"/>
          <w:bCs w:val="0"/>
        </w:rPr>
      </w:r>
      <w:r>
        <w:rPr>
          <w:rFonts w:ascii="Times New Roman" w:hAnsi="Times New Roman" w:cs="Times New Roman" w:eastAsia="Times New Roman" w:hint="default"/>
        </w:rPr>
        <w:t>1</w:t>
      </w:r>
      <w:r>
        <w:rPr/>
        <w:t>、员工数量、专业构成及教育程度</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4777"/>
        <w:gridCol w:w="4792"/>
      </w:tblGrid>
      <w:tr>
        <w:trPr>
          <w:trHeight w:val="402" w:hRule="exact"/>
        </w:trPr>
        <w:tc>
          <w:tcPr>
            <w:tcW w:w="4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1,378</w:t>
            </w:r>
          </w:p>
        </w:tc>
      </w:tr>
      <w:tr>
        <w:trPr>
          <w:trHeight w:val="402" w:hRule="exact"/>
        </w:trPr>
        <w:tc>
          <w:tcPr>
            <w:tcW w:w="4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165</w:t>
            </w:r>
          </w:p>
        </w:tc>
      </w:tr>
      <w:tr>
        <w:trPr>
          <w:trHeight w:val="402" w:hRule="exact"/>
        </w:trPr>
        <w:tc>
          <w:tcPr>
            <w:tcW w:w="4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1,543</w:t>
            </w:r>
          </w:p>
        </w:tc>
      </w:tr>
      <w:tr>
        <w:trPr>
          <w:trHeight w:val="402" w:hRule="exact"/>
        </w:trPr>
        <w:tc>
          <w:tcPr>
            <w:tcW w:w="4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1,545</w:t>
            </w:r>
          </w:p>
        </w:tc>
      </w:tr>
      <w:tr>
        <w:trPr>
          <w:trHeight w:val="407" w:hRule="exact"/>
        </w:trPr>
        <w:tc>
          <w:tcPr>
            <w:tcW w:w="4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w:t>
            </w:r>
          </w:p>
        </w:tc>
      </w:tr>
      <w:tr>
        <w:trPr>
          <w:trHeight w:val="392"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407" w:hRule="exact"/>
        </w:trPr>
        <w:tc>
          <w:tcPr>
            <w:tcW w:w="4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6" w:right="0"/>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584"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02" w:hRule="exact"/>
        </w:trPr>
        <w:tc>
          <w:tcPr>
            <w:tcW w:w="4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w:t>
            </w:r>
          </w:p>
        </w:tc>
      </w:tr>
      <w:tr>
        <w:trPr>
          <w:trHeight w:val="402" w:hRule="exact"/>
        </w:trPr>
        <w:tc>
          <w:tcPr>
            <w:tcW w:w="4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234</w:t>
            </w:r>
          </w:p>
        </w:tc>
      </w:tr>
      <w:tr>
        <w:trPr>
          <w:trHeight w:val="402" w:hRule="exact"/>
        </w:trPr>
        <w:tc>
          <w:tcPr>
            <w:tcW w:w="4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860</w:t>
            </w:r>
          </w:p>
        </w:tc>
      </w:tr>
      <w:tr>
        <w:trPr>
          <w:trHeight w:val="402" w:hRule="exact"/>
        </w:trPr>
        <w:tc>
          <w:tcPr>
            <w:tcW w:w="4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93</w:t>
            </w:r>
          </w:p>
        </w:tc>
      </w:tr>
      <w:tr>
        <w:trPr>
          <w:trHeight w:val="402" w:hRule="exact"/>
        </w:trPr>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研发人员</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266</w:t>
            </w:r>
          </w:p>
        </w:tc>
      </w:tr>
      <w:tr>
        <w:trPr>
          <w:trHeight w:val="407" w:hRule="exact"/>
        </w:trPr>
        <w:tc>
          <w:tcPr>
            <w:tcW w:w="4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1,543</w:t>
            </w:r>
          </w:p>
        </w:tc>
      </w:tr>
      <w:tr>
        <w:trPr>
          <w:trHeight w:val="392"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7" w:hRule="exact"/>
        </w:trPr>
        <w:tc>
          <w:tcPr>
            <w:tcW w:w="4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教育程度类别</w:t>
            </w:r>
          </w:p>
        </w:tc>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0" w:right="0"/>
              <w:jc w:val="left"/>
              <w:rPr>
                <w:rFonts w:ascii="宋体" w:hAnsi="宋体" w:cs="宋体" w:eastAsia="宋体" w:hint="default"/>
                <w:sz w:val="18"/>
                <w:szCs w:val="18"/>
              </w:rPr>
            </w:pPr>
            <w:r>
              <w:rPr>
                <w:rFonts w:ascii="宋体" w:hAnsi="宋体" w:cs="宋体" w:eastAsia="宋体" w:hint="default"/>
                <w:sz w:val="18"/>
                <w:szCs w:val="18"/>
              </w:rPr>
              <w:t>数量（人）</w:t>
            </w:r>
          </w:p>
        </w:tc>
      </w:tr>
      <w:tr>
        <w:trPr>
          <w:trHeight w:val="402" w:hRule="exact"/>
        </w:trPr>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本科及以上</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392</w:t>
            </w:r>
          </w:p>
        </w:tc>
      </w:tr>
      <w:tr>
        <w:trPr>
          <w:trHeight w:val="402" w:hRule="exact"/>
        </w:trPr>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大专</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679</w:t>
            </w:r>
          </w:p>
        </w:tc>
      </w:tr>
      <w:tr>
        <w:trPr>
          <w:trHeight w:val="402" w:hRule="exact"/>
        </w:trPr>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大专以下</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472</w:t>
            </w:r>
          </w:p>
        </w:tc>
      </w:tr>
      <w:tr>
        <w:trPr>
          <w:trHeight w:val="402" w:hRule="exact"/>
        </w:trPr>
        <w:tc>
          <w:tcPr>
            <w:tcW w:w="4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1,543</w:t>
            </w:r>
          </w:p>
        </w:tc>
      </w:tr>
    </w:tbl>
    <w:p>
      <w:pPr>
        <w:spacing w:line="240" w:lineRule="auto" w:before="1"/>
        <w:rPr>
          <w:rFonts w:ascii="宋体" w:hAnsi="宋体" w:cs="宋体" w:eastAsia="宋体" w:hint="default"/>
          <w:b/>
          <w:bCs/>
          <w:sz w:val="25"/>
          <w:szCs w:val="25"/>
        </w:rPr>
      </w:pPr>
    </w:p>
    <w:p>
      <w:pPr>
        <w:pStyle w:val="Heading3"/>
        <w:spacing w:line="240" w:lineRule="auto" w:before="35"/>
        <w:ind w:right="0"/>
        <w:jc w:val="left"/>
        <w:rPr>
          <w:b w:val="0"/>
          <w:bCs w:val="0"/>
        </w:rPr>
      </w:pPr>
      <w:bookmarkStart w:name="2、薪酬政策" w:id="127"/>
      <w:bookmarkEnd w:id="127"/>
      <w:r>
        <w:rPr>
          <w:b w:val="0"/>
          <w:bCs w:val="0"/>
        </w:rPr>
      </w:r>
      <w:r>
        <w:rPr>
          <w:rFonts w:ascii="Times New Roman" w:hAnsi="Times New Roman" w:cs="Times New Roman" w:eastAsia="Times New Roman" w:hint="default"/>
        </w:rPr>
        <w:t>2</w:t>
      </w:r>
      <w:r>
        <w:rPr/>
        <w:t>、薪酬政策</w:t>
      </w:r>
      <w:r>
        <w:rPr>
          <w:b w:val="0"/>
          <w:bCs w:val="0"/>
        </w:rPr>
      </w:r>
    </w:p>
    <w:p>
      <w:pPr>
        <w:spacing w:line="240" w:lineRule="auto" w:before="0"/>
        <w:rPr>
          <w:rFonts w:ascii="宋体" w:hAnsi="宋体" w:cs="宋体" w:eastAsia="宋体" w:hint="default"/>
          <w:b/>
          <w:bCs/>
          <w:sz w:val="22"/>
          <w:szCs w:val="22"/>
        </w:rPr>
      </w:pPr>
    </w:p>
    <w:p>
      <w:pPr>
        <w:spacing w:line="240" w:lineRule="auto" w:before="5"/>
        <w:rPr>
          <w:rFonts w:ascii="宋体" w:hAnsi="宋体" w:cs="宋体" w:eastAsia="宋体" w:hint="default"/>
          <w:b/>
          <w:bCs/>
          <w:sz w:val="16"/>
          <w:szCs w:val="16"/>
        </w:rPr>
      </w:pPr>
    </w:p>
    <w:p>
      <w:pPr>
        <w:pStyle w:val="BodyText"/>
        <w:spacing w:line="477" w:lineRule="auto"/>
        <w:ind w:left="1133" w:right="0"/>
        <w:jc w:val="left"/>
      </w:pPr>
      <w:r>
        <w:rPr/>
        <w:t>公司遵循按劳分配、以岗定薪、效率优先、兼顾公平的原则，制定并实施符合公司实际的薪酬分配方案。 </w:t>
      </w:r>
      <w:r>
        <w:rPr>
          <w:spacing w:val="-2"/>
        </w:rPr>
        <w:t>薪酬分配的主要依据是：岗位价值、个人能力素质和业绩贡献。薪酬分配标准参照公司所在地区社会平均工资水平、行业平</w:t>
      </w:r>
      <w:r>
        <w:rPr>
          <w:spacing w:val="-66"/>
        </w:rPr>
        <w:t> </w:t>
      </w:r>
      <w:r>
        <w:rPr>
          <w:spacing w:val="-66"/>
        </w:rPr>
      </w:r>
      <w:r>
        <w:rPr/>
        <w:t>均水平、劳动力市场的供求状况、生活费用和物价水平等确定。</w:t>
      </w:r>
    </w:p>
    <w:p>
      <w:pPr>
        <w:spacing w:line="240" w:lineRule="auto" w:before="2"/>
        <w:rPr>
          <w:rFonts w:ascii="宋体" w:hAnsi="宋体" w:cs="宋体" w:eastAsia="宋体" w:hint="default"/>
          <w:sz w:val="25"/>
          <w:szCs w:val="25"/>
        </w:rPr>
      </w:pPr>
    </w:p>
    <w:p>
      <w:pPr>
        <w:pStyle w:val="Heading3"/>
        <w:spacing w:line="240" w:lineRule="auto"/>
        <w:ind w:right="0"/>
        <w:jc w:val="left"/>
        <w:rPr>
          <w:b w:val="0"/>
          <w:bCs w:val="0"/>
        </w:rPr>
      </w:pPr>
      <w:bookmarkStart w:name="3、培训计划" w:id="128"/>
      <w:bookmarkEnd w:id="128"/>
      <w:r>
        <w:rPr>
          <w:b w:val="0"/>
          <w:bCs w:val="0"/>
        </w:rPr>
      </w:r>
      <w:r>
        <w:rPr>
          <w:rFonts w:ascii="Times New Roman" w:hAnsi="Times New Roman" w:cs="Times New Roman" w:eastAsia="Times New Roman" w:hint="default"/>
        </w:rPr>
        <w:t>3</w:t>
      </w:r>
      <w:r>
        <w:rPr/>
        <w:t>、培训计划</w:t>
      </w:r>
      <w:r>
        <w:rPr>
          <w:b w:val="0"/>
          <w:bCs w:val="0"/>
        </w:rPr>
      </w:r>
    </w:p>
    <w:p>
      <w:pPr>
        <w:spacing w:after="0" w:line="240" w:lineRule="auto"/>
        <w:jc w:val="left"/>
        <w:sectPr>
          <w:footerReference w:type="default" r:id="rId42"/>
          <w:pgSz w:w="11910" w:h="16840"/>
          <w:pgMar w:footer="1469" w:header="787" w:top="1100" w:bottom="1660" w:left="0" w:right="0"/>
        </w:sectPr>
      </w:pPr>
    </w:p>
    <w:p>
      <w:pPr>
        <w:spacing w:line="240" w:lineRule="auto" w:before="10"/>
        <w:rPr>
          <w:rFonts w:ascii="宋体" w:hAnsi="宋体" w:cs="宋体" w:eastAsia="宋体" w:hint="default"/>
          <w:b/>
          <w:bCs/>
          <w:sz w:val="28"/>
          <w:szCs w:val="28"/>
        </w:rPr>
      </w:pPr>
    </w:p>
    <w:p>
      <w:pPr>
        <w:pStyle w:val="BodyText"/>
        <w:spacing w:line="451" w:lineRule="auto" w:before="44"/>
        <w:ind w:left="1133" w:right="1132"/>
        <w:jc w:val="both"/>
      </w:pPr>
      <w:r>
        <w:rPr>
          <w:spacing w:val="-2"/>
        </w:rPr>
        <w:t>培训、业务培训、转岗培训、技术类培训、工程售后类培训、研发产品类培训、项目经理培训等近</w:t>
      </w:r>
      <w:r>
        <w:rPr>
          <w:rFonts w:ascii="Times New Roman" w:hAnsi="Times New Roman" w:cs="Times New Roman" w:eastAsia="Times New Roman" w:hint="default"/>
          <w:spacing w:val="-2"/>
        </w:rPr>
        <w:t>65</w:t>
      </w:r>
      <w:r>
        <w:rPr>
          <w:spacing w:val="-2"/>
        </w:rPr>
        <w:t>场专项培训。既能使员</w:t>
      </w:r>
      <w:r>
        <w:rPr>
          <w:spacing w:val="-70"/>
        </w:rPr>
        <w:t> </w:t>
      </w:r>
      <w:r>
        <w:rPr>
          <w:spacing w:val="-70"/>
        </w:rPr>
      </w:r>
      <w:r>
        <w:rPr>
          <w:spacing w:val="-2"/>
        </w:rPr>
        <w:t>工的发展促进公司整体目标的实现，又能满足员工个人能力和职业发展的需求，实现公司和个人的双赢。</w:t>
      </w:r>
      <w:r>
        <w:rPr>
          <w:rFonts w:ascii="Times New Roman" w:hAnsi="Times New Roman" w:cs="Times New Roman" w:eastAsia="Times New Roman" w:hint="default"/>
          <w:spacing w:val="-2"/>
        </w:rPr>
        <w:t>2018</w:t>
      </w:r>
      <w:r>
        <w:rPr>
          <w:spacing w:val="-2"/>
        </w:rPr>
        <w:t>年公司将增加</w:t>
      </w:r>
      <w:r>
        <w:rPr>
          <w:spacing w:val="-61"/>
        </w:rPr>
        <w:t> </w:t>
      </w:r>
      <w:r>
        <w:rPr/>
        <w:t>各项管理层培训，同时继续增强技能、素质等内部培训，提高员工的专业能力、综合管理能力。</w:t>
      </w:r>
    </w:p>
    <w:p>
      <w:pPr>
        <w:spacing w:line="240" w:lineRule="auto" w:before="9"/>
        <w:rPr>
          <w:rFonts w:ascii="宋体" w:hAnsi="宋体" w:cs="宋体" w:eastAsia="宋体" w:hint="default"/>
          <w:sz w:val="26"/>
          <w:szCs w:val="26"/>
        </w:rPr>
      </w:pPr>
    </w:p>
    <w:p>
      <w:pPr>
        <w:pStyle w:val="Heading3"/>
        <w:spacing w:line="240" w:lineRule="auto"/>
        <w:ind w:left="1133" w:right="0"/>
        <w:jc w:val="both"/>
        <w:rPr>
          <w:b w:val="0"/>
          <w:bCs w:val="0"/>
        </w:rPr>
      </w:pPr>
      <w:bookmarkStart w:name="4、劳务外包情况" w:id="129"/>
      <w:bookmarkEnd w:id="129"/>
      <w:r>
        <w:rPr>
          <w:b w:val="0"/>
          <w:bCs w:val="0"/>
        </w:rPr>
      </w:r>
      <w:r>
        <w:rPr>
          <w:rFonts w:ascii="Times New Roman" w:hAnsi="Times New Roman" w:cs="Times New Roman" w:eastAsia="Times New Roman" w:hint="default"/>
        </w:rPr>
        <w:t>4</w:t>
      </w:r>
      <w:r>
        <w:rPr/>
        <w:t>、劳务外包情况</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both"/>
        <w:sectPr>
          <w:footerReference w:type="default" r:id="rId43"/>
          <w:pgSz w:w="11910" w:h="16840"/>
          <w:pgMar w:footer="640" w:header="787" w:top="1100" w:bottom="84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7"/>
          <w:szCs w:val="17"/>
        </w:rPr>
      </w:pPr>
    </w:p>
    <w:p>
      <w:pPr>
        <w:pStyle w:val="Heading1"/>
        <w:spacing w:line="240" w:lineRule="auto"/>
        <w:ind w:right="4090"/>
        <w:jc w:val="center"/>
        <w:rPr>
          <w:b w:val="0"/>
          <w:bCs w:val="0"/>
        </w:rPr>
      </w:pPr>
      <w:bookmarkStart w:name="第九节 公司治理" w:id="130"/>
      <w:bookmarkEnd w:id="130"/>
      <w:r>
        <w:rPr>
          <w:b w:val="0"/>
          <w:bCs w:val="0"/>
        </w:rPr>
      </w:r>
      <w:bookmarkStart w:name="_bookmark7" w:id="131"/>
      <w:bookmarkEnd w:id="131"/>
      <w:r>
        <w:rPr>
          <w:b w:val="0"/>
          <w:bCs w:val="0"/>
        </w:rPr>
      </w:r>
      <w:r>
        <w:rPr/>
        <w:t>第九节</w:t>
      </w:r>
      <w:r>
        <w:rPr>
          <w:spacing w:val="-5"/>
        </w:rPr>
        <w:t> </w:t>
      </w:r>
      <w:r>
        <w:rPr/>
        <w:t>公司治理</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公司治理的基本状况" w:id="132"/>
      <w:bookmarkEnd w:id="132"/>
      <w:r>
        <w:rPr>
          <w:b w:val="0"/>
          <w:bCs w:val="0"/>
        </w:rPr>
      </w:r>
      <w:r>
        <w:rPr/>
        <w:t>一、公司治理的基本状况</w:t>
      </w:r>
      <w:r>
        <w:rPr>
          <w:b w:val="0"/>
          <w:bCs w:val="0"/>
        </w:rPr>
      </w:r>
    </w:p>
    <w:p>
      <w:pPr>
        <w:spacing w:line="240" w:lineRule="auto" w:before="6"/>
        <w:rPr>
          <w:rFonts w:ascii="宋体" w:hAnsi="宋体" w:cs="宋体" w:eastAsia="宋体" w:hint="default"/>
          <w:b/>
          <w:bCs/>
          <w:sz w:val="32"/>
          <w:szCs w:val="32"/>
        </w:rPr>
      </w:pPr>
    </w:p>
    <w:p>
      <w:pPr>
        <w:pStyle w:val="BodyText"/>
        <w:spacing w:line="240" w:lineRule="auto"/>
        <w:ind w:left="1424" w:right="0"/>
        <w:jc w:val="left"/>
      </w:pPr>
      <w:r>
        <w:rPr>
          <w:spacing w:val="-3"/>
        </w:rPr>
        <w:t>报告期内，公司严格按照《公司法》、《证券法》、《上市公司治理准则》、《深圳证券交易所创业板股票上市规则》、</w:t>
      </w:r>
    </w:p>
    <w:p>
      <w:pPr>
        <w:spacing w:line="240" w:lineRule="auto" w:before="10"/>
        <w:rPr>
          <w:rFonts w:ascii="宋体" w:hAnsi="宋体" w:cs="宋体" w:eastAsia="宋体" w:hint="default"/>
          <w:sz w:val="17"/>
          <w:szCs w:val="17"/>
        </w:rPr>
      </w:pPr>
    </w:p>
    <w:p>
      <w:pPr>
        <w:pStyle w:val="BodyText"/>
        <w:spacing w:line="477" w:lineRule="auto"/>
        <w:ind w:left="1133" w:right="0"/>
        <w:jc w:val="left"/>
      </w:pPr>
      <w:r>
        <w:rPr>
          <w:spacing w:val="-2"/>
        </w:rPr>
        <w:t>《深圳证券交易所创业板上市公司规范运作指引》等法律、法规的要求，不断完善法人治理结构，建立健全公司内部控制制</w:t>
      </w:r>
      <w:r>
        <w:rPr>
          <w:spacing w:val="-65"/>
        </w:rPr>
        <w:t> </w:t>
      </w:r>
      <w:r>
        <w:rPr>
          <w:spacing w:val="-65"/>
        </w:rPr>
      </w:r>
      <w:r>
        <w:rPr>
          <w:spacing w:val="-4"/>
        </w:rPr>
        <w:t>度，进一步规范公司运作，形成了权利机构、决策机构、监督机构和管理层之间权责分明、各司其职、相互制衡、科学决策、</w:t>
      </w:r>
      <w:r>
        <w:rPr>
          <w:spacing w:val="-47"/>
        </w:rPr>
        <w:t> </w:t>
      </w:r>
      <w:r>
        <w:rPr>
          <w:spacing w:val="-47"/>
        </w:rPr>
      </w:r>
      <w:r>
        <w:rPr>
          <w:spacing w:val="-2"/>
        </w:rPr>
        <w:t>规范运作的法人治理机构。股东大会、董事会、监事会运作规范，独立董事、董事会各专门委员会各司其职，持续深入开展</w:t>
      </w:r>
      <w:r>
        <w:rPr>
          <w:spacing w:val="-68"/>
        </w:rPr>
        <w:t> </w:t>
      </w:r>
      <w:r>
        <w:rPr>
          <w:spacing w:val="-68"/>
        </w:rPr>
      </w:r>
      <w:r>
        <w:rPr/>
        <w:t>公司治理活动，提高公司治理水平。严格进行信息披露工作，有效维护了公司和投资者的利益。</w:t>
      </w:r>
    </w:p>
    <w:p>
      <w:pPr>
        <w:pStyle w:val="BodyText"/>
        <w:spacing w:line="477" w:lineRule="auto" w:before="54"/>
        <w:ind w:left="1133" w:right="0" w:firstLine="290"/>
        <w:jc w:val="left"/>
      </w:pPr>
      <w:r>
        <w:rPr>
          <w:spacing w:val="-1"/>
        </w:rPr>
        <w:t>报告期内，公司相继制定或修订了《公司章程》和《募集资金管理制度》，并在实际运行中严格遵守执行，从而保障了</w:t>
      </w:r>
      <w:r>
        <w:rPr/>
        <w:t> 公司法人治理结构的高效运作。</w:t>
      </w:r>
    </w:p>
    <w:p>
      <w:pPr>
        <w:pStyle w:val="BodyText"/>
        <w:spacing w:line="477" w:lineRule="auto" w:before="54"/>
        <w:ind w:left="1424" w:right="0" w:hanging="291"/>
        <w:jc w:val="left"/>
      </w:pPr>
      <w:r>
        <w:rPr/>
        <w:t>（一）关于股东与股东大会 </w:t>
      </w:r>
      <w:r>
        <w:rPr>
          <w:spacing w:val="-1"/>
        </w:rPr>
        <w:t>公司严格按照《公司法》、《上市公司股东大会规则》、《公司章程》、《股东大会议事规则》以及深圳证券交易所创</w:t>
      </w:r>
    </w:p>
    <w:p>
      <w:pPr>
        <w:pStyle w:val="BodyText"/>
        <w:spacing w:line="468" w:lineRule="auto" w:before="54"/>
        <w:ind w:left="1133" w:right="1130"/>
        <w:jc w:val="both"/>
      </w:pPr>
      <w:r>
        <w:rPr>
          <w:spacing w:val="-2"/>
        </w:rPr>
        <w:t>业板等的相关规定和要求，规范股东大会的召集、召开和表决程序，并尽可能为股东参加股东大会创造便利条件，确保所有</w:t>
      </w:r>
      <w:r>
        <w:rPr>
          <w:spacing w:val="-66"/>
        </w:rPr>
        <w:t> </w:t>
      </w:r>
      <w:r>
        <w:rPr>
          <w:spacing w:val="-66"/>
        </w:rPr>
      </w:r>
      <w:r>
        <w:rPr>
          <w:spacing w:val="-2"/>
        </w:rPr>
        <w:t>股东，特别是中小股东的平等地位，充分行使自己的权利。同时，公司聘请专业律师见证股东大会，确保会议召集、召开以</w:t>
      </w:r>
      <w:r>
        <w:rPr>
          <w:spacing w:val="-68"/>
        </w:rPr>
        <w:t> </w:t>
      </w:r>
      <w:r>
        <w:rPr>
          <w:spacing w:val="-68"/>
        </w:rPr>
      </w:r>
      <w:r>
        <w:rPr>
          <w:spacing w:val="-2"/>
        </w:rPr>
        <w:t>及表决程序符合相关法律规定，维护股东的合法权益。报告期内，公司共召开了</w:t>
      </w:r>
      <w:r>
        <w:rPr>
          <w:rFonts w:ascii="Times New Roman" w:hAnsi="Times New Roman" w:cs="Times New Roman" w:eastAsia="Times New Roman" w:hint="default"/>
          <w:spacing w:val="-2"/>
        </w:rPr>
        <w:t>1</w:t>
      </w:r>
      <w:r>
        <w:rPr>
          <w:spacing w:val="-2"/>
        </w:rPr>
        <w:t>次年度股东大会，</w:t>
      </w:r>
      <w:r>
        <w:rPr>
          <w:rFonts w:ascii="Times New Roman" w:hAnsi="Times New Roman" w:cs="Times New Roman" w:eastAsia="Times New Roman" w:hint="default"/>
          <w:spacing w:val="-2"/>
        </w:rPr>
        <w:t>5</w:t>
      </w:r>
      <w:r>
        <w:rPr>
          <w:spacing w:val="-2"/>
        </w:rPr>
        <w:t>次临时股东大会，会议</w:t>
      </w:r>
      <w:r>
        <w:rPr>
          <w:spacing w:val="-64"/>
        </w:rPr>
        <w:t> </w:t>
      </w:r>
      <w:r>
        <w:rPr>
          <w:spacing w:val="-64"/>
        </w:rPr>
      </w:r>
      <w:r>
        <w:rPr/>
        <w:t>均由董事会召集、召开。</w:t>
      </w:r>
    </w:p>
    <w:p>
      <w:pPr>
        <w:pStyle w:val="BodyText"/>
        <w:spacing w:line="477" w:lineRule="auto" w:before="61"/>
        <w:ind w:left="1424" w:right="0" w:hanging="291"/>
        <w:jc w:val="left"/>
      </w:pPr>
      <w:r>
        <w:rPr/>
        <w:t>（二）关于公司与控股股东 </w:t>
      </w:r>
      <w:r>
        <w:rPr>
          <w:spacing w:val="-1"/>
        </w:rPr>
        <w:t>公司控股股东严格按照《上市公司治理准则》、《深圳证券交易所创业板股票上市规则》、《深圳证券交易所创业板上</w:t>
      </w:r>
    </w:p>
    <w:p>
      <w:pPr>
        <w:pStyle w:val="BodyText"/>
        <w:spacing w:line="477" w:lineRule="auto" w:before="54"/>
        <w:ind w:left="1133" w:right="0"/>
        <w:jc w:val="left"/>
      </w:pPr>
      <w:r>
        <w:rPr>
          <w:spacing w:val="-2"/>
        </w:rPr>
        <w:t>市公司规范运作指引》、《公司章程》等规定和要求，规范自身行为，并依法行使权利和履行义务，不存在超越股东大会直</w:t>
      </w:r>
      <w:r>
        <w:rPr>
          <w:spacing w:val="-70"/>
        </w:rPr>
        <w:t> </w:t>
      </w:r>
      <w:r>
        <w:rPr>
          <w:spacing w:val="-70"/>
        </w:rPr>
      </w:r>
      <w:r>
        <w:rPr>
          <w:spacing w:val="-2"/>
        </w:rPr>
        <w:t>接或间接干预公司的决策和经营活动，不存在利用其控制地位损害公司和公司其他股东利益的行为，不存在控股股东违规占</w:t>
      </w:r>
      <w:r>
        <w:rPr>
          <w:spacing w:val="-64"/>
        </w:rPr>
        <w:t> </w:t>
      </w:r>
      <w:r>
        <w:rPr>
          <w:spacing w:val="-64"/>
        </w:rPr>
      </w:r>
      <w:r>
        <w:rPr>
          <w:spacing w:val="-4"/>
        </w:rPr>
        <w:t>用公司资金和资产的现象，公司亦无为控股股东提供担保的情形。公司拥有独立完整的业务和自主经营能力，在业务、资产、</w:t>
      </w:r>
      <w:r>
        <w:rPr>
          <w:spacing w:val="-46"/>
        </w:rPr>
        <w:t> </w:t>
      </w:r>
      <w:r>
        <w:rPr>
          <w:spacing w:val="-46"/>
        </w:rPr>
      </w:r>
      <w:r>
        <w:rPr/>
        <w:t>人员、机构、财务上独立于控股股东，公司董事会、监事会和内部机构均能够独立运行。</w:t>
      </w:r>
    </w:p>
    <w:p>
      <w:pPr>
        <w:pStyle w:val="BodyText"/>
        <w:spacing w:line="477" w:lineRule="auto" w:before="54"/>
        <w:ind w:left="1424" w:right="1192" w:hanging="291"/>
        <w:jc w:val="left"/>
      </w:pPr>
      <w:r>
        <w:rPr/>
        <w:t>（三）关于董事与董事会 公司根据《公司章程》及《董事会议事规则》规定的程序选举董事，组建董事会。公司第二届董事会由</w:t>
      </w:r>
      <w:r>
        <w:rPr>
          <w:rFonts w:ascii="Times New Roman" w:hAnsi="Times New Roman" w:cs="Times New Roman" w:eastAsia="Times New Roman" w:hint="default"/>
        </w:rPr>
        <w:t>5</w:t>
      </w:r>
      <w:r>
        <w:rPr/>
        <w:t>名董事组成，</w:t>
      </w:r>
    </w:p>
    <w:p>
      <w:pPr>
        <w:pStyle w:val="BodyText"/>
        <w:spacing w:line="468" w:lineRule="auto" w:before="21"/>
        <w:ind w:right="1042"/>
        <w:jc w:val="both"/>
      </w:pPr>
      <w:r>
        <w:rPr>
          <w:spacing w:val="-2"/>
        </w:rPr>
        <w:t>其中独立董事</w:t>
      </w:r>
      <w:r>
        <w:rPr>
          <w:rFonts w:ascii="Times New Roman" w:hAnsi="Times New Roman" w:cs="Times New Roman" w:eastAsia="Times New Roman" w:hint="default"/>
          <w:spacing w:val="-2"/>
        </w:rPr>
        <w:t>2</w:t>
      </w:r>
      <w:r>
        <w:rPr>
          <w:spacing w:val="-2"/>
        </w:rPr>
        <w:t>名，外部董事</w:t>
      </w:r>
      <w:r>
        <w:rPr>
          <w:rFonts w:ascii="Times New Roman" w:hAnsi="Times New Roman" w:cs="Times New Roman" w:eastAsia="Times New Roman" w:hint="default"/>
          <w:spacing w:val="-2"/>
        </w:rPr>
        <w:t>1</w:t>
      </w:r>
      <w:r>
        <w:rPr>
          <w:spacing w:val="-2"/>
        </w:rPr>
        <w:t>名，董事会的人数和人员构成符合相关要求。董事会均严格按照《公司章程》及《董事会议事</w:t>
      </w:r>
      <w:r>
        <w:rPr>
          <w:spacing w:val="-67"/>
        </w:rPr>
        <w:t> </w:t>
      </w:r>
      <w:r>
        <w:rPr>
          <w:spacing w:val="-67"/>
        </w:rPr>
      </w:r>
      <w:r>
        <w:rPr>
          <w:spacing w:val="-2"/>
        </w:rPr>
        <w:t>规则》的程序召集、召开。各位董事能够依据《董事会议事规则》、《独立董事工作制度》、《深圳证券交易所创业板上市</w:t>
      </w:r>
      <w:r>
        <w:rPr>
          <w:spacing w:val="-69"/>
        </w:rPr>
        <w:t> </w:t>
      </w:r>
      <w:r>
        <w:rPr>
          <w:spacing w:val="-69"/>
        </w:rPr>
      </w:r>
      <w:r>
        <w:rPr>
          <w:spacing w:val="-2"/>
        </w:rPr>
        <w:t>公司规范运作指引》等规定开展工作，出席董事会和股东大会，勤勉尽责的履行职责和义务，同时积极参加相关培训，熟悉</w:t>
      </w:r>
      <w:r>
        <w:rPr>
          <w:spacing w:val="-66"/>
        </w:rPr>
        <w:t> </w:t>
      </w:r>
      <w:r>
        <w:rPr>
          <w:spacing w:val="-66"/>
        </w:rPr>
      </w:r>
      <w:r>
        <w:rPr>
          <w:spacing w:val="-4"/>
        </w:rPr>
        <w:t>相关法律法规。公司按照《深圳证券交易所创业板上市公司规范运作指引》的要求，下设有战略委员会、薪酬与考核委员会、</w:t>
      </w:r>
    </w:p>
    <w:p>
      <w:pPr>
        <w:spacing w:after="0" w:line="468" w:lineRule="auto"/>
        <w:jc w:val="both"/>
        <w:sectPr>
          <w:pgSz w:w="11910" w:h="16840"/>
          <w:pgMar w:header="787" w:footer="640" w:top="1100" w:bottom="840" w:left="0" w:right="0"/>
        </w:sectPr>
      </w:pPr>
    </w:p>
    <w:p>
      <w:pPr>
        <w:spacing w:line="240" w:lineRule="auto" w:before="10"/>
        <w:rPr>
          <w:rFonts w:ascii="宋体" w:hAnsi="宋体" w:cs="宋体" w:eastAsia="宋体" w:hint="default"/>
          <w:sz w:val="28"/>
          <w:szCs w:val="28"/>
        </w:rPr>
      </w:pPr>
    </w:p>
    <w:p>
      <w:pPr>
        <w:pStyle w:val="BodyText"/>
        <w:spacing w:line="451" w:lineRule="auto" w:before="44"/>
        <w:ind w:left="1133" w:right="1179"/>
        <w:jc w:val="both"/>
      </w:pPr>
      <w:r>
        <w:rPr/>
        <w:t>审计委员会和提名委员会四个专门委员会，各委员会中独立董事占比均超</w:t>
      </w:r>
      <w:r>
        <w:rPr>
          <w:rFonts w:ascii="Times New Roman" w:hAnsi="Times New Roman" w:cs="Times New Roman" w:eastAsia="Times New Roman" w:hint="default"/>
        </w:rPr>
        <w:t>1/2</w:t>
      </w:r>
      <w:r>
        <w:rPr/>
        <w:t>，提高了董事会履职能力和专业化程度，保障 了董事会决策的科学性和规范性。</w:t>
      </w:r>
    </w:p>
    <w:p>
      <w:pPr>
        <w:pStyle w:val="BodyText"/>
        <w:spacing w:line="477" w:lineRule="auto" w:before="74"/>
        <w:ind w:left="1424" w:right="1192" w:hanging="291"/>
        <w:jc w:val="left"/>
      </w:pPr>
      <w:r>
        <w:rPr/>
        <w:t>（四）关于监事与监事会 公司根据《公司章程》及《监事会议事规则》规定的程序选举监事，组建监事会。公司第二届监事会由</w:t>
      </w:r>
      <w:r>
        <w:rPr>
          <w:rFonts w:ascii="Times New Roman" w:hAnsi="Times New Roman" w:cs="Times New Roman" w:eastAsia="Times New Roman" w:hint="default"/>
        </w:rPr>
        <w:t>3</w:t>
      </w:r>
      <w:r>
        <w:rPr/>
        <w:t>名监事组成，</w:t>
      </w:r>
    </w:p>
    <w:p>
      <w:pPr>
        <w:pStyle w:val="BodyText"/>
        <w:spacing w:line="468" w:lineRule="auto" w:before="21"/>
        <w:ind w:right="1129"/>
        <w:jc w:val="both"/>
      </w:pPr>
      <w:r>
        <w:rPr/>
        <w:t>其中有</w:t>
      </w:r>
      <w:r>
        <w:rPr>
          <w:rFonts w:ascii="Times New Roman" w:hAnsi="Times New Roman" w:cs="Times New Roman" w:eastAsia="Times New Roman" w:hint="default"/>
        </w:rPr>
        <w:t>1</w:t>
      </w:r>
      <w:r>
        <w:rPr/>
        <w:t>名职工监事，监事会的人数和人员构成符合相关要求。公司监事及监事会严格执行《公司章程》和《监事会议事规 </w:t>
      </w:r>
      <w:r>
        <w:rPr>
          <w:spacing w:val="-2"/>
        </w:rPr>
        <w:t>则》等制度的有关规定，认真履行自己的职责，能够本着对股东负责的精神，出席监事会会议、列席董事会会议、股东大会</w:t>
      </w:r>
      <w:r>
        <w:rPr>
          <w:spacing w:val="-68"/>
        </w:rPr>
        <w:t> </w:t>
      </w:r>
      <w:r>
        <w:rPr>
          <w:spacing w:val="-68"/>
        </w:rPr>
      </w:r>
      <w:r>
        <w:rPr>
          <w:spacing w:val="-2"/>
        </w:rPr>
        <w:t>会议；审核董事会编制的定期报告并提出书面的核查意见，对公司的日常经营、重大事项、财务状况以及公司董事、高级管</w:t>
      </w:r>
      <w:r>
        <w:rPr>
          <w:spacing w:val="-66"/>
        </w:rPr>
        <w:t> </w:t>
      </w:r>
      <w:r>
        <w:rPr>
          <w:spacing w:val="-66"/>
        </w:rPr>
      </w:r>
      <w:r>
        <w:rPr/>
        <w:t>理人员履行职责情况的合法性、合规性进行有效监督，切实维护全体股东的合法权益，保证了公司的规范运作。</w:t>
      </w:r>
    </w:p>
    <w:p>
      <w:pPr>
        <w:pStyle w:val="BodyText"/>
        <w:spacing w:line="477" w:lineRule="auto" w:before="61"/>
        <w:ind w:left="1424" w:right="1028" w:hanging="291"/>
        <w:jc w:val="left"/>
      </w:pPr>
      <w:r>
        <w:rPr/>
        <w:t>（五）关于信息披露与透明度 </w:t>
      </w:r>
      <w:r>
        <w:rPr>
          <w:spacing w:val="-2"/>
        </w:rPr>
        <w:t>公司严格按照有关法律法规以及《信息披露管理制度》、《投资者关系管理制度》等的要求，真实、准确、及时、公平、</w:t>
      </w:r>
    </w:p>
    <w:p>
      <w:pPr>
        <w:pStyle w:val="BodyText"/>
        <w:spacing w:line="477" w:lineRule="auto" w:before="54"/>
        <w:ind w:left="1133" w:right="1041"/>
        <w:jc w:val="both"/>
      </w:pPr>
      <w:r>
        <w:rPr>
          <w:spacing w:val="-2"/>
        </w:rPr>
        <w:t>完整地披露有关信息；并指定公司董事会秘书负责信息披露工作，协调公司与投资者的关系，接待投资者来访，回答投资者</w:t>
      </w:r>
      <w:r>
        <w:rPr>
          <w:spacing w:val="-66"/>
        </w:rPr>
        <w:t> </w:t>
      </w:r>
      <w:r>
        <w:rPr>
          <w:spacing w:val="-66"/>
        </w:rPr>
      </w:r>
      <w:r>
        <w:rPr>
          <w:spacing w:val="-4"/>
        </w:rPr>
        <w:t>咨询，向投资者提供公司已披露的资料，并指定巨潮资讯（</w:t>
      </w:r>
      <w:hyperlink r:id="rId25">
        <w:r>
          <w:rPr>
            <w:rFonts w:ascii="Times New Roman" w:hAnsi="Times New Roman" w:cs="Times New Roman" w:eastAsia="Times New Roman" w:hint="default"/>
            <w:spacing w:val="-4"/>
          </w:rPr>
          <w:t>www.cninfo.com.cn</w:t>
        </w:r>
      </w:hyperlink>
      <w:r>
        <w:rPr>
          <w:spacing w:val="-4"/>
        </w:rPr>
        <w:t>）为公司信息披露的指定网站，《证券时报》、</w:t>
      </w:r>
    </w:p>
    <w:p>
      <w:pPr>
        <w:pStyle w:val="BodyText"/>
        <w:spacing w:line="477" w:lineRule="auto" w:before="21"/>
        <w:ind w:left="1133" w:right="1133"/>
        <w:jc w:val="both"/>
      </w:pPr>
      <w:r>
        <w:rPr>
          <w:spacing w:val="-2"/>
        </w:rPr>
        <w:t>《中国证券报》、《证券日报》和《上海证券报》为公司定期报告披露的指定报刊，确保公司所有股东能够以平等的机会获</w:t>
      </w:r>
      <w:r>
        <w:rPr>
          <w:spacing w:val="-70"/>
        </w:rPr>
        <w:t> </w:t>
      </w:r>
      <w:r>
        <w:rPr>
          <w:spacing w:val="-70"/>
        </w:rPr>
      </w:r>
      <w:r>
        <w:rPr/>
        <w:t>得信息。</w:t>
      </w:r>
    </w:p>
    <w:p>
      <w:pPr>
        <w:pStyle w:val="BodyText"/>
        <w:spacing w:line="477" w:lineRule="auto" w:before="54"/>
        <w:ind w:left="1424" w:right="0" w:hanging="291"/>
        <w:jc w:val="left"/>
      </w:pPr>
      <w:r>
        <w:rPr/>
        <w:t>（六）关于相关利益者 </w:t>
      </w:r>
      <w:r>
        <w:rPr>
          <w:spacing w:val="-1"/>
        </w:rPr>
        <w:t>公司充分尊重和维护相关利益者的合法权益，积极与相关利益者合作，加强与各方的沟通和交流，实现社会、股东、公</w:t>
      </w:r>
    </w:p>
    <w:p>
      <w:pPr>
        <w:pStyle w:val="BodyText"/>
        <w:spacing w:line="240" w:lineRule="auto" w:before="54"/>
        <w:ind w:left="1133" w:right="0"/>
        <w:jc w:val="left"/>
      </w:pPr>
      <w:r>
        <w:rPr/>
        <w:t>司、员工等各方面利益的协调平衡，共同推动公司持续、稳健发展。</w:t>
      </w:r>
    </w:p>
    <w:p>
      <w:pPr>
        <w:spacing w:line="240" w:lineRule="auto" w:before="10"/>
        <w:rPr>
          <w:rFonts w:ascii="宋体" w:hAnsi="宋体" w:cs="宋体" w:eastAsia="宋体" w:hint="default"/>
          <w:sz w:val="17"/>
          <w:szCs w:val="17"/>
        </w:rPr>
      </w:pPr>
    </w:p>
    <w:p>
      <w:pPr>
        <w:pStyle w:val="BodyText"/>
        <w:spacing w:line="477" w:lineRule="auto"/>
        <w:ind w:left="1424" w:right="1028" w:hanging="291"/>
        <w:jc w:val="left"/>
      </w:pPr>
      <w:r>
        <w:rPr/>
        <w:t>（七）关于投资者关系管理 </w:t>
      </w:r>
      <w:r>
        <w:rPr>
          <w:spacing w:val="-2"/>
        </w:rPr>
        <w:t>公司能够充分尊重和维护相关利益者的合法权益，实现投资者、员工、社会等各方利益的协调平衡，共同推动公司持续、</w:t>
      </w:r>
    </w:p>
    <w:p>
      <w:pPr>
        <w:pStyle w:val="BodyText"/>
        <w:spacing w:line="477" w:lineRule="auto" w:before="54"/>
        <w:ind w:left="1133" w:right="1131"/>
        <w:jc w:val="both"/>
      </w:pPr>
      <w:r>
        <w:rPr>
          <w:spacing w:val="-2"/>
        </w:rPr>
        <w:t>健康的发展。公司在接待特定对象调研前要求来访的特定对象签署承诺书，安排专人做好投资者来访接待工作。同时，公司</w:t>
      </w:r>
      <w:r>
        <w:rPr>
          <w:spacing w:val="-66"/>
        </w:rPr>
        <w:t> </w:t>
      </w:r>
      <w:r>
        <w:rPr>
          <w:spacing w:val="-66"/>
        </w:rPr>
      </w:r>
      <w:r>
        <w:rPr>
          <w:spacing w:val="-2"/>
        </w:rPr>
        <w:t>通过定期报告、临时公告、电话、咨询、投资者互动平台、股东大会质询、电子邮件等多种方式与投资者沟通交流，增进投</w:t>
      </w:r>
      <w:r>
        <w:rPr>
          <w:spacing w:val="-72"/>
        </w:rPr>
        <w:t> </w:t>
      </w:r>
      <w:r>
        <w:rPr>
          <w:spacing w:val="-72"/>
        </w:rPr>
      </w:r>
      <w:r>
        <w:rPr/>
        <w:t>资者对公司经营情况、发展前景的了解，维护与投资者的良好关系。</w:t>
      </w:r>
    </w:p>
    <w:p>
      <w:pPr>
        <w:pStyle w:val="BodyText"/>
        <w:spacing w:line="240" w:lineRule="auto" w:before="95"/>
        <w:ind w:left="1133" w:right="0"/>
        <w:jc w:val="left"/>
      </w:pPr>
      <w:r>
        <w:rPr/>
        <w:t>公司治理的实际状况与中国证监会发布的有关上市公司治理的规范性文件是否存在重大差异</w:t>
      </w:r>
    </w:p>
    <w:p>
      <w:pPr>
        <w:spacing w:line="240" w:lineRule="auto" w:before="12"/>
        <w:rPr>
          <w:rFonts w:ascii="宋体" w:hAnsi="宋体" w:cs="宋体" w:eastAsia="宋体" w:hint="default"/>
          <w:sz w:val="20"/>
          <w:szCs w:val="20"/>
        </w:rPr>
      </w:pPr>
    </w:p>
    <w:p>
      <w:pPr>
        <w:pStyle w:val="BodyText"/>
        <w:spacing w:line="489" w:lineRule="auto"/>
        <w:ind w:left="1133" w:right="355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公司治理的实际状况与中国证监会发布的有关上市公司治理的规范性文件不存在重大差异。</w:t>
      </w:r>
    </w:p>
    <w:p>
      <w:pPr>
        <w:spacing w:line="240" w:lineRule="auto" w:before="8"/>
        <w:rPr>
          <w:rFonts w:ascii="宋体" w:hAnsi="宋体" w:cs="宋体" w:eastAsia="宋体" w:hint="default"/>
          <w:sz w:val="22"/>
          <w:szCs w:val="22"/>
        </w:rPr>
      </w:pPr>
    </w:p>
    <w:p>
      <w:pPr>
        <w:pStyle w:val="Heading2"/>
        <w:spacing w:line="240" w:lineRule="auto"/>
        <w:ind w:right="0"/>
        <w:jc w:val="left"/>
        <w:rPr>
          <w:b w:val="0"/>
          <w:bCs w:val="0"/>
        </w:rPr>
      </w:pPr>
      <w:bookmarkStart w:name="二、公司相对于控股股东在业务、人员、资产、机构、财务等方面的独立情况" w:id="133"/>
      <w:bookmarkEnd w:id="133"/>
      <w:r>
        <w:rPr>
          <w:b w:val="0"/>
          <w:bCs w:val="0"/>
        </w:rPr>
      </w:r>
      <w:r>
        <w:rPr/>
        <w:t>二、公司相对于控股股东在业务、人员、资产、机构、财务等方面的独立情况</w:t>
      </w:r>
      <w:r>
        <w:rPr>
          <w:b w:val="0"/>
          <w:bCs w:val="0"/>
        </w:rPr>
      </w:r>
    </w:p>
    <w:p>
      <w:pPr>
        <w:spacing w:line="240" w:lineRule="auto" w:before="0"/>
        <w:rPr>
          <w:rFonts w:ascii="宋体" w:hAnsi="宋体" w:cs="宋体" w:eastAsia="宋体" w:hint="default"/>
          <w:b/>
          <w:bCs/>
          <w:sz w:val="24"/>
          <w:szCs w:val="24"/>
        </w:rPr>
      </w:pPr>
    </w:p>
    <w:p>
      <w:pPr>
        <w:pStyle w:val="BodyText"/>
        <w:spacing w:line="451" w:lineRule="auto" w:before="188"/>
        <w:ind w:left="1133" w:right="1130"/>
        <w:jc w:val="both"/>
      </w:pPr>
      <w:r>
        <w:rPr>
          <w:spacing w:val="-1"/>
        </w:rPr>
        <w:t>公司与控股股东在业务、人员、资产、机构和财务等方面严格实行</w:t>
      </w:r>
      <w:r>
        <w:rPr>
          <w:rFonts w:ascii="Times New Roman" w:hAnsi="Times New Roman" w:cs="Times New Roman" w:eastAsia="Times New Roman" w:hint="default"/>
          <w:spacing w:val="-1"/>
        </w:rPr>
        <w:t>"</w:t>
      </w:r>
      <w:r>
        <w:rPr>
          <w:spacing w:val="-1"/>
        </w:rPr>
        <w:t>五分开</w:t>
      </w:r>
      <w:r>
        <w:rPr>
          <w:rFonts w:ascii="Times New Roman" w:hAnsi="Times New Roman" w:cs="Times New Roman" w:eastAsia="Times New Roman" w:hint="default"/>
          <w:spacing w:val="-1"/>
        </w:rPr>
        <w:t>"</w:t>
      </w:r>
      <w:r>
        <w:rPr>
          <w:spacing w:val="-1"/>
        </w:rPr>
        <w:t>，各自独立核算，独立承担责任和风险。公司具</w:t>
      </w:r>
      <w:r>
        <w:rPr/>
        <w:t> </w:t>
      </w:r>
      <w:r>
        <w:rPr>
          <w:spacing w:val="-2"/>
        </w:rPr>
        <w:t>有独立完整的业务及自主的经营能力；与控股股东在人员方面完全独立，公司董事长、总经理、副总经理、董事会秘书、财</w:t>
      </w:r>
    </w:p>
    <w:p>
      <w:pPr>
        <w:spacing w:after="0" w:line="451" w:lineRule="auto"/>
        <w:jc w:val="both"/>
        <w:sectPr>
          <w:pgSz w:w="11910" w:h="16840"/>
          <w:pgMar w:header="787" w:footer="640" w:top="1100" w:bottom="840" w:left="0" w:right="0"/>
        </w:sectPr>
      </w:pPr>
    </w:p>
    <w:p>
      <w:pPr>
        <w:spacing w:line="240" w:lineRule="auto" w:before="10"/>
        <w:rPr>
          <w:rFonts w:ascii="宋体" w:hAnsi="宋体" w:cs="宋体" w:eastAsia="宋体" w:hint="default"/>
          <w:sz w:val="28"/>
          <w:szCs w:val="28"/>
        </w:rPr>
      </w:pPr>
    </w:p>
    <w:p>
      <w:pPr>
        <w:pStyle w:val="BodyText"/>
        <w:spacing w:line="477" w:lineRule="auto" w:before="44"/>
        <w:ind w:right="0"/>
        <w:jc w:val="left"/>
      </w:pPr>
      <w:r>
        <w:rPr>
          <w:spacing w:val="-2"/>
        </w:rPr>
        <w:t>务负责人等高级管理人员均未在股东单位任职，均在公司领取薪酬；公司资产独立完整，与控股股东之间产权关系明确；公</w:t>
      </w:r>
      <w:r>
        <w:rPr>
          <w:spacing w:val="-66"/>
        </w:rPr>
        <w:t> </w:t>
      </w:r>
      <w:r>
        <w:rPr>
          <w:spacing w:val="-66"/>
        </w:rPr>
      </w:r>
      <w:r>
        <w:rPr>
          <w:spacing w:val="-2"/>
        </w:rPr>
        <w:t>司办公机构、生产经营场所与控股股东完全独立，建立了健全的法人治理结构、独立完整的生产经营体系；公司建立了独立</w:t>
      </w:r>
      <w:r>
        <w:rPr>
          <w:spacing w:val="-66"/>
        </w:rPr>
        <w:t> </w:t>
      </w:r>
      <w:r>
        <w:rPr>
          <w:spacing w:val="-66"/>
        </w:rPr>
      </w:r>
      <w:r>
        <w:rPr>
          <w:spacing w:val="-4"/>
        </w:rPr>
        <w:t>的财务部门和财务核算体系，独立在银行开设账户，能够作出独立的财务决策，公司财务人员不在股东单位兼职和领取报酬，</w:t>
      </w:r>
      <w:r>
        <w:rPr>
          <w:spacing w:val="-44"/>
        </w:rPr>
        <w:t> </w:t>
      </w:r>
      <w:r>
        <w:rPr>
          <w:spacing w:val="-44"/>
        </w:rPr>
      </w:r>
      <w:r>
        <w:rPr/>
        <w:t>依法独立进行纳税申报和缴纳。</w:t>
      </w:r>
    </w:p>
    <w:p>
      <w:pPr>
        <w:spacing w:line="240" w:lineRule="auto" w:before="5"/>
        <w:rPr>
          <w:rFonts w:ascii="宋体" w:hAnsi="宋体" w:cs="宋体" w:eastAsia="宋体" w:hint="default"/>
          <w:sz w:val="23"/>
          <w:szCs w:val="23"/>
        </w:rPr>
      </w:pPr>
    </w:p>
    <w:p>
      <w:pPr>
        <w:pStyle w:val="Heading2"/>
        <w:spacing w:line="240" w:lineRule="auto"/>
        <w:ind w:left="1134" w:right="0"/>
        <w:jc w:val="left"/>
        <w:rPr>
          <w:b w:val="0"/>
          <w:bCs w:val="0"/>
        </w:rPr>
      </w:pPr>
      <w:bookmarkStart w:name="三、同业竞争情况" w:id="134"/>
      <w:bookmarkEnd w:id="134"/>
      <w:r>
        <w:rPr>
          <w:b w:val="0"/>
          <w:bCs w:val="0"/>
        </w:rPr>
      </w:r>
      <w:r>
        <w:rPr/>
        <w:t>三、同业竞争情况</w:t>
      </w:r>
      <w:r>
        <w:rPr>
          <w:b w:val="0"/>
          <w:bCs w:val="0"/>
        </w:rPr>
      </w:r>
    </w:p>
    <w:p>
      <w:pPr>
        <w:spacing w:line="240" w:lineRule="auto" w:before="0"/>
        <w:rPr>
          <w:rFonts w:ascii="宋体" w:hAnsi="宋体" w:cs="宋体" w:eastAsia="宋体" w:hint="default"/>
          <w:b/>
          <w:bCs/>
          <w:sz w:val="24"/>
          <w:szCs w:val="24"/>
        </w:rPr>
      </w:pPr>
    </w:p>
    <w:p>
      <w:pPr>
        <w:pStyle w:val="BodyText"/>
        <w:spacing w:line="240" w:lineRule="auto" w:before="189"/>
        <w:ind w:left="113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7"/>
          <w:szCs w:val="17"/>
        </w:rPr>
      </w:pPr>
    </w:p>
    <w:p>
      <w:pPr>
        <w:pStyle w:val="Heading2"/>
        <w:spacing w:line="240" w:lineRule="auto"/>
        <w:ind w:right="0"/>
        <w:jc w:val="left"/>
        <w:rPr>
          <w:b w:val="0"/>
          <w:bCs w:val="0"/>
        </w:rPr>
      </w:pPr>
      <w:bookmarkStart w:name="四、报告期内召开的年度股东大会和临时股东大会的有关情况" w:id="135"/>
      <w:bookmarkEnd w:id="135"/>
      <w:r>
        <w:rPr>
          <w:b w:val="0"/>
          <w:bCs w:val="0"/>
        </w:rPr>
      </w:r>
      <w:r>
        <w:rPr/>
        <w:t>四、报告期内召开的年度股东大会和临时股东大会的有关情况</w:t>
      </w:r>
      <w:r>
        <w:rPr>
          <w:b w:val="0"/>
          <w:bCs w:val="0"/>
        </w:rPr>
      </w:r>
    </w:p>
    <w:p>
      <w:pPr>
        <w:spacing w:line="240" w:lineRule="auto" w:before="0"/>
        <w:rPr>
          <w:rFonts w:ascii="宋体" w:hAnsi="宋体" w:cs="宋体" w:eastAsia="宋体" w:hint="default"/>
          <w:b/>
          <w:bCs/>
          <w:sz w:val="24"/>
          <w:szCs w:val="24"/>
        </w:rPr>
      </w:pPr>
    </w:p>
    <w:p>
      <w:pPr>
        <w:pStyle w:val="Heading3"/>
        <w:spacing w:line="240" w:lineRule="auto" w:before="163"/>
        <w:ind w:left="1133" w:right="0"/>
        <w:jc w:val="left"/>
        <w:rPr>
          <w:b w:val="0"/>
          <w:bCs w:val="0"/>
        </w:rPr>
      </w:pPr>
      <w:bookmarkStart w:name="1、本报告期股东大会情况" w:id="136"/>
      <w:bookmarkEnd w:id="136"/>
      <w:r>
        <w:rPr>
          <w:b w:val="0"/>
          <w:bCs w:val="0"/>
        </w:rPr>
      </w:r>
      <w:r>
        <w:rPr>
          <w:rFonts w:ascii="Times New Roman" w:hAnsi="Times New Roman" w:cs="Times New Roman" w:eastAsia="Times New Roman" w:hint="default"/>
        </w:rPr>
        <w:t>1</w:t>
      </w:r>
      <w:r>
        <w:rPr/>
        <w:t>、本报告期股东大会情况</w:t>
      </w:r>
      <w:r>
        <w:rPr>
          <w:b w:val="0"/>
          <w:bCs w:val="0"/>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1"/>
          <w:szCs w:val="11"/>
        </w:rPr>
      </w:pPr>
    </w:p>
    <w:tbl>
      <w:tblPr>
        <w:tblW w:w="0" w:type="auto"/>
        <w:jc w:val="left"/>
        <w:tblInd w:w="112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会议类型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3" w:right="0"/>
              <w:jc w:val="left"/>
              <w:rPr>
                <w:rFonts w:ascii="宋体" w:hAnsi="宋体" w:cs="宋体" w:eastAsia="宋体" w:hint="default"/>
                <w:sz w:val="18"/>
                <w:szCs w:val="18"/>
              </w:rPr>
            </w:pPr>
            <w:r>
              <w:rPr>
                <w:rFonts w:ascii="宋体" w:hAnsi="宋体" w:cs="宋体" w:eastAsia="宋体" w:hint="default"/>
                <w:sz w:val="18"/>
                <w:szCs w:val="18"/>
              </w:rPr>
              <w:t>投资者参与比例</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1650"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302" w:lineRule="auto"/>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61.76%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巨潮资讯网上披露</w:t>
            </w:r>
          </w:p>
          <w:p>
            <w:pPr>
              <w:pStyle w:val="TableParagraph"/>
              <w:spacing w:line="312" w:lineRule="auto" w:before="76"/>
              <w:ind w:left="23" w:right="74"/>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 时股东大会会议决 </w:t>
            </w:r>
            <w:r>
              <w:rPr>
                <w:rFonts w:ascii="宋体" w:hAnsi="宋体" w:cs="宋体" w:eastAsia="宋体" w:hint="default"/>
                <w:spacing w:val="-12"/>
                <w:sz w:val="18"/>
                <w:szCs w:val="18"/>
              </w:rPr>
              <w:t>议公告》（编号：</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Times New Roman" w:hAnsi="Times New Roman" w:cs="Times New Roman" w:eastAsia="Times New Roman" w:hint="default"/>
                <w:sz w:val="18"/>
                <w:szCs w:val="18"/>
              </w:rPr>
              <w:t>2017-004</w:t>
            </w:r>
            <w:r>
              <w:rPr>
                <w:rFonts w:ascii="宋体" w:hAnsi="宋体" w:cs="宋体" w:eastAsia="宋体" w:hint="default"/>
                <w:sz w:val="18"/>
                <w:szCs w:val="18"/>
              </w:rPr>
              <w:t>）</w:t>
            </w:r>
          </w:p>
        </w:tc>
      </w:tr>
      <w:tr>
        <w:trPr>
          <w:trHeight w:val="1338"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02" w:lineRule="auto" w:before="128"/>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年年度股东大 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年度股东大会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50.22%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巨潮资讯网上披露</w:t>
            </w:r>
          </w:p>
          <w:p>
            <w:pPr>
              <w:pStyle w:val="TableParagraph"/>
              <w:spacing w:line="300" w:lineRule="auto" w:before="76"/>
              <w:ind w:left="23" w:right="74"/>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年年度股东 大会决议的公告》</w:t>
            </w:r>
          </w:p>
          <w:p>
            <w:pPr>
              <w:pStyle w:val="TableParagraph"/>
              <w:spacing w:line="240" w:lineRule="auto" w:before="32"/>
              <w:ind w:left="23" w:right="-29"/>
              <w:jc w:val="left"/>
              <w:rPr>
                <w:rFonts w:ascii="宋体" w:hAnsi="宋体" w:cs="宋体" w:eastAsia="宋体" w:hint="default"/>
                <w:sz w:val="18"/>
                <w:szCs w:val="18"/>
              </w:rPr>
            </w:pPr>
            <w:r>
              <w:rPr>
                <w:rFonts w:ascii="宋体" w:hAnsi="宋体" w:cs="宋体" w:eastAsia="宋体" w:hint="default"/>
                <w:sz w:val="18"/>
                <w:szCs w:val="18"/>
              </w:rPr>
              <w:t>（编号：</w:t>
            </w:r>
            <w:r>
              <w:rPr>
                <w:rFonts w:ascii="Times New Roman" w:hAnsi="Times New Roman" w:cs="Times New Roman" w:eastAsia="Times New Roman" w:hint="default"/>
                <w:sz w:val="18"/>
                <w:szCs w:val="18"/>
              </w:rPr>
              <w:t>2017-017</w:t>
            </w:r>
            <w:r>
              <w:rPr>
                <w:rFonts w:ascii="宋体" w:hAnsi="宋体" w:cs="宋体" w:eastAsia="宋体" w:hint="default"/>
                <w:sz w:val="18"/>
                <w:szCs w:val="18"/>
              </w:rPr>
              <w:t>）</w:t>
            </w:r>
          </w:p>
        </w:tc>
      </w:tr>
      <w:tr>
        <w:trPr>
          <w:trHeight w:val="1650"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302" w:lineRule="auto"/>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51.49%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巨潮资讯网上披露</w:t>
            </w:r>
          </w:p>
          <w:p>
            <w:pPr>
              <w:pStyle w:val="TableParagraph"/>
              <w:spacing w:line="312" w:lineRule="auto" w:before="76"/>
              <w:ind w:left="23" w:right="74"/>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年第二次临 时股东大会会议决 </w:t>
            </w:r>
            <w:r>
              <w:rPr>
                <w:rFonts w:ascii="宋体" w:hAnsi="宋体" w:cs="宋体" w:eastAsia="宋体" w:hint="default"/>
                <w:spacing w:val="-12"/>
                <w:sz w:val="18"/>
                <w:szCs w:val="18"/>
              </w:rPr>
              <w:t>议公告》（编号：</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Times New Roman" w:hAnsi="Times New Roman" w:cs="Times New Roman" w:eastAsia="Times New Roman" w:hint="default"/>
                <w:sz w:val="18"/>
                <w:szCs w:val="18"/>
              </w:rPr>
              <w:t>2017-022</w:t>
            </w:r>
            <w:r>
              <w:rPr>
                <w:rFonts w:ascii="宋体" w:hAnsi="宋体" w:cs="宋体" w:eastAsia="宋体" w:hint="default"/>
                <w:sz w:val="18"/>
                <w:szCs w:val="18"/>
              </w:rPr>
              <w:t>）</w:t>
            </w:r>
          </w:p>
        </w:tc>
      </w:tr>
      <w:tr>
        <w:trPr>
          <w:trHeight w:val="1650"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302" w:lineRule="auto"/>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年第三次临时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52.62%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巨潮资讯网上披露</w:t>
            </w:r>
          </w:p>
          <w:p>
            <w:pPr>
              <w:pStyle w:val="TableParagraph"/>
              <w:spacing w:line="312" w:lineRule="auto" w:before="76"/>
              <w:ind w:left="23" w:right="74"/>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年第三次临 时股东大会会议决 </w:t>
            </w:r>
            <w:r>
              <w:rPr>
                <w:rFonts w:ascii="宋体" w:hAnsi="宋体" w:cs="宋体" w:eastAsia="宋体" w:hint="default"/>
                <w:spacing w:val="-12"/>
                <w:sz w:val="18"/>
                <w:szCs w:val="18"/>
              </w:rPr>
              <w:t>议公告》（编号：</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Times New Roman" w:hAnsi="Times New Roman" w:cs="Times New Roman" w:eastAsia="Times New Roman" w:hint="default"/>
                <w:sz w:val="18"/>
                <w:szCs w:val="18"/>
              </w:rPr>
              <w:t>2017-030</w:t>
            </w:r>
            <w:r>
              <w:rPr>
                <w:rFonts w:ascii="宋体" w:hAnsi="宋体" w:cs="宋体" w:eastAsia="宋体" w:hint="default"/>
                <w:sz w:val="18"/>
                <w:szCs w:val="18"/>
              </w:rPr>
              <w:t>）</w:t>
            </w:r>
          </w:p>
        </w:tc>
      </w:tr>
      <w:tr>
        <w:trPr>
          <w:trHeight w:val="1650"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302" w:lineRule="auto"/>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年第四次临时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50.18%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巨潮资讯网上披露</w:t>
            </w:r>
          </w:p>
          <w:p>
            <w:pPr>
              <w:pStyle w:val="TableParagraph"/>
              <w:spacing w:line="312" w:lineRule="auto" w:before="76"/>
              <w:ind w:left="23" w:right="74"/>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年第四次临 时股东大会会议决 </w:t>
            </w:r>
            <w:r>
              <w:rPr>
                <w:rFonts w:ascii="宋体" w:hAnsi="宋体" w:cs="宋体" w:eastAsia="宋体" w:hint="default"/>
                <w:spacing w:val="-12"/>
                <w:sz w:val="18"/>
                <w:szCs w:val="18"/>
              </w:rPr>
              <w:t>议公告》（编号：</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Times New Roman" w:hAnsi="Times New Roman" w:cs="Times New Roman" w:eastAsia="Times New Roman" w:hint="default"/>
                <w:sz w:val="18"/>
                <w:szCs w:val="18"/>
              </w:rPr>
              <w:t>2017-039</w:t>
            </w:r>
            <w:r>
              <w:rPr>
                <w:rFonts w:ascii="宋体" w:hAnsi="宋体" w:cs="宋体" w:eastAsia="宋体" w:hint="default"/>
                <w:sz w:val="18"/>
                <w:szCs w:val="18"/>
              </w:rPr>
              <w:t>）</w:t>
            </w:r>
          </w:p>
        </w:tc>
      </w:tr>
    </w:tbl>
    <w:p>
      <w:pPr>
        <w:spacing w:after="0" w:line="312" w:lineRule="auto"/>
        <w:jc w:val="left"/>
        <w:rPr>
          <w:rFonts w:ascii="宋体" w:hAnsi="宋体" w:cs="宋体" w:eastAsia="宋体" w:hint="default"/>
          <w:sz w:val="18"/>
          <w:szCs w:val="18"/>
        </w:rPr>
        <w:sectPr>
          <w:footerReference w:type="default" r:id="rId44"/>
          <w:pgSz w:w="11910" w:h="16840"/>
          <w:pgMar w:footer="640" w:header="787" w:top="1100" w:bottom="840" w:left="0" w:right="0"/>
        </w:sectPr>
      </w:pPr>
    </w:p>
    <w:p>
      <w:pPr>
        <w:spacing w:line="240" w:lineRule="auto" w:before="5"/>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1650"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302" w:lineRule="auto"/>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年第五次临时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left="1008" w:right="0"/>
              <w:jc w:val="left"/>
              <w:rPr>
                <w:rFonts w:ascii="Times New Roman" w:hAnsi="Times New Roman" w:cs="Times New Roman" w:eastAsia="Times New Roman" w:hint="default"/>
                <w:sz w:val="18"/>
                <w:szCs w:val="18"/>
              </w:rPr>
            </w:pPr>
            <w:r>
              <w:rPr>
                <w:rFonts w:ascii="Times New Roman"/>
                <w:sz w:val="18"/>
              </w:rPr>
              <w:t>53.02%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巨潮资讯网上披露</w:t>
            </w:r>
          </w:p>
          <w:p>
            <w:pPr>
              <w:pStyle w:val="TableParagraph"/>
              <w:spacing w:line="312" w:lineRule="auto" w:before="76"/>
              <w:ind w:left="23" w:right="74"/>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年第五次临 时股东大会会议决 </w:t>
            </w:r>
            <w:r>
              <w:rPr>
                <w:rFonts w:ascii="宋体" w:hAnsi="宋体" w:cs="宋体" w:eastAsia="宋体" w:hint="default"/>
                <w:spacing w:val="-12"/>
                <w:sz w:val="18"/>
                <w:szCs w:val="18"/>
              </w:rPr>
              <w:t>议公告》（编号：</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Times New Roman" w:hAnsi="Times New Roman" w:cs="Times New Roman" w:eastAsia="Times New Roman" w:hint="default"/>
                <w:sz w:val="18"/>
                <w:szCs w:val="18"/>
              </w:rPr>
              <w:t>2017-044</w:t>
            </w:r>
            <w:r>
              <w:rPr>
                <w:rFonts w:ascii="宋体" w:hAnsi="宋体" w:cs="宋体" w:eastAsia="宋体" w:hint="default"/>
                <w:sz w:val="18"/>
                <w:szCs w:val="18"/>
              </w:rPr>
              <w:t>）</w:t>
            </w:r>
          </w:p>
        </w:tc>
      </w:tr>
    </w:tbl>
    <w:p>
      <w:pPr>
        <w:spacing w:line="240" w:lineRule="auto" w:before="1"/>
        <w:rPr>
          <w:rFonts w:ascii="宋体" w:hAnsi="宋体" w:cs="宋体" w:eastAsia="宋体" w:hint="default"/>
          <w:b/>
          <w:bCs/>
          <w:sz w:val="25"/>
          <w:szCs w:val="25"/>
        </w:rPr>
      </w:pPr>
    </w:p>
    <w:p>
      <w:pPr>
        <w:pStyle w:val="Heading3"/>
        <w:spacing w:line="240" w:lineRule="auto" w:before="35"/>
        <w:ind w:right="0"/>
        <w:jc w:val="left"/>
        <w:rPr>
          <w:b w:val="0"/>
          <w:bCs w:val="0"/>
        </w:rPr>
      </w:pPr>
      <w:bookmarkStart w:name="2、表决权恢复的优先股股东请求召开临时股东大会" w:id="137"/>
      <w:bookmarkEnd w:id="137"/>
      <w:r>
        <w:rPr>
          <w:b w:val="0"/>
          <w:bCs w:val="0"/>
        </w:rPr>
      </w: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7"/>
          <w:szCs w:val="17"/>
        </w:rPr>
      </w:pPr>
    </w:p>
    <w:p>
      <w:pPr>
        <w:pStyle w:val="Heading2"/>
        <w:spacing w:line="240" w:lineRule="auto"/>
        <w:ind w:right="0"/>
        <w:jc w:val="left"/>
        <w:rPr>
          <w:b w:val="0"/>
          <w:bCs w:val="0"/>
        </w:rPr>
      </w:pPr>
      <w:bookmarkStart w:name="五、报告期内独立董事履行职责的情况" w:id="138"/>
      <w:bookmarkEnd w:id="138"/>
      <w:r>
        <w:rPr>
          <w:b w:val="0"/>
          <w:bCs w:val="0"/>
        </w:rPr>
      </w:r>
      <w:r>
        <w:rPr/>
        <w:t>五、报告期内独立董事履行职责的情况</w:t>
      </w:r>
      <w:r>
        <w:rPr>
          <w:b w:val="0"/>
          <w:bCs w:val="0"/>
        </w:rPr>
      </w:r>
    </w:p>
    <w:p>
      <w:pPr>
        <w:spacing w:line="240" w:lineRule="auto" w:before="0"/>
        <w:rPr>
          <w:rFonts w:ascii="宋体" w:hAnsi="宋体" w:cs="宋体" w:eastAsia="宋体" w:hint="default"/>
          <w:b/>
          <w:bCs/>
          <w:sz w:val="24"/>
          <w:szCs w:val="24"/>
        </w:rPr>
      </w:pPr>
    </w:p>
    <w:p>
      <w:pPr>
        <w:pStyle w:val="Heading3"/>
        <w:spacing w:line="240" w:lineRule="auto" w:before="161"/>
        <w:ind w:left="1133" w:right="0"/>
        <w:jc w:val="left"/>
        <w:rPr>
          <w:b w:val="0"/>
          <w:bCs w:val="0"/>
        </w:rPr>
      </w:pPr>
      <w:bookmarkStart w:name="1、独立董事出席董事会及股东大会的情况" w:id="139"/>
      <w:bookmarkEnd w:id="139"/>
      <w:r>
        <w:rPr>
          <w:b w:val="0"/>
          <w:bCs w:val="0"/>
        </w:rPr>
      </w: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1"/>
          <w:szCs w:val="11"/>
        </w:rPr>
      </w:pPr>
    </w:p>
    <w:tbl>
      <w:tblPr>
        <w:tblW w:w="0" w:type="auto"/>
        <w:jc w:val="left"/>
        <w:tblInd w:w="1129" w:type="dxa"/>
        <w:tblLayout w:type="fixed"/>
        <w:tblCellMar>
          <w:top w:w="0" w:type="dxa"/>
          <w:left w:w="0" w:type="dxa"/>
          <w:bottom w:w="0" w:type="dxa"/>
          <w:right w:w="0" w:type="dxa"/>
        </w:tblCellMar>
        <w:tblLook w:val="01E0"/>
      </w:tblPr>
      <w:tblGrid>
        <w:gridCol w:w="1427"/>
        <w:gridCol w:w="1164"/>
        <w:gridCol w:w="1164"/>
        <w:gridCol w:w="1163"/>
        <w:gridCol w:w="1164"/>
        <w:gridCol w:w="1163"/>
        <w:gridCol w:w="1163"/>
        <w:gridCol w:w="1163"/>
      </w:tblGrid>
      <w:tr>
        <w:trPr>
          <w:trHeight w:val="402" w:hRule="exact"/>
        </w:trPr>
        <w:tc>
          <w:tcPr>
            <w:tcW w:w="9571"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独立董事出席董事会及股东大会的情况</w:t>
            </w:r>
          </w:p>
        </w:tc>
      </w:tr>
      <w:tr>
        <w:trPr>
          <w:trHeight w:val="1025"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68"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5" w:right="36"/>
              <w:jc w:val="left"/>
              <w:rPr>
                <w:rFonts w:ascii="宋体" w:hAnsi="宋体" w:cs="宋体" w:eastAsia="宋体" w:hint="default"/>
                <w:sz w:val="18"/>
                <w:szCs w:val="18"/>
              </w:rPr>
            </w:pPr>
            <w:r>
              <w:rPr>
                <w:rFonts w:ascii="宋体" w:hAnsi="宋体" w:cs="宋体" w:eastAsia="宋体" w:hint="default"/>
                <w:sz w:val="18"/>
                <w:szCs w:val="18"/>
              </w:rPr>
              <w:t>本报告期应参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06" w:right="36" w:hanging="270"/>
              <w:jc w:val="left"/>
              <w:rPr>
                <w:rFonts w:ascii="宋体" w:hAnsi="宋体" w:cs="宋体" w:eastAsia="宋体" w:hint="default"/>
                <w:sz w:val="18"/>
                <w:szCs w:val="18"/>
              </w:rPr>
            </w:pPr>
            <w:r>
              <w:rPr>
                <w:rFonts w:ascii="宋体" w:hAnsi="宋体" w:cs="宋体" w:eastAsia="宋体" w:hint="default"/>
                <w:sz w:val="18"/>
                <w:szCs w:val="18"/>
              </w:rPr>
              <w:t>现场出席董事 会次数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5" w:right="35"/>
              <w:jc w:val="left"/>
              <w:rPr>
                <w:rFonts w:ascii="宋体" w:hAnsi="宋体" w:cs="宋体" w:eastAsia="宋体" w:hint="default"/>
                <w:sz w:val="18"/>
                <w:szCs w:val="18"/>
              </w:rPr>
            </w:pPr>
            <w:r>
              <w:rPr>
                <w:rFonts w:ascii="宋体" w:hAnsi="宋体" w:cs="宋体" w:eastAsia="宋体" w:hint="default"/>
                <w:sz w:val="18"/>
                <w:szCs w:val="18"/>
              </w:rPr>
              <w:t>以通讯方式参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07" w:right="35" w:hanging="270"/>
              <w:jc w:val="left"/>
              <w:rPr>
                <w:rFonts w:ascii="宋体" w:hAnsi="宋体" w:cs="宋体" w:eastAsia="宋体" w:hint="default"/>
                <w:sz w:val="18"/>
                <w:szCs w:val="18"/>
              </w:rPr>
            </w:pPr>
            <w:r>
              <w:rPr>
                <w:rFonts w:ascii="宋体" w:hAnsi="宋体" w:cs="宋体" w:eastAsia="宋体" w:hint="default"/>
                <w:sz w:val="18"/>
                <w:szCs w:val="18"/>
              </w:rPr>
              <w:t>委托出席董事 会次数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486" w:right="35" w:hanging="450"/>
              <w:jc w:val="left"/>
              <w:rPr>
                <w:rFonts w:ascii="宋体" w:hAnsi="宋体" w:cs="宋体" w:eastAsia="宋体" w:hint="default"/>
                <w:sz w:val="18"/>
                <w:szCs w:val="18"/>
              </w:rPr>
            </w:pPr>
            <w:r>
              <w:rPr>
                <w:rFonts w:ascii="宋体" w:hAnsi="宋体" w:cs="宋体" w:eastAsia="宋体" w:hint="default"/>
                <w:sz w:val="18"/>
                <w:szCs w:val="18"/>
              </w:rPr>
              <w:t>缺席董事会次 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5" w:right="35"/>
              <w:jc w:val="center"/>
              <w:rPr>
                <w:rFonts w:ascii="宋体" w:hAnsi="宋体" w:cs="宋体" w:eastAsia="宋体" w:hint="default"/>
                <w:sz w:val="18"/>
                <w:szCs w:val="18"/>
              </w:rPr>
            </w:pPr>
            <w:r>
              <w:rPr>
                <w:rFonts w:ascii="宋体" w:hAnsi="宋体" w:cs="宋体" w:eastAsia="宋体" w:hint="default"/>
                <w:sz w:val="18"/>
                <w:szCs w:val="18"/>
              </w:rPr>
              <w:t>是否连续两次 未亲自参加董 事会会议</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96" w:right="35" w:hanging="360"/>
              <w:jc w:val="left"/>
              <w:rPr>
                <w:rFonts w:ascii="宋体" w:hAnsi="宋体" w:cs="宋体" w:eastAsia="宋体" w:hint="default"/>
                <w:sz w:val="18"/>
                <w:szCs w:val="18"/>
              </w:rPr>
            </w:pPr>
            <w:r>
              <w:rPr>
                <w:rFonts w:ascii="宋体" w:hAnsi="宋体" w:cs="宋体" w:eastAsia="宋体" w:hint="default"/>
                <w:sz w:val="18"/>
                <w:szCs w:val="18"/>
              </w:rPr>
              <w:t>出席股东大会 次数</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王朝曦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17</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17</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w:t>
            </w:r>
          </w:p>
        </w:tc>
      </w:tr>
      <w:tr>
        <w:trPr>
          <w:trHeight w:val="404"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秦家银</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17</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17</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w:t>
            </w:r>
          </w:p>
        </w:tc>
      </w:tr>
    </w:tbl>
    <w:p>
      <w:pPr>
        <w:spacing w:line="240" w:lineRule="auto" w:before="1"/>
        <w:rPr>
          <w:rFonts w:ascii="宋体" w:hAnsi="宋体" w:cs="宋体" w:eastAsia="宋体" w:hint="default"/>
          <w:b/>
          <w:bCs/>
          <w:sz w:val="25"/>
          <w:szCs w:val="25"/>
        </w:rPr>
      </w:pPr>
    </w:p>
    <w:p>
      <w:pPr>
        <w:pStyle w:val="Heading3"/>
        <w:spacing w:line="240" w:lineRule="auto" w:before="35"/>
        <w:ind w:right="0"/>
        <w:jc w:val="left"/>
        <w:rPr>
          <w:b w:val="0"/>
          <w:bCs w:val="0"/>
        </w:rPr>
      </w:pPr>
      <w:bookmarkStart w:name="2、独立董事对公司有关事项提出异议的情况" w:id="140"/>
      <w:bookmarkEnd w:id="140"/>
      <w:r>
        <w:rPr>
          <w:b w:val="0"/>
          <w:bCs w:val="0"/>
        </w:rPr>
      </w: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pStyle w:val="BodyText"/>
        <w:spacing w:line="240" w:lineRule="auto"/>
        <w:ind w:right="0"/>
        <w:jc w:val="left"/>
      </w:pPr>
      <w:r>
        <w:rPr/>
        <w:t>独立董事对公司有关事项是否提出异议</w:t>
      </w:r>
    </w:p>
    <w:p>
      <w:pPr>
        <w:spacing w:line="240" w:lineRule="auto" w:before="10"/>
        <w:rPr>
          <w:rFonts w:ascii="宋体" w:hAnsi="宋体" w:cs="宋体" w:eastAsia="宋体" w:hint="default"/>
          <w:sz w:val="20"/>
          <w:szCs w:val="20"/>
        </w:rPr>
      </w:pPr>
    </w:p>
    <w:p>
      <w:pPr>
        <w:pStyle w:val="BodyText"/>
        <w:spacing w:line="489" w:lineRule="auto"/>
        <w:ind w:left="1133" w:right="697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报告期内独立董事对公司有关事项未提出异议。</w:t>
      </w:r>
    </w:p>
    <w:p>
      <w:pPr>
        <w:spacing w:line="240" w:lineRule="auto" w:before="6"/>
        <w:rPr>
          <w:rFonts w:ascii="宋体" w:hAnsi="宋体" w:cs="宋体" w:eastAsia="宋体" w:hint="default"/>
          <w:sz w:val="24"/>
          <w:szCs w:val="24"/>
        </w:rPr>
      </w:pPr>
    </w:p>
    <w:p>
      <w:pPr>
        <w:pStyle w:val="Heading3"/>
        <w:spacing w:line="240" w:lineRule="auto"/>
        <w:ind w:left="1133" w:right="0"/>
        <w:jc w:val="left"/>
        <w:rPr>
          <w:b w:val="0"/>
          <w:bCs w:val="0"/>
        </w:rPr>
      </w:pPr>
      <w:bookmarkStart w:name="3、独立董事履行职责的其他说明" w:id="141"/>
      <w:bookmarkEnd w:id="141"/>
      <w:r>
        <w:rPr>
          <w:b w:val="0"/>
          <w:bCs w:val="0"/>
        </w:rPr>
      </w:r>
      <w:r>
        <w:rPr>
          <w:rFonts w:ascii="Times New Roman" w:hAnsi="Times New Roman" w:cs="Times New Roman" w:eastAsia="Times New Roman" w:hint="default"/>
        </w:rPr>
        <w:t>3</w:t>
      </w:r>
      <w:r>
        <w:rPr/>
        <w:t>、独立董事履行职责的其他说明</w:t>
      </w:r>
      <w:r>
        <w:rPr>
          <w:b w:val="0"/>
          <w:bCs w:val="0"/>
        </w:rPr>
      </w:r>
    </w:p>
    <w:p>
      <w:pPr>
        <w:spacing w:line="240" w:lineRule="auto" w:before="0"/>
        <w:rPr>
          <w:rFonts w:ascii="宋体" w:hAnsi="宋体" w:cs="宋体" w:eastAsia="宋体" w:hint="default"/>
          <w:b/>
          <w:bCs/>
          <w:sz w:val="22"/>
          <w:szCs w:val="22"/>
        </w:rPr>
      </w:pPr>
    </w:p>
    <w:p>
      <w:pPr>
        <w:spacing w:line="240" w:lineRule="auto" w:before="5"/>
        <w:rPr>
          <w:rFonts w:ascii="宋体" w:hAnsi="宋体" w:cs="宋体" w:eastAsia="宋体" w:hint="default"/>
          <w:b/>
          <w:bCs/>
          <w:sz w:val="16"/>
          <w:szCs w:val="16"/>
        </w:rPr>
      </w:pPr>
    </w:p>
    <w:p>
      <w:pPr>
        <w:pStyle w:val="BodyText"/>
        <w:spacing w:line="240" w:lineRule="auto"/>
        <w:ind w:left="1133" w:right="0"/>
        <w:jc w:val="left"/>
      </w:pPr>
      <w:r>
        <w:rPr/>
        <w:t>独立董事对公司有关建议是否被采纳</w:t>
      </w:r>
    </w:p>
    <w:p>
      <w:pPr>
        <w:spacing w:line="240" w:lineRule="auto" w:before="12"/>
        <w:rPr>
          <w:rFonts w:ascii="宋体" w:hAnsi="宋体" w:cs="宋体" w:eastAsia="宋体" w:hint="default"/>
          <w:sz w:val="20"/>
          <w:szCs w:val="20"/>
        </w:rPr>
      </w:pPr>
    </w:p>
    <w:p>
      <w:pPr>
        <w:pStyle w:val="BodyText"/>
        <w:spacing w:line="489" w:lineRule="auto"/>
        <w:ind w:left="1133" w:right="679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独立董事对公司有关建议被采纳或未被采纳的说明</w:t>
      </w:r>
    </w:p>
    <w:p>
      <w:pPr>
        <w:pStyle w:val="BodyText"/>
        <w:spacing w:line="477" w:lineRule="auto" w:before="84"/>
        <w:ind w:left="1133" w:right="0" w:firstLine="290"/>
        <w:jc w:val="left"/>
      </w:pPr>
      <w:r>
        <w:rPr/>
        <w:t>公司独立董事在任职期间能够按照《公司法》、《上市公司治理准则》、《公司章程》及《独立董事工作制度》等有关 </w:t>
      </w:r>
      <w:r>
        <w:rPr>
          <w:spacing w:val="-4"/>
        </w:rPr>
        <w:t>规定，恪尽职守、勤勉尽责，在工作中保持独立性，积极出席相关会议，深入了解公司的生产经营状况和重大事项进展情况，</w:t>
      </w:r>
      <w:r>
        <w:rPr>
          <w:spacing w:val="-44"/>
        </w:rPr>
        <w:t> </w:t>
      </w:r>
      <w:r>
        <w:rPr>
          <w:spacing w:val="-44"/>
        </w:rPr>
      </w:r>
      <w:r>
        <w:rPr>
          <w:spacing w:val="-2"/>
        </w:rPr>
        <w:t>为公司的经营发展从各自专业角度提出合理的意见和建议，对募投项目结项、关联自然人为公司向银行申请授信提供关联担</w:t>
      </w:r>
    </w:p>
    <w:p>
      <w:pPr>
        <w:spacing w:after="0" w:line="477" w:lineRule="auto"/>
        <w:jc w:val="left"/>
        <w:sectPr>
          <w:pgSz w:w="11910" w:h="16840"/>
          <w:pgMar w:header="787" w:footer="640" w:top="1100" w:bottom="840" w:left="0" w:right="0"/>
        </w:sectPr>
      </w:pPr>
    </w:p>
    <w:p>
      <w:pPr>
        <w:spacing w:line="240" w:lineRule="auto" w:before="10"/>
        <w:rPr>
          <w:rFonts w:ascii="宋体" w:hAnsi="宋体" w:cs="宋体" w:eastAsia="宋体" w:hint="default"/>
          <w:sz w:val="28"/>
          <w:szCs w:val="28"/>
        </w:rPr>
      </w:pPr>
    </w:p>
    <w:p>
      <w:pPr>
        <w:pStyle w:val="BodyText"/>
        <w:spacing w:line="477" w:lineRule="auto" w:before="44"/>
        <w:ind w:right="0"/>
        <w:jc w:val="left"/>
      </w:pPr>
      <w:r>
        <w:rPr>
          <w:spacing w:val="-2"/>
        </w:rPr>
        <w:t>保、为公司申请银行授信提供担保、股权激励事项、会计估计变更、募集资金置换、董事会换届选举和定期报告等相关事项</w:t>
      </w:r>
      <w:r>
        <w:rPr>
          <w:spacing w:val="-66"/>
        </w:rPr>
        <w:t> </w:t>
      </w:r>
      <w:r>
        <w:rPr>
          <w:spacing w:val="-66"/>
        </w:rPr>
      </w:r>
      <w:r>
        <w:rPr/>
        <w:t>发表独立意见，对董事会的科学决策、公司的发展起了积极的作用，切实地维护了公司及广大公众投资者的利益。</w:t>
      </w:r>
    </w:p>
    <w:p>
      <w:pPr>
        <w:spacing w:line="240" w:lineRule="auto" w:before="7"/>
        <w:rPr>
          <w:rFonts w:ascii="宋体" w:hAnsi="宋体" w:cs="宋体" w:eastAsia="宋体" w:hint="default"/>
          <w:sz w:val="17"/>
          <w:szCs w:val="17"/>
        </w:rPr>
      </w:pPr>
    </w:p>
    <w:p>
      <w:pPr>
        <w:pStyle w:val="Heading2"/>
        <w:spacing w:line="240" w:lineRule="auto"/>
        <w:ind w:right="0"/>
        <w:jc w:val="left"/>
        <w:rPr>
          <w:b w:val="0"/>
          <w:bCs w:val="0"/>
        </w:rPr>
      </w:pPr>
      <w:bookmarkStart w:name="六、董事会下设专门委员会在报告期内履行职责情况" w:id="142"/>
      <w:bookmarkEnd w:id="142"/>
      <w:r>
        <w:rPr>
          <w:b w:val="0"/>
          <w:bCs w:val="0"/>
        </w:rPr>
      </w:r>
      <w:r>
        <w:rPr/>
        <w:t>六、董事会下设专门委员会在报告期内履行职责情况</w:t>
      </w:r>
      <w:r>
        <w:rPr>
          <w:b w:val="0"/>
          <w:bCs w:val="0"/>
        </w:rPr>
      </w:r>
    </w:p>
    <w:p>
      <w:pPr>
        <w:spacing w:line="240" w:lineRule="auto" w:before="6"/>
        <w:rPr>
          <w:rFonts w:ascii="宋体" w:hAnsi="宋体" w:cs="宋体" w:eastAsia="宋体" w:hint="default"/>
          <w:b/>
          <w:bCs/>
          <w:sz w:val="32"/>
          <w:szCs w:val="32"/>
        </w:rPr>
      </w:pPr>
    </w:p>
    <w:p>
      <w:pPr>
        <w:pStyle w:val="BodyText"/>
        <w:spacing w:line="240" w:lineRule="auto"/>
        <w:ind w:left="1133" w:right="0"/>
        <w:jc w:val="left"/>
      </w:pPr>
      <w:r>
        <w:rPr/>
        <w:t>报告期内，第二届董事会下设审计委员会、提名委员会、薪酬与考核委员会和战略委员会</w:t>
      </w:r>
      <w:r>
        <w:rPr>
          <w:rFonts w:ascii="Times New Roman" w:hAnsi="Times New Roman" w:cs="Times New Roman" w:eastAsia="Times New Roman" w:hint="default"/>
        </w:rPr>
        <w:t>4</w:t>
      </w:r>
      <w:r>
        <w:rPr/>
        <w:t>个专门委员会。</w:t>
      </w:r>
    </w:p>
    <w:p>
      <w:pPr>
        <w:spacing w:line="240" w:lineRule="auto" w:before="9"/>
        <w:rPr>
          <w:rFonts w:ascii="宋体" w:hAnsi="宋体" w:cs="宋体" w:eastAsia="宋体" w:hint="default"/>
          <w:sz w:val="16"/>
          <w:szCs w:val="16"/>
        </w:rPr>
      </w:pPr>
    </w:p>
    <w:p>
      <w:pPr>
        <w:pStyle w:val="BodyText"/>
        <w:spacing w:line="451" w:lineRule="auto"/>
        <w:ind w:left="1424" w:right="1033" w:hanging="291"/>
        <w:jc w:val="left"/>
      </w:pPr>
      <w:r>
        <w:rPr>
          <w:rFonts w:ascii="Times New Roman" w:hAnsi="Times New Roman" w:cs="Times New Roman" w:eastAsia="Times New Roman" w:hint="default"/>
        </w:rPr>
        <w:t>1</w:t>
      </w:r>
      <w:r>
        <w:rPr/>
        <w:t>、审计委员会 </w:t>
      </w:r>
      <w:r>
        <w:rPr>
          <w:spacing w:val="-1"/>
        </w:rPr>
        <w:t>报告期内，公司董事会审计委员会本着勤勉尽责的原则，认真履行职责，共召开</w:t>
      </w:r>
      <w:r>
        <w:rPr>
          <w:rFonts w:ascii="Times New Roman" w:hAnsi="Times New Roman" w:cs="Times New Roman" w:eastAsia="Times New Roman" w:hint="default"/>
          <w:spacing w:val="-1"/>
        </w:rPr>
        <w:t>8</w:t>
      </w:r>
      <w:r>
        <w:rPr>
          <w:spacing w:val="-1"/>
        </w:rPr>
        <w:t>次会议，对会计估计变更、定期报告、</w:t>
      </w:r>
    </w:p>
    <w:p>
      <w:pPr>
        <w:pStyle w:val="BodyText"/>
        <w:spacing w:line="451" w:lineRule="auto" w:before="43"/>
        <w:ind w:left="1133" w:right="1163"/>
        <w:jc w:val="left"/>
      </w:pPr>
      <w:r>
        <w:rPr/>
        <w:t>续聘会计师事务所、计提资产减值准备、募集资金置换</w:t>
      </w:r>
      <w:r>
        <w:rPr>
          <w:rFonts w:ascii="Times New Roman" w:hAnsi="Times New Roman" w:cs="Times New Roman" w:eastAsia="Times New Roman" w:hint="default"/>
        </w:rPr>
        <w:t>/</w:t>
      </w:r>
      <w:r>
        <w:rPr/>
        <w:t>管理、自有资金委托理财、为公司申请银行授信提供担保、全资子 公司参与投资设立股权投资基金等方面进行了重点关注。</w:t>
      </w:r>
    </w:p>
    <w:p>
      <w:pPr>
        <w:pStyle w:val="BodyText"/>
        <w:spacing w:line="451" w:lineRule="auto" w:before="74"/>
        <w:ind w:left="1424" w:right="1192" w:hanging="291"/>
        <w:jc w:val="left"/>
      </w:pPr>
      <w:r>
        <w:rPr>
          <w:rFonts w:ascii="Times New Roman" w:hAnsi="Times New Roman" w:cs="Times New Roman" w:eastAsia="Times New Roman" w:hint="default"/>
        </w:rPr>
        <w:t>2</w:t>
      </w:r>
      <w:r>
        <w:rPr/>
        <w:t>、提名委员会 报告期内，公司提名委员会共召开</w:t>
      </w:r>
      <w:r>
        <w:rPr>
          <w:rFonts w:ascii="Times New Roman" w:hAnsi="Times New Roman" w:cs="Times New Roman" w:eastAsia="Times New Roman" w:hint="default"/>
        </w:rPr>
        <w:t>2</w:t>
      </w:r>
      <w:r>
        <w:rPr/>
        <w:t>次会议，对公司财务总监、非独立董事候选人的任职条件进行认真审查，并提出专</w:t>
      </w:r>
    </w:p>
    <w:p>
      <w:pPr>
        <w:pStyle w:val="BodyText"/>
        <w:spacing w:line="240" w:lineRule="auto" w:before="43"/>
        <w:ind w:right="0"/>
        <w:jc w:val="left"/>
      </w:pPr>
      <w:r>
        <w:rPr/>
        <w:t>业意见，对公司董事会聘任高级管理人员、董事提供决策意见。</w:t>
      </w:r>
    </w:p>
    <w:p>
      <w:pPr>
        <w:spacing w:line="240" w:lineRule="auto" w:before="10"/>
        <w:rPr>
          <w:rFonts w:ascii="宋体" w:hAnsi="宋体" w:cs="宋体" w:eastAsia="宋体" w:hint="default"/>
          <w:sz w:val="17"/>
          <w:szCs w:val="17"/>
        </w:rPr>
      </w:pPr>
    </w:p>
    <w:p>
      <w:pPr>
        <w:pStyle w:val="BodyText"/>
        <w:spacing w:line="451" w:lineRule="auto"/>
        <w:ind w:left="1424" w:right="0" w:hanging="291"/>
        <w:jc w:val="left"/>
      </w:pPr>
      <w:r>
        <w:rPr>
          <w:rFonts w:ascii="Times New Roman" w:hAnsi="Times New Roman" w:cs="Times New Roman" w:eastAsia="Times New Roman" w:hint="default"/>
        </w:rPr>
        <w:t>3</w:t>
      </w:r>
      <w:r>
        <w:rPr/>
        <w:t>、薪酬与考核委员会 </w:t>
      </w:r>
      <w:r>
        <w:rPr>
          <w:spacing w:val="-1"/>
        </w:rPr>
        <w:t>报告期内，公司薪酬与考核委员会共召开</w:t>
      </w:r>
      <w:r>
        <w:rPr>
          <w:rFonts w:ascii="Times New Roman" w:hAnsi="Times New Roman" w:cs="Times New Roman" w:eastAsia="Times New Roman" w:hint="default"/>
          <w:spacing w:val="-1"/>
        </w:rPr>
        <w:t>4</w:t>
      </w:r>
      <w:r>
        <w:rPr>
          <w:spacing w:val="-1"/>
        </w:rPr>
        <w:t>次会议，对公司高级管理人员</w:t>
      </w:r>
      <w:r>
        <w:rPr>
          <w:rFonts w:ascii="Times New Roman" w:hAnsi="Times New Roman" w:cs="Times New Roman" w:eastAsia="Times New Roman" w:hint="default"/>
          <w:spacing w:val="-1"/>
        </w:rPr>
        <w:t>/</w:t>
      </w:r>
      <w:r>
        <w:rPr>
          <w:spacing w:val="-1"/>
        </w:rPr>
        <w:t>董事</w:t>
      </w:r>
      <w:r>
        <w:rPr>
          <w:rFonts w:ascii="Times New Roman" w:hAnsi="Times New Roman" w:cs="Times New Roman" w:eastAsia="Times New Roman" w:hint="default"/>
          <w:spacing w:val="-1"/>
        </w:rPr>
        <w:t>/</w:t>
      </w:r>
      <w:r>
        <w:rPr>
          <w:spacing w:val="-1"/>
        </w:rPr>
        <w:t>监事薪酬方案、首期激励计划首次授予的</w:t>
      </w:r>
    </w:p>
    <w:p>
      <w:pPr>
        <w:pStyle w:val="BodyText"/>
        <w:spacing w:line="477" w:lineRule="auto" w:before="43"/>
        <w:ind w:left="1133" w:right="0"/>
        <w:jc w:val="left"/>
      </w:pPr>
      <w:r>
        <w:rPr>
          <w:spacing w:val="-2"/>
        </w:rPr>
        <w:t>限制性股票第二个解锁期可解锁、预留部分第一个解锁期可解锁、第二期激励计划首次授予的限制性股票第一个解锁期可解</w:t>
      </w:r>
      <w:r>
        <w:rPr>
          <w:spacing w:val="-64"/>
        </w:rPr>
        <w:t> </w:t>
      </w:r>
      <w:r>
        <w:rPr>
          <w:spacing w:val="-64"/>
        </w:rPr>
      </w:r>
      <w:r>
        <w:rPr/>
        <w:t>锁、董事津贴等事项进行认真审核，为公司董事会作出正确决策起到了积极作用。</w:t>
      </w:r>
    </w:p>
    <w:p>
      <w:pPr>
        <w:pStyle w:val="BodyText"/>
        <w:spacing w:line="451" w:lineRule="auto" w:before="54"/>
        <w:ind w:left="1424" w:right="1192" w:hanging="291"/>
        <w:jc w:val="left"/>
      </w:pPr>
      <w:r>
        <w:rPr>
          <w:rFonts w:ascii="Times New Roman" w:hAnsi="Times New Roman" w:cs="Times New Roman" w:eastAsia="Times New Roman" w:hint="default"/>
        </w:rPr>
        <w:t>4</w:t>
      </w:r>
      <w:r>
        <w:rPr/>
        <w:t>、战略委员会 根据公司《董事会战略委员会工作细则》等相关规定，报告期内，公司董事会战略委员会共召开了</w:t>
      </w:r>
      <w:r>
        <w:rPr>
          <w:rFonts w:ascii="Times New Roman" w:hAnsi="Times New Roman" w:cs="Times New Roman" w:eastAsia="Times New Roman" w:hint="default"/>
        </w:rPr>
        <w:t>1</w:t>
      </w:r>
      <w:r>
        <w:rPr/>
        <w:t>次会议，对全资子</w:t>
      </w:r>
    </w:p>
    <w:p>
      <w:pPr>
        <w:pStyle w:val="BodyText"/>
        <w:spacing w:line="477" w:lineRule="auto" w:before="43"/>
        <w:ind w:right="1118"/>
        <w:jc w:val="left"/>
      </w:pPr>
      <w:r>
        <w:rPr>
          <w:spacing w:val="-2"/>
        </w:rPr>
        <w:t>公司参与投资设立股权投资基金事项进行充分研究，积极研究符合公司发展方向的战略布局，为公司的健康、快速发展出谋</w:t>
      </w:r>
      <w:r>
        <w:rPr>
          <w:spacing w:val="-66"/>
        </w:rPr>
        <w:t> </w:t>
      </w:r>
      <w:r>
        <w:rPr>
          <w:spacing w:val="-66"/>
        </w:rPr>
      </w:r>
      <w:r>
        <w:rPr/>
        <w:t>划策。</w:t>
      </w:r>
    </w:p>
    <w:p>
      <w:pPr>
        <w:spacing w:line="240" w:lineRule="auto" w:before="5"/>
        <w:rPr>
          <w:rFonts w:ascii="宋体" w:hAnsi="宋体" w:cs="宋体" w:eastAsia="宋体" w:hint="default"/>
          <w:sz w:val="23"/>
          <w:szCs w:val="23"/>
        </w:rPr>
      </w:pPr>
    </w:p>
    <w:p>
      <w:pPr>
        <w:pStyle w:val="Heading2"/>
        <w:spacing w:line="240" w:lineRule="auto"/>
        <w:ind w:left="1134" w:right="0"/>
        <w:jc w:val="left"/>
        <w:rPr>
          <w:b w:val="0"/>
          <w:bCs w:val="0"/>
        </w:rPr>
      </w:pPr>
      <w:bookmarkStart w:name="七、监事会工作情况" w:id="143"/>
      <w:bookmarkEnd w:id="143"/>
      <w:r>
        <w:rPr>
          <w:b w:val="0"/>
          <w:bCs w:val="0"/>
        </w:rPr>
      </w:r>
      <w:r>
        <w:rPr/>
        <w:t>七、监事会工作情况</w:t>
      </w:r>
      <w:r>
        <w:rPr>
          <w:b w:val="0"/>
          <w:bCs w:val="0"/>
        </w:rPr>
      </w:r>
    </w:p>
    <w:p>
      <w:pPr>
        <w:spacing w:line="240" w:lineRule="auto" w:before="0"/>
        <w:rPr>
          <w:rFonts w:ascii="宋体" w:hAnsi="宋体" w:cs="宋体" w:eastAsia="宋体" w:hint="default"/>
          <w:b/>
          <w:bCs/>
          <w:sz w:val="24"/>
          <w:szCs w:val="24"/>
        </w:rPr>
      </w:pPr>
    </w:p>
    <w:p>
      <w:pPr>
        <w:pStyle w:val="BodyText"/>
        <w:spacing w:line="240" w:lineRule="auto" w:before="189"/>
        <w:ind w:right="0"/>
        <w:jc w:val="left"/>
      </w:pPr>
      <w:r>
        <w:rPr/>
        <w:t>监事会在报告期内的监督活动中发现公司是否存在风险</w:t>
      </w:r>
    </w:p>
    <w:p>
      <w:pPr>
        <w:spacing w:line="240" w:lineRule="auto" w:before="10"/>
        <w:rPr>
          <w:rFonts w:ascii="宋体" w:hAnsi="宋体" w:cs="宋体" w:eastAsia="宋体" w:hint="default"/>
          <w:sz w:val="20"/>
          <w:szCs w:val="20"/>
        </w:rPr>
      </w:pPr>
    </w:p>
    <w:p>
      <w:pPr>
        <w:pStyle w:val="BodyText"/>
        <w:spacing w:line="489" w:lineRule="auto"/>
        <w:ind w:left="1133" w:right="73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公司监事会对报告期内的监督事项无异议。</w:t>
      </w:r>
    </w:p>
    <w:p>
      <w:pPr>
        <w:spacing w:line="240" w:lineRule="auto" w:before="8"/>
        <w:rPr>
          <w:rFonts w:ascii="宋体" w:hAnsi="宋体" w:cs="宋体" w:eastAsia="宋体" w:hint="default"/>
          <w:sz w:val="22"/>
          <w:szCs w:val="22"/>
        </w:rPr>
      </w:pPr>
    </w:p>
    <w:p>
      <w:pPr>
        <w:pStyle w:val="Heading2"/>
        <w:spacing w:line="240" w:lineRule="auto"/>
        <w:ind w:right="0"/>
        <w:jc w:val="left"/>
        <w:rPr>
          <w:b w:val="0"/>
          <w:bCs w:val="0"/>
        </w:rPr>
      </w:pPr>
      <w:bookmarkStart w:name="八、高级管理人员的考评及激励情况" w:id="144"/>
      <w:bookmarkEnd w:id="144"/>
      <w:r>
        <w:rPr>
          <w:b w:val="0"/>
          <w:bCs w:val="0"/>
        </w:rPr>
      </w:r>
      <w:r>
        <w:rPr/>
        <w:t>八、高级管理人员的考评及激励情况</w:t>
      </w:r>
      <w:r>
        <w:rPr>
          <w:b w:val="0"/>
          <w:bCs w:val="0"/>
        </w:rPr>
      </w:r>
    </w:p>
    <w:p>
      <w:pPr>
        <w:spacing w:line="240" w:lineRule="auto" w:before="0"/>
        <w:rPr>
          <w:rFonts w:ascii="宋体" w:hAnsi="宋体" w:cs="宋体" w:eastAsia="宋体" w:hint="default"/>
          <w:b/>
          <w:bCs/>
          <w:sz w:val="24"/>
          <w:szCs w:val="24"/>
        </w:rPr>
      </w:pPr>
    </w:p>
    <w:p>
      <w:pPr>
        <w:pStyle w:val="BodyText"/>
        <w:spacing w:line="240" w:lineRule="auto" w:before="188"/>
        <w:ind w:left="1133" w:right="0"/>
        <w:jc w:val="left"/>
      </w:pPr>
      <w:r>
        <w:rPr/>
        <w:t>公司高管人员的薪酬与考核以公司经济效益及工作目标为出发点，根据公司年度经营计划和高级管理人员分管工作的职责，</w:t>
      </w:r>
    </w:p>
    <w:p>
      <w:pPr>
        <w:spacing w:after="0" w:line="240" w:lineRule="auto"/>
        <w:jc w:val="left"/>
        <w:sectPr>
          <w:footerReference w:type="default" r:id="rId45"/>
          <w:pgSz w:w="11910" w:h="16840"/>
          <w:pgMar w:footer="1699" w:header="787" w:top="1100" w:bottom="1880" w:left="0" w:right="0"/>
        </w:sectPr>
      </w:pPr>
    </w:p>
    <w:p>
      <w:pPr>
        <w:spacing w:line="240" w:lineRule="auto" w:before="10"/>
        <w:rPr>
          <w:rFonts w:ascii="宋体" w:hAnsi="宋体" w:cs="宋体" w:eastAsia="宋体" w:hint="default"/>
          <w:sz w:val="28"/>
          <w:szCs w:val="28"/>
        </w:rPr>
      </w:pPr>
    </w:p>
    <w:p>
      <w:pPr>
        <w:pStyle w:val="BodyText"/>
        <w:spacing w:line="477" w:lineRule="auto" w:before="44"/>
        <w:ind w:right="1032"/>
        <w:jc w:val="left"/>
      </w:pPr>
      <w:r>
        <w:rPr/>
        <w:t>结合的薪酬制度。每年年终由董事会薪酬与考核委员会进行综合考核，最终以考核结果确定高级管理人员的年度薪酬水平。 同时，公司未来将通过多层次的综合激励体制，有效调动管理人员的积极性，吸引和稳定优秀管理人才。</w:t>
      </w:r>
    </w:p>
    <w:p>
      <w:pPr>
        <w:spacing w:line="240" w:lineRule="auto" w:before="5"/>
        <w:rPr>
          <w:rFonts w:ascii="宋体" w:hAnsi="宋体" w:cs="宋体" w:eastAsia="宋体" w:hint="default"/>
          <w:sz w:val="23"/>
          <w:szCs w:val="23"/>
        </w:rPr>
      </w:pPr>
    </w:p>
    <w:p>
      <w:pPr>
        <w:pStyle w:val="Heading2"/>
        <w:spacing w:line="240" w:lineRule="auto"/>
        <w:ind w:right="0"/>
        <w:jc w:val="left"/>
        <w:rPr>
          <w:b w:val="0"/>
          <w:bCs w:val="0"/>
        </w:rPr>
      </w:pPr>
      <w:bookmarkStart w:name="九、内部控制评价报告" w:id="145"/>
      <w:bookmarkEnd w:id="145"/>
      <w:r>
        <w:rPr>
          <w:b w:val="0"/>
          <w:bCs w:val="0"/>
        </w:rPr>
      </w:r>
      <w:r>
        <w:rPr/>
        <w:t>九、内部控制评价报告</w:t>
      </w:r>
      <w:r>
        <w:rPr>
          <w:b w:val="0"/>
          <w:bCs w:val="0"/>
        </w:rPr>
      </w:r>
    </w:p>
    <w:p>
      <w:pPr>
        <w:spacing w:line="240" w:lineRule="auto" w:before="0"/>
        <w:rPr>
          <w:rFonts w:ascii="宋体" w:hAnsi="宋体" w:cs="宋体" w:eastAsia="宋体" w:hint="default"/>
          <w:b/>
          <w:bCs/>
          <w:sz w:val="24"/>
          <w:szCs w:val="24"/>
        </w:rPr>
      </w:pPr>
    </w:p>
    <w:p>
      <w:pPr>
        <w:pStyle w:val="Heading3"/>
        <w:spacing w:line="240" w:lineRule="auto" w:before="163"/>
        <w:ind w:left="1133" w:right="0"/>
        <w:jc w:val="left"/>
        <w:rPr>
          <w:b w:val="0"/>
          <w:bCs w:val="0"/>
        </w:rPr>
      </w:pPr>
      <w:bookmarkStart w:name="1、报告期内发现的内部控制重大缺陷的具体情况" w:id="146"/>
      <w:bookmarkEnd w:id="146"/>
      <w:r>
        <w:rPr>
          <w:b w:val="0"/>
          <w:bCs w:val="0"/>
        </w:rPr>
      </w: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pStyle w:val="BodyText"/>
        <w:spacing w:line="240" w:lineRule="auto"/>
        <w:ind w:left="1133"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9"/>
          <w:szCs w:val="19"/>
        </w:rPr>
      </w:pPr>
    </w:p>
    <w:p>
      <w:pPr>
        <w:pStyle w:val="Heading3"/>
        <w:spacing w:line="240" w:lineRule="auto"/>
        <w:ind w:left="1133" w:right="0"/>
        <w:jc w:val="left"/>
        <w:rPr>
          <w:b w:val="0"/>
          <w:bCs w:val="0"/>
        </w:rPr>
      </w:pPr>
      <w:bookmarkStart w:name="2、内控自我评价报告" w:id="147"/>
      <w:bookmarkEnd w:id="147"/>
      <w:r>
        <w:rPr>
          <w:b w:val="0"/>
          <w:bCs w:val="0"/>
        </w:rPr>
      </w:r>
      <w:r>
        <w:rPr>
          <w:rFonts w:ascii="Times New Roman" w:hAnsi="Times New Roman" w:cs="Times New Roman" w:eastAsia="Times New Roman" w:hint="default"/>
        </w:rPr>
        <w:t>2</w:t>
      </w:r>
      <w:r>
        <w:rPr/>
        <w:t>、内控自我评价报告</w:t>
      </w:r>
      <w:r>
        <w:rPr>
          <w:b w:val="0"/>
          <w:bCs w:val="0"/>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1"/>
          <w:szCs w:val="11"/>
        </w:rPr>
      </w:pPr>
    </w:p>
    <w:tbl>
      <w:tblPr>
        <w:tblW w:w="0" w:type="auto"/>
        <w:jc w:val="left"/>
        <w:tblInd w:w="1129" w:type="dxa"/>
        <w:tblLayout w:type="fixed"/>
        <w:tblCellMar>
          <w:top w:w="0" w:type="dxa"/>
          <w:left w:w="0" w:type="dxa"/>
          <w:bottom w:w="0" w:type="dxa"/>
          <w:right w:w="0" w:type="dxa"/>
        </w:tblCellMar>
        <w:tblLook w:val="01E0"/>
      </w:tblPr>
      <w:tblGrid>
        <w:gridCol w:w="3189"/>
        <w:gridCol w:w="3329"/>
        <w:gridCol w:w="3051"/>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714"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94"/>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纳入评价范围单位资产总额占公司合并 财务报表资产总额的比例</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r>
      <w:tr>
        <w:trPr>
          <w:trHeight w:val="714"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94"/>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纳入评价范围单位营业收入占公司合并 财务报表营业收入的比例</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r>
      <w:tr>
        <w:trPr>
          <w:trHeight w:val="397" w:hRule="exact"/>
        </w:trPr>
        <w:tc>
          <w:tcPr>
            <w:tcW w:w="956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7"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4"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3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5" w:right="0"/>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2989" w:hRule="exact"/>
        </w:trPr>
        <w:tc>
          <w:tcPr>
            <w:tcW w:w="31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329" w:type="dxa"/>
            <w:vMerge w:val="restart"/>
            <w:tcBorders>
              <w:top w:val="single" w:sz="4" w:space="0" w:color="000000"/>
              <w:left w:val="single" w:sz="9" w:space="0" w:color="D2D2D2"/>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重大缺陷：</w:t>
            </w:r>
          </w:p>
          <w:p>
            <w:pPr>
              <w:pStyle w:val="TableParagraph"/>
              <w:spacing w:line="300" w:lineRule="auto" w:before="76"/>
              <w:ind w:left="22" w:right="21"/>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）公司董事、监事或高级管理人员滥用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职权或舞弊，给公司造成损失的；</w:t>
            </w:r>
          </w:p>
          <w:p>
            <w:pPr>
              <w:pStyle w:val="TableParagraph"/>
              <w:spacing w:line="302" w:lineRule="auto" w:before="31"/>
              <w:ind w:left="22" w:right="22"/>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）对已经披露的财务报告出现的重大差</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错进行更正；</w:t>
            </w:r>
          </w:p>
          <w:p>
            <w:pPr>
              <w:pStyle w:val="TableParagraph"/>
              <w:spacing w:line="309" w:lineRule="auto" w:before="68"/>
              <w:ind w:left="22" w:right="22"/>
              <w:jc w:val="both"/>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）注册会计师发现当期财务报告存在重</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大错报，而内部控制在运行过程中未能发 现该错报；</w:t>
            </w:r>
          </w:p>
          <w:p>
            <w:pPr>
              <w:pStyle w:val="TableParagraph"/>
              <w:spacing w:line="300" w:lineRule="auto" w:before="24"/>
              <w:ind w:left="22" w:right="22"/>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4</w:t>
            </w:r>
            <w:r>
              <w:rPr>
                <w:rFonts w:ascii="宋体" w:hAnsi="宋体" w:cs="宋体" w:eastAsia="宋体" w:hint="default"/>
                <w:spacing w:val="-4"/>
                <w:sz w:val="18"/>
                <w:szCs w:val="18"/>
              </w:rPr>
              <w:t>）审计委员会以及内部审计部门对财务</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报告内部控制监督无效；</w:t>
            </w:r>
          </w:p>
          <w:p>
            <w:pPr>
              <w:pStyle w:val="TableParagraph"/>
              <w:spacing w:line="300" w:lineRule="auto" w:before="31"/>
              <w:ind w:left="22" w:right="22"/>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）会计师事务所对财务报告出具无法表</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示意见或否定意见；</w:t>
            </w:r>
          </w:p>
          <w:p>
            <w:pPr>
              <w:pStyle w:val="TableParagraph"/>
              <w:spacing w:line="300" w:lineRule="auto" w:before="31"/>
              <w:ind w:left="22" w:right="22"/>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6</w:t>
            </w:r>
            <w:r>
              <w:rPr>
                <w:rFonts w:ascii="宋体" w:hAnsi="宋体" w:cs="宋体" w:eastAsia="宋体" w:hint="default"/>
                <w:spacing w:val="-4"/>
                <w:sz w:val="18"/>
                <w:szCs w:val="18"/>
              </w:rPr>
              <w:t>）会计师事务所出具内部控制无法表示</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意见的鉴证报告。</w:t>
            </w:r>
          </w:p>
          <w:p>
            <w:pPr>
              <w:pStyle w:val="TableParagraph"/>
              <w:spacing w:line="240" w:lineRule="auto" w:before="31"/>
              <w:ind w:left="22" w:right="0"/>
              <w:jc w:val="left"/>
              <w:rPr>
                <w:rFonts w:ascii="宋体" w:hAnsi="宋体" w:cs="宋体" w:eastAsia="宋体" w:hint="default"/>
                <w:sz w:val="18"/>
                <w:szCs w:val="18"/>
              </w:rPr>
            </w:pPr>
            <w:r>
              <w:rPr>
                <w:rFonts w:ascii="宋体" w:hAnsi="宋体" w:cs="宋体" w:eastAsia="宋体" w:hint="default"/>
                <w:sz w:val="18"/>
                <w:szCs w:val="18"/>
              </w:rPr>
              <w:t>重要缺陷：</w:t>
            </w:r>
          </w:p>
          <w:p>
            <w:pPr>
              <w:pStyle w:val="TableParagraph"/>
              <w:spacing w:line="300" w:lineRule="auto" w:before="76"/>
              <w:ind w:left="22" w:right="21"/>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）公司董事、监事或高级管理人员滥用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职权或舞弊，未给公司造成损失的；</w:t>
            </w:r>
          </w:p>
          <w:p>
            <w:pPr>
              <w:pStyle w:val="TableParagraph"/>
              <w:spacing w:line="309" w:lineRule="auto" w:before="31"/>
              <w:ind w:left="22" w:right="48"/>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）会计政策的制定未结合公司实际情 况，直接照搬上市公司相关准则，实际操 作存在较大的人为因素；</w:t>
            </w:r>
          </w:p>
        </w:tc>
        <w:tc>
          <w:tcPr>
            <w:tcW w:w="3051" w:type="dxa"/>
            <w:vMerge w:val="restart"/>
            <w:tcBorders>
              <w:top w:val="single" w:sz="4" w:space="0" w:color="000000"/>
              <w:left w:val="single" w:sz="4" w:space="0" w:color="000000"/>
              <w:right w:val="single" w:sz="4" w:space="0" w:color="000000"/>
            </w:tcBorders>
          </w:tcPr>
          <w:p>
            <w:pPr>
              <w:pStyle w:val="TableParagraph"/>
              <w:spacing w:line="240" w:lineRule="auto" w:before="51"/>
              <w:ind w:left="22" w:right="0"/>
              <w:jc w:val="both"/>
              <w:rPr>
                <w:rFonts w:ascii="宋体" w:hAnsi="宋体" w:cs="宋体" w:eastAsia="宋体" w:hint="default"/>
                <w:sz w:val="18"/>
                <w:szCs w:val="18"/>
              </w:rPr>
            </w:pPr>
            <w:r>
              <w:rPr>
                <w:rFonts w:ascii="宋体" w:hAnsi="宋体" w:cs="宋体" w:eastAsia="宋体" w:hint="default"/>
                <w:sz w:val="18"/>
                <w:szCs w:val="18"/>
              </w:rPr>
              <w:t>重大缺陷：</w:t>
            </w:r>
          </w:p>
          <w:p>
            <w:pPr>
              <w:pStyle w:val="TableParagraph"/>
              <w:spacing w:line="309" w:lineRule="auto" w:before="76"/>
              <w:ind w:left="22" w:right="21"/>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）严重违反国家法律、法规或规范 </w:t>
            </w:r>
            <w:r>
              <w:rPr>
                <w:rFonts w:ascii="宋体" w:hAnsi="宋体" w:cs="宋体" w:eastAsia="宋体" w:hint="default"/>
                <w:spacing w:val="-4"/>
                <w:sz w:val="18"/>
                <w:szCs w:val="18"/>
              </w:rPr>
              <w:t>性文件，导致被行政法律部门、监管机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构判罚或处罚；</w:t>
            </w:r>
          </w:p>
          <w:p>
            <w:pPr>
              <w:pStyle w:val="TableParagraph"/>
              <w:spacing w:line="240" w:lineRule="auto" w:before="24"/>
              <w:ind w:left="22" w:right="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）重大事项决策程序违规；</w:t>
            </w:r>
          </w:p>
          <w:p>
            <w:pPr>
              <w:pStyle w:val="TableParagraph"/>
              <w:spacing w:line="309" w:lineRule="auto" w:before="63"/>
              <w:ind w:left="22" w:right="21"/>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）被主流媒体曝光负面新闻，涉及 </w:t>
            </w:r>
            <w:r>
              <w:rPr>
                <w:rFonts w:ascii="宋体" w:hAnsi="宋体" w:cs="宋体" w:eastAsia="宋体" w:hint="default"/>
                <w:spacing w:val="-4"/>
                <w:sz w:val="18"/>
                <w:szCs w:val="18"/>
              </w:rPr>
              <w:t>面较广且未能及时消除影响，导致公司</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生产经营、企业形象受损；</w:t>
            </w:r>
          </w:p>
          <w:p>
            <w:pPr>
              <w:pStyle w:val="TableParagraph"/>
              <w:spacing w:line="302" w:lineRule="auto" w:before="62"/>
              <w:ind w:left="22" w:right="46"/>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）出现产品质量方面的重大事故， 导致严重后果；</w:t>
            </w:r>
          </w:p>
          <w:p>
            <w:pPr>
              <w:pStyle w:val="TableParagraph"/>
              <w:spacing w:line="300" w:lineRule="auto" w:before="68"/>
              <w:ind w:left="22" w:right="46"/>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）高风险业务未有相关制度规范， 重要业务缺乏制度控制；</w:t>
            </w:r>
          </w:p>
          <w:p>
            <w:pPr>
              <w:pStyle w:val="TableParagraph"/>
              <w:spacing w:line="300" w:lineRule="auto" w:before="31"/>
              <w:ind w:left="22" w:right="46"/>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）董事、监事、高级管理人员或核 心技术人员发生非正常重大变化；</w:t>
            </w:r>
          </w:p>
          <w:p>
            <w:pPr>
              <w:pStyle w:val="TableParagraph"/>
              <w:spacing w:line="300" w:lineRule="auto" w:before="31"/>
              <w:ind w:left="22" w:right="226"/>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7</w:t>
            </w:r>
            <w:r>
              <w:rPr>
                <w:rFonts w:ascii="宋体" w:hAnsi="宋体" w:cs="宋体" w:eastAsia="宋体" w:hint="default"/>
                <w:sz w:val="18"/>
                <w:szCs w:val="18"/>
              </w:rPr>
              <w:t>）其他对公司影响重大的情形。 重要缺陷：</w:t>
            </w:r>
          </w:p>
          <w:p>
            <w:pPr>
              <w:pStyle w:val="TableParagraph"/>
              <w:spacing w:line="300" w:lineRule="auto" w:before="32"/>
              <w:ind w:left="22" w:right="46"/>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）公司违反国家法律、法规或规范 性文件，并受到相关机关轻微处罚；</w:t>
            </w:r>
          </w:p>
          <w:p>
            <w:pPr>
              <w:pStyle w:val="TableParagraph"/>
              <w:spacing w:line="240" w:lineRule="auto" w:before="31"/>
              <w:ind w:left="22" w:right="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）重大事项决策程序不完善；</w:t>
            </w:r>
          </w:p>
          <w:p>
            <w:pPr>
              <w:pStyle w:val="TableParagraph"/>
              <w:spacing w:line="240" w:lineRule="auto" w:before="63"/>
              <w:ind w:left="22" w:right="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）媒体出现负面新闻，波及局部区</w:t>
            </w:r>
          </w:p>
        </w:tc>
      </w:tr>
      <w:tr>
        <w:trPr>
          <w:trHeight w:val="392" w:hRule="exact"/>
        </w:trPr>
        <w:tc>
          <w:tcPr>
            <w:tcW w:w="318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329" w:type="dxa"/>
            <w:vMerge/>
            <w:tcBorders>
              <w:left w:val="single" w:sz="9" w:space="0" w:color="D2D2D2"/>
              <w:right w:val="single" w:sz="4" w:space="0" w:color="000000"/>
            </w:tcBorders>
          </w:tcPr>
          <w:p>
            <w:pPr/>
          </w:p>
        </w:tc>
        <w:tc>
          <w:tcPr>
            <w:tcW w:w="3051" w:type="dxa"/>
            <w:vMerge/>
            <w:tcBorders>
              <w:left w:val="single" w:sz="4" w:space="0" w:color="000000"/>
              <w:right w:val="single" w:sz="4" w:space="0" w:color="000000"/>
            </w:tcBorders>
          </w:tcPr>
          <w:p>
            <w:pPr/>
          </w:p>
        </w:tc>
      </w:tr>
      <w:tr>
        <w:trPr>
          <w:trHeight w:val="2990" w:hRule="exact"/>
        </w:trPr>
        <w:tc>
          <w:tcPr>
            <w:tcW w:w="3189" w:type="dxa"/>
            <w:tcBorders>
              <w:top w:val="nil" w:sz="6" w:space="0" w:color="auto"/>
              <w:left w:val="single" w:sz="4" w:space="0" w:color="000000"/>
              <w:bottom w:val="single" w:sz="4" w:space="0" w:color="000000"/>
              <w:right w:val="single" w:sz="4" w:space="0" w:color="000000"/>
            </w:tcBorders>
            <w:shd w:val="clear" w:color="auto" w:fill="D2D2D2"/>
          </w:tcPr>
          <w:p>
            <w:pPr/>
          </w:p>
        </w:tc>
        <w:tc>
          <w:tcPr>
            <w:tcW w:w="3329" w:type="dxa"/>
            <w:vMerge/>
            <w:tcBorders>
              <w:left w:val="single" w:sz="9" w:space="0" w:color="D2D2D2"/>
              <w:bottom w:val="single" w:sz="4" w:space="0" w:color="000000"/>
              <w:right w:val="single" w:sz="4" w:space="0" w:color="000000"/>
            </w:tcBorders>
          </w:tcPr>
          <w:p>
            <w:pPr/>
          </w:p>
        </w:tc>
        <w:tc>
          <w:tcPr>
            <w:tcW w:w="3051" w:type="dxa"/>
            <w:vMerge/>
            <w:tcBorders>
              <w:left w:val="single" w:sz="4" w:space="0" w:color="000000"/>
              <w:bottom w:val="single" w:sz="4" w:space="0" w:color="000000"/>
              <w:right w:val="single" w:sz="4" w:space="0" w:color="000000"/>
            </w:tcBorders>
          </w:tcPr>
          <w:p>
            <w:pPr/>
          </w:p>
        </w:tc>
      </w:tr>
    </w:tbl>
    <w:p>
      <w:pPr>
        <w:spacing w:after="0"/>
        <w:sectPr>
          <w:footerReference w:type="default" r:id="rId46"/>
          <w:pgSz w:w="11910" w:h="16840"/>
          <w:pgMar w:footer="640" w:header="787" w:top="1100" w:bottom="840" w:left="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8"/>
          <w:szCs w:val="18"/>
        </w:rPr>
      </w:pPr>
    </w:p>
    <w:p>
      <w:pPr>
        <w:pStyle w:val="BodyText"/>
        <w:spacing w:line="240" w:lineRule="auto" w:before="44"/>
        <w:ind w:left="0" w:right="1139"/>
        <w:jc w:val="right"/>
      </w:pPr>
      <w:r>
        <w:rPr/>
        <w:pict>
          <v:shape style="position:absolute;margin-left:56.459999pt;margin-top:-47.648285pt;width:479.2pt;height:534.8pt;mso-position-horizontal-relative:page;mso-position-vertical-relative:paragraph;z-index:23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94"/>
                    <w:gridCol w:w="3335"/>
                    <w:gridCol w:w="3039"/>
                  </w:tblGrid>
                  <w:tr>
                    <w:trPr>
                      <w:trHeight w:val="6178"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35" w:type="dxa"/>
                        <w:tcBorders>
                          <w:top w:val="single" w:sz="4" w:space="0" w:color="000000"/>
                          <w:left w:val="single" w:sz="4" w:space="0" w:color="000000"/>
                          <w:bottom w:val="single" w:sz="4" w:space="0" w:color="000000"/>
                          <w:right w:val="single" w:sz="9" w:space="0" w:color="FFFFFF"/>
                        </w:tcBorders>
                      </w:tcPr>
                      <w:p>
                        <w:pPr>
                          <w:pStyle w:val="TableParagraph"/>
                          <w:spacing w:line="300" w:lineRule="auto" w:before="10"/>
                          <w:ind w:left="23" w:right="-35"/>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）未经授权进行担保、投资有价证券、 金融衍生品交易和处置产权</w:t>
                        </w:r>
                        <w:r>
                          <w:rPr>
                            <w:rFonts w:ascii="Times New Roman" w:hAnsi="Times New Roman" w:cs="Times New Roman" w:eastAsia="Times New Roman" w:hint="default"/>
                            <w:sz w:val="18"/>
                            <w:szCs w:val="18"/>
                          </w:rPr>
                          <w:t>/</w:t>
                        </w:r>
                        <w:r>
                          <w:rPr>
                            <w:rFonts w:ascii="宋体" w:hAnsi="宋体" w:cs="宋体" w:eastAsia="宋体" w:hint="default"/>
                            <w:sz w:val="18"/>
                            <w:szCs w:val="18"/>
                          </w:rPr>
                          <w:t>股权、关联交 易造成经济损失；</w:t>
                        </w:r>
                      </w:p>
                      <w:p>
                        <w:pPr>
                          <w:pStyle w:val="TableParagraph"/>
                          <w:spacing w:line="300" w:lineRule="auto" w:before="71"/>
                          <w:ind w:left="23" w:right="25"/>
                          <w:jc w:val="both"/>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4</w:t>
                        </w:r>
                        <w:r>
                          <w:rPr>
                            <w:rFonts w:ascii="宋体" w:hAnsi="宋体" w:cs="宋体" w:eastAsia="宋体" w:hint="default"/>
                            <w:spacing w:val="-4"/>
                            <w:sz w:val="18"/>
                            <w:szCs w:val="18"/>
                          </w:rPr>
                          <w:t>）现金收入不入账、公款私存或违反规</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定设立</w:t>
                        </w:r>
                        <w:r>
                          <w:rPr>
                            <w:rFonts w:ascii="Times New Roman" w:hAnsi="Times New Roman" w:cs="Times New Roman" w:eastAsia="Times New Roman" w:hint="default"/>
                            <w:sz w:val="18"/>
                            <w:szCs w:val="18"/>
                          </w:rPr>
                          <w:t>“</w:t>
                        </w:r>
                        <w:r>
                          <w:rPr>
                            <w:rFonts w:ascii="宋体" w:hAnsi="宋体" w:cs="宋体" w:eastAsia="宋体" w:hint="default"/>
                            <w:sz w:val="18"/>
                            <w:szCs w:val="18"/>
                          </w:rPr>
                          <w:t>小金库</w:t>
                        </w:r>
                        <w:r>
                          <w:rPr>
                            <w:rFonts w:ascii="Times New Roman" w:hAnsi="Times New Roman" w:cs="Times New Roman" w:eastAsia="Times New Roman" w:hint="default"/>
                            <w:sz w:val="18"/>
                            <w:szCs w:val="18"/>
                          </w:rPr>
                          <w:t>”</w:t>
                        </w:r>
                        <w:r>
                          <w:rPr>
                            <w:rFonts w:ascii="宋体" w:hAnsi="宋体" w:cs="宋体" w:eastAsia="宋体" w:hint="default"/>
                            <w:sz w:val="18"/>
                            <w:szCs w:val="18"/>
                          </w:rPr>
                          <w:t>等情况；</w:t>
                        </w:r>
                      </w:p>
                      <w:p>
                        <w:pPr>
                          <w:pStyle w:val="TableParagraph"/>
                          <w:spacing w:line="309" w:lineRule="auto" w:before="13"/>
                          <w:ind w:left="23" w:right="27"/>
                          <w:jc w:val="both"/>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）对于期末财务报告过程的控制存在一</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项或多项缺陷且不能合理保证编制的财务 报表达到真实、准确的目标。</w:t>
                        </w:r>
                      </w:p>
                      <w:p>
                        <w:pPr>
                          <w:pStyle w:val="TableParagraph"/>
                          <w:spacing w:line="319" w:lineRule="auto" w:before="62"/>
                          <w:ind w:left="23" w:right="53"/>
                          <w:jc w:val="left"/>
                          <w:rPr>
                            <w:rFonts w:ascii="宋体" w:hAnsi="宋体" w:cs="宋体" w:eastAsia="宋体" w:hint="default"/>
                            <w:sz w:val="18"/>
                            <w:szCs w:val="18"/>
                          </w:rPr>
                        </w:pPr>
                        <w:r>
                          <w:rPr>
                            <w:rFonts w:ascii="宋体" w:hAnsi="宋体" w:cs="宋体" w:eastAsia="宋体" w:hint="default"/>
                            <w:sz w:val="18"/>
                            <w:szCs w:val="18"/>
                          </w:rPr>
                          <w:t>一般缺陷： 不构成重大缺陷或重要缺陷的其他内部控 制缺陷。</w:t>
                        </w:r>
                      </w:p>
                    </w:tc>
                    <w:tc>
                      <w:tcPr>
                        <w:tcW w:w="3039"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域，影响较大但未造成股价异动；</w:t>
                        </w:r>
                      </w:p>
                      <w:p>
                        <w:pPr>
                          <w:pStyle w:val="TableParagraph"/>
                          <w:spacing w:line="302" w:lineRule="auto" w:before="76"/>
                          <w:ind w:left="4" w:right="46"/>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）公司重要业务制度或系统存在缺 陷；</w:t>
                        </w:r>
                      </w:p>
                      <w:p>
                        <w:pPr>
                          <w:pStyle w:val="TableParagraph"/>
                          <w:spacing w:line="240" w:lineRule="auto" w:before="69"/>
                          <w:ind w:left="4" w:right="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）公司关键岗位业务人员流失严重</w:t>
                        </w:r>
                      </w:p>
                      <w:p>
                        <w:pPr>
                          <w:pStyle w:val="TableParagraph"/>
                          <w:spacing w:line="302" w:lineRule="auto" w:before="63"/>
                          <w:ind w:left="4" w:right="46"/>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）公司内部控制重要缺陷未得到整 改。</w:t>
                        </w:r>
                      </w:p>
                      <w:p>
                        <w:pPr>
                          <w:pStyle w:val="TableParagraph"/>
                          <w:spacing w:line="240" w:lineRule="auto" w:before="68"/>
                          <w:ind w:left="4" w:right="0"/>
                          <w:jc w:val="left"/>
                          <w:rPr>
                            <w:rFonts w:ascii="宋体" w:hAnsi="宋体" w:cs="宋体" w:eastAsia="宋体" w:hint="default"/>
                            <w:sz w:val="18"/>
                            <w:szCs w:val="18"/>
                          </w:rPr>
                        </w:pPr>
                        <w:r>
                          <w:rPr>
                            <w:rFonts w:ascii="宋体" w:hAnsi="宋体" w:cs="宋体" w:eastAsia="宋体" w:hint="default"/>
                            <w:sz w:val="18"/>
                            <w:szCs w:val="18"/>
                          </w:rPr>
                          <w:t>一般缺陷：</w:t>
                        </w:r>
                      </w:p>
                      <w:p>
                        <w:pPr>
                          <w:pStyle w:val="TableParagraph"/>
                          <w:spacing w:line="302" w:lineRule="auto" w:before="76"/>
                          <w:ind w:left="4" w:right="46"/>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）违反企业内部规章制度，但未造 成损失；</w:t>
                        </w:r>
                      </w:p>
                      <w:p>
                        <w:pPr>
                          <w:pStyle w:val="TableParagraph"/>
                          <w:spacing w:line="240" w:lineRule="auto" w:before="68"/>
                          <w:ind w:left="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）公司决策程序效率不高；</w:t>
                        </w:r>
                      </w:p>
                      <w:p>
                        <w:pPr>
                          <w:pStyle w:val="TableParagraph"/>
                          <w:spacing w:line="300" w:lineRule="auto" w:before="63"/>
                          <w:ind w:left="4" w:right="111"/>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）媒体出现负面新闻，但影响不大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未造成股价异动；</w:t>
                        </w:r>
                      </w:p>
                      <w:p>
                        <w:pPr>
                          <w:pStyle w:val="TableParagraph"/>
                          <w:spacing w:line="302" w:lineRule="auto" w:before="31"/>
                          <w:ind w:left="4" w:right="46"/>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）公司一般业务制度或系统存在缺 陷；</w:t>
                        </w:r>
                      </w:p>
                      <w:p>
                        <w:pPr>
                          <w:pStyle w:val="TableParagraph"/>
                          <w:spacing w:line="240" w:lineRule="auto" w:before="69"/>
                          <w:ind w:left="4" w:right="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）公司一般岗位业务人员流失严重</w:t>
                        </w:r>
                      </w:p>
                      <w:p>
                        <w:pPr>
                          <w:pStyle w:val="TableParagraph"/>
                          <w:spacing w:line="302" w:lineRule="auto" w:before="63"/>
                          <w:ind w:left="4" w:right="46"/>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）公司内部控制一般缺陷未得到整 改；</w:t>
                        </w:r>
                      </w:p>
                      <w:p>
                        <w:pPr>
                          <w:pStyle w:val="TableParagraph"/>
                          <w:spacing w:line="302" w:lineRule="auto" w:before="68"/>
                          <w:ind w:left="4" w:right="46"/>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7</w:t>
                        </w:r>
                        <w:r>
                          <w:rPr>
                            <w:rFonts w:ascii="宋体" w:hAnsi="宋体" w:cs="宋体" w:eastAsia="宋体" w:hint="default"/>
                            <w:sz w:val="18"/>
                            <w:szCs w:val="18"/>
                          </w:rPr>
                          <w:t>）公司内部控制存在以上以外的其 他缺陷。</w:t>
                        </w:r>
                      </w:p>
                    </w:tc>
                  </w:tr>
                  <w:tr>
                    <w:trPr>
                      <w:trHeight w:val="2898"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22"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335"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2"/>
                          <w:ind w:left="23" w:right="33"/>
                          <w:jc w:val="left"/>
                          <w:rPr>
                            <w:rFonts w:ascii="宋体" w:hAnsi="宋体" w:cs="宋体" w:eastAsia="宋体" w:hint="default"/>
                            <w:sz w:val="18"/>
                            <w:szCs w:val="18"/>
                          </w:rPr>
                        </w:pPr>
                        <w:r>
                          <w:rPr>
                            <w:rFonts w:ascii="宋体" w:hAnsi="宋体" w:cs="宋体" w:eastAsia="宋体" w:hint="default"/>
                            <w:sz w:val="18"/>
                            <w:szCs w:val="18"/>
                          </w:rPr>
                          <w:t>重大缺陷：利润总额潜在错报 错报金额</w:t>
                        </w:r>
                        <w:r>
                          <w:rPr>
                            <w:rFonts w:ascii="Times New Roman" w:hAnsi="Times New Roman" w:cs="Times New Roman" w:eastAsia="Times New Roman" w:hint="default"/>
                            <w:sz w:val="18"/>
                            <w:szCs w:val="18"/>
                          </w:rPr>
                          <w:t>≥</w:t>
                        </w:r>
                        <w:r>
                          <w:rPr>
                            <w:rFonts w:ascii="宋体" w:hAnsi="宋体" w:cs="宋体" w:eastAsia="宋体" w:hint="default"/>
                            <w:sz w:val="18"/>
                            <w:szCs w:val="18"/>
                          </w:rPr>
                          <w:t>合并报表利润总额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，且绝对 金额超过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500 </w:t>
                        </w:r>
                        <w:r>
                          <w:rPr>
                            <w:rFonts w:ascii="宋体" w:hAnsi="宋体" w:cs="宋体" w:eastAsia="宋体" w:hint="default"/>
                            <w:sz w:val="18"/>
                            <w:szCs w:val="18"/>
                          </w:rPr>
                          <w:t>万元 重要缺陷：利润总额潜在错报 合并报表利润</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错报金额﹤合并报表利 润总额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，且绝对金额超过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 一般缺陷：利润总额潜在错报 错报金额﹤合并报表利润总额</w:t>
                        </w:r>
                        <w:r>
                          <w:rPr>
                            <w:rFonts w:ascii="宋体" w:hAnsi="宋体" w:cs="宋体" w:eastAsia="宋体" w:hint="default"/>
                            <w:spacing w:val="-46"/>
                            <w:sz w:val="18"/>
                            <w:szCs w:val="18"/>
                          </w:rPr>
                          <w:t> </w:t>
                        </w:r>
                        <w:r>
                          <w:rPr>
                            <w:rFonts w:ascii="Times New Roman" w:hAnsi="Times New Roman" w:cs="Times New Roman" w:eastAsia="Times New Roman" w:hint="default"/>
                            <w:spacing w:val="-13"/>
                            <w:sz w:val="18"/>
                            <w:szCs w:val="18"/>
                          </w:rPr>
                          <w:t>3%</w:t>
                        </w:r>
                        <w:r>
                          <w:rPr>
                            <w:rFonts w:ascii="宋体" w:hAnsi="宋体" w:cs="宋体" w:eastAsia="宋体" w:hint="default"/>
                            <w:spacing w:val="-13"/>
                            <w:sz w:val="18"/>
                            <w:szCs w:val="18"/>
                          </w:rPr>
                          <w:t>，且绝对</w:t>
                        </w:r>
                        <w:r>
                          <w:rPr>
                            <w:rFonts w:ascii="宋体" w:hAnsi="宋体" w:cs="宋体" w:eastAsia="宋体" w:hint="default"/>
                            <w:sz w:val="18"/>
                            <w:szCs w:val="18"/>
                          </w:rPr>
                          <w:t> 金额超过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300 </w:t>
                        </w:r>
                        <w:r>
                          <w:rPr>
                            <w:rFonts w:ascii="宋体" w:hAnsi="宋体" w:cs="宋体" w:eastAsia="宋体" w:hint="default"/>
                            <w:sz w:val="18"/>
                            <w:szCs w:val="18"/>
                          </w:rPr>
                          <w:t>万元</w:t>
                        </w:r>
                      </w:p>
                    </w:tc>
                    <w:tc>
                      <w:tcPr>
                        <w:tcW w:w="3039"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2"/>
                          <w:ind w:left="11" w:right="21"/>
                          <w:jc w:val="left"/>
                          <w:rPr>
                            <w:rFonts w:ascii="宋体" w:hAnsi="宋体" w:cs="宋体" w:eastAsia="宋体" w:hint="default"/>
                            <w:sz w:val="18"/>
                            <w:szCs w:val="18"/>
                          </w:rPr>
                        </w:pPr>
                        <w:r>
                          <w:rPr>
                            <w:rFonts w:ascii="宋体" w:hAnsi="宋体" w:cs="宋体" w:eastAsia="宋体" w:hint="default"/>
                            <w:sz w:val="18"/>
                            <w:szCs w:val="18"/>
                          </w:rPr>
                          <w:t>重大缺陷：直接损失金额 </w:t>
                        </w:r>
                        <w:r>
                          <w:rPr>
                            <w:rFonts w:ascii="宋体" w:hAnsi="宋体" w:cs="宋体" w:eastAsia="宋体" w:hint="default"/>
                            <w:spacing w:val="-1"/>
                            <w:w w:val="100"/>
                            <w:sz w:val="18"/>
                            <w:szCs w:val="18"/>
                          </w:rPr>
                          <w:t>直接损失金额</w:t>
                        </w:r>
                        <w:r>
                          <w:rPr>
                            <w:rFonts w:ascii="Times New Roman" w:hAnsi="Times New Roman" w:cs="Times New Roman" w:eastAsia="Times New Roman" w:hint="default"/>
                            <w:spacing w:val="-1"/>
                            <w:w w:val="100"/>
                            <w:sz w:val="18"/>
                            <w:szCs w:val="18"/>
                          </w:rPr>
                          <w:t>≥</w:t>
                        </w:r>
                        <w:r>
                          <w:rPr>
                            <w:rFonts w:ascii="宋体" w:hAnsi="宋体" w:cs="宋体" w:eastAsia="宋体" w:hint="default"/>
                            <w:spacing w:val="-1"/>
                            <w:w w:val="100"/>
                            <w:sz w:val="18"/>
                            <w:szCs w:val="18"/>
                          </w:rPr>
                          <w:t>净资产额</w:t>
                        </w:r>
                        <w:r>
                          <w:rPr>
                            <w:rFonts w:ascii="宋体" w:hAnsi="宋体" w:cs="宋体" w:eastAsia="宋体" w:hint="default"/>
                            <w:spacing w:val="-37"/>
                            <w:w w:val="100"/>
                            <w:sz w:val="18"/>
                            <w:szCs w:val="18"/>
                          </w:rPr>
                          <w:t> </w:t>
                        </w:r>
                        <w:r>
                          <w:rPr>
                            <w:rFonts w:ascii="Times New Roman" w:hAnsi="Times New Roman" w:cs="Times New Roman" w:eastAsia="Times New Roman" w:hint="default"/>
                            <w:spacing w:val="-13"/>
                            <w:sz w:val="18"/>
                            <w:szCs w:val="18"/>
                          </w:rPr>
                          <w:t>3%</w:t>
                        </w:r>
                        <w:r>
                          <w:rPr>
                            <w:rFonts w:ascii="宋体" w:hAnsi="宋体" w:cs="宋体" w:eastAsia="宋体" w:hint="default"/>
                            <w:spacing w:val="-13"/>
                            <w:sz w:val="18"/>
                            <w:szCs w:val="18"/>
                          </w:rPr>
                          <w:t>，且绝对金</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额超过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r>
                          <w:rPr>
                            <w:rFonts w:ascii="宋体" w:hAnsi="宋体" w:cs="宋体" w:eastAsia="宋体" w:hint="default"/>
                            <w:spacing w:val="1"/>
                            <w:sz w:val="18"/>
                            <w:szCs w:val="18"/>
                          </w:rPr>
                          <w:t> </w:t>
                        </w:r>
                        <w:r>
                          <w:rPr>
                            <w:rFonts w:ascii="宋体" w:hAnsi="宋体" w:cs="宋体" w:eastAsia="宋体" w:hint="default"/>
                            <w:sz w:val="18"/>
                            <w:szCs w:val="18"/>
                          </w:rPr>
                          <w:t>重要缺陷：直接损失金额</w:t>
                        </w:r>
                      </w:p>
                      <w:p>
                        <w:pPr>
                          <w:pStyle w:val="TableParagraph"/>
                          <w:spacing w:line="304" w:lineRule="auto" w:before="26"/>
                          <w:ind w:left="11" w:right="20"/>
                          <w:jc w:val="left"/>
                          <w:rPr>
                            <w:rFonts w:ascii="宋体" w:hAnsi="宋体" w:cs="宋体" w:eastAsia="宋体" w:hint="default"/>
                            <w:sz w:val="18"/>
                            <w:szCs w:val="18"/>
                          </w:rPr>
                        </w:pPr>
                        <w:r>
                          <w:rPr>
                            <w:rFonts w:ascii="宋体" w:hAnsi="宋体" w:cs="宋体" w:eastAsia="宋体" w:hint="default"/>
                            <w:sz w:val="18"/>
                            <w:szCs w:val="18"/>
                          </w:rPr>
                          <w:t>净资产额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直接损失金额﹤净资产 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，且绝对金额超过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 </w:t>
                        </w:r>
                        <w:r>
                          <w:rPr>
                            <w:rFonts w:ascii="宋体" w:hAnsi="宋体" w:cs="宋体" w:eastAsia="宋体" w:hint="default"/>
                            <w:sz w:val="18"/>
                            <w:szCs w:val="18"/>
                          </w:rPr>
                          <w:t>万元 一般缺陷：直接损失金额 错报金额﹤净资产额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pacing w:val="-14"/>
                            <w:sz w:val="18"/>
                            <w:szCs w:val="18"/>
                          </w:rPr>
                          <w:t>，且绝对金额</w:t>
                        </w:r>
                        <w:r>
                          <w:rPr>
                            <w:rFonts w:ascii="宋体" w:hAnsi="宋体" w:cs="宋体" w:eastAsia="宋体" w:hint="default"/>
                            <w:sz w:val="18"/>
                            <w:szCs w:val="18"/>
                          </w:rPr>
                          <w:t> 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4"/>
          <w:szCs w:val="14"/>
        </w:rPr>
      </w:pPr>
    </w:p>
    <w:p>
      <w:pPr>
        <w:pStyle w:val="BodyText"/>
        <w:spacing w:line="240" w:lineRule="auto"/>
        <w:ind w:left="0" w:right="1139"/>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7"/>
          <w:szCs w:val="17"/>
        </w:rPr>
      </w:pPr>
    </w:p>
    <w:p>
      <w:pPr>
        <w:pStyle w:val="BodyText"/>
        <w:spacing w:line="240" w:lineRule="auto" w:before="44"/>
        <w:ind w:left="0" w:right="1139"/>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5"/>
          <w:szCs w:val="15"/>
        </w:rPr>
      </w:pPr>
    </w:p>
    <w:p>
      <w:pPr>
        <w:pStyle w:val="Heading2"/>
        <w:spacing w:line="240" w:lineRule="auto" w:before="26"/>
        <w:ind w:left="1134" w:right="0"/>
        <w:jc w:val="left"/>
        <w:rPr>
          <w:b w:val="0"/>
          <w:bCs w:val="0"/>
        </w:rPr>
      </w:pPr>
      <w:bookmarkStart w:name="十、内部控制审计报告或鉴证报告" w:id="148"/>
      <w:bookmarkEnd w:id="148"/>
      <w:r>
        <w:rPr>
          <w:b w:val="0"/>
          <w:bCs w:val="0"/>
        </w:rPr>
      </w:r>
      <w:r>
        <w:rPr/>
        <w:t>十、内部控制审计报告或鉴证报告</w:t>
      </w:r>
      <w:r>
        <w:rPr>
          <w:b w:val="0"/>
          <w:bCs w:val="0"/>
        </w:rPr>
      </w:r>
    </w:p>
    <w:p>
      <w:pPr>
        <w:spacing w:line="240" w:lineRule="auto" w:before="0"/>
        <w:rPr>
          <w:rFonts w:ascii="宋体" w:hAnsi="宋体" w:cs="宋体" w:eastAsia="宋体" w:hint="default"/>
          <w:b/>
          <w:bCs/>
          <w:sz w:val="24"/>
          <w:szCs w:val="24"/>
        </w:rPr>
      </w:pPr>
    </w:p>
    <w:p>
      <w:pPr>
        <w:pStyle w:val="BodyText"/>
        <w:spacing w:line="240" w:lineRule="auto" w:before="189"/>
        <w:ind w:left="1133" w:right="0"/>
        <w:jc w:val="left"/>
      </w:pPr>
      <w:r>
        <w:rPr/>
        <w:t>不适用</w:t>
      </w:r>
    </w:p>
    <w:p>
      <w:pPr>
        <w:spacing w:after="0" w:line="240" w:lineRule="auto"/>
        <w:jc w:val="left"/>
        <w:sectPr>
          <w:pgSz w:w="11910" w:h="16840"/>
          <w:pgMar w:header="787" w:footer="640" w:top="1100" w:bottom="84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7"/>
          <w:szCs w:val="17"/>
        </w:rPr>
      </w:pPr>
    </w:p>
    <w:p>
      <w:pPr>
        <w:pStyle w:val="Heading1"/>
        <w:spacing w:line="240" w:lineRule="auto"/>
        <w:ind w:right="4090"/>
        <w:jc w:val="center"/>
        <w:rPr>
          <w:b w:val="0"/>
          <w:bCs w:val="0"/>
        </w:rPr>
      </w:pPr>
      <w:bookmarkStart w:name="第十节 公司债券相关情况" w:id="149"/>
      <w:bookmarkEnd w:id="149"/>
      <w:r>
        <w:rPr>
          <w:b w:val="0"/>
          <w:bCs w:val="0"/>
        </w:rPr>
      </w:r>
      <w:bookmarkStart w:name="_bookmark8" w:id="150"/>
      <w:bookmarkEnd w:id="150"/>
      <w:r>
        <w:rPr>
          <w:b w:val="0"/>
          <w:bCs w:val="0"/>
        </w:rPr>
      </w:r>
      <w:r>
        <w:rPr/>
        <w:t>第十节</w:t>
      </w:r>
      <w:r>
        <w:rPr>
          <w:spacing w:val="-9"/>
        </w:rPr>
        <w:t> </w:t>
      </w:r>
      <w:r>
        <w:rPr/>
        <w:t>公司债券相关情况</w:t>
      </w:r>
      <w:r>
        <w:rPr>
          <w:b w:val="0"/>
          <w:bCs w:val="0"/>
        </w:rPr>
      </w:r>
    </w:p>
    <w:p>
      <w:pPr>
        <w:spacing w:line="240" w:lineRule="auto" w:before="0"/>
        <w:rPr>
          <w:rFonts w:ascii="宋体" w:hAnsi="宋体" w:cs="宋体" w:eastAsia="宋体" w:hint="default"/>
          <w:b/>
          <w:bCs/>
          <w:sz w:val="32"/>
          <w:szCs w:val="32"/>
        </w:rPr>
      </w:pPr>
    </w:p>
    <w:p>
      <w:pPr>
        <w:pStyle w:val="BodyText"/>
        <w:spacing w:line="516" w:lineRule="auto" w:before="217"/>
        <w:ind w:left="1133" w:right="2113"/>
        <w:jc w:val="left"/>
      </w:pPr>
      <w:r>
        <w:rPr/>
        <w:t>公司是否存在公开发行并在证券交易所上市，且在年度报告批准报出日未到期或到期未能全额兑付的公司债券 否</w:t>
      </w:r>
    </w:p>
    <w:p>
      <w:pPr>
        <w:spacing w:after="0" w:line="516" w:lineRule="auto"/>
        <w:jc w:val="left"/>
        <w:sectPr>
          <w:footerReference w:type="default" r:id="rId47"/>
          <w:pgSz w:w="11910" w:h="16840"/>
          <w:pgMar w:footer="640" w:header="787" w:top="1100" w:bottom="84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7"/>
          <w:szCs w:val="17"/>
        </w:rPr>
      </w:pPr>
    </w:p>
    <w:p>
      <w:pPr>
        <w:pStyle w:val="Heading1"/>
        <w:spacing w:line="240" w:lineRule="auto"/>
        <w:ind w:right="4090"/>
        <w:jc w:val="center"/>
        <w:rPr>
          <w:b w:val="0"/>
          <w:bCs w:val="0"/>
        </w:rPr>
      </w:pPr>
      <w:bookmarkStart w:name="第十一节 财务报告" w:id="151"/>
      <w:bookmarkEnd w:id="151"/>
      <w:r>
        <w:rPr>
          <w:b w:val="0"/>
          <w:bCs w:val="0"/>
        </w:rPr>
      </w:r>
      <w:bookmarkStart w:name="_bookmark9" w:id="152"/>
      <w:bookmarkEnd w:id="152"/>
      <w:r>
        <w:rPr>
          <w:b w:val="0"/>
          <w:bCs w:val="0"/>
        </w:rPr>
      </w:r>
      <w:r>
        <w:rPr/>
        <w:t>第十一节</w:t>
      </w:r>
      <w:r>
        <w:rPr>
          <w:spacing w:val="-6"/>
        </w:rPr>
        <w:t> </w:t>
      </w:r>
      <w:r>
        <w:rPr/>
        <w:t>财务报告</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审计报告" w:id="153"/>
      <w:bookmarkEnd w:id="153"/>
      <w:r>
        <w:rPr>
          <w:b w:val="0"/>
          <w:bCs w:val="0"/>
        </w:rPr>
      </w: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4784"/>
        <w:gridCol w:w="4785"/>
      </w:tblGrid>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标准的无保留意见</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天健会计师事务所（特殊普通合伙）</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天健审〔</w:t>
            </w:r>
            <w:r>
              <w:rPr>
                <w:rFonts w:ascii="宋体" w:hAnsi="宋体" w:cs="宋体" w:eastAsia="宋体" w:hint="default"/>
                <w:sz w:val="18"/>
                <w:szCs w:val="18"/>
              </w:rPr>
              <w:t>2018</w:t>
            </w:r>
            <w:r>
              <w:rPr>
                <w:rFonts w:ascii="宋体" w:hAnsi="宋体" w:cs="宋体" w:eastAsia="宋体" w:hint="default"/>
                <w:sz w:val="18"/>
                <w:szCs w:val="18"/>
              </w:rPr>
              <w:t>〕</w:t>
            </w:r>
            <w:r>
              <w:rPr>
                <w:rFonts w:ascii="宋体" w:hAnsi="宋体" w:cs="宋体" w:eastAsia="宋体" w:hint="default"/>
                <w:sz w:val="18"/>
                <w:szCs w:val="18"/>
              </w:rPr>
              <w:t>7-146 </w:t>
            </w:r>
            <w:r>
              <w:rPr>
                <w:rFonts w:ascii="宋体" w:hAnsi="宋体" w:cs="宋体" w:eastAsia="宋体" w:hint="default"/>
                <w:sz w:val="18"/>
                <w:szCs w:val="18"/>
              </w:rPr>
              <w:t>号</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禤文欣、卢玲玉</w:t>
            </w:r>
          </w:p>
        </w:tc>
      </w:tr>
    </w:tbl>
    <w:p>
      <w:pPr>
        <w:pStyle w:val="BodyText"/>
        <w:spacing w:line="240" w:lineRule="auto" w:before="51"/>
        <w:ind w:left="4090" w:right="4089"/>
        <w:jc w:val="center"/>
      </w:pPr>
      <w:r>
        <w:rPr/>
        <w:t>审计报告正文</w:t>
      </w:r>
    </w:p>
    <w:p>
      <w:pPr>
        <w:tabs>
          <w:tab w:pos="668" w:val="left" w:leader="none"/>
          <w:tab w:pos="1337" w:val="left" w:leader="none"/>
          <w:tab w:pos="2005" w:val="left" w:leader="none"/>
        </w:tabs>
        <w:spacing w:before="125"/>
        <w:ind w:left="0" w:right="0" w:firstLine="0"/>
        <w:jc w:val="center"/>
        <w:rPr>
          <w:rFonts w:ascii="宋体" w:hAnsi="宋体" w:cs="宋体" w:eastAsia="宋体" w:hint="default"/>
          <w:sz w:val="36"/>
          <w:szCs w:val="36"/>
        </w:rPr>
      </w:pPr>
      <w:r>
        <w:rPr>
          <w:rFonts w:ascii="宋体" w:hAnsi="宋体" w:cs="宋体" w:eastAsia="宋体" w:hint="default"/>
          <w:b/>
          <w:bCs/>
          <w:w w:val="95"/>
          <w:sz w:val="36"/>
          <w:szCs w:val="36"/>
        </w:rPr>
        <w:t>审</w:t>
        <w:tab/>
        <w:t>计</w:t>
        <w:tab/>
        <w:t>报</w:t>
        <w:tab/>
      </w:r>
      <w:r>
        <w:rPr>
          <w:rFonts w:ascii="宋体" w:hAnsi="宋体" w:cs="宋体" w:eastAsia="宋体" w:hint="default"/>
          <w:b/>
          <w:bCs/>
          <w:sz w:val="36"/>
          <w:szCs w:val="36"/>
        </w:rPr>
        <w:t>告</w:t>
      </w:r>
      <w:r>
        <w:rPr>
          <w:rFonts w:ascii="宋体" w:hAnsi="宋体" w:cs="宋体" w:eastAsia="宋体" w:hint="default"/>
          <w:sz w:val="36"/>
          <w:szCs w:val="36"/>
        </w:rPr>
      </w:r>
    </w:p>
    <w:p>
      <w:pPr>
        <w:pStyle w:val="BodyText"/>
        <w:spacing w:line="240" w:lineRule="auto" w:before="142"/>
        <w:ind w:left="4090" w:right="4090"/>
        <w:jc w:val="center"/>
      </w:pPr>
      <w:r>
        <w:rPr/>
        <w:t>天健审〔</w:t>
      </w:r>
      <w:r>
        <w:rPr>
          <w:rFonts w:ascii="宋体" w:hAnsi="宋体" w:cs="宋体" w:eastAsia="宋体" w:hint="default"/>
        </w:rPr>
        <w:t>2018</w:t>
      </w:r>
      <w:r>
        <w:rPr/>
        <w:t>〕</w:t>
      </w:r>
      <w:r>
        <w:rPr>
          <w:rFonts w:ascii="宋体" w:hAnsi="宋体" w:cs="宋体" w:eastAsia="宋体" w:hint="default"/>
        </w:rPr>
        <w:t>7-146</w:t>
      </w:r>
      <w:r>
        <w:rPr/>
        <w:t>号</w:t>
      </w:r>
    </w:p>
    <w:p>
      <w:pPr>
        <w:spacing w:line="240" w:lineRule="auto" w:before="4"/>
        <w:rPr>
          <w:rFonts w:ascii="宋体" w:hAnsi="宋体" w:cs="宋体" w:eastAsia="宋体" w:hint="default"/>
          <w:sz w:val="26"/>
          <w:szCs w:val="26"/>
        </w:rPr>
      </w:pPr>
    </w:p>
    <w:p>
      <w:pPr>
        <w:pStyle w:val="BodyText"/>
        <w:spacing w:line="240" w:lineRule="auto" w:before="44"/>
        <w:ind w:right="0"/>
        <w:jc w:val="left"/>
      </w:pPr>
      <w:r>
        <w:rPr/>
        <w:t>浩云科技股份有限公司全体股东：</w:t>
      </w:r>
    </w:p>
    <w:p>
      <w:pPr>
        <w:pStyle w:val="Heading2"/>
        <w:spacing w:line="240" w:lineRule="auto" w:before="106"/>
        <w:ind w:left="1134" w:right="0"/>
        <w:jc w:val="left"/>
        <w:rPr>
          <w:b w:val="0"/>
          <w:bCs w:val="0"/>
        </w:rPr>
      </w:pPr>
      <w:r>
        <w:rPr/>
        <w:t>一、审计意见</w:t>
      </w:r>
      <w:r>
        <w:rPr>
          <w:b w:val="0"/>
          <w:bCs w:val="0"/>
        </w:rPr>
      </w:r>
    </w:p>
    <w:p>
      <w:pPr>
        <w:pStyle w:val="BodyText"/>
        <w:spacing w:line="477" w:lineRule="auto" w:before="202"/>
        <w:ind w:left="1133" w:right="0"/>
        <w:jc w:val="left"/>
      </w:pPr>
      <w:r>
        <w:rPr>
          <w:spacing w:val="-2"/>
        </w:rPr>
        <w:t>我们审计了浩云科技股份有限公司（以下简称浩云科技）财务报表，包括</w:t>
      </w:r>
      <w:r>
        <w:rPr>
          <w:rFonts w:ascii="宋体" w:hAnsi="宋体" w:cs="宋体" w:eastAsia="宋体" w:hint="default"/>
          <w:spacing w:val="-2"/>
        </w:rPr>
        <w:t>2017</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日的合并及母公司资产负债表，</w:t>
      </w:r>
      <w:r>
        <w:rPr>
          <w:rFonts w:ascii="宋体" w:hAnsi="宋体" w:cs="宋体" w:eastAsia="宋体" w:hint="default"/>
          <w:spacing w:val="-2"/>
        </w:rPr>
        <w:t>2017</w:t>
      </w:r>
      <w:r>
        <w:rPr>
          <w:rFonts w:ascii="宋体" w:hAnsi="宋体" w:cs="宋体" w:eastAsia="宋体" w:hint="default"/>
          <w:spacing w:val="-53"/>
        </w:rPr>
        <w:t> </w:t>
      </w:r>
      <w:r>
        <w:rPr/>
        <w:t>年度的合并及母公司利润表、合并及母公司现金流量表、合并及母公司所有者权益变动表，以及相关财务报表附注。 </w:t>
      </w:r>
      <w:r>
        <w:rPr>
          <w:spacing w:val="-2"/>
        </w:rPr>
        <w:t>我们认为，后附的财务报表在所有重大方面按照企业会计准则的规定编制，公允反映了浩云科技</w:t>
      </w:r>
      <w:r>
        <w:rPr>
          <w:rFonts w:ascii="宋体" w:hAnsi="宋体" w:cs="宋体" w:eastAsia="宋体" w:hint="default"/>
          <w:spacing w:val="-2"/>
        </w:rPr>
        <w:t>2017</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日的合并及母</w:t>
      </w:r>
      <w:r>
        <w:rPr>
          <w:spacing w:val="-56"/>
        </w:rPr>
        <w:t> </w:t>
      </w:r>
      <w:r>
        <w:rPr/>
        <w:t>公司财务状况以及</w:t>
      </w:r>
      <w:r>
        <w:rPr>
          <w:rFonts w:ascii="宋体" w:hAnsi="宋体" w:cs="宋体" w:eastAsia="宋体" w:hint="default"/>
        </w:rPr>
        <w:t>2017</w:t>
      </w:r>
      <w:r>
        <w:rPr/>
        <w:t>年度的合并及母公司经营成果和现金流量。</w:t>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18"/>
          <w:szCs w:val="18"/>
        </w:rPr>
      </w:pPr>
    </w:p>
    <w:p>
      <w:pPr>
        <w:pStyle w:val="Heading2"/>
        <w:spacing w:line="240" w:lineRule="auto"/>
        <w:ind w:right="0"/>
        <w:jc w:val="left"/>
        <w:rPr>
          <w:b w:val="0"/>
          <w:bCs w:val="0"/>
        </w:rPr>
      </w:pPr>
      <w:r>
        <w:rPr/>
        <w:t>二、形成审计意见的基础</w:t>
      </w:r>
      <w:r>
        <w:rPr>
          <w:b w:val="0"/>
          <w:bCs w:val="0"/>
        </w:rPr>
      </w:r>
    </w:p>
    <w:p>
      <w:pPr>
        <w:pStyle w:val="BodyText"/>
        <w:spacing w:line="477" w:lineRule="auto" w:before="202"/>
        <w:ind w:left="1133" w:right="1133"/>
        <w:jc w:val="both"/>
      </w:pPr>
      <w:r>
        <w:rPr>
          <w:spacing w:val="-2"/>
        </w:rPr>
        <w:t>我们按照中国注册会计师审计准则的规定执行了审计工作。审计报告的“注册会计师对财务报表审计的责任”部分进一步阐</w:t>
      </w:r>
      <w:r>
        <w:rPr>
          <w:spacing w:val="-66"/>
        </w:rPr>
        <w:t> </w:t>
      </w:r>
      <w:r>
        <w:rPr>
          <w:spacing w:val="-66"/>
        </w:rPr>
      </w:r>
      <w:r>
        <w:rPr>
          <w:spacing w:val="-2"/>
        </w:rPr>
        <w:t>述了我们在这些准则下的责任。按照中国注册会计师职业道德守则，我们独立于浩云科技，并履行了职业道德方面的其他责</w:t>
      </w:r>
      <w:r>
        <w:rPr>
          <w:spacing w:val="-66"/>
        </w:rPr>
        <w:t> </w:t>
      </w:r>
      <w:r>
        <w:rPr>
          <w:spacing w:val="-66"/>
        </w:rPr>
      </w:r>
      <w:r>
        <w:rPr/>
        <w:t>任。我们相信，我们获取的审计证据是充分、适当的，为发表审计意见提供了基础。</w:t>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18"/>
          <w:szCs w:val="18"/>
        </w:rPr>
      </w:pPr>
    </w:p>
    <w:p>
      <w:pPr>
        <w:pStyle w:val="Heading2"/>
        <w:spacing w:line="240" w:lineRule="auto"/>
        <w:ind w:right="0"/>
        <w:jc w:val="left"/>
        <w:rPr>
          <w:b w:val="0"/>
          <w:bCs w:val="0"/>
        </w:rPr>
      </w:pPr>
      <w:r>
        <w:rPr/>
        <w:t>三、关键审计事项</w:t>
      </w:r>
      <w:r>
        <w:rPr>
          <w:b w:val="0"/>
          <w:bCs w:val="0"/>
        </w:rPr>
      </w:r>
    </w:p>
    <w:p>
      <w:pPr>
        <w:pStyle w:val="BodyText"/>
        <w:spacing w:line="477" w:lineRule="auto" w:before="202"/>
        <w:ind w:right="0"/>
        <w:jc w:val="left"/>
      </w:pPr>
      <w:r>
        <w:rPr>
          <w:spacing w:val="-2"/>
        </w:rPr>
        <w:t>关键审计事项是我们根据职业判断，认为对本期财务报表审计最为重要的事项。这些事项的应对以对财务报表整体进行审计</w:t>
      </w:r>
      <w:r>
        <w:rPr>
          <w:spacing w:val="-64"/>
        </w:rPr>
        <w:t> </w:t>
      </w:r>
      <w:r>
        <w:rPr>
          <w:spacing w:val="-64"/>
        </w:rPr>
      </w:r>
      <w:r>
        <w:rPr/>
        <w:t>并形成审计意见为背景，我们不对这些事项单独发表意见。</w:t>
      </w:r>
    </w:p>
    <w:p>
      <w:pPr>
        <w:pStyle w:val="BodyText"/>
        <w:spacing w:line="240" w:lineRule="auto" w:before="54"/>
        <w:ind w:right="0"/>
        <w:jc w:val="left"/>
      </w:pPr>
      <w:r>
        <w:rPr>
          <w:rFonts w:ascii="宋体" w:hAnsi="宋体" w:cs="宋体" w:eastAsia="宋体" w:hint="default"/>
        </w:rPr>
        <w:t>(</w:t>
      </w:r>
      <w:r>
        <w:rPr/>
        <w:t>一</w:t>
      </w:r>
      <w:r>
        <w:rPr>
          <w:rFonts w:ascii="宋体" w:hAnsi="宋体" w:cs="宋体" w:eastAsia="宋体" w:hint="default"/>
        </w:rPr>
        <w:t>) </w:t>
      </w:r>
      <w:r>
        <w:rPr/>
        <w:t>收入确认</w:t>
      </w:r>
    </w:p>
    <w:p>
      <w:pPr>
        <w:spacing w:line="240" w:lineRule="auto" w:before="10"/>
        <w:rPr>
          <w:rFonts w:ascii="宋体" w:hAnsi="宋体" w:cs="宋体" w:eastAsia="宋体" w:hint="default"/>
          <w:sz w:val="17"/>
          <w:szCs w:val="17"/>
        </w:rPr>
      </w:pPr>
    </w:p>
    <w:p>
      <w:pPr>
        <w:pStyle w:val="BodyText"/>
        <w:spacing w:line="477" w:lineRule="auto"/>
        <w:ind w:right="1122"/>
        <w:jc w:val="left"/>
      </w:pPr>
      <w:r>
        <w:rPr>
          <w:rFonts w:ascii="宋体" w:hAnsi="宋体" w:cs="宋体" w:eastAsia="宋体" w:hint="default"/>
        </w:rPr>
        <w:t>1. </w:t>
      </w:r>
      <w:r>
        <w:rPr/>
        <w:t>关键审计事项 参阅财务报表附注五（二）</w:t>
      </w:r>
      <w:r>
        <w:rPr>
          <w:rFonts w:ascii="宋体" w:hAnsi="宋体" w:cs="宋体" w:eastAsia="宋体" w:hint="default"/>
        </w:rPr>
        <w:t>1</w:t>
      </w:r>
      <w:r>
        <w:rPr/>
        <w:t>营业收入附注，浩云科技的收入主要来源于安防系统工程的安装和安防产品的销售。由于客户</w:t>
      </w:r>
    </w:p>
    <w:p>
      <w:pPr>
        <w:spacing w:after="0" w:line="477" w:lineRule="auto"/>
        <w:jc w:val="left"/>
        <w:sectPr>
          <w:pgSz w:w="11910" w:h="16840"/>
          <w:pgMar w:header="787" w:footer="640" w:top="1100" w:bottom="840" w:left="0" w:right="0"/>
        </w:sectPr>
      </w:pPr>
    </w:p>
    <w:p>
      <w:pPr>
        <w:spacing w:line="240" w:lineRule="auto" w:before="10"/>
        <w:rPr>
          <w:rFonts w:ascii="宋体" w:hAnsi="宋体" w:cs="宋体" w:eastAsia="宋体" w:hint="default"/>
          <w:sz w:val="28"/>
          <w:szCs w:val="28"/>
        </w:rPr>
      </w:pPr>
    </w:p>
    <w:p>
      <w:pPr>
        <w:pStyle w:val="BodyText"/>
        <w:spacing w:line="477" w:lineRule="auto" w:before="44"/>
        <w:ind w:right="0"/>
        <w:jc w:val="left"/>
      </w:pPr>
      <w:r>
        <w:rPr>
          <w:spacing w:val="-2"/>
        </w:rPr>
        <w:t>性质导致浩云科技的收入确认主要集中在第三季度和第四季度，其收入是否计入恰当的会计期间可能存在重大错报风险，因</w:t>
      </w:r>
      <w:r>
        <w:rPr>
          <w:spacing w:val="-64"/>
        </w:rPr>
        <w:t> </w:t>
      </w:r>
      <w:r>
        <w:rPr>
          <w:spacing w:val="-64"/>
        </w:rPr>
      </w:r>
      <w:r>
        <w:rPr/>
        <w:t>此我们将收入确认认定为关键审计事项。</w:t>
      </w:r>
    </w:p>
    <w:p>
      <w:pPr>
        <w:pStyle w:val="BodyText"/>
        <w:spacing w:line="240" w:lineRule="auto" w:before="54"/>
        <w:ind w:right="0"/>
        <w:jc w:val="left"/>
      </w:pPr>
      <w:r>
        <w:rPr>
          <w:rFonts w:ascii="宋体" w:hAnsi="宋体" w:cs="宋体" w:eastAsia="宋体" w:hint="default"/>
        </w:rPr>
        <w:t>2. </w:t>
      </w:r>
      <w:r>
        <w:rPr/>
        <w:t>审计中的应对</w:t>
      </w:r>
    </w:p>
    <w:p>
      <w:pPr>
        <w:spacing w:line="240" w:lineRule="auto" w:before="10"/>
        <w:rPr>
          <w:rFonts w:ascii="宋体" w:hAnsi="宋体" w:cs="宋体" w:eastAsia="宋体" w:hint="default"/>
          <w:sz w:val="17"/>
          <w:szCs w:val="17"/>
        </w:rPr>
      </w:pPr>
    </w:p>
    <w:p>
      <w:pPr>
        <w:pStyle w:val="BodyText"/>
        <w:spacing w:line="240" w:lineRule="auto"/>
        <w:ind w:right="0"/>
        <w:jc w:val="left"/>
      </w:pPr>
      <w:r>
        <w:rPr>
          <w:rFonts w:ascii="宋体" w:hAnsi="宋体" w:cs="宋体" w:eastAsia="宋体" w:hint="default"/>
        </w:rPr>
        <w:t>(1) </w:t>
      </w:r>
      <w:r>
        <w:rPr/>
        <w:t>访谈管理层并审阅合同条款，了解和评估收入确认政策的合理性；</w:t>
      </w:r>
    </w:p>
    <w:p>
      <w:pPr>
        <w:spacing w:line="240" w:lineRule="auto" w:before="10"/>
        <w:rPr>
          <w:rFonts w:ascii="宋体" w:hAnsi="宋体" w:cs="宋体" w:eastAsia="宋体" w:hint="default"/>
          <w:sz w:val="17"/>
          <w:szCs w:val="17"/>
        </w:rPr>
      </w:pPr>
    </w:p>
    <w:p>
      <w:pPr>
        <w:pStyle w:val="BodyText"/>
        <w:spacing w:line="240" w:lineRule="auto"/>
        <w:ind w:left="1133" w:right="0"/>
        <w:jc w:val="left"/>
      </w:pPr>
      <w:r>
        <w:rPr>
          <w:rFonts w:ascii="宋体" w:hAnsi="宋体" w:cs="宋体" w:eastAsia="宋体" w:hint="default"/>
        </w:rPr>
        <w:t>(2) </w:t>
      </w:r>
      <w:r>
        <w:rPr/>
        <w:t>了解与销售、收款相关的内部控制制度和财务核算制度的设计情况，并对其执行情况进行测试；</w:t>
      </w:r>
    </w:p>
    <w:p>
      <w:pPr>
        <w:spacing w:line="240" w:lineRule="auto" w:before="10"/>
        <w:rPr>
          <w:rFonts w:ascii="宋体" w:hAnsi="宋体" w:cs="宋体" w:eastAsia="宋体" w:hint="default"/>
          <w:sz w:val="17"/>
          <w:szCs w:val="17"/>
        </w:rPr>
      </w:pPr>
    </w:p>
    <w:p>
      <w:pPr>
        <w:pStyle w:val="BodyText"/>
        <w:spacing w:line="240" w:lineRule="auto"/>
        <w:ind w:left="1133" w:right="0"/>
        <w:jc w:val="left"/>
      </w:pPr>
      <w:r>
        <w:rPr>
          <w:rFonts w:ascii="宋体" w:hAnsi="宋体" w:cs="宋体" w:eastAsia="宋体" w:hint="default"/>
        </w:rPr>
        <w:t>(3) </w:t>
      </w:r>
      <w:r>
        <w:rPr/>
        <w:t>抽样检查与收入确认相关的支持性文件，包括合同、订单、发票、出库单、客户验收单、客户签收单等；</w:t>
      </w:r>
    </w:p>
    <w:p>
      <w:pPr>
        <w:spacing w:line="240" w:lineRule="auto" w:before="10"/>
        <w:rPr>
          <w:rFonts w:ascii="宋体" w:hAnsi="宋体" w:cs="宋体" w:eastAsia="宋体" w:hint="default"/>
          <w:sz w:val="17"/>
          <w:szCs w:val="17"/>
        </w:rPr>
      </w:pPr>
    </w:p>
    <w:p>
      <w:pPr>
        <w:pStyle w:val="BodyText"/>
        <w:spacing w:line="240" w:lineRule="auto"/>
        <w:ind w:left="1133" w:right="0"/>
        <w:jc w:val="left"/>
      </w:pPr>
      <w:r>
        <w:rPr>
          <w:rFonts w:ascii="宋体" w:hAnsi="宋体" w:cs="宋体" w:eastAsia="宋体" w:hint="default"/>
        </w:rPr>
        <w:t>(4) </w:t>
      </w:r>
      <w:r>
        <w:rPr/>
        <w:t>执行截止性测试程序；</w:t>
      </w:r>
    </w:p>
    <w:p>
      <w:pPr>
        <w:spacing w:line="240" w:lineRule="auto" w:before="10"/>
        <w:rPr>
          <w:rFonts w:ascii="宋体" w:hAnsi="宋体" w:cs="宋体" w:eastAsia="宋体" w:hint="default"/>
          <w:sz w:val="17"/>
          <w:szCs w:val="17"/>
        </w:rPr>
      </w:pPr>
    </w:p>
    <w:p>
      <w:pPr>
        <w:pStyle w:val="BodyText"/>
        <w:spacing w:line="240" w:lineRule="auto"/>
        <w:ind w:right="0"/>
        <w:jc w:val="left"/>
      </w:pPr>
      <w:r>
        <w:rPr>
          <w:rFonts w:ascii="宋体" w:hAnsi="宋体" w:cs="宋体" w:eastAsia="宋体" w:hint="default"/>
        </w:rPr>
        <w:t>(5) </w:t>
      </w:r>
      <w:r>
        <w:rPr/>
        <w:t>结合应收账款函证程序对重要客户进行函证；</w:t>
      </w:r>
    </w:p>
    <w:p>
      <w:pPr>
        <w:spacing w:line="240" w:lineRule="auto" w:before="10"/>
        <w:rPr>
          <w:rFonts w:ascii="宋体" w:hAnsi="宋体" w:cs="宋体" w:eastAsia="宋体" w:hint="default"/>
          <w:sz w:val="17"/>
          <w:szCs w:val="17"/>
        </w:rPr>
      </w:pPr>
    </w:p>
    <w:p>
      <w:pPr>
        <w:pStyle w:val="BodyText"/>
        <w:spacing w:line="477" w:lineRule="auto"/>
        <w:ind w:right="7332"/>
        <w:jc w:val="left"/>
      </w:pPr>
      <w:r>
        <w:rPr>
          <w:rFonts w:ascii="宋体" w:hAnsi="宋体" w:cs="宋体" w:eastAsia="宋体" w:hint="default"/>
        </w:rPr>
        <w:t>(6) </w:t>
      </w:r>
      <w:r>
        <w:rPr/>
        <w:t>对本年新增的重要客户进行实地走访。 </w:t>
      </w:r>
      <w:r>
        <w:rPr>
          <w:rFonts w:ascii="宋体" w:hAnsi="宋体" w:cs="宋体" w:eastAsia="宋体" w:hint="default"/>
        </w:rPr>
        <w:t>(</w:t>
      </w:r>
      <w:r>
        <w:rPr/>
        <w:t>二</w:t>
      </w:r>
      <w:r>
        <w:rPr>
          <w:rFonts w:ascii="宋体" w:hAnsi="宋体" w:cs="宋体" w:eastAsia="宋体" w:hint="default"/>
        </w:rPr>
        <w:t>) </w:t>
      </w:r>
      <w:r>
        <w:rPr/>
        <w:t>会计估计变更</w:t>
      </w:r>
    </w:p>
    <w:p>
      <w:pPr>
        <w:pStyle w:val="BodyText"/>
        <w:spacing w:line="240" w:lineRule="auto" w:before="54"/>
        <w:ind w:right="0"/>
        <w:jc w:val="left"/>
      </w:pPr>
      <w:r>
        <w:rPr>
          <w:rFonts w:ascii="宋体" w:hAnsi="宋体" w:cs="宋体" w:eastAsia="宋体" w:hint="default"/>
        </w:rPr>
        <w:t>1. </w:t>
      </w:r>
      <w:r>
        <w:rPr/>
        <w:t>关键审计事项</w:t>
      </w:r>
    </w:p>
    <w:p>
      <w:pPr>
        <w:spacing w:line="240" w:lineRule="auto" w:before="10"/>
        <w:rPr>
          <w:rFonts w:ascii="宋体" w:hAnsi="宋体" w:cs="宋体" w:eastAsia="宋体" w:hint="default"/>
          <w:sz w:val="17"/>
          <w:szCs w:val="17"/>
        </w:rPr>
      </w:pPr>
    </w:p>
    <w:p>
      <w:pPr>
        <w:pStyle w:val="BodyText"/>
        <w:spacing w:line="477" w:lineRule="auto"/>
        <w:ind w:left="1133" w:right="1130"/>
        <w:jc w:val="both"/>
      </w:pPr>
      <w:r>
        <w:rPr>
          <w:spacing w:val="-2"/>
        </w:rPr>
        <w:t>浩云科技本年对固定资产折旧年限和应收款项坏账准备计提比例进行会计估计变更，其中固定资产</w:t>
      </w:r>
      <w:r>
        <w:rPr>
          <w:rFonts w:ascii="宋体" w:hAnsi="宋体" w:cs="宋体" w:eastAsia="宋体" w:hint="default"/>
          <w:spacing w:val="-2"/>
        </w:rPr>
        <w:t>--</w:t>
      </w:r>
      <w:r>
        <w:rPr>
          <w:spacing w:val="-2"/>
        </w:rPr>
        <w:t>房屋建筑物的折旧年限</w:t>
      </w:r>
      <w:r>
        <w:rPr>
          <w:spacing w:val="-61"/>
        </w:rPr>
        <w:t> </w:t>
      </w:r>
      <w:r>
        <w:rPr>
          <w:spacing w:val="-3"/>
        </w:rPr>
        <w:t>从</w:t>
      </w:r>
      <w:r>
        <w:rPr>
          <w:rFonts w:ascii="宋体" w:hAnsi="宋体" w:cs="宋体" w:eastAsia="宋体" w:hint="default"/>
          <w:spacing w:val="-3"/>
        </w:rPr>
        <w:t>20</w:t>
      </w:r>
      <w:r>
        <w:rPr>
          <w:spacing w:val="-3"/>
        </w:rPr>
        <w:t>年变更为</w:t>
      </w:r>
      <w:r>
        <w:rPr>
          <w:rFonts w:ascii="宋体" w:hAnsi="宋体" w:cs="宋体" w:eastAsia="宋体" w:hint="default"/>
          <w:spacing w:val="-3"/>
        </w:rPr>
        <w:t>20-40</w:t>
      </w:r>
      <w:r>
        <w:rPr>
          <w:spacing w:val="-3"/>
        </w:rPr>
        <w:t>年，应收款项坏账准备计提比例由</w:t>
      </w:r>
      <w:r>
        <w:rPr>
          <w:rFonts w:ascii="宋体" w:hAnsi="宋体" w:cs="宋体" w:eastAsia="宋体" w:hint="default"/>
          <w:spacing w:val="-3"/>
        </w:rPr>
        <w:t>1</w:t>
      </w:r>
      <w:r>
        <w:rPr>
          <w:spacing w:val="-3"/>
        </w:rPr>
        <w:t>年以内</w:t>
      </w:r>
      <w:r>
        <w:rPr>
          <w:rFonts w:ascii="宋体" w:hAnsi="宋体" w:cs="宋体" w:eastAsia="宋体" w:hint="default"/>
          <w:spacing w:val="-3"/>
        </w:rPr>
        <w:t>5%</w:t>
      </w:r>
      <w:r>
        <w:rPr>
          <w:spacing w:val="-3"/>
        </w:rPr>
        <w:t>、</w:t>
      </w:r>
      <w:r>
        <w:rPr>
          <w:rFonts w:ascii="宋体" w:hAnsi="宋体" w:cs="宋体" w:eastAsia="宋体" w:hint="default"/>
          <w:spacing w:val="-3"/>
        </w:rPr>
        <w:t>1-2</w:t>
      </w:r>
      <w:r>
        <w:rPr>
          <w:spacing w:val="-3"/>
        </w:rPr>
        <w:t>年</w:t>
      </w:r>
      <w:r>
        <w:rPr>
          <w:rFonts w:ascii="宋体" w:hAnsi="宋体" w:cs="宋体" w:eastAsia="宋体" w:hint="default"/>
          <w:spacing w:val="-3"/>
        </w:rPr>
        <w:t>10%</w:t>
      </w:r>
      <w:r>
        <w:rPr>
          <w:spacing w:val="-3"/>
        </w:rPr>
        <w:t>、</w:t>
      </w:r>
      <w:r>
        <w:rPr>
          <w:rFonts w:ascii="宋体" w:hAnsi="宋体" w:cs="宋体" w:eastAsia="宋体" w:hint="default"/>
          <w:spacing w:val="-3"/>
        </w:rPr>
        <w:t>2-3</w:t>
      </w:r>
      <w:r>
        <w:rPr>
          <w:spacing w:val="-3"/>
        </w:rPr>
        <w:t>年</w:t>
      </w:r>
      <w:r>
        <w:rPr>
          <w:rFonts w:ascii="宋体" w:hAnsi="宋体" w:cs="宋体" w:eastAsia="宋体" w:hint="default"/>
          <w:spacing w:val="-3"/>
        </w:rPr>
        <w:t>30%</w:t>
      </w:r>
      <w:r>
        <w:rPr>
          <w:spacing w:val="-3"/>
        </w:rPr>
        <w:t>、</w:t>
      </w:r>
      <w:r>
        <w:rPr>
          <w:rFonts w:ascii="宋体" w:hAnsi="宋体" w:cs="宋体" w:eastAsia="宋体" w:hint="default"/>
          <w:spacing w:val="-3"/>
        </w:rPr>
        <w:t>3</w:t>
      </w:r>
      <w:r>
        <w:rPr>
          <w:spacing w:val="-3"/>
        </w:rPr>
        <w:t>年以上</w:t>
      </w:r>
      <w:r>
        <w:rPr>
          <w:rFonts w:ascii="宋体" w:hAnsi="宋体" w:cs="宋体" w:eastAsia="宋体" w:hint="default"/>
          <w:spacing w:val="-3"/>
        </w:rPr>
        <w:t>100%</w:t>
      </w:r>
      <w:r>
        <w:rPr>
          <w:spacing w:val="-3"/>
        </w:rPr>
        <w:t>变更为</w:t>
      </w:r>
      <w:r>
        <w:rPr>
          <w:rFonts w:ascii="宋体" w:hAnsi="宋体" w:cs="宋体" w:eastAsia="宋体" w:hint="default"/>
          <w:spacing w:val="-3"/>
        </w:rPr>
        <w:t>1</w:t>
      </w:r>
      <w:r>
        <w:rPr>
          <w:spacing w:val="-3"/>
        </w:rPr>
        <w:t>年以内</w:t>
      </w:r>
      <w:r>
        <w:rPr>
          <w:rFonts w:ascii="宋体" w:hAnsi="宋体" w:cs="宋体" w:eastAsia="宋体" w:hint="default"/>
          <w:spacing w:val="-3"/>
        </w:rPr>
        <w:t>3%</w:t>
      </w:r>
      <w:r>
        <w:rPr>
          <w:spacing w:val="-3"/>
        </w:rPr>
        <w:t>、</w:t>
      </w:r>
      <w:r>
        <w:rPr>
          <w:rFonts w:ascii="宋体" w:hAnsi="宋体" w:cs="宋体" w:eastAsia="宋体" w:hint="default"/>
          <w:spacing w:val="-3"/>
        </w:rPr>
        <w:t>1-2</w:t>
      </w:r>
      <w:r>
        <w:rPr>
          <w:rFonts w:ascii="宋体" w:hAnsi="宋体" w:cs="宋体" w:eastAsia="宋体" w:hint="default"/>
          <w:spacing w:val="-51"/>
        </w:rPr>
        <w:t> </w:t>
      </w:r>
      <w:r>
        <w:rPr>
          <w:spacing w:val="-2"/>
        </w:rPr>
        <w:t>年</w:t>
      </w:r>
      <w:r>
        <w:rPr>
          <w:rFonts w:ascii="宋体" w:hAnsi="宋体" w:cs="宋体" w:eastAsia="宋体" w:hint="default"/>
          <w:spacing w:val="-2"/>
        </w:rPr>
        <w:t>10%</w:t>
      </w:r>
      <w:r>
        <w:rPr>
          <w:spacing w:val="-2"/>
        </w:rPr>
        <w:t>、</w:t>
      </w:r>
      <w:r>
        <w:rPr>
          <w:rFonts w:ascii="宋体" w:hAnsi="宋体" w:cs="宋体" w:eastAsia="宋体" w:hint="default"/>
          <w:spacing w:val="-2"/>
        </w:rPr>
        <w:t>2-3</w:t>
      </w:r>
      <w:r>
        <w:rPr>
          <w:spacing w:val="-2"/>
        </w:rPr>
        <w:t>年</w:t>
      </w:r>
      <w:r>
        <w:rPr>
          <w:rFonts w:ascii="宋体" w:hAnsi="宋体" w:cs="宋体" w:eastAsia="宋体" w:hint="default"/>
          <w:spacing w:val="-2"/>
        </w:rPr>
        <w:t>20%</w:t>
      </w:r>
      <w:r>
        <w:rPr>
          <w:spacing w:val="-2"/>
        </w:rPr>
        <w:t>、</w:t>
      </w:r>
      <w:r>
        <w:rPr>
          <w:rFonts w:ascii="宋体" w:hAnsi="宋体" w:cs="宋体" w:eastAsia="宋体" w:hint="default"/>
          <w:spacing w:val="-2"/>
        </w:rPr>
        <w:t>3-5</w:t>
      </w:r>
      <w:r>
        <w:rPr>
          <w:spacing w:val="-2"/>
        </w:rPr>
        <w:t>年</w:t>
      </w:r>
      <w:r>
        <w:rPr>
          <w:rFonts w:ascii="宋体" w:hAnsi="宋体" w:cs="宋体" w:eastAsia="宋体" w:hint="default"/>
          <w:spacing w:val="-2"/>
        </w:rPr>
        <w:t>50%</w:t>
      </w:r>
      <w:r>
        <w:rPr>
          <w:spacing w:val="-2"/>
        </w:rPr>
        <w:t>、</w:t>
      </w:r>
      <w:r>
        <w:rPr>
          <w:rFonts w:ascii="宋体" w:hAnsi="宋体" w:cs="宋体" w:eastAsia="宋体" w:hint="default"/>
          <w:spacing w:val="-2"/>
        </w:rPr>
        <w:t>5</w:t>
      </w:r>
      <w:r>
        <w:rPr>
          <w:spacing w:val="-2"/>
        </w:rPr>
        <w:t>年以上</w:t>
      </w:r>
      <w:r>
        <w:rPr>
          <w:rFonts w:ascii="宋体" w:hAnsi="宋体" w:cs="宋体" w:eastAsia="宋体" w:hint="default"/>
          <w:spacing w:val="-2"/>
        </w:rPr>
        <w:t>100%</w:t>
      </w:r>
      <w:r>
        <w:rPr>
          <w:spacing w:val="-2"/>
        </w:rPr>
        <w:t>。由于涉及重大会计估计和判断的不确定性，我们拟将会计估计变更确认为关键</w:t>
      </w:r>
      <w:r>
        <w:rPr>
          <w:spacing w:val="-46"/>
        </w:rPr>
        <w:t> </w:t>
      </w:r>
      <w:r>
        <w:rPr>
          <w:spacing w:val="-46"/>
        </w:rPr>
      </w:r>
      <w:r>
        <w:rPr/>
        <w:t>审计事项。</w:t>
      </w:r>
    </w:p>
    <w:p>
      <w:pPr>
        <w:pStyle w:val="BodyText"/>
        <w:spacing w:line="477" w:lineRule="auto" w:before="54"/>
        <w:ind w:left="1133" w:right="5173"/>
        <w:jc w:val="left"/>
      </w:pPr>
      <w:r>
        <w:rPr>
          <w:rFonts w:ascii="宋体" w:hAnsi="宋体" w:cs="宋体" w:eastAsia="宋体" w:hint="default"/>
        </w:rPr>
        <w:t>2.</w:t>
      </w:r>
      <w:r>
        <w:rPr/>
        <w:t>审计中的应对 我们针对收入确认相关的上述关键审计事项执行的主要审计程序包括： </w:t>
      </w:r>
      <w:r>
        <w:rPr>
          <w:rFonts w:ascii="宋体" w:hAnsi="宋体" w:cs="宋体" w:eastAsia="宋体" w:hint="default"/>
        </w:rPr>
        <w:t>(1) </w:t>
      </w:r>
      <w:r>
        <w:rPr/>
        <w:t>与管理层和治理层就会计估计变更的依据进行沟通；</w:t>
      </w:r>
    </w:p>
    <w:p>
      <w:pPr>
        <w:pStyle w:val="BodyText"/>
        <w:spacing w:line="240" w:lineRule="auto" w:before="54"/>
        <w:ind w:right="0"/>
        <w:jc w:val="left"/>
      </w:pPr>
      <w:r>
        <w:rPr>
          <w:rFonts w:ascii="宋体" w:hAnsi="宋体" w:cs="宋体" w:eastAsia="宋体" w:hint="default"/>
        </w:rPr>
        <w:t>(2) </w:t>
      </w:r>
      <w:r>
        <w:rPr/>
        <w:t>与同行业上市公司进行对比分析，评估会计估计变更的合理性；</w:t>
      </w:r>
    </w:p>
    <w:p>
      <w:pPr>
        <w:spacing w:line="240" w:lineRule="auto" w:before="10"/>
        <w:rPr>
          <w:rFonts w:ascii="宋体" w:hAnsi="宋体" w:cs="宋体" w:eastAsia="宋体" w:hint="default"/>
          <w:sz w:val="17"/>
          <w:szCs w:val="17"/>
        </w:rPr>
      </w:pPr>
    </w:p>
    <w:p>
      <w:pPr>
        <w:pStyle w:val="BodyText"/>
        <w:spacing w:line="240" w:lineRule="auto"/>
        <w:ind w:left="1133" w:right="0"/>
        <w:jc w:val="left"/>
      </w:pPr>
      <w:r>
        <w:rPr>
          <w:rFonts w:ascii="宋体" w:hAnsi="宋体" w:cs="宋体" w:eastAsia="宋体" w:hint="default"/>
        </w:rPr>
        <w:t>(3) </w:t>
      </w:r>
      <w:r>
        <w:rPr/>
        <w:t>对会计估计变更依据的数据与假设进行检查和分析；</w:t>
      </w:r>
    </w:p>
    <w:p>
      <w:pPr>
        <w:spacing w:line="240" w:lineRule="auto" w:before="10"/>
        <w:rPr>
          <w:rFonts w:ascii="宋体" w:hAnsi="宋体" w:cs="宋体" w:eastAsia="宋体" w:hint="default"/>
          <w:sz w:val="17"/>
          <w:szCs w:val="17"/>
        </w:rPr>
      </w:pPr>
    </w:p>
    <w:p>
      <w:pPr>
        <w:pStyle w:val="BodyText"/>
        <w:spacing w:line="240" w:lineRule="auto"/>
        <w:ind w:right="0"/>
        <w:jc w:val="left"/>
      </w:pPr>
      <w:r>
        <w:rPr>
          <w:rFonts w:ascii="宋体" w:hAnsi="宋体" w:cs="宋体" w:eastAsia="宋体" w:hint="default"/>
        </w:rPr>
        <w:t>(4) </w:t>
      </w:r>
      <w:r>
        <w:rPr/>
        <w:t>测算会计估计变更后对财务报表的影响，判断是否对财务报表造成重大影响。</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3"/>
          <w:szCs w:val="13"/>
        </w:rPr>
      </w:pPr>
    </w:p>
    <w:p>
      <w:pPr>
        <w:pStyle w:val="Heading2"/>
        <w:spacing w:line="240" w:lineRule="auto"/>
        <w:ind w:right="0"/>
        <w:jc w:val="left"/>
        <w:rPr>
          <w:b w:val="0"/>
          <w:bCs w:val="0"/>
        </w:rPr>
      </w:pPr>
      <w:r>
        <w:rPr/>
        <w:t>四、其他信息</w:t>
      </w:r>
      <w:r>
        <w:rPr>
          <w:b w:val="0"/>
          <w:bCs w:val="0"/>
        </w:rPr>
      </w:r>
    </w:p>
    <w:p>
      <w:pPr>
        <w:pStyle w:val="BodyText"/>
        <w:spacing w:line="477" w:lineRule="auto" w:before="202"/>
        <w:ind w:left="1133" w:right="0"/>
        <w:jc w:val="left"/>
      </w:pPr>
      <w:r>
        <w:rPr/>
        <w:t>管理层对其他信息负责。其他信息包括年度报告中涵盖的信息，但不包括财务报表和我们的审计报告。 我们对财务报表发表的审计意见不涵盖其他信息，我们也不对其他信息发表任何形式的鉴证结论。 </w:t>
      </w:r>
      <w:r>
        <w:rPr>
          <w:spacing w:val="-2"/>
        </w:rPr>
        <w:t>结合我们对财务报表的审计，我们的责任是阅读其他信息，在此过程中，考虑其他信息是否与财务报表或我们在审计过程中</w:t>
      </w:r>
      <w:r>
        <w:rPr>
          <w:spacing w:val="-66"/>
        </w:rPr>
        <w:t> </w:t>
      </w:r>
      <w:r>
        <w:rPr>
          <w:spacing w:val="-66"/>
        </w:rPr>
      </w:r>
      <w:r>
        <w:rPr/>
        <w:t>了解到的情况存在重大不一致或者似乎存在重大错报。 </w:t>
      </w:r>
      <w:r>
        <w:rPr>
          <w:spacing w:val="-4"/>
        </w:rPr>
        <w:t>基于我们已执行的工作，如果我们确定其他信息存在重大错报，我们应当报告该事实。在这方面，我们无任何事项需要报告。</w:t>
      </w:r>
    </w:p>
    <w:p>
      <w:pPr>
        <w:spacing w:after="0" w:line="477" w:lineRule="auto"/>
        <w:jc w:val="left"/>
        <w:sectPr>
          <w:pgSz w:w="11910" w:h="16840"/>
          <w:pgMar w:header="787" w:footer="640" w:top="1100" w:bottom="840" w:left="0" w:right="0"/>
        </w:sectPr>
      </w:pPr>
    </w:p>
    <w:p>
      <w:pPr>
        <w:spacing w:line="240" w:lineRule="auto" w:before="6"/>
        <w:rPr>
          <w:rFonts w:ascii="宋体" w:hAnsi="宋体" w:cs="宋体" w:eastAsia="宋体" w:hint="default"/>
          <w:sz w:val="26"/>
          <w:szCs w:val="26"/>
        </w:rPr>
      </w:pPr>
    </w:p>
    <w:p>
      <w:pPr>
        <w:pStyle w:val="Heading2"/>
        <w:spacing w:line="240" w:lineRule="auto" w:before="26"/>
        <w:ind w:left="1134" w:right="0"/>
        <w:jc w:val="left"/>
        <w:rPr>
          <w:b w:val="0"/>
          <w:bCs w:val="0"/>
        </w:rPr>
      </w:pPr>
      <w:r>
        <w:rPr/>
        <w:t>五、管理层和治理层对财务报表的责任</w:t>
      </w:r>
      <w:r>
        <w:rPr>
          <w:b w:val="0"/>
          <w:bCs w:val="0"/>
        </w:rPr>
      </w:r>
    </w:p>
    <w:p>
      <w:pPr>
        <w:pStyle w:val="BodyText"/>
        <w:spacing w:line="477" w:lineRule="auto" w:before="202"/>
        <w:ind w:left="1133" w:right="1118"/>
        <w:jc w:val="left"/>
      </w:pPr>
      <w:r>
        <w:rPr>
          <w:spacing w:val="-2"/>
        </w:rPr>
        <w:t>管理层负责按照企业会计准则的规定编制财务报表，使其实现公允反映，并设计、执行和维护必要的内部控制，以使财务报</w:t>
      </w:r>
      <w:r>
        <w:rPr>
          <w:spacing w:val="-66"/>
        </w:rPr>
        <w:t> </w:t>
      </w:r>
      <w:r>
        <w:rPr>
          <w:spacing w:val="-66"/>
        </w:rPr>
      </w:r>
      <w:r>
        <w:rPr/>
        <w:t>表不存在由于舞弊或错误导致的重大错报。 </w:t>
      </w:r>
      <w:r>
        <w:rPr>
          <w:spacing w:val="-2"/>
        </w:rPr>
        <w:t>在编制财务报表时，管理层负责评估浩云科技的持续经营能力，披露与持续经营相关的事项（如适用），并运用持续经营假</w:t>
      </w:r>
      <w:r>
        <w:rPr>
          <w:spacing w:val="-66"/>
        </w:rPr>
        <w:t> </w:t>
      </w:r>
      <w:r>
        <w:rPr>
          <w:spacing w:val="-66"/>
        </w:rPr>
      </w:r>
      <w:r>
        <w:rPr/>
        <w:t>设，除非计划进行清算、终止运营或别无其他现实的选择。 浩云科技治理层（以下简称治理层）负责监督浩云科技的财务报告过程。</w:t>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18"/>
          <w:szCs w:val="18"/>
        </w:rPr>
      </w:pPr>
    </w:p>
    <w:p>
      <w:pPr>
        <w:pStyle w:val="Heading2"/>
        <w:spacing w:line="240" w:lineRule="auto"/>
        <w:ind w:right="0"/>
        <w:jc w:val="left"/>
        <w:rPr>
          <w:b w:val="0"/>
          <w:bCs w:val="0"/>
        </w:rPr>
      </w:pPr>
      <w:r>
        <w:rPr/>
        <w:t>六、注册会计师对财务报表审计的责任</w:t>
      </w:r>
      <w:r>
        <w:rPr>
          <w:b w:val="0"/>
          <w:bCs w:val="0"/>
        </w:rPr>
      </w:r>
    </w:p>
    <w:p>
      <w:pPr>
        <w:pStyle w:val="BodyText"/>
        <w:spacing w:line="477" w:lineRule="auto" w:before="202"/>
        <w:ind w:left="1133" w:right="1033"/>
        <w:jc w:val="left"/>
      </w:pPr>
      <w:r>
        <w:rPr/>
        <w:t>我们的目标是对财务报表整体是否不存在由于舞弊或错误导致的重大错报获取合理保证，并出具包含审计意见的审计报告。 </w:t>
      </w:r>
      <w:r>
        <w:rPr>
          <w:spacing w:val="-2"/>
        </w:rPr>
        <w:t>合理保证是高水平的保证，但并不能保证按照审计准则执行的审计在某一重大错报存在时总能发现。错报可能由于舞弊或错</w:t>
      </w:r>
      <w:r>
        <w:rPr>
          <w:spacing w:val="-64"/>
        </w:rPr>
        <w:t> </w:t>
      </w:r>
      <w:r>
        <w:rPr>
          <w:spacing w:val="-64"/>
        </w:rPr>
      </w:r>
      <w:r>
        <w:rPr>
          <w:spacing w:val="-2"/>
        </w:rPr>
        <w:t>误导致，如果合理预期错报单独或汇总起来可能影响财务报表使用者依据财务报表作出的经济决策，则通常认为错报是重大</w:t>
      </w:r>
      <w:r>
        <w:rPr>
          <w:spacing w:val="-64"/>
        </w:rPr>
        <w:t> </w:t>
      </w:r>
      <w:r>
        <w:rPr>
          <w:spacing w:val="-64"/>
        </w:rPr>
      </w:r>
      <w:r>
        <w:rPr/>
        <w:t>的。</w:t>
      </w:r>
    </w:p>
    <w:p>
      <w:pPr>
        <w:pStyle w:val="BodyText"/>
        <w:spacing w:line="477" w:lineRule="auto" w:before="54"/>
        <w:ind w:left="1133" w:right="1123"/>
        <w:jc w:val="left"/>
      </w:pPr>
      <w:r>
        <w:rPr/>
        <w:t>在按照审计准则执行审计工作的过程中，我们运用职业判断，并保持职业怀疑。同时，我们也执行以下工作： </w:t>
      </w:r>
      <w:r>
        <w:rPr>
          <w:rFonts w:ascii="宋体" w:hAnsi="宋体" w:cs="宋体" w:eastAsia="宋体" w:hint="default"/>
          <w:spacing w:val="-2"/>
        </w:rPr>
        <w:t>(</w:t>
      </w:r>
      <w:r>
        <w:rPr>
          <w:spacing w:val="-2"/>
        </w:rPr>
        <w:t>一</w:t>
      </w:r>
      <w:r>
        <w:rPr>
          <w:rFonts w:ascii="宋体" w:hAnsi="宋体" w:cs="宋体" w:eastAsia="宋体" w:hint="default"/>
          <w:spacing w:val="-2"/>
        </w:rPr>
        <w:t>)</w:t>
      </w:r>
      <w:r>
        <w:rPr>
          <w:spacing w:val="-2"/>
        </w:rPr>
        <w:t>识别和评估由于舞弊或错误导致的财务报表重大错报风险，设计和实施审计程序以应对这些风险，并获取充分、适当的</w:t>
      </w:r>
      <w:r>
        <w:rPr>
          <w:spacing w:val="-63"/>
        </w:rPr>
        <w:t> </w:t>
      </w:r>
      <w:r>
        <w:rPr>
          <w:spacing w:val="-63"/>
        </w:rPr>
      </w:r>
      <w:r>
        <w:rPr>
          <w:spacing w:val="-2"/>
        </w:rPr>
        <w:t>审计证据，作为发表审计意见的基础。由于舞弊可能涉及串通、伪造、故意遗漏、虚假陈述或凌驾于内部控制之上，未能发</w:t>
      </w:r>
      <w:r>
        <w:rPr>
          <w:spacing w:val="-67"/>
        </w:rPr>
        <w:t> </w:t>
      </w:r>
      <w:r>
        <w:rPr>
          <w:spacing w:val="-67"/>
        </w:rPr>
      </w:r>
      <w:r>
        <w:rPr/>
        <w:t>现由于舞弊导致的重大错报的风险高于未能发现由于错误导致的重大错报的风险。 </w:t>
      </w:r>
      <w:r>
        <w:rPr>
          <w:rFonts w:ascii="宋体" w:hAnsi="宋体" w:cs="宋体" w:eastAsia="宋体" w:hint="default"/>
        </w:rPr>
        <w:t>(</w:t>
      </w:r>
      <w:r>
        <w:rPr/>
        <w:t>二</w:t>
      </w:r>
      <w:r>
        <w:rPr>
          <w:rFonts w:ascii="宋体" w:hAnsi="宋体" w:cs="宋体" w:eastAsia="宋体" w:hint="default"/>
        </w:rPr>
        <w:t>)</w:t>
      </w:r>
      <w:r>
        <w:rPr/>
        <w:t>了解与审计相关的内部控制，以设计恰当的审计程序，但目的并非对内部控制的有效性发表意见。 </w:t>
      </w:r>
      <w:r>
        <w:rPr>
          <w:rFonts w:ascii="宋体" w:hAnsi="宋体" w:cs="宋体" w:eastAsia="宋体" w:hint="default"/>
        </w:rPr>
        <w:t>(</w:t>
      </w:r>
      <w:r>
        <w:rPr/>
        <w:t>三</w:t>
      </w:r>
      <w:r>
        <w:rPr>
          <w:rFonts w:ascii="宋体" w:hAnsi="宋体" w:cs="宋体" w:eastAsia="宋体" w:hint="default"/>
        </w:rPr>
        <w:t>)</w:t>
      </w:r>
      <w:r>
        <w:rPr/>
        <w:t>评价管理层选用会计政策的恰当性和作出会计估计及相关披露的合理性。 </w:t>
      </w:r>
      <w:r>
        <w:rPr>
          <w:rFonts w:ascii="宋体" w:hAnsi="宋体" w:cs="宋体" w:eastAsia="宋体" w:hint="default"/>
          <w:spacing w:val="-2"/>
        </w:rPr>
        <w:t>(</w:t>
      </w:r>
      <w:r>
        <w:rPr>
          <w:spacing w:val="-2"/>
        </w:rPr>
        <w:t>四</w:t>
      </w:r>
      <w:r>
        <w:rPr>
          <w:rFonts w:ascii="宋体" w:hAnsi="宋体" w:cs="宋体" w:eastAsia="宋体" w:hint="default"/>
          <w:spacing w:val="-2"/>
        </w:rPr>
        <w:t>)</w:t>
      </w:r>
      <w:r>
        <w:rPr>
          <w:spacing w:val="-2"/>
        </w:rPr>
        <w:t>对管理层使用持续经营假设的恰当性得出结论。同时，根据获取的审计证据，就可能导致对浩云科技持续经营能力产生</w:t>
      </w:r>
      <w:r>
        <w:rPr>
          <w:spacing w:val="-64"/>
        </w:rPr>
        <w:t> </w:t>
      </w:r>
      <w:r>
        <w:rPr>
          <w:spacing w:val="-64"/>
        </w:rPr>
      </w:r>
      <w:r>
        <w:rPr>
          <w:spacing w:val="-2"/>
        </w:rPr>
        <w:t>重大疑虑的事项或情况是否存在重大不确定性得出结论。如果我们得出结论认为存在重大不确定性，审计准则要求我们在审</w:t>
      </w:r>
      <w:r>
        <w:rPr>
          <w:spacing w:val="-64"/>
        </w:rPr>
        <w:t> </w:t>
      </w:r>
      <w:r>
        <w:rPr>
          <w:spacing w:val="-64"/>
        </w:rPr>
      </w:r>
      <w:r>
        <w:rPr>
          <w:spacing w:val="-2"/>
        </w:rPr>
        <w:t>计报告中提请报表使用者注意财务报表中的相关披露；如果披露不充分，我们应当发表非无保留意见。我们的结论基于截至</w:t>
      </w:r>
      <w:r>
        <w:rPr>
          <w:spacing w:val="-66"/>
        </w:rPr>
        <w:t> </w:t>
      </w:r>
      <w:r>
        <w:rPr>
          <w:spacing w:val="-66"/>
        </w:rPr>
      </w:r>
      <w:r>
        <w:rPr/>
        <w:t>审计报告日可获得的信息。然而，未来的事项或情况可能导致浩云科技不能持续经营。 </w:t>
      </w:r>
      <w:r>
        <w:rPr>
          <w:rFonts w:ascii="宋体" w:hAnsi="宋体" w:cs="宋体" w:eastAsia="宋体" w:hint="default"/>
        </w:rPr>
        <w:t>(</w:t>
      </w:r>
      <w:r>
        <w:rPr/>
        <w:t>五</w:t>
      </w:r>
      <w:r>
        <w:rPr>
          <w:rFonts w:ascii="宋体" w:hAnsi="宋体" w:cs="宋体" w:eastAsia="宋体" w:hint="default"/>
        </w:rPr>
        <w:t>)</w:t>
      </w:r>
      <w:r>
        <w:rPr/>
        <w:t>评价财务报表的总体列报、结构和内容（包括披露），并评价财务报表是否公允反映相关交易和事项。 </w:t>
      </w:r>
      <w:r>
        <w:rPr>
          <w:rFonts w:ascii="宋体" w:hAnsi="宋体" w:cs="宋体" w:eastAsia="宋体" w:hint="default"/>
        </w:rPr>
        <w:t>(</w:t>
      </w:r>
      <w:r>
        <w:rPr/>
        <w:t>六）就浩云科技中实体或业务活动的财务信息获取充分、适当的审计证据，以对财务报表发表审计意见。我们负责指导、 监督和执行集团审计，并对审计意见承担全部责任。 </w:t>
      </w:r>
      <w:r>
        <w:rPr>
          <w:spacing w:val="-2"/>
        </w:rPr>
        <w:t>我们与治理层就计划的审计范围、时间安排和重大审计发现等事项进行沟通，包括沟通我们在审计中识别出的值得关注的内</w:t>
      </w:r>
      <w:r>
        <w:rPr>
          <w:spacing w:val="-64"/>
        </w:rPr>
        <w:t> </w:t>
      </w:r>
      <w:r>
        <w:rPr>
          <w:spacing w:val="-64"/>
        </w:rPr>
      </w:r>
      <w:r>
        <w:rPr/>
        <w:t>部控制缺陷。 </w:t>
      </w:r>
      <w:r>
        <w:rPr>
          <w:spacing w:val="-2"/>
        </w:rPr>
        <w:t>我们还就已遵守与独立性相关的职业道德要求向治理层提供声明，并与治理层沟通可能被合理认为影响我们独立性的所有关</w:t>
      </w:r>
      <w:r>
        <w:rPr>
          <w:spacing w:val="-64"/>
        </w:rPr>
        <w:t> </w:t>
      </w:r>
      <w:r>
        <w:rPr>
          <w:spacing w:val="-64"/>
        </w:rPr>
      </w:r>
      <w:r>
        <w:rPr/>
        <w:t>系和其他事项，以及相关的防范措施（如适用）。 </w:t>
      </w:r>
      <w:r>
        <w:rPr>
          <w:spacing w:val="-2"/>
        </w:rPr>
        <w:t>从与治理层沟通过的事项中，我们确定哪些事项对</w:t>
      </w:r>
      <w:r>
        <w:rPr>
          <w:rFonts w:ascii="宋体" w:hAnsi="宋体" w:cs="宋体" w:eastAsia="宋体" w:hint="default"/>
          <w:spacing w:val="-2"/>
        </w:rPr>
        <w:t>2017</w:t>
      </w:r>
      <w:r>
        <w:rPr>
          <w:spacing w:val="-2"/>
        </w:rPr>
        <w:t>年度财务报表审计最为重要，因而构成关键审计事项。我们在审计报</w:t>
      </w:r>
    </w:p>
    <w:p>
      <w:pPr>
        <w:spacing w:after="0" w:line="477" w:lineRule="auto"/>
        <w:jc w:val="left"/>
        <w:sectPr>
          <w:pgSz w:w="11910" w:h="16840"/>
          <w:pgMar w:header="787" w:footer="640" w:top="1100" w:bottom="840" w:left="0" w:right="0"/>
        </w:sectPr>
      </w:pPr>
    </w:p>
    <w:p>
      <w:pPr>
        <w:spacing w:line="240" w:lineRule="auto" w:before="10"/>
        <w:rPr>
          <w:rFonts w:ascii="宋体" w:hAnsi="宋体" w:cs="宋体" w:eastAsia="宋体" w:hint="default"/>
          <w:sz w:val="28"/>
          <w:szCs w:val="28"/>
        </w:rPr>
      </w:pPr>
    </w:p>
    <w:p>
      <w:pPr>
        <w:pStyle w:val="BodyText"/>
        <w:spacing w:line="477" w:lineRule="auto" w:before="44"/>
        <w:ind w:left="1133" w:right="0"/>
        <w:jc w:val="left"/>
      </w:pPr>
      <w:r>
        <w:rPr>
          <w:spacing w:val="-2"/>
        </w:rPr>
        <w:t>告中描述这些事项，除非法律法规禁止公开披露这些事项，或在极少数情形下，如果合理预期在审计报告中沟通某事项造成</w:t>
      </w:r>
      <w:r>
        <w:rPr>
          <w:spacing w:val="-66"/>
        </w:rPr>
        <w:t> </w:t>
      </w:r>
      <w:r>
        <w:rPr>
          <w:spacing w:val="-66"/>
        </w:rPr>
      </w:r>
      <w:r>
        <w:rPr/>
        <w:t>的负面后果超过在公众利益方面产生的益处，我们确定不应在审计报告中沟通该事项。</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BodyText"/>
        <w:tabs>
          <w:tab w:pos="6954" w:val="left" w:leader="none"/>
        </w:tabs>
        <w:spacing w:line="240" w:lineRule="auto"/>
        <w:ind w:left="1133" w:right="0"/>
        <w:jc w:val="left"/>
      </w:pPr>
      <w:r>
        <w:rPr/>
        <w:t>天健会计师事务所（特殊普通合伙）</w:t>
        <w:tab/>
        <w:t>中国注册会计师：禤文欣</w:t>
      </w:r>
    </w:p>
    <w:p>
      <w:pPr>
        <w:pStyle w:val="BodyText"/>
        <w:spacing w:line="240" w:lineRule="auto" w:before="76"/>
        <w:ind w:left="6954" w:right="0"/>
        <w:jc w:val="left"/>
      </w:pPr>
      <w:r>
        <w:rPr/>
        <w:t>（项目合伙人）</w:t>
      </w:r>
    </w:p>
    <w:p>
      <w:pPr>
        <w:pStyle w:val="BodyText"/>
        <w:tabs>
          <w:tab w:pos="7044" w:val="left" w:leader="none"/>
        </w:tabs>
        <w:spacing w:line="240" w:lineRule="auto" w:before="76"/>
        <w:ind w:left="1553" w:right="0"/>
        <w:jc w:val="left"/>
      </w:pPr>
      <w:r>
        <w:rPr/>
        <w:t>中国·杭州</w:t>
        <w:tab/>
        <w:t>中国注册会计师：卢玲玉</w:t>
      </w:r>
    </w:p>
    <w:p>
      <w:pPr>
        <w:spacing w:line="240" w:lineRule="auto" w:before="0"/>
        <w:rPr>
          <w:rFonts w:ascii="宋体" w:hAnsi="宋体" w:cs="宋体" w:eastAsia="宋体" w:hint="default"/>
          <w:sz w:val="18"/>
          <w:szCs w:val="18"/>
        </w:rPr>
      </w:pPr>
    </w:p>
    <w:p>
      <w:pPr>
        <w:pStyle w:val="BodyText"/>
        <w:spacing w:line="240" w:lineRule="auto" w:before="153"/>
        <w:ind w:left="7044" w:right="0"/>
        <w:jc w:val="left"/>
      </w:pPr>
      <w:r>
        <w:rPr/>
        <w:t>二〇一八年四月十七日</w:t>
      </w:r>
    </w:p>
    <w:p>
      <w:pPr>
        <w:spacing w:line="240" w:lineRule="auto" w:before="2"/>
        <w:rPr>
          <w:rFonts w:ascii="宋体" w:hAnsi="宋体" w:cs="宋体" w:eastAsia="宋体" w:hint="default"/>
          <w:sz w:val="25"/>
          <w:szCs w:val="25"/>
        </w:rPr>
      </w:pPr>
    </w:p>
    <w:p>
      <w:pPr>
        <w:pStyle w:val="Heading2"/>
        <w:spacing w:line="240" w:lineRule="auto"/>
        <w:ind w:right="0"/>
        <w:jc w:val="left"/>
        <w:rPr>
          <w:b w:val="0"/>
          <w:bCs w:val="0"/>
        </w:rPr>
      </w:pPr>
      <w:bookmarkStart w:name="二、财务报表" w:id="154"/>
      <w:bookmarkEnd w:id="154"/>
      <w:r>
        <w:rPr>
          <w:b w:val="0"/>
          <w:bCs w:val="0"/>
        </w:rPr>
      </w:r>
      <w:r>
        <w:rPr/>
        <w:t>二、财务报表</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133" w:right="0"/>
        <w:jc w:val="left"/>
      </w:pPr>
      <w:r>
        <w:rPr/>
        <w:t>财务附注中报表的单位为：人民币元</w:t>
      </w:r>
    </w:p>
    <w:p>
      <w:pPr>
        <w:spacing w:line="240" w:lineRule="auto" w:before="10"/>
        <w:rPr>
          <w:rFonts w:ascii="宋体" w:hAnsi="宋体" w:cs="宋体" w:eastAsia="宋体" w:hint="default"/>
          <w:sz w:val="26"/>
          <w:szCs w:val="26"/>
        </w:rPr>
      </w:pPr>
    </w:p>
    <w:p>
      <w:pPr>
        <w:pStyle w:val="Heading3"/>
        <w:spacing w:line="240" w:lineRule="auto"/>
        <w:ind w:left="1133" w:right="0"/>
        <w:jc w:val="left"/>
        <w:rPr>
          <w:b w:val="0"/>
          <w:bCs w:val="0"/>
        </w:rPr>
      </w:pPr>
      <w:bookmarkStart w:name="1、合并资产负债表" w:id="155"/>
      <w:bookmarkEnd w:id="155"/>
      <w:r>
        <w:rPr>
          <w:b w:val="0"/>
          <w:bCs w:val="0"/>
        </w:rPr>
      </w:r>
      <w:r>
        <w:rPr>
          <w:rFonts w:ascii="Times New Roman" w:hAnsi="Times New Roman" w:cs="Times New Roman" w:eastAsia="Times New Roman" w:hint="default"/>
        </w:rPr>
        <w:t>1</w:t>
      </w:r>
      <w:r>
        <w:rPr/>
        <w:t>、合并资产负债表</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footerReference w:type="default" r:id="rId48"/>
          <w:pgSz w:w="11910" w:h="16840"/>
          <w:pgMar w:footer="640" w:header="787" w:top="1100" w:bottom="840" w:left="0" w:right="0"/>
        </w:sectPr>
      </w:pPr>
    </w:p>
    <w:p>
      <w:pPr>
        <w:pStyle w:val="BodyText"/>
        <w:spacing w:line="240" w:lineRule="auto" w:before="44"/>
        <w:ind w:left="1133" w:right="-19"/>
        <w:jc w:val="left"/>
      </w:pPr>
      <w:r>
        <w:rPr/>
        <w:t>编制单位：浩云科技股份有限公司</w:t>
      </w:r>
    </w:p>
    <w:p>
      <w:pPr>
        <w:spacing w:line="240" w:lineRule="auto" w:before="0"/>
        <w:rPr>
          <w:rFonts w:ascii="宋体" w:hAnsi="宋体" w:cs="宋体" w:eastAsia="宋体" w:hint="default"/>
          <w:sz w:val="18"/>
          <w:szCs w:val="18"/>
        </w:rPr>
      </w:pPr>
      <w:r>
        <w:rPr/>
        <w:br w:type="column"/>
      </w:r>
      <w:r>
        <w:rPr>
          <w:rFonts w:ascii="宋体"/>
          <w:sz w:val="18"/>
        </w:rPr>
      </w:r>
    </w:p>
    <w:p>
      <w:pPr>
        <w:pStyle w:val="BodyText"/>
        <w:spacing w:line="240" w:lineRule="auto" w:before="160"/>
        <w:ind w:left="1133" w:right="-16"/>
        <w:jc w:val="left"/>
      </w:pP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1113" w:right="1112"/>
        <w:jc w:val="center"/>
      </w:pPr>
      <w:r>
        <w:rPr/>
        <w:t>单位：元</w:t>
      </w:r>
    </w:p>
    <w:p>
      <w:pPr>
        <w:spacing w:after="0" w:line="240" w:lineRule="auto"/>
        <w:jc w:val="center"/>
        <w:sectPr>
          <w:type w:val="continuous"/>
          <w:pgSz w:w="11910" w:h="16840"/>
          <w:pgMar w:top="1100" w:bottom="840" w:left="0" w:right="0"/>
          <w:cols w:num="3" w:equalWidth="0">
            <w:col w:w="3835" w:space="243"/>
            <w:col w:w="2619" w:space="2223"/>
            <w:col w:w="2990"/>
          </w:cols>
        </w:sectPr>
      </w:pP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407,539,964.62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266,499,726.38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240,173,912.52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214,039,296.45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25,782,352.46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13,006,947.88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705,143.84</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16,406,027.22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11,521,987.41</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100" w:bottom="840" w:left="0" w:right="0"/>
        </w:sectPr>
      </w:pPr>
    </w:p>
    <w:p>
      <w:pPr>
        <w:spacing w:line="240" w:lineRule="auto" w:before="4"/>
        <w:rPr>
          <w:rFonts w:ascii="Times New Roman" w:hAnsi="Times New Roman" w:cs="Times New Roman" w:eastAsia="Times New Roman" w:hint="default"/>
          <w:sz w:val="3"/>
          <w:szCs w:val="3"/>
        </w:rPr>
      </w:pPr>
    </w:p>
    <w:p>
      <w:pPr>
        <w:spacing w:line="20" w:lineRule="exact"/>
        <w:ind w:left="1096"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10"/>
        <w:rPr>
          <w:rFonts w:ascii="Times New Roman" w:hAnsi="Times New Roman" w:cs="Times New Roman" w:eastAsia="Times New Roman" w:hint="default"/>
          <w:sz w:val="23"/>
          <w:szCs w:val="23"/>
        </w:rPr>
      </w:pPr>
    </w:p>
    <w:tbl>
      <w:tblPr>
        <w:tblW w:w="0" w:type="auto"/>
        <w:jc w:val="left"/>
        <w:tblInd w:w="114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134,551,792.21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96,096,568.00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持有待售的资产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87,858,396.76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8,995,280.08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913,017,589.63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610,159,806.20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发放贷款及垫款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33,037,709.14</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303,393,574.35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89,167,246.06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11,581,142.66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122,389,007.75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5,371,767.91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4,278,694.41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16,027,944.90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16,809,702.14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47,382,353.08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47,382,353.08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2,735,250.43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2,569,766.59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5,366,511.25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5,474,192.86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1,470,152.50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417,000.00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436,366,406.22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288,487,962.89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1,349,383,995.85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898,647,769.09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19,450,000.00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10,800,000.00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87" w:footer="640" w:top="1100" w:bottom="840" w:left="0" w:right="0"/>
        </w:sectPr>
      </w:pPr>
    </w:p>
    <w:p>
      <w:pPr>
        <w:spacing w:line="240" w:lineRule="auto" w:before="4"/>
        <w:rPr>
          <w:rFonts w:ascii="Times New Roman" w:hAnsi="Times New Roman" w:cs="Times New Roman" w:eastAsia="Times New Roman" w:hint="default"/>
          <w:sz w:val="3"/>
          <w:szCs w:val="3"/>
        </w:rPr>
      </w:pPr>
    </w:p>
    <w:p>
      <w:pPr>
        <w:spacing w:line="20" w:lineRule="exact"/>
        <w:ind w:left="1096"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10"/>
        <w:rPr>
          <w:rFonts w:ascii="Times New Roman" w:hAnsi="Times New Roman" w:cs="Times New Roman" w:eastAsia="Times New Roman" w:hint="default"/>
          <w:sz w:val="23"/>
          <w:szCs w:val="23"/>
        </w:rPr>
      </w:pPr>
    </w:p>
    <w:tbl>
      <w:tblPr>
        <w:tblW w:w="0" w:type="auto"/>
        <w:jc w:val="left"/>
        <w:tblInd w:w="114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12,648,542.00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25,471,007.13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31,638,045.81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65,932,152.38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29,401,833.90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16,530,620.96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15,999,924.99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27,877,304.33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20,419,678.83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176,970.98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133,558.97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20,497,138.78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65,839,017.25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持有待售的负债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1,478,370.12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175,935,194.56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188,358,971.87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188,923.20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265,956.27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7,916,002.20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9,700,000.00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8,104,925.40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9,965,956.27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184,040,119.96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198,324,928.14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87" w:footer="640" w:top="1100" w:bottom="840" w:left="0" w:right="0"/>
        </w:sectPr>
      </w:pPr>
    </w:p>
    <w:p>
      <w:pPr>
        <w:spacing w:line="240" w:lineRule="auto" w:before="4"/>
        <w:rPr>
          <w:rFonts w:ascii="Times New Roman" w:hAnsi="Times New Roman" w:cs="Times New Roman" w:eastAsia="Times New Roman" w:hint="default"/>
          <w:sz w:val="3"/>
          <w:szCs w:val="3"/>
        </w:rPr>
      </w:pPr>
    </w:p>
    <w:p>
      <w:pPr>
        <w:spacing w:line="20" w:lineRule="exact"/>
        <w:ind w:left="1096"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10"/>
        <w:rPr>
          <w:rFonts w:ascii="Times New Roman" w:hAnsi="Times New Roman" w:cs="Times New Roman" w:eastAsia="Times New Roman" w:hint="default"/>
          <w:sz w:val="23"/>
          <w:szCs w:val="23"/>
        </w:rPr>
      </w:pPr>
    </w:p>
    <w:tbl>
      <w:tblPr>
        <w:tblW w:w="0" w:type="auto"/>
        <w:jc w:val="left"/>
        <w:tblInd w:w="1129" w:type="dxa"/>
        <w:tblLayout w:type="fixed"/>
        <w:tblCellMar>
          <w:top w:w="0" w:type="dxa"/>
          <w:left w:w="0" w:type="dxa"/>
          <w:bottom w:w="0" w:type="dxa"/>
          <w:right w:w="0" w:type="dxa"/>
        </w:tblCellMar>
        <w:tblLook w:val="01E0"/>
      </w:tblPr>
      <w:tblGrid>
        <w:gridCol w:w="2967"/>
        <w:gridCol w:w="3301"/>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218,370,659.00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202,401,442.00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591,728,515.76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257,160,617.78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17,966,615.03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30,809,111.03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36,755,219.51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30,403,641.80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302,523,866.21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215,291,873.17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1,131,411,645.45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674,448,463.72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33,932,230.44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25,874,377.23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1,165,343,875.89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700,322,840.95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1,349,383,995.85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898,647,769.09</w:t>
            </w:r>
          </w:p>
        </w:tc>
      </w:tr>
    </w:tbl>
    <w:p>
      <w:pPr>
        <w:spacing w:line="240" w:lineRule="auto" w:before="3"/>
        <w:rPr>
          <w:rFonts w:ascii="Times New Roman" w:hAnsi="Times New Roman" w:cs="Times New Roman" w:eastAsia="Times New Roman" w:hint="default"/>
          <w:sz w:val="23"/>
          <w:szCs w:val="23"/>
        </w:rPr>
      </w:pPr>
    </w:p>
    <w:p>
      <w:pPr>
        <w:pStyle w:val="BodyText"/>
        <w:tabs>
          <w:tab w:pos="3420" w:val="left" w:leader="none"/>
          <w:tab w:pos="7561" w:val="left" w:leader="none"/>
        </w:tabs>
        <w:spacing w:line="240" w:lineRule="auto" w:before="44"/>
        <w:ind w:left="0" w:right="1229"/>
        <w:jc w:val="right"/>
      </w:pPr>
      <w:r>
        <w:rPr/>
        <w:t>法定代表人：雷洪文</w:t>
        <w:tab/>
        <w:t>主管会计工作负责人：王汉晖</w:t>
        <w:tab/>
        <w:t>会计机构负责人：简玉琴</w:t>
      </w:r>
    </w:p>
    <w:p>
      <w:pPr>
        <w:spacing w:line="240" w:lineRule="auto" w:before="11"/>
        <w:rPr>
          <w:rFonts w:ascii="宋体" w:hAnsi="宋体" w:cs="宋体" w:eastAsia="宋体" w:hint="default"/>
          <w:sz w:val="26"/>
          <w:szCs w:val="26"/>
        </w:rPr>
      </w:pPr>
    </w:p>
    <w:p>
      <w:pPr>
        <w:pStyle w:val="Heading3"/>
        <w:spacing w:line="240" w:lineRule="auto"/>
        <w:ind w:left="1133" w:right="0"/>
        <w:jc w:val="left"/>
        <w:rPr>
          <w:b w:val="0"/>
          <w:bCs w:val="0"/>
        </w:rPr>
      </w:pPr>
      <w:bookmarkStart w:name="2、母公司资产负债表" w:id="156"/>
      <w:bookmarkEnd w:id="156"/>
      <w:r>
        <w:rPr>
          <w:b w:val="0"/>
          <w:bCs w:val="0"/>
        </w:rPr>
      </w:r>
      <w:r>
        <w:rPr>
          <w:rFonts w:ascii="Times New Roman" w:hAnsi="Times New Roman" w:cs="Times New Roman" w:eastAsia="Times New Roman" w:hint="default"/>
        </w:rPr>
        <w:t>2</w:t>
      </w:r>
      <w:r>
        <w:rPr/>
        <w:t>、母公司资产负债表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343,563,718.20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200,487,618.78</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179,180,562.67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161,641,811.40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17,835,565.86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10,999,456.54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705,143.84</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16,933,334.89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10,680,858.09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119,399,572.21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91,808,226.60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持有待售的资产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87" w:footer="640" w:top="1100" w:bottom="840" w:left="0" w:right="0"/>
        </w:sectPr>
      </w:pPr>
    </w:p>
    <w:p>
      <w:pPr>
        <w:spacing w:line="240" w:lineRule="auto" w:before="4"/>
        <w:rPr>
          <w:rFonts w:ascii="Times New Roman" w:hAnsi="Times New Roman" w:cs="Times New Roman" w:eastAsia="Times New Roman" w:hint="default"/>
          <w:sz w:val="3"/>
          <w:szCs w:val="3"/>
        </w:rPr>
      </w:pPr>
    </w:p>
    <w:p>
      <w:pPr>
        <w:spacing w:line="20" w:lineRule="exact"/>
        <w:ind w:left="1096"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10"/>
        <w:rPr>
          <w:rFonts w:ascii="Times New Roman" w:hAnsi="Times New Roman" w:cs="Times New Roman" w:eastAsia="Times New Roman" w:hint="default"/>
          <w:sz w:val="23"/>
          <w:szCs w:val="23"/>
        </w:rPr>
      </w:pPr>
    </w:p>
    <w:tbl>
      <w:tblPr>
        <w:tblW w:w="0" w:type="auto"/>
        <w:jc w:val="left"/>
        <w:tblInd w:w="114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79,940,343.09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1,232,828.47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757,558,240.76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476,850,799.88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193,362,871.87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168,362,871.87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33,037,709.14</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245,187,224.18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50,137,685.75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11,254,100.00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99,534,203.07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9,309,949.43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9,222,582.55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1,331,277.75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1,913,618.83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4,277,436.11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4,408,418.23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75,000.00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417,000.00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498,835,568.48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333,996,380.30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1,256,393,809.24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810,847,180.18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7,450,000.00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8,000,000.00</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12,648,542.00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9,548,999.49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10,851,393.69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61,197,305.97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26,361,093.62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13,991,700.01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13,802,577.12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14,546,499.95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10,029,114.06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176,970.98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133,558.97</w:t>
            </w:r>
          </w:p>
        </w:tc>
      </w:tr>
    </w:tbl>
    <w:p>
      <w:pPr>
        <w:spacing w:after="0" w:line="240" w:lineRule="auto"/>
        <w:jc w:val="right"/>
        <w:rPr>
          <w:rFonts w:ascii="Times New Roman" w:hAnsi="Times New Roman" w:cs="Times New Roman" w:eastAsia="Times New Roman" w:hint="default"/>
          <w:sz w:val="18"/>
          <w:szCs w:val="18"/>
        </w:rPr>
        <w:sectPr>
          <w:pgSz w:w="11910" w:h="16840"/>
          <w:pgMar w:header="787" w:footer="640" w:top="1100" w:bottom="840" w:left="0" w:right="0"/>
        </w:sectPr>
      </w:pPr>
    </w:p>
    <w:p>
      <w:pPr>
        <w:spacing w:line="240" w:lineRule="auto" w:before="4"/>
        <w:rPr>
          <w:rFonts w:ascii="Times New Roman" w:hAnsi="Times New Roman" w:cs="Times New Roman" w:eastAsia="Times New Roman" w:hint="default"/>
          <w:sz w:val="3"/>
          <w:szCs w:val="3"/>
        </w:rPr>
      </w:pPr>
    </w:p>
    <w:p>
      <w:pPr>
        <w:spacing w:line="20" w:lineRule="exact"/>
        <w:ind w:left="1096"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10"/>
        <w:rPr>
          <w:rFonts w:ascii="Times New Roman" w:hAnsi="Times New Roman" w:cs="Times New Roman" w:eastAsia="Times New Roman" w:hint="default"/>
          <w:sz w:val="23"/>
          <w:szCs w:val="23"/>
        </w:rPr>
      </w:pPr>
    </w:p>
    <w:tbl>
      <w:tblPr>
        <w:tblW w:w="0" w:type="auto"/>
        <w:jc w:val="left"/>
        <w:tblInd w:w="114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96,429,275.39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83,909,528.16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持有待售的负债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1,478,370.12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203,340,751.79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167,214,177.74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188,923.20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265,956.27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2,200,000.00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2,588,923.20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2,465,956.27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205,929,674.99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169,680,134.01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218,370,659.00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202,401,442.00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591,731,752.71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257,160,617.78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17,966,615.03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30,809,111.03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36,855,360.84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30,503,783.13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221,472,976.73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181,910,314.29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1,050,464,134.25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641,167,046.17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1,256,393,809.24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810,847,180.18</w:t>
            </w:r>
          </w:p>
        </w:tc>
      </w:tr>
    </w:tbl>
    <w:p>
      <w:pPr>
        <w:spacing w:after="0" w:line="240" w:lineRule="auto"/>
        <w:jc w:val="right"/>
        <w:rPr>
          <w:rFonts w:ascii="Times New Roman" w:hAnsi="Times New Roman" w:cs="Times New Roman" w:eastAsia="Times New Roman" w:hint="default"/>
          <w:sz w:val="18"/>
          <w:szCs w:val="18"/>
        </w:rPr>
        <w:sectPr>
          <w:pgSz w:w="11910" w:h="16840"/>
          <w:pgMar w:header="787" w:footer="640" w:top="1100" w:bottom="840" w:left="0" w:right="0"/>
        </w:sectPr>
      </w:pPr>
    </w:p>
    <w:p>
      <w:pPr>
        <w:spacing w:line="240" w:lineRule="auto" w:before="4"/>
        <w:rPr>
          <w:rFonts w:ascii="Times New Roman" w:hAnsi="Times New Roman" w:cs="Times New Roman" w:eastAsia="Times New Roman" w:hint="default"/>
          <w:sz w:val="3"/>
          <w:szCs w:val="3"/>
        </w:rPr>
      </w:pPr>
      <w:r>
        <w:rPr/>
        <w:pict>
          <v:group style="position:absolute;margin-left:212.119995pt;margin-top:629.919983pt;width:157.7pt;height:19.6pt;mso-position-horizontal-relative:page;mso-position-vertical-relative:page;z-index:-1170016" coordorigin="4242,12598" coordsize="3154,392">
            <v:shape style="position:absolute;left:4242;top:12598;width:3154;height:392" coordorigin="4242,12598" coordsize="3154,392" path="m4242,12990l7396,12990,7396,12598,4242,12598,4242,12990xe" filled="true" fillcolor="#ffffff" stroked="false">
              <v:path arrowok="t"/>
              <v:fill type="solid"/>
            </v:shape>
            <w10:wrap type="none"/>
          </v:group>
        </w:pict>
      </w:r>
    </w:p>
    <w:p>
      <w:pPr>
        <w:spacing w:line="20" w:lineRule="exact"/>
        <w:ind w:left="1096"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7"/>
        <w:rPr>
          <w:rFonts w:ascii="Times New Roman" w:hAnsi="Times New Roman" w:cs="Times New Roman" w:eastAsia="Times New Roman" w:hint="default"/>
          <w:sz w:val="19"/>
          <w:szCs w:val="19"/>
        </w:rPr>
      </w:pPr>
    </w:p>
    <w:p>
      <w:pPr>
        <w:pStyle w:val="Heading3"/>
        <w:spacing w:line="240" w:lineRule="auto" w:before="35"/>
        <w:ind w:right="0"/>
        <w:jc w:val="left"/>
        <w:rPr>
          <w:b w:val="0"/>
          <w:bCs w:val="0"/>
        </w:rPr>
      </w:pPr>
      <w:bookmarkStart w:name="3、合并利润表" w:id="157"/>
      <w:bookmarkEnd w:id="157"/>
      <w:r>
        <w:rPr>
          <w:b w:val="0"/>
          <w:bCs w:val="0"/>
        </w:rPr>
      </w:r>
      <w:r>
        <w:rPr>
          <w:rFonts w:ascii="Times New Roman" w:hAnsi="Times New Roman" w:cs="Times New Roman" w:eastAsia="Times New Roman" w:hint="default"/>
        </w:rPr>
        <w:t>3</w:t>
      </w:r>
      <w:r>
        <w:rPr/>
        <w:t>、合并利润表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057"/>
        <w:gridCol w:w="3222"/>
        <w:gridCol w:w="3278"/>
      </w:tblGrid>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569,795,019.21</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544,953,859.79</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569,795,019.21</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544,953,859.79</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1"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1"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1"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446,343,299.94</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452,298,779.23</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290,203,313.53</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295,369,304.98</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1"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1"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1"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1"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55"/>
              <w:jc w:val="righ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1"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1"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1"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4,679,987.66</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6,613,163.28</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53,188,560.41</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48,401,434.97</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94,171,811.25</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92,843,751.73</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1,822,955.26</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w w:val="95"/>
                <w:sz w:val="18"/>
              </w:rPr>
              <w:t>-210,962.17</w:t>
            </w:r>
            <w:r>
              <w:rPr>
                <w:rFonts w:ascii="Times New Roman"/>
                <w:sz w:val="18"/>
              </w:rPr>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1"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2,276,671.83</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9,282,086.44</w:t>
            </w: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705,677.70</w:t>
            </w: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1" w:firstLine="720"/>
              <w:jc w:val="left"/>
              <w:rPr>
                <w:rFonts w:ascii="宋体" w:hAnsi="宋体" w:cs="宋体" w:eastAsia="宋体" w:hint="default"/>
                <w:sz w:val="18"/>
                <w:szCs w:val="18"/>
              </w:rPr>
            </w:pPr>
            <w:r>
              <w:rPr>
                <w:rFonts w:ascii="宋体" w:hAnsi="宋体" w:cs="宋体" w:eastAsia="宋体" w:hint="default"/>
                <w:spacing w:val="-3"/>
                <w:sz w:val="18"/>
                <w:szCs w:val="18"/>
              </w:rPr>
              <w:t>其中：对联营企业和合营企业</w:t>
            </w:r>
            <w:r>
              <w:rPr>
                <w:rFonts w:ascii="宋体" w:hAnsi="宋体" w:cs="宋体" w:eastAsia="宋体" w:hint="default"/>
                <w:sz w:val="18"/>
                <w:szCs w:val="18"/>
              </w:rPr>
              <w:t> 的投资收益</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9" w:space="0" w:color="FFFFFF"/>
            </w:tcBorders>
            <w:shd w:val="clear" w:color="auto" w:fill="D2D2D2"/>
          </w:tcPr>
          <w:p>
            <w:pPr>
              <w:pStyle w:val="TableParagraph"/>
              <w:spacing w:line="240" w:lineRule="auto" w:before="52"/>
              <w:ind w:right="107"/>
              <w:jc w:val="right"/>
              <w:rPr>
                <w:rFonts w:ascii="宋体" w:hAnsi="宋体" w:cs="宋体" w:eastAsia="宋体" w:hint="default"/>
                <w:sz w:val="18"/>
                <w:szCs w:val="18"/>
              </w:rPr>
            </w:pPr>
            <w:r>
              <w:rPr>
                <w:rFonts w:ascii="宋体" w:hAnsi="宋体" w:cs="宋体" w:eastAsia="宋体" w:hint="default"/>
                <w:spacing w:val="-1"/>
                <w:sz w:val="18"/>
                <w:szCs w:val="18"/>
              </w:rPr>
              <w:t>汇兑收益（损失以</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3222" w:type="dxa"/>
            <w:tcBorders>
              <w:top w:val="single" w:sz="4" w:space="0" w:color="000000"/>
              <w:left w:val="single" w:sz="23" w:space="0" w:color="FFFFFF"/>
              <w:bottom w:val="single" w:sz="4" w:space="0" w:color="000000"/>
              <w:right w:val="single" w:sz="4" w:space="0" w:color="000000"/>
            </w:tcBorders>
          </w:tcPr>
          <w:p>
            <w:pPr>
              <w:pStyle w:val="TableParagraph"/>
              <w:spacing w:line="240" w:lineRule="auto" w:before="52"/>
              <w:ind w:left="-150" w:right="0"/>
              <w:jc w:val="left"/>
              <w:rPr>
                <w:rFonts w:ascii="宋体" w:hAnsi="宋体" w:cs="宋体" w:eastAsia="宋体" w:hint="default"/>
                <w:sz w:val="18"/>
                <w:szCs w:val="18"/>
              </w:rPr>
            </w:pPr>
            <w:r>
              <w:rPr>
                <w:rFonts w:ascii="宋体" w:hAnsi="宋体" w:cs="宋体" w:eastAsia="宋体" w:hint="default"/>
                <w:sz w:val="18"/>
                <w:szCs w:val="18"/>
              </w:rPr>
              <w:t>）</w:t>
            </w: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资产处置收</w:t>
            </w:r>
            <w:r>
              <w:rPr>
                <w:rFonts w:ascii="宋体" w:hAnsi="宋体" w:cs="宋体" w:eastAsia="宋体" w:hint="default"/>
                <w:spacing w:val="-76"/>
                <w:sz w:val="18"/>
                <w:szCs w:val="18"/>
              </w:rPr>
              <w:t>益</w:t>
            </w:r>
            <w:r>
              <w:rPr>
                <w:rFonts w:ascii="宋体" w:hAnsi="宋体" w:cs="宋体" w:eastAsia="宋体" w:hint="default"/>
                <w:sz w:val="18"/>
                <w:szCs w:val="18"/>
              </w:rPr>
              <w:t>（损失以</w:t>
            </w:r>
            <w:r>
              <w:rPr>
                <w:rFonts w:ascii="Times New Roman" w:hAnsi="Times New Roman" w:cs="Times New Roman" w:eastAsia="Times New Roman" w:hint="default"/>
                <w:spacing w:val="-1"/>
                <w:w w:val="100"/>
                <w:sz w:val="18"/>
                <w:szCs w:val="18"/>
              </w:rPr>
              <w:t>“</w:t>
            </w:r>
            <w:r>
              <w:rPr>
                <w:rFonts w:ascii="Times New Roman" w:hAnsi="Times New Roman" w:cs="Times New Roman" w:eastAsia="Times New Roman" w:hint="default"/>
                <w:w w:val="99"/>
                <w:sz w:val="18"/>
                <w:szCs w:val="18"/>
              </w:rPr>
              <w:t>-</w:t>
            </w:r>
            <w:r>
              <w:rPr>
                <w:rFonts w:ascii="Times New Roman" w:hAnsi="Times New Roman" w:cs="Times New Roman" w:eastAsia="Times New Roman" w:hint="default"/>
                <w:w w:val="100"/>
                <w:sz w:val="18"/>
                <w:szCs w:val="18"/>
              </w:rPr>
              <w:t>”</w:t>
            </w:r>
            <w:r>
              <w:rPr>
                <w:rFonts w:ascii="宋体" w:hAnsi="宋体" w:cs="宋体" w:eastAsia="宋体" w:hint="default"/>
                <w:sz w:val="18"/>
                <w:szCs w:val="18"/>
              </w:rPr>
              <w:t>号填</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9,708,291.47</w:t>
            </w: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133,865,688.44</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92,655,080.56</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1,258,877.79</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12,903,283.10</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2"/>
                <w:sz w:val="18"/>
              </w:rPr>
              <w:t>112,401.11</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47,376.45</w:t>
            </w:r>
          </w:p>
        </w:tc>
      </w:tr>
    </w:tbl>
    <w:p>
      <w:pPr>
        <w:spacing w:after="0" w:line="240" w:lineRule="auto"/>
        <w:jc w:val="right"/>
        <w:rPr>
          <w:rFonts w:ascii="Times New Roman" w:hAnsi="Times New Roman" w:cs="Times New Roman" w:eastAsia="Times New Roman" w:hint="default"/>
          <w:sz w:val="18"/>
          <w:szCs w:val="18"/>
        </w:rPr>
        <w:sectPr>
          <w:pgSz w:w="11910" w:h="16840"/>
          <w:pgMar w:header="787" w:footer="640" w:top="1100" w:bottom="840" w:left="0" w:right="0"/>
        </w:sectPr>
      </w:pPr>
    </w:p>
    <w:p>
      <w:pPr>
        <w:spacing w:line="240" w:lineRule="auto" w:before="4"/>
        <w:rPr>
          <w:rFonts w:ascii="Times New Roman" w:hAnsi="Times New Roman" w:cs="Times New Roman" w:eastAsia="Times New Roman" w:hint="default"/>
          <w:sz w:val="3"/>
          <w:szCs w:val="3"/>
        </w:rPr>
      </w:pPr>
      <w:r>
        <w:rPr/>
        <w:pict>
          <v:group style="position:absolute;margin-left:212.119995pt;margin-top:72.47998pt;width:157.7pt;height:19.650pt;mso-position-horizontal-relative:page;mso-position-vertical-relative:page;z-index:-1169968" coordorigin="4242,1450" coordsize="3154,393">
            <v:shape style="position:absolute;left:4242;top:1450;width:3154;height:393" coordorigin="4242,1450" coordsize="3154,393" path="m4242,1842l7396,1842,7396,1450,4242,1450,4242,1842xe" filled="true" fillcolor="#ffffff" stroked="false">
              <v:path arrowok="t"/>
              <v:fill type="solid"/>
            </v:shape>
            <w10:wrap type="none"/>
          </v:group>
        </w:pict>
      </w:r>
    </w:p>
    <w:p>
      <w:pPr>
        <w:spacing w:line="20" w:lineRule="exact"/>
        <w:ind w:left="1096"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10"/>
        <w:rPr>
          <w:rFonts w:ascii="Times New Roman" w:hAnsi="Times New Roman" w:cs="Times New Roman" w:eastAsia="Times New Roman" w:hint="default"/>
          <w:sz w:val="23"/>
          <w:szCs w:val="23"/>
        </w:rPr>
      </w:pPr>
    </w:p>
    <w:tbl>
      <w:tblPr>
        <w:tblW w:w="0" w:type="auto"/>
        <w:jc w:val="left"/>
        <w:tblInd w:w="1129" w:type="dxa"/>
        <w:tblLayout w:type="fixed"/>
        <w:tblCellMar>
          <w:top w:w="0" w:type="dxa"/>
          <w:left w:w="0" w:type="dxa"/>
          <w:bottom w:w="0" w:type="dxa"/>
          <w:right w:w="0" w:type="dxa"/>
        </w:tblCellMar>
        <w:tblLook w:val="01E0"/>
      </w:tblPr>
      <w:tblGrid>
        <w:gridCol w:w="3080"/>
        <w:gridCol w:w="1060"/>
        <w:gridCol w:w="2151"/>
        <w:gridCol w:w="3278"/>
      </w:tblGrid>
      <w:tr>
        <w:trPr>
          <w:trHeight w:val="402" w:hRule="exact"/>
        </w:trPr>
        <w:tc>
          <w:tcPr>
            <w:tcW w:w="3080" w:type="dxa"/>
            <w:tcBorders>
              <w:top w:val="single" w:sz="4" w:space="0" w:color="000000"/>
              <w:left w:val="single" w:sz="4" w:space="0" w:color="000000"/>
              <w:bottom w:val="single" w:sz="4" w:space="0" w:color="000000"/>
              <w:right w:val="single" w:sz="9" w:space="0" w:color="FFFFFF"/>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6"/>
                <w:sz w:val="18"/>
                <w:szCs w:val="18"/>
              </w:rPr>
              <w:t>四、利润总额（亏损总额以</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号填列</w:t>
            </w:r>
          </w:p>
        </w:tc>
        <w:tc>
          <w:tcPr>
            <w:tcW w:w="1060" w:type="dxa"/>
            <w:tcBorders>
              <w:top w:val="single" w:sz="4" w:space="0" w:color="000000"/>
              <w:left w:val="single" w:sz="9" w:space="0" w:color="FFFFFF"/>
              <w:bottom w:val="single" w:sz="4" w:space="0" w:color="000000"/>
              <w:right w:val="nil" w:sz="6" w:space="0" w:color="auto"/>
            </w:tcBorders>
          </w:tcPr>
          <w:p>
            <w:pPr>
              <w:pStyle w:val="TableParagraph"/>
              <w:spacing w:line="240" w:lineRule="auto" w:before="51"/>
              <w:ind w:left="-129" w:right="0"/>
              <w:jc w:val="left"/>
              <w:rPr>
                <w:rFonts w:ascii="宋体" w:hAnsi="宋体" w:cs="宋体" w:eastAsia="宋体" w:hint="default"/>
                <w:sz w:val="18"/>
                <w:szCs w:val="18"/>
              </w:rPr>
            </w:pPr>
            <w:r>
              <w:rPr>
                <w:rFonts w:ascii="宋体" w:hAnsi="宋体" w:cs="宋体" w:eastAsia="宋体" w:hint="default"/>
                <w:sz w:val="18"/>
                <w:szCs w:val="18"/>
              </w:rPr>
              <w:t>）</w:t>
            </w:r>
          </w:p>
        </w:tc>
        <w:tc>
          <w:tcPr>
            <w:tcW w:w="21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997" w:right="0"/>
              <w:jc w:val="left"/>
              <w:rPr>
                <w:rFonts w:ascii="Times New Roman" w:hAnsi="Times New Roman" w:cs="Times New Roman" w:eastAsia="Times New Roman" w:hint="default"/>
                <w:sz w:val="18"/>
                <w:szCs w:val="18"/>
              </w:rPr>
            </w:pPr>
            <w:r>
              <w:rPr>
                <w:rFonts w:ascii="Times New Roman"/>
                <w:sz w:val="18"/>
              </w:rPr>
              <w:t>135,012,165.12</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105,510,987.21</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15,702,441.15</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12,476,564.49</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58" w:right="0"/>
              <w:jc w:val="left"/>
              <w:rPr>
                <w:rFonts w:ascii="Times New Roman" w:hAnsi="Times New Roman" w:cs="Times New Roman" w:eastAsia="Times New Roman" w:hint="default"/>
                <w:sz w:val="18"/>
                <w:szCs w:val="18"/>
              </w:rPr>
            </w:pPr>
            <w:r>
              <w:rPr>
                <w:rFonts w:ascii="Times New Roman"/>
                <w:sz w:val="18"/>
              </w:rPr>
              <w:t>119,309,723.97</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93,034,422.72</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0" w:right="0"/>
              <w:jc w:val="left"/>
              <w:rPr>
                <w:rFonts w:ascii="宋体" w:hAnsi="宋体" w:cs="宋体" w:eastAsia="宋体" w:hint="default"/>
                <w:sz w:val="18"/>
                <w:szCs w:val="18"/>
              </w:rPr>
            </w:pPr>
            <w:r>
              <w:rPr>
                <w:rFonts w:ascii="宋体" w:hAnsi="宋体" w:cs="宋体" w:eastAsia="宋体" w:hint="default"/>
                <w:spacing w:val="-2"/>
                <w:sz w:val="18"/>
                <w:szCs w:val="18"/>
              </w:rPr>
              <w:t>（一）持续经营净利润（净亏损以</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058" w:right="0"/>
              <w:jc w:val="left"/>
              <w:rPr>
                <w:rFonts w:ascii="Times New Roman" w:hAnsi="Times New Roman" w:cs="Times New Roman" w:eastAsia="Times New Roman" w:hint="default"/>
                <w:sz w:val="18"/>
                <w:szCs w:val="18"/>
              </w:rPr>
            </w:pPr>
            <w:r>
              <w:rPr>
                <w:rFonts w:ascii="Times New Roman"/>
                <w:sz w:val="18"/>
              </w:rPr>
              <w:t>119,309,723.97</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93,034,422.72</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0" w:right="0"/>
              <w:jc w:val="left"/>
              <w:rPr>
                <w:rFonts w:ascii="宋体" w:hAnsi="宋体" w:cs="宋体" w:eastAsia="宋体" w:hint="default"/>
                <w:sz w:val="18"/>
                <w:szCs w:val="18"/>
              </w:rPr>
            </w:pPr>
            <w:r>
              <w:rPr>
                <w:rFonts w:ascii="宋体" w:hAnsi="宋体" w:cs="宋体" w:eastAsia="宋体" w:hint="default"/>
                <w:spacing w:val="-2"/>
                <w:sz w:val="18"/>
                <w:szCs w:val="18"/>
              </w:rPr>
              <w:t>（二）终止经营净利润（净亏损以</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66" w:right="0"/>
              <w:jc w:val="left"/>
              <w:rPr>
                <w:rFonts w:ascii="Times New Roman" w:hAnsi="Times New Roman" w:cs="Times New Roman" w:eastAsia="Times New Roman" w:hint="default"/>
                <w:sz w:val="18"/>
                <w:szCs w:val="18"/>
              </w:rPr>
            </w:pPr>
            <w:r>
              <w:rPr>
                <w:rFonts w:ascii="Times New Roman"/>
                <w:sz w:val="18"/>
              </w:rPr>
              <w:t>111,185,107.71</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87,160,102.19</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8,124,616.26</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5,874,320.53</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65" w:firstLine="18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 的税后净额</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firstLine="342"/>
              <w:jc w:val="left"/>
              <w:rPr>
                <w:rFonts w:ascii="宋体" w:hAnsi="宋体" w:cs="宋体" w:eastAsia="宋体" w:hint="default"/>
                <w:sz w:val="18"/>
                <w:szCs w:val="18"/>
              </w:rPr>
            </w:pPr>
            <w:r>
              <w:rPr>
                <w:rFonts w:ascii="宋体" w:hAnsi="宋体" w:cs="宋体" w:eastAsia="宋体" w:hint="default"/>
                <w:spacing w:val="-2"/>
                <w:sz w:val="18"/>
                <w:szCs w:val="18"/>
              </w:rPr>
              <w:t>（一）以后不能重分类进损益的其</w:t>
            </w:r>
            <w:r>
              <w:rPr>
                <w:rFonts w:ascii="宋体" w:hAnsi="宋体" w:cs="宋体" w:eastAsia="宋体" w:hint="default"/>
                <w:sz w:val="18"/>
                <w:szCs w:val="18"/>
              </w:rPr>
              <w:t> 他综合收益</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31"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重新计量设定受益计划净 负债或净资产的变动</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31"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权益法下在被投资单位不 能重分类进损益的其他综合收益中享 有的份额</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firstLine="342"/>
              <w:jc w:val="left"/>
              <w:rPr>
                <w:rFonts w:ascii="宋体" w:hAnsi="宋体" w:cs="宋体" w:eastAsia="宋体" w:hint="default"/>
                <w:sz w:val="18"/>
                <w:szCs w:val="18"/>
              </w:rPr>
            </w:pPr>
            <w:r>
              <w:rPr>
                <w:rFonts w:ascii="宋体" w:hAnsi="宋体" w:cs="宋体" w:eastAsia="宋体" w:hint="default"/>
                <w:spacing w:val="-2"/>
                <w:sz w:val="18"/>
                <w:szCs w:val="18"/>
              </w:rPr>
              <w:t>（二）以后将重分类进损益的其他</w:t>
            </w:r>
            <w:r>
              <w:rPr>
                <w:rFonts w:ascii="宋体" w:hAnsi="宋体" w:cs="宋体" w:eastAsia="宋体" w:hint="default"/>
                <w:sz w:val="18"/>
                <w:szCs w:val="18"/>
              </w:rPr>
              <w:t> 综合收益</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31"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权益法下在被投资单位以 后将重分类进损益的其他综合收益中 享有的份额</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可供出售金融资产公允价</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值变动损益</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31"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持有至到期投资重分类为 可供出售金融资产损益</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现金流量套期损益的有效</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部分</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11"/>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外币财务报表折算差额</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65" w:firstLine="18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 税后净额</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58" w:right="0"/>
              <w:jc w:val="left"/>
              <w:rPr>
                <w:rFonts w:ascii="Times New Roman" w:hAnsi="Times New Roman" w:cs="Times New Roman" w:eastAsia="Times New Roman" w:hint="default"/>
                <w:sz w:val="18"/>
                <w:szCs w:val="18"/>
              </w:rPr>
            </w:pPr>
            <w:r>
              <w:rPr>
                <w:rFonts w:ascii="Times New Roman"/>
                <w:sz w:val="18"/>
              </w:rPr>
              <w:t>119,309,723.97</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93,034,422.72</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65" w:firstLine="36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 总额</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066" w:right="0"/>
              <w:jc w:val="left"/>
              <w:rPr>
                <w:rFonts w:ascii="Times New Roman" w:hAnsi="Times New Roman" w:cs="Times New Roman" w:eastAsia="Times New Roman" w:hint="default"/>
                <w:sz w:val="18"/>
                <w:szCs w:val="18"/>
              </w:rPr>
            </w:pPr>
            <w:r>
              <w:rPr>
                <w:rFonts w:ascii="Times New Roman"/>
                <w:sz w:val="18"/>
              </w:rPr>
              <w:t>111,185,107.71</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87,160,102.19</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5"/>
              <w:jc w:val="righ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8,124,616.26</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5,874,320.53</w:t>
            </w:r>
          </w:p>
        </w:tc>
      </w:tr>
    </w:tbl>
    <w:p>
      <w:pPr>
        <w:spacing w:after="0" w:line="240" w:lineRule="auto"/>
        <w:jc w:val="right"/>
        <w:rPr>
          <w:rFonts w:ascii="Times New Roman" w:hAnsi="Times New Roman" w:cs="Times New Roman" w:eastAsia="Times New Roman" w:hint="default"/>
          <w:sz w:val="18"/>
          <w:szCs w:val="18"/>
        </w:rPr>
        <w:sectPr>
          <w:pgSz w:w="11910" w:h="16840"/>
          <w:pgMar w:header="787" w:footer="640" w:top="1100" w:bottom="840" w:left="0" w:right="0"/>
        </w:sectPr>
      </w:pPr>
    </w:p>
    <w:p>
      <w:pPr>
        <w:spacing w:line="240" w:lineRule="auto" w:before="4"/>
        <w:rPr>
          <w:rFonts w:ascii="Times New Roman" w:hAnsi="Times New Roman" w:cs="Times New Roman" w:eastAsia="Times New Roman" w:hint="default"/>
          <w:sz w:val="3"/>
          <w:szCs w:val="3"/>
        </w:rPr>
      </w:pPr>
    </w:p>
    <w:p>
      <w:pPr>
        <w:spacing w:line="20" w:lineRule="exact"/>
        <w:ind w:left="1096"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10"/>
        <w:rPr>
          <w:rFonts w:ascii="Times New Roman" w:hAnsi="Times New Roman" w:cs="Times New Roman" w:eastAsia="Times New Roman" w:hint="default"/>
          <w:sz w:val="23"/>
          <w:szCs w:val="23"/>
        </w:rPr>
      </w:pPr>
    </w:p>
    <w:tbl>
      <w:tblPr>
        <w:tblW w:w="0" w:type="auto"/>
        <w:jc w:val="left"/>
        <w:tblInd w:w="1140" w:type="dxa"/>
        <w:tblLayout w:type="fixed"/>
        <w:tblCellMar>
          <w:top w:w="0" w:type="dxa"/>
          <w:left w:w="0" w:type="dxa"/>
          <w:bottom w:w="0" w:type="dxa"/>
          <w:right w:w="0" w:type="dxa"/>
        </w:tblCellMar>
        <w:tblLook w:val="01E0"/>
      </w:tblPr>
      <w:tblGrid>
        <w:gridCol w:w="3057"/>
        <w:gridCol w:w="3222"/>
        <w:gridCol w:w="3278"/>
      </w:tblGrid>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54"/>
              <w:jc w:val="right"/>
              <w:rPr>
                <w:rFonts w:ascii="宋体" w:hAnsi="宋体" w:cs="宋体" w:eastAsia="宋体" w:hint="default"/>
                <w:sz w:val="18"/>
                <w:szCs w:val="18"/>
              </w:rPr>
            </w:pPr>
            <w:r>
              <w:rPr>
                <w:rFonts w:ascii="宋体" w:hAnsi="宋体" w:cs="宋体" w:eastAsia="宋体" w:hint="default"/>
                <w:sz w:val="18"/>
                <w:szCs w:val="18"/>
              </w:rPr>
              <w:t>（一）基本每股收益</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0.54</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0.44</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54"/>
              <w:jc w:val="right"/>
              <w:rPr>
                <w:rFonts w:ascii="宋体" w:hAnsi="宋体" w:cs="宋体" w:eastAsia="宋体" w:hint="default"/>
                <w:sz w:val="18"/>
                <w:szCs w:val="18"/>
              </w:rPr>
            </w:pPr>
            <w:r>
              <w:rPr>
                <w:rFonts w:ascii="宋体" w:hAnsi="宋体" w:cs="宋体" w:eastAsia="宋体" w:hint="default"/>
                <w:sz w:val="18"/>
                <w:szCs w:val="18"/>
              </w:rPr>
              <w:t>（二）稀释每股收益</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0.54</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0.43</w:t>
            </w:r>
          </w:p>
        </w:tc>
      </w:tr>
    </w:tbl>
    <w:p>
      <w:pPr>
        <w:pStyle w:val="BodyText"/>
        <w:tabs>
          <w:tab w:pos="4554" w:val="left" w:leader="none"/>
          <w:tab w:pos="8695" w:val="left" w:leader="none"/>
        </w:tabs>
        <w:spacing w:line="592" w:lineRule="auto" w:before="51"/>
        <w:ind w:left="1133" w:right="1229"/>
        <w:jc w:val="both"/>
        <w:rPr>
          <w:rFonts w:ascii="宋体" w:hAnsi="宋体" w:cs="宋体" w:eastAsia="宋体" w:hint="default"/>
          <w:sz w:val="21"/>
          <w:szCs w:val="21"/>
        </w:rPr>
      </w:pPr>
      <w:r>
        <w:rPr/>
        <w:t>本期发生同一控制下企业合并的，被合并方在合并前实现的净利润为：</w:t>
      </w:r>
      <w:r>
        <w:rPr>
          <w:rFonts w:ascii="Times New Roman" w:hAnsi="Times New Roman" w:cs="Times New Roman" w:eastAsia="Times New Roman" w:hint="default"/>
        </w:rPr>
        <w:t>0.00 </w:t>
      </w:r>
      <w:r>
        <w:rPr/>
        <w:t>元，上期被合并方实现的净利润为：</w:t>
      </w:r>
      <w:r>
        <w:rPr>
          <w:rFonts w:ascii="Times New Roman" w:hAnsi="Times New Roman" w:cs="Times New Roman" w:eastAsia="Times New Roman" w:hint="default"/>
        </w:rPr>
        <w:t>0.00</w:t>
      </w:r>
      <w:r>
        <w:rPr>
          <w:rFonts w:ascii="Times New Roman" w:hAnsi="Times New Roman" w:cs="Times New Roman" w:eastAsia="Times New Roman" w:hint="default"/>
          <w:spacing w:val="-18"/>
        </w:rPr>
        <w:t> </w:t>
      </w:r>
      <w:r>
        <w:rPr/>
        <w:t>元。 法定代表人：雷洪文</w:t>
        <w:tab/>
        <w:t>主管会计工作负责人：王汉晖</w:t>
        <w:tab/>
        <w:t>会计机构负责人：简玉琴 </w:t>
      </w:r>
      <w:bookmarkStart w:name="4、母公司利润表" w:id="158"/>
      <w:bookmarkEnd w:id="158"/>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、母公司利润表</w:t>
      </w:r>
      <w:r>
        <w:rPr>
          <w:rFonts w:ascii="宋体" w:hAnsi="宋体" w:cs="宋体" w:eastAsia="宋体" w:hint="default"/>
          <w:sz w:val="21"/>
          <w:szCs w:val="21"/>
        </w:rPr>
      </w:r>
    </w:p>
    <w:p>
      <w:pPr>
        <w:pStyle w:val="BodyText"/>
        <w:spacing w:line="240" w:lineRule="auto" w:before="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453,161,003.21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458,999,142.34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260,687,109.00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269,529,753.73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3,876,937.56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5,773,259.49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49,611,415.14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45,843,265.03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68,810,603.62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73,122,866.38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1,268,641.19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-550,581.73</w:t>
            </w:r>
            <w:r>
              <w:rPr>
                <w:rFonts w:ascii="Times New Roman"/>
                <w:sz w:val="18"/>
              </w:rPr>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1,248,543.62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7,966,240.93</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8"/>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665,230.04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420.37</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3,006,974.93</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71,329,958.05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57,314,758.88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408,794.75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7,018,130.39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59,777.33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15,965.49</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60"/>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71,678,975.47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64,316,923.78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8,163,198.36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6,842,907.00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63,515,777.11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57,474,016.78</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（一）持续经营净利润（净亏损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63,515,777.11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57,474,016.78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371" w:right="0"/>
              <w:jc w:val="left"/>
              <w:rPr>
                <w:rFonts w:ascii="宋体" w:hAnsi="宋体" w:cs="宋体" w:eastAsia="宋体" w:hint="default"/>
                <w:sz w:val="18"/>
                <w:szCs w:val="18"/>
              </w:rPr>
            </w:pPr>
            <w:r>
              <w:rPr>
                <w:rFonts w:ascii="宋体" w:hAnsi="宋体" w:cs="宋体" w:eastAsia="宋体" w:hint="default"/>
                <w:sz w:val="18"/>
                <w:szCs w:val="18"/>
              </w:rPr>
              <w:t>（二）终止经营净利润（净亏损</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87" w:footer="640" w:top="1100" w:bottom="840" w:left="0" w:right="0"/>
        </w:sectPr>
      </w:pPr>
    </w:p>
    <w:p>
      <w:pPr>
        <w:spacing w:line="240" w:lineRule="auto" w:before="5"/>
        <w:rPr>
          <w:rFonts w:ascii="宋体" w:hAnsi="宋体" w:cs="宋体" w:eastAsia="宋体" w:hint="default"/>
          <w:sz w:val="25"/>
          <w:szCs w:val="25"/>
        </w:rPr>
      </w:pPr>
    </w:p>
    <w:tbl>
      <w:tblPr>
        <w:tblW w:w="0" w:type="auto"/>
        <w:jc w:val="left"/>
        <w:tblInd w:w="1140" w:type="dxa"/>
        <w:tblLayout w:type="fixed"/>
        <w:tblCellMar>
          <w:top w:w="0" w:type="dxa"/>
          <w:left w:w="0" w:type="dxa"/>
          <w:bottom w:w="0" w:type="dxa"/>
          <w:right w:w="0" w:type="dxa"/>
        </w:tblCellMar>
        <w:tblLook w:val="01E0"/>
      </w:tblPr>
      <w:tblGrid>
        <w:gridCol w:w="2945"/>
        <w:gridCol w:w="3312"/>
        <w:gridCol w:w="3300"/>
      </w:tblGrid>
      <w:tr>
        <w:trPr>
          <w:trHeight w:val="36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（一）以后不能重分类进损益的 其他综合收益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 净负债或净资产的变动</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41"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 不能重分类进损益的其他综合收益中 享有的份额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（二）以后将重分类进损益的其 他综合收益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41"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 以后将重分类进损益的其他综合收益 中享有的份额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63,515,777.11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57,474,016.78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5、合并现金流量表" w:id="159"/>
      <w:bookmarkEnd w:id="159"/>
      <w:r>
        <w:rPr>
          <w:b w:val="0"/>
          <w:bCs w:val="0"/>
        </w:rPr>
      </w:r>
      <w:r>
        <w:rPr>
          <w:rFonts w:ascii="Times New Roman" w:hAnsi="Times New Roman" w:cs="Times New Roman" w:eastAsia="Times New Roman" w:hint="default"/>
        </w:rPr>
        <w:t>5</w:t>
      </w:r>
      <w:r>
        <w:rPr/>
        <w:t>、合并现金流量表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2943"/>
        <w:gridCol w:w="3314"/>
        <w:gridCol w:w="3300"/>
      </w:tblGrid>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2143" w:right="0"/>
              <w:jc w:val="left"/>
              <w:rPr>
                <w:rFonts w:ascii="Times New Roman" w:hAnsi="Times New Roman" w:cs="Times New Roman" w:eastAsia="Times New Roman" w:hint="default"/>
                <w:sz w:val="18"/>
                <w:szCs w:val="18"/>
              </w:rPr>
            </w:pPr>
            <w:r>
              <w:rPr>
                <w:rFonts w:ascii="Times New Roman"/>
                <w:sz w:val="18"/>
              </w:rPr>
              <w:t>657,569,914.24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143" w:right="0"/>
              <w:jc w:val="left"/>
              <w:rPr>
                <w:rFonts w:ascii="Times New Roman" w:hAnsi="Times New Roman" w:cs="Times New Roman" w:eastAsia="Times New Roman" w:hint="default"/>
                <w:sz w:val="18"/>
                <w:szCs w:val="18"/>
              </w:rPr>
            </w:pPr>
            <w:r>
              <w:rPr>
                <w:rFonts w:ascii="Times New Roman"/>
                <w:sz w:val="18"/>
              </w:rPr>
              <w:t>520,284,229.26</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87" w:footer="640" w:top="1100" w:bottom="840" w:left="0" w:right="0"/>
        </w:sectPr>
      </w:pPr>
    </w:p>
    <w:p>
      <w:pPr>
        <w:spacing w:line="240" w:lineRule="auto" w:before="4"/>
        <w:rPr>
          <w:rFonts w:ascii="Times New Roman" w:hAnsi="Times New Roman" w:cs="Times New Roman" w:eastAsia="Times New Roman" w:hint="default"/>
          <w:sz w:val="3"/>
          <w:szCs w:val="3"/>
        </w:rPr>
      </w:pPr>
    </w:p>
    <w:p>
      <w:pPr>
        <w:spacing w:line="20" w:lineRule="exact"/>
        <w:ind w:left="1096"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10"/>
        <w:rPr>
          <w:rFonts w:ascii="Times New Roman" w:hAnsi="Times New Roman" w:cs="Times New Roman" w:eastAsia="Times New Roman" w:hint="default"/>
          <w:sz w:val="23"/>
          <w:szCs w:val="23"/>
        </w:rPr>
      </w:pPr>
    </w:p>
    <w:tbl>
      <w:tblPr>
        <w:tblW w:w="0" w:type="auto"/>
        <w:jc w:val="left"/>
        <w:tblInd w:w="114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 入当期损益的金融资产净增加额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4,109,961.38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3,398,871.81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10,598,168.45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13,086,491.79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672,278,044.07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536,769,592.86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323,713,318.65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256,111,866.73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147,582,985.87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143,240,780.82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46,600,271.75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45,132,437.90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41,855,801.61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37,149,274.69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559,752,377.88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481,634,360.14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112,525,666.19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55,135,232.72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18,000,000.00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40,447.66</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36,256.00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w w:val="95"/>
                <w:sz w:val="18"/>
              </w:rPr>
              <w:t>1,110.00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18,076,703.66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1,601,110.00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191,225,131.47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176,385,240.56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126,083,700.00</w:t>
            </w: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49"/>
          <w:pgSz w:w="11910" w:h="16840"/>
          <w:pgMar w:footer="640" w:header="787" w:top="1100" w:bottom="840" w:left="0" w:right="0"/>
        </w:sectPr>
      </w:pPr>
    </w:p>
    <w:p>
      <w:pPr>
        <w:spacing w:line="240" w:lineRule="auto" w:before="4"/>
        <w:rPr>
          <w:rFonts w:ascii="Times New Roman" w:hAnsi="Times New Roman" w:cs="Times New Roman" w:eastAsia="Times New Roman" w:hint="default"/>
          <w:sz w:val="3"/>
          <w:szCs w:val="3"/>
        </w:rPr>
      </w:pPr>
    </w:p>
    <w:p>
      <w:pPr>
        <w:spacing w:line="20" w:lineRule="exact"/>
        <w:ind w:left="1096"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10"/>
        <w:rPr>
          <w:rFonts w:ascii="Times New Roman" w:hAnsi="Times New Roman" w:cs="Times New Roman" w:eastAsia="Times New Roman" w:hint="default"/>
          <w:sz w:val="23"/>
          <w:szCs w:val="23"/>
        </w:rPr>
      </w:pPr>
    </w:p>
    <w:tbl>
      <w:tblPr>
        <w:tblW w:w="0" w:type="auto"/>
        <w:jc w:val="left"/>
        <w:tblInd w:w="114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30,297,118.68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317,308,831.47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206,682,359.24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-299,232,127.81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-205,081,249.24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346,386,124.68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21,125,328.00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1,754,200.00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99,164,755.25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445,550,879.93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29,125,328.00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91,993,125.37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7,242,784.27</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20,160,214.89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12,258,875.83</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2,319,919.05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3,296,447.77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114,473,259.31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22,798,107.87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331,077,620.62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6,327,220.13</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144,371,159.00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-143,618,796.39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262,030,261.74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405,649,058.13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406,401,420.74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262,030,261.74</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0"/>
        <w:jc w:val="left"/>
        <w:rPr>
          <w:b w:val="0"/>
          <w:bCs w:val="0"/>
        </w:rPr>
      </w:pPr>
      <w:bookmarkStart w:name="6、母公司现金流量表" w:id="160"/>
      <w:bookmarkEnd w:id="160"/>
      <w:r>
        <w:rPr>
          <w:b w:val="0"/>
          <w:bCs w:val="0"/>
        </w:rPr>
      </w:r>
      <w:r>
        <w:rPr>
          <w:rFonts w:ascii="Times New Roman" w:hAnsi="Times New Roman" w:cs="Times New Roman" w:eastAsia="Times New Roman" w:hint="default"/>
        </w:rPr>
        <w:t>6</w:t>
      </w:r>
      <w:r>
        <w:rPr/>
        <w:t>、母公司现金流量表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532,348,208.41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462,724,825.37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68,114,916.16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7,772,153.30</w:t>
            </w:r>
          </w:p>
        </w:tc>
      </w:tr>
    </w:tbl>
    <w:p>
      <w:pPr>
        <w:spacing w:after="0" w:line="240" w:lineRule="auto"/>
        <w:jc w:val="right"/>
        <w:rPr>
          <w:rFonts w:ascii="Times New Roman" w:hAnsi="Times New Roman" w:cs="Times New Roman" w:eastAsia="Times New Roman" w:hint="default"/>
          <w:sz w:val="18"/>
          <w:szCs w:val="18"/>
        </w:rPr>
        <w:sectPr>
          <w:pgSz w:w="11910" w:h="16840"/>
          <w:pgMar w:header="787" w:footer="640" w:top="1100" w:bottom="840" w:left="0" w:right="0"/>
        </w:sectPr>
      </w:pPr>
    </w:p>
    <w:p>
      <w:pPr>
        <w:spacing w:line="240" w:lineRule="auto" w:before="4"/>
        <w:rPr>
          <w:rFonts w:ascii="Times New Roman" w:hAnsi="Times New Roman" w:cs="Times New Roman" w:eastAsia="Times New Roman" w:hint="default"/>
          <w:sz w:val="3"/>
          <w:szCs w:val="3"/>
        </w:rPr>
      </w:pPr>
    </w:p>
    <w:p>
      <w:pPr>
        <w:spacing w:line="20" w:lineRule="exact"/>
        <w:ind w:left="1096"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10"/>
        <w:rPr>
          <w:rFonts w:ascii="Times New Roman" w:hAnsi="Times New Roman" w:cs="Times New Roman" w:eastAsia="Times New Roman" w:hint="default"/>
          <w:sz w:val="23"/>
          <w:szCs w:val="23"/>
        </w:rPr>
      </w:pPr>
    </w:p>
    <w:tbl>
      <w:tblPr>
        <w:tblW w:w="0" w:type="auto"/>
        <w:jc w:val="left"/>
        <w:tblInd w:w="114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600,463,124.57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470,496,978.67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300,034,424.77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245,493,706.42</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8"/>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125,227,705.16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126,378,028.84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32,774,953.84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37,679,068.97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35,109,582.43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34,050,594.10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493,146,666.20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443,601,398.33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107,316,458.37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26,895,580.34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441,591.25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36,256.00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w w:val="95"/>
                <w:sz w:val="18"/>
              </w:rPr>
              <w:t>1,110.00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3,035,181.37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36,256.00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3,477,882.62</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159,388,037.94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115,754,099.36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124,083,700.00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125,042,100.00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283,471,737.94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243,796,199.36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-283,435,481.94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-240,318,316.74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346,386,124.68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19,371,128.00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84,164,755.25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430,550,879.93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27,371,128.00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86,193,125.37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2,842,784.27</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19,581,791.76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12,136,830.55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2,249,919.05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46,444.77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108,024,836.18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15,026,059.59</w:t>
            </w:r>
          </w:p>
        </w:tc>
      </w:tr>
    </w:tbl>
    <w:p>
      <w:pPr>
        <w:spacing w:after="0" w:line="240" w:lineRule="auto"/>
        <w:jc w:val="right"/>
        <w:rPr>
          <w:rFonts w:ascii="Times New Roman" w:hAnsi="Times New Roman" w:cs="Times New Roman" w:eastAsia="Times New Roman" w:hint="default"/>
          <w:sz w:val="18"/>
          <w:szCs w:val="18"/>
        </w:rPr>
        <w:sectPr>
          <w:footerReference w:type="default" r:id="rId50"/>
          <w:pgSz w:w="11910" w:h="16840"/>
          <w:pgMar w:footer="640" w:header="787" w:top="1100" w:bottom="840" w:left="0" w:right="0"/>
        </w:sectPr>
      </w:pPr>
    </w:p>
    <w:p>
      <w:pPr>
        <w:spacing w:line="240" w:lineRule="auto" w:before="4"/>
        <w:rPr>
          <w:rFonts w:ascii="Times New Roman" w:hAnsi="Times New Roman" w:cs="Times New Roman" w:eastAsia="Times New Roman" w:hint="default"/>
          <w:sz w:val="3"/>
          <w:szCs w:val="3"/>
        </w:rPr>
      </w:pPr>
    </w:p>
    <w:p>
      <w:pPr>
        <w:spacing w:line="20" w:lineRule="exact"/>
        <w:ind w:left="1096"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10"/>
        <w:rPr>
          <w:rFonts w:ascii="Times New Roman" w:hAnsi="Times New Roman" w:cs="Times New Roman" w:eastAsia="Times New Roman" w:hint="default"/>
          <w:sz w:val="23"/>
          <w:szCs w:val="23"/>
        </w:rPr>
      </w:pPr>
    </w:p>
    <w:tbl>
      <w:tblPr>
        <w:tblW w:w="0" w:type="auto"/>
        <w:jc w:val="left"/>
        <w:tblInd w:w="1129" w:type="dxa"/>
        <w:tblLayout w:type="fixed"/>
        <w:tblCellMar>
          <w:top w:w="0" w:type="dxa"/>
          <w:left w:w="0" w:type="dxa"/>
          <w:bottom w:w="0" w:type="dxa"/>
          <w:right w:w="0" w:type="dxa"/>
        </w:tblCellMar>
        <w:tblLook w:val="01E0"/>
      </w:tblPr>
      <w:tblGrid>
        <w:gridCol w:w="2967"/>
        <w:gridCol w:w="3302"/>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322,526,043.75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12,345,068.41</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146,407,020.18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-201,077,667.99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196,124,153.66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397,201,821.65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342,531,173.84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196,124,153.66</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0"/>
        <w:jc w:val="left"/>
        <w:rPr>
          <w:b w:val="0"/>
          <w:bCs w:val="0"/>
        </w:rPr>
      </w:pPr>
      <w:bookmarkStart w:name="7、合并所有者权益变动表" w:id="161"/>
      <w:bookmarkEnd w:id="161"/>
      <w:r>
        <w:rPr>
          <w:b w:val="0"/>
          <w:bCs w:val="0"/>
        </w:rPr>
      </w:r>
      <w:r>
        <w:rPr>
          <w:rFonts w:ascii="Times New Roman" w:hAnsi="Times New Roman" w:cs="Times New Roman" w:eastAsia="Times New Roman" w:hint="default"/>
        </w:rPr>
        <w:t>7</w:t>
      </w:r>
      <w:r>
        <w:rPr/>
        <w:t>、合并所有者权益变动表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t>本期金额</w:t>
      </w:r>
    </w:p>
    <w:p>
      <w:pPr>
        <w:pStyle w:val="BodyText"/>
        <w:spacing w:line="240" w:lineRule="auto" w:before="11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427"/>
        <w:gridCol w:w="563"/>
        <w:gridCol w:w="530"/>
        <w:gridCol w:w="532"/>
        <w:gridCol w:w="530"/>
        <w:gridCol w:w="665"/>
        <w:gridCol w:w="665"/>
        <w:gridCol w:w="665"/>
        <w:gridCol w:w="665"/>
        <w:gridCol w:w="664"/>
        <w:gridCol w:w="666"/>
        <w:gridCol w:w="665"/>
        <w:gridCol w:w="665"/>
        <w:gridCol w:w="659"/>
      </w:tblGrid>
      <w:tr>
        <w:trPr>
          <w:trHeight w:val="402" w:hRule="exact"/>
        </w:trPr>
        <w:tc>
          <w:tcPr>
            <w:tcW w:w="1427" w:type="dxa"/>
            <w:vMerge w:val="restart"/>
            <w:tcBorders>
              <w:top w:val="single" w:sz="4" w:space="0" w:color="000000"/>
              <w:left w:val="single" w:sz="4" w:space="0" w:color="000000"/>
              <w:right w:val="single" w:sz="4" w:space="0" w:color="000000"/>
            </w:tcBorders>
            <w:shd w:val="clear" w:color="auto" w:fill="D2D2D2"/>
          </w:tcPr>
          <w:p>
            <w:pPr/>
          </w:p>
        </w:tc>
        <w:tc>
          <w:tcPr>
            <w:tcW w:w="8133"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51" w:hRule="exact"/>
        </w:trPr>
        <w:tc>
          <w:tcPr>
            <w:tcW w:w="1427" w:type="dxa"/>
            <w:vMerge/>
            <w:tcBorders>
              <w:left w:val="single" w:sz="4" w:space="0" w:color="000000"/>
              <w:right w:val="single" w:sz="4" w:space="0" w:color="000000"/>
            </w:tcBorders>
            <w:shd w:val="clear" w:color="auto" w:fill="D2D2D2"/>
          </w:tcPr>
          <w:p>
            <w:pPr/>
          </w:p>
        </w:tc>
        <w:tc>
          <w:tcPr>
            <w:tcW w:w="6810"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65" w:type="dxa"/>
            <w:vMerge w:val="restart"/>
            <w:tcBorders>
              <w:top w:val="single" w:sz="4" w:space="0" w:color="000000"/>
              <w:left w:val="single" w:sz="4" w:space="0" w:color="000000"/>
              <w:right w:val="single" w:sz="4" w:space="0" w:color="000000"/>
            </w:tcBorders>
            <w:shd w:val="clear" w:color="auto" w:fill="D2D2D2"/>
          </w:tcPr>
          <w:p>
            <w:pPr/>
          </w:p>
        </w:tc>
        <w:tc>
          <w:tcPr>
            <w:tcW w:w="65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427" w:type="dxa"/>
            <w:vMerge/>
            <w:tcBorders>
              <w:left w:val="single" w:sz="4" w:space="0" w:color="000000"/>
              <w:bottom w:val="nil" w:sz="6" w:space="0" w:color="auto"/>
              <w:right w:val="single" w:sz="4" w:space="0" w:color="000000"/>
            </w:tcBorders>
            <w:shd w:val="clear" w:color="auto" w:fill="D2D2D2"/>
          </w:tcPr>
          <w:p>
            <w:pPr/>
          </w:p>
        </w:tc>
        <w:tc>
          <w:tcPr>
            <w:tcW w:w="6810" w:type="dxa"/>
            <w:gridSpan w:val="11"/>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59"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53"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42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563" w:type="dxa"/>
            <w:vMerge w:val="restart"/>
            <w:tcBorders>
              <w:top w:val="single" w:sz="4" w:space="0" w:color="000000"/>
              <w:left w:val="single" w:sz="4" w:space="0" w:color="000000"/>
              <w:right w:val="single" w:sz="4" w:space="0" w:color="000000"/>
            </w:tcBorders>
            <w:shd w:val="clear" w:color="auto" w:fill="D2D2D2"/>
          </w:tcPr>
          <w:p>
            <w:pPr/>
          </w:p>
        </w:tc>
        <w:tc>
          <w:tcPr>
            <w:tcW w:w="159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4" w:type="dxa"/>
            <w:tcBorders>
              <w:top w:val="single" w:sz="4" w:space="0" w:color="000000"/>
              <w:left w:val="single" w:sz="4" w:space="0" w:color="000000"/>
              <w:bottom w:val="nil" w:sz="6" w:space="0" w:color="auto"/>
              <w:right w:val="single" w:sz="4" w:space="0" w:color="000000"/>
            </w:tcBorders>
            <w:shd w:val="clear" w:color="auto" w:fill="D2D2D2"/>
          </w:tcPr>
          <w:p>
            <w:pPr/>
          </w:p>
        </w:tc>
        <w:tc>
          <w:tcPr>
            <w:tcW w:w="666"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6"/>
              <w:ind w:left="56" w:right="56"/>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tcBorders>
              <w:left w:val="single" w:sz="4" w:space="0" w:color="000000"/>
              <w:right w:val="single" w:sz="4" w:space="0" w:color="000000"/>
            </w:tcBorders>
            <w:shd w:val="clear" w:color="auto" w:fill="D2D2D2"/>
          </w:tcPr>
          <w:p>
            <w:pPr/>
          </w:p>
        </w:tc>
      </w:tr>
      <w:tr>
        <w:trPr>
          <w:trHeight w:val="173" w:hRule="exact"/>
        </w:trPr>
        <w:tc>
          <w:tcPr>
            <w:tcW w:w="1427" w:type="dxa"/>
            <w:vMerge/>
            <w:tcBorders>
              <w:left w:val="single" w:sz="4" w:space="0" w:color="000000"/>
              <w:bottom w:val="nil" w:sz="6" w:space="0" w:color="auto"/>
              <w:right w:val="single" w:sz="4" w:space="0" w:color="000000"/>
            </w:tcBorders>
            <w:shd w:val="clear" w:color="auto" w:fill="D2D2D2"/>
          </w:tcPr>
          <w:p>
            <w:pPr/>
          </w:p>
        </w:tc>
        <w:tc>
          <w:tcPr>
            <w:tcW w:w="563" w:type="dxa"/>
            <w:vMerge/>
            <w:tcBorders>
              <w:left w:val="single" w:sz="4" w:space="0" w:color="000000"/>
              <w:bottom w:val="nil" w:sz="6" w:space="0" w:color="auto"/>
              <w:right w:val="single" w:sz="4" w:space="0" w:color="000000"/>
            </w:tcBorders>
            <w:shd w:val="clear" w:color="auto" w:fill="D2D2D2"/>
          </w:tcPr>
          <w:p>
            <w:pPr/>
          </w:p>
        </w:tc>
        <w:tc>
          <w:tcPr>
            <w:tcW w:w="1592" w:type="dxa"/>
            <w:gridSpan w:val="3"/>
            <w:vMerge/>
            <w:tcBorders>
              <w:left w:val="single" w:sz="4" w:space="0" w:color="000000"/>
              <w:bottom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7" w:hanging="181"/>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7" w:right="5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65"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83" w:hRule="exact"/>
        </w:trPr>
        <w:tc>
          <w:tcPr>
            <w:tcW w:w="1427" w:type="dxa"/>
            <w:vMerge w:val="restart"/>
            <w:tcBorders>
              <w:top w:val="nil" w:sz="6" w:space="0" w:color="auto"/>
              <w:left w:val="single" w:sz="4" w:space="0" w:color="000000"/>
              <w:right w:val="single" w:sz="4" w:space="0" w:color="000000"/>
            </w:tcBorders>
            <w:shd w:val="clear" w:color="auto" w:fill="D2D2D2"/>
          </w:tcPr>
          <w:p>
            <w:pPr/>
          </w:p>
        </w:tc>
        <w:tc>
          <w:tcPr>
            <w:tcW w:w="56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4"/>
              <w:ind w:left="97"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3"/>
              <w:ind w:left="170"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3"/>
              <w:ind w:left="170" w:right="79"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4" w:type="dxa"/>
            <w:vMerge/>
            <w:tcBorders>
              <w:left w:val="single" w:sz="4" w:space="0" w:color="000000"/>
              <w:right w:val="single" w:sz="4" w:space="0" w:color="000000"/>
            </w:tcBorders>
            <w:shd w:val="clear" w:color="auto" w:fill="D2D2D2"/>
          </w:tcPr>
          <w:p>
            <w:pPr/>
          </w:p>
        </w:tc>
        <w:tc>
          <w:tcPr>
            <w:tcW w:w="666"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69" w:hRule="exact"/>
        </w:trPr>
        <w:tc>
          <w:tcPr>
            <w:tcW w:w="1427" w:type="dxa"/>
            <w:vMerge/>
            <w:tcBorders>
              <w:left w:val="single" w:sz="4" w:space="0" w:color="000000"/>
              <w:right w:val="single" w:sz="4" w:space="0" w:color="000000"/>
            </w:tcBorders>
            <w:shd w:val="clear" w:color="auto" w:fill="D2D2D2"/>
          </w:tcPr>
          <w:p>
            <w:pPr/>
          </w:p>
        </w:tc>
        <w:tc>
          <w:tcPr>
            <w:tcW w:w="563" w:type="dxa"/>
            <w:vMerge/>
            <w:tcBorders>
              <w:left w:val="single" w:sz="4" w:space="0" w:color="000000"/>
              <w:bottom w:val="nil" w:sz="6" w:space="0" w:color="auto"/>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4" w:type="dxa"/>
            <w:vMerge/>
            <w:tcBorders>
              <w:left w:val="single" w:sz="4" w:space="0" w:color="000000"/>
              <w:right w:val="single" w:sz="4" w:space="0" w:color="000000"/>
            </w:tcBorders>
            <w:shd w:val="clear" w:color="auto" w:fill="D2D2D2"/>
          </w:tcPr>
          <w:p>
            <w:pPr/>
          </w:p>
        </w:tc>
        <w:tc>
          <w:tcPr>
            <w:tcW w:w="666"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56" w:hRule="exact"/>
        </w:trPr>
        <w:tc>
          <w:tcPr>
            <w:tcW w:w="1427" w:type="dxa"/>
            <w:vMerge/>
            <w:tcBorders>
              <w:left w:val="single" w:sz="4" w:space="0" w:color="000000"/>
              <w:right w:val="single" w:sz="4" w:space="0" w:color="000000"/>
            </w:tcBorders>
            <w:shd w:val="clear" w:color="auto" w:fill="D2D2D2"/>
          </w:tcPr>
          <w:p>
            <w:pPr/>
          </w:p>
        </w:tc>
        <w:tc>
          <w:tcPr>
            <w:tcW w:w="563" w:type="dxa"/>
            <w:vMerge w:val="restart"/>
            <w:tcBorders>
              <w:top w:val="nil" w:sz="6" w:space="0" w:color="auto"/>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4" w:type="dxa"/>
            <w:vMerge/>
            <w:tcBorders>
              <w:left w:val="single" w:sz="4" w:space="0" w:color="000000"/>
              <w:bottom w:val="nil" w:sz="6" w:space="0" w:color="auto"/>
              <w:right w:val="single" w:sz="4" w:space="0" w:color="000000"/>
            </w:tcBorders>
            <w:shd w:val="clear" w:color="auto" w:fill="D2D2D2"/>
          </w:tcPr>
          <w:p>
            <w:pPr/>
          </w:p>
        </w:tc>
        <w:tc>
          <w:tcPr>
            <w:tcW w:w="666"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
        </w:tc>
        <w:tc>
          <w:tcPr>
            <w:tcW w:w="659" w:type="dxa"/>
            <w:vMerge/>
            <w:tcBorders>
              <w:left w:val="single" w:sz="4" w:space="0" w:color="000000"/>
              <w:bottom w:val="nil" w:sz="6" w:space="0" w:color="auto"/>
              <w:right w:val="single" w:sz="4" w:space="0" w:color="000000"/>
            </w:tcBorders>
            <w:shd w:val="clear" w:color="auto" w:fill="D2D2D2"/>
          </w:tcPr>
          <w:p>
            <w:pPr/>
          </w:p>
        </w:tc>
      </w:tr>
      <w:tr>
        <w:trPr>
          <w:trHeight w:val="228" w:hRule="exact"/>
        </w:trPr>
        <w:tc>
          <w:tcPr>
            <w:tcW w:w="1427" w:type="dxa"/>
            <w:vMerge/>
            <w:tcBorders>
              <w:left w:val="single" w:sz="4" w:space="0" w:color="000000"/>
              <w:bottom w:val="single" w:sz="4" w:space="0" w:color="000000"/>
              <w:right w:val="single" w:sz="4" w:space="0" w:color="000000"/>
            </w:tcBorders>
            <w:shd w:val="clear" w:color="auto" w:fill="D2D2D2"/>
          </w:tcPr>
          <w:p>
            <w:pPr/>
          </w:p>
        </w:tc>
        <w:tc>
          <w:tcPr>
            <w:tcW w:w="563"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2"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4" w:type="dxa"/>
            <w:tcBorders>
              <w:top w:val="nil" w:sz="6" w:space="0" w:color="auto"/>
              <w:left w:val="single" w:sz="4" w:space="0" w:color="000000"/>
              <w:bottom w:val="single" w:sz="4" w:space="0" w:color="000000"/>
              <w:right w:val="single" w:sz="4" w:space="0" w:color="000000"/>
            </w:tcBorders>
            <w:shd w:val="clear" w:color="auto" w:fill="D2D2D2"/>
          </w:tcPr>
          <w:p>
            <w:pPr/>
          </w:p>
        </w:tc>
        <w:tc>
          <w:tcPr>
            <w:tcW w:w="666"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5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7"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63" w:type="dxa"/>
            <w:vMerge w:val="restart"/>
            <w:tcBorders>
              <w:top w:val="single" w:sz="4" w:space="0" w:color="000000"/>
              <w:left w:val="single" w:sz="9" w:space="0" w:color="D2D2D2"/>
              <w:right w:val="single" w:sz="4" w:space="0" w:color="000000"/>
            </w:tcBorders>
          </w:tcPr>
          <w:p>
            <w:pPr>
              <w:pStyle w:val="TableParagraph"/>
              <w:spacing w:line="240" w:lineRule="auto" w:before="91"/>
              <w:ind w:left="29" w:right="0"/>
              <w:jc w:val="left"/>
              <w:rPr>
                <w:rFonts w:ascii="Times New Roman" w:hAnsi="Times New Roman" w:cs="Times New Roman" w:eastAsia="Times New Roman" w:hint="default"/>
                <w:sz w:val="18"/>
                <w:szCs w:val="18"/>
              </w:rPr>
            </w:pPr>
            <w:r>
              <w:rPr>
                <w:rFonts w:ascii="Times New Roman"/>
                <w:sz w:val="18"/>
              </w:rPr>
              <w:t>202,40</w:t>
            </w:r>
          </w:p>
          <w:p>
            <w:pPr>
              <w:pStyle w:val="TableParagraph"/>
              <w:spacing w:line="240" w:lineRule="auto" w:before="105"/>
              <w:ind w:left="73" w:right="0"/>
              <w:jc w:val="left"/>
              <w:rPr>
                <w:rFonts w:ascii="Times New Roman" w:hAnsi="Times New Roman" w:cs="Times New Roman" w:eastAsia="Times New Roman" w:hint="default"/>
                <w:sz w:val="18"/>
                <w:szCs w:val="18"/>
              </w:rPr>
            </w:pPr>
            <w:r>
              <w:rPr>
                <w:rFonts w:ascii="Times New Roman"/>
                <w:sz w:val="18"/>
              </w:rPr>
              <w:t>1,442.</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257,160</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,617.78</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30,809,</w:t>
            </w:r>
          </w:p>
          <w:p>
            <w:pPr>
              <w:pStyle w:val="TableParagraph"/>
              <w:spacing w:line="240" w:lineRule="auto" w:before="106"/>
              <w:ind w:left="150" w:right="0"/>
              <w:jc w:val="left"/>
              <w:rPr>
                <w:rFonts w:ascii="Times New Roman" w:hAnsi="Times New Roman" w:cs="Times New Roman" w:eastAsia="Times New Roman" w:hint="default"/>
                <w:sz w:val="18"/>
                <w:szCs w:val="18"/>
              </w:rPr>
            </w:pPr>
            <w:r>
              <w:rPr>
                <w:rFonts w:ascii="Times New Roman"/>
                <w:spacing w:val="-3"/>
                <w:sz w:val="18"/>
              </w:rPr>
              <w:t>111.03</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30,403,</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641.80</w:t>
            </w: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215,291</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,873.17</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25,874,</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377.23</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700,322</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,840.95</w:t>
            </w:r>
          </w:p>
        </w:tc>
      </w:tr>
      <w:tr>
        <w:trPr>
          <w:trHeight w:val="392"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1"/>
              <w:jc w:val="righ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3"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63"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21"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43"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63" w:type="dxa"/>
            <w:vMerge w:val="restart"/>
            <w:tcBorders>
              <w:top w:val="single" w:sz="4" w:space="0" w:color="000000"/>
              <w:left w:val="single" w:sz="9" w:space="0" w:color="D2D2D2"/>
              <w:right w:val="single" w:sz="4" w:space="0" w:color="000000"/>
            </w:tcBorders>
          </w:tcPr>
          <w:p>
            <w:pPr>
              <w:pStyle w:val="TableParagraph"/>
              <w:spacing w:line="240" w:lineRule="auto" w:before="91"/>
              <w:ind w:left="29" w:right="0"/>
              <w:jc w:val="left"/>
              <w:rPr>
                <w:rFonts w:ascii="Times New Roman" w:hAnsi="Times New Roman" w:cs="Times New Roman" w:eastAsia="Times New Roman" w:hint="default"/>
                <w:sz w:val="18"/>
                <w:szCs w:val="18"/>
              </w:rPr>
            </w:pPr>
            <w:r>
              <w:rPr>
                <w:rFonts w:ascii="Times New Roman"/>
                <w:sz w:val="18"/>
              </w:rPr>
              <w:t>202,40</w:t>
            </w:r>
          </w:p>
          <w:p>
            <w:pPr>
              <w:pStyle w:val="TableParagraph"/>
              <w:spacing w:line="240" w:lineRule="auto" w:before="105"/>
              <w:ind w:left="73" w:right="0"/>
              <w:jc w:val="left"/>
              <w:rPr>
                <w:rFonts w:ascii="Times New Roman" w:hAnsi="Times New Roman" w:cs="Times New Roman" w:eastAsia="Times New Roman" w:hint="default"/>
                <w:sz w:val="18"/>
                <w:szCs w:val="18"/>
              </w:rPr>
            </w:pPr>
            <w:r>
              <w:rPr>
                <w:rFonts w:ascii="Times New Roman"/>
                <w:sz w:val="18"/>
              </w:rPr>
              <w:t>1,442.</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257,160</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,617.78</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30,809,</w:t>
            </w:r>
          </w:p>
          <w:p>
            <w:pPr>
              <w:pStyle w:val="TableParagraph"/>
              <w:spacing w:line="240" w:lineRule="auto" w:before="106"/>
              <w:ind w:left="150" w:right="0"/>
              <w:jc w:val="left"/>
              <w:rPr>
                <w:rFonts w:ascii="Times New Roman" w:hAnsi="Times New Roman" w:cs="Times New Roman" w:eastAsia="Times New Roman" w:hint="default"/>
                <w:sz w:val="18"/>
                <w:szCs w:val="18"/>
              </w:rPr>
            </w:pPr>
            <w:r>
              <w:rPr>
                <w:rFonts w:ascii="Times New Roman"/>
                <w:spacing w:val="-3"/>
                <w:sz w:val="18"/>
              </w:rPr>
              <w:t>111.03</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30,403,</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641.80</w:t>
            </w: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215,291</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,873.17</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25,874,</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377.23</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700,322</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,840.95</w:t>
            </w:r>
          </w:p>
        </w:tc>
      </w:tr>
      <w:tr>
        <w:trPr>
          <w:trHeight w:val="392"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1"/>
              <w:jc w:val="righ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3"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63"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1026"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21"/>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39"/>
                <w:sz w:val="18"/>
                <w:szCs w:val="18"/>
              </w:rPr>
              <w:t> </w:t>
            </w:r>
            <w:r>
              <w:rPr>
                <w:rFonts w:ascii="宋体" w:hAnsi="宋体" w:cs="宋体" w:eastAsia="宋体" w:hint="default"/>
                <w:sz w:val="18"/>
                <w:szCs w:val="18"/>
              </w:rPr>
              <w:t>号填列）</w:t>
            </w:r>
          </w:p>
        </w:tc>
        <w:tc>
          <w:tcPr>
            <w:tcW w:w="5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15,969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,217.0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334,567</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,897.98</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-12,842,</w:t>
            </w:r>
          </w:p>
          <w:p>
            <w:pPr>
              <w:pStyle w:val="TableParagraph"/>
              <w:spacing w:line="240" w:lineRule="auto" w:before="106"/>
              <w:ind w:left="113" w:right="0"/>
              <w:jc w:val="center"/>
              <w:rPr>
                <w:rFonts w:ascii="Times New Roman" w:hAnsi="Times New Roman" w:cs="Times New Roman" w:eastAsia="Times New Roman" w:hint="default"/>
                <w:sz w:val="18"/>
                <w:szCs w:val="18"/>
              </w:rPr>
            </w:pPr>
            <w:r>
              <w:rPr>
                <w:rFonts w:ascii="Times New Roman"/>
                <w:sz w:val="18"/>
              </w:rPr>
              <w:t>496.00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9" w:right="0"/>
              <w:jc w:val="center"/>
              <w:rPr>
                <w:rFonts w:ascii="Times New Roman" w:hAnsi="Times New Roman" w:cs="Times New Roman" w:eastAsia="Times New Roman" w:hint="default"/>
                <w:sz w:val="18"/>
                <w:szCs w:val="18"/>
              </w:rPr>
            </w:pPr>
            <w:r>
              <w:rPr>
                <w:rFonts w:ascii="Times New Roman"/>
                <w:sz w:val="18"/>
              </w:rPr>
              <w:t>6,351,5</w:t>
            </w:r>
          </w:p>
          <w:p>
            <w:pPr>
              <w:pStyle w:val="TableParagraph"/>
              <w:spacing w:line="240" w:lineRule="auto" w:before="106"/>
              <w:ind w:left="204" w:right="0"/>
              <w:jc w:val="center"/>
              <w:rPr>
                <w:rFonts w:ascii="Times New Roman" w:hAnsi="Times New Roman" w:cs="Times New Roman" w:eastAsia="Times New Roman" w:hint="default"/>
                <w:sz w:val="18"/>
                <w:szCs w:val="18"/>
              </w:rPr>
            </w:pPr>
            <w:r>
              <w:rPr>
                <w:rFonts w:ascii="Times New Roman"/>
                <w:sz w:val="18"/>
              </w:rPr>
              <w:t>77.71</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87,231,</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993.04</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8,057,8</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53.21</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465,021</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,034.94</w:t>
            </w: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21"/>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 w:right="0"/>
              <w:jc w:val="left"/>
              <w:rPr>
                <w:rFonts w:ascii="Times New Roman" w:hAnsi="Times New Roman" w:cs="Times New Roman" w:eastAsia="Times New Roman" w:hint="default"/>
                <w:sz w:val="18"/>
                <w:szCs w:val="18"/>
              </w:rPr>
            </w:pPr>
            <w:r>
              <w:rPr>
                <w:rFonts w:ascii="Times New Roman"/>
                <w:spacing w:val="-3"/>
                <w:sz w:val="18"/>
              </w:rPr>
              <w:t>111,185</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,107.71</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8,124,6</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16.26</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6" w:right="0"/>
              <w:jc w:val="left"/>
              <w:rPr>
                <w:rFonts w:ascii="Times New Roman" w:hAnsi="Times New Roman" w:cs="Times New Roman" w:eastAsia="Times New Roman" w:hint="default"/>
                <w:sz w:val="18"/>
                <w:szCs w:val="18"/>
              </w:rPr>
            </w:pPr>
            <w:r>
              <w:rPr>
                <w:rFonts w:ascii="Times New Roman"/>
                <w:sz w:val="18"/>
              </w:rPr>
              <w:t>119,309</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,723.97</w:t>
            </w:r>
          </w:p>
        </w:tc>
      </w:tr>
      <w:tr>
        <w:trPr>
          <w:trHeight w:val="161"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63"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15,969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,217.0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328,759</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,854.73</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-12,842,</w:t>
            </w:r>
          </w:p>
          <w:p>
            <w:pPr>
              <w:pStyle w:val="TableParagraph"/>
              <w:spacing w:line="240" w:lineRule="auto" w:before="106"/>
              <w:ind w:left="113" w:right="0"/>
              <w:jc w:val="center"/>
              <w:rPr>
                <w:rFonts w:ascii="Times New Roman" w:hAnsi="Times New Roman" w:cs="Times New Roman" w:eastAsia="Times New Roman" w:hint="default"/>
                <w:sz w:val="18"/>
                <w:szCs w:val="18"/>
              </w:rPr>
            </w:pPr>
            <w:r>
              <w:rPr>
                <w:rFonts w:ascii="Times New Roman"/>
                <w:sz w:val="18"/>
              </w:rPr>
              <w:t>496.00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-66,763.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05</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357,504</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,804.68</w:t>
            </w:r>
          </w:p>
        </w:tc>
      </w:tr>
      <w:tr>
        <w:trPr>
          <w:trHeight w:val="705"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51"/>
              <w:ind w:left="11" w:right="21"/>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和减少资本</w:t>
            </w:r>
          </w:p>
        </w:tc>
        <w:tc>
          <w:tcPr>
            <w:tcW w:w="563"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161"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63"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1"/>
              <w:ind w:left="24" w:right="0"/>
              <w:jc w:val="left"/>
              <w:rPr>
                <w:rFonts w:ascii="Times New Roman" w:hAnsi="Times New Roman" w:cs="Times New Roman" w:eastAsia="Times New Roman" w:hint="default"/>
                <w:sz w:val="18"/>
                <w:szCs w:val="18"/>
              </w:rPr>
            </w:pPr>
            <w:r>
              <w:rPr>
                <w:rFonts w:ascii="Times New Roman"/>
                <w:sz w:val="18"/>
              </w:rPr>
              <w:t>15,945</w:t>
            </w:r>
          </w:p>
          <w:p>
            <w:pPr>
              <w:pStyle w:val="TableParagraph"/>
              <w:spacing w:line="240" w:lineRule="auto" w:before="104"/>
              <w:ind w:left="68" w:right="0"/>
              <w:jc w:val="left"/>
              <w:rPr>
                <w:rFonts w:ascii="Times New Roman" w:hAnsi="Times New Roman" w:cs="Times New Roman" w:eastAsia="Times New Roman" w:hint="default"/>
                <w:sz w:val="18"/>
                <w:szCs w:val="18"/>
              </w:rPr>
            </w:pPr>
            <w:r>
              <w:rPr>
                <w:rFonts w:ascii="Times New Roman"/>
                <w:sz w:val="18"/>
              </w:rPr>
              <w:t>,368.0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6" w:right="0"/>
              <w:jc w:val="left"/>
              <w:rPr>
                <w:rFonts w:ascii="Times New Roman" w:hAnsi="Times New Roman" w:cs="Times New Roman" w:eastAsia="Times New Roman" w:hint="default"/>
                <w:sz w:val="18"/>
                <w:szCs w:val="18"/>
              </w:rPr>
            </w:pPr>
            <w:r>
              <w:rPr>
                <w:rFonts w:ascii="Times New Roman"/>
                <w:sz w:val="18"/>
              </w:rPr>
              <w:t>328,628</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,604.48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344,573</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,972.48</w:t>
            </w:r>
          </w:p>
        </w:tc>
      </w:tr>
    </w:tbl>
    <w:p>
      <w:pPr>
        <w:spacing w:after="0" w:line="240" w:lineRule="auto"/>
        <w:jc w:val="left"/>
        <w:rPr>
          <w:rFonts w:ascii="Times New Roman" w:hAnsi="Times New Roman" w:cs="Times New Roman" w:eastAsia="Times New Roman" w:hint="default"/>
          <w:sz w:val="18"/>
          <w:szCs w:val="18"/>
        </w:rPr>
        <w:sectPr>
          <w:pgSz w:w="11910" w:h="16840"/>
          <w:pgMar w:header="787" w:footer="640" w:top="1100" w:bottom="840" w:left="0" w:right="0"/>
        </w:sectPr>
      </w:pPr>
    </w:p>
    <w:p>
      <w:pPr>
        <w:spacing w:line="240" w:lineRule="auto" w:before="5"/>
        <w:rPr>
          <w:rFonts w:ascii="宋体" w:hAnsi="宋体" w:cs="宋体" w:eastAsia="宋体" w:hint="default"/>
          <w:sz w:val="25"/>
          <w:szCs w:val="25"/>
        </w:rPr>
      </w:pPr>
    </w:p>
    <w:tbl>
      <w:tblPr>
        <w:tblW w:w="0" w:type="auto"/>
        <w:jc w:val="left"/>
        <w:tblInd w:w="112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59"/>
      </w:tblGrid>
      <w:tr>
        <w:trPr>
          <w:trHeight w:val="36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 w:right="0"/>
              <w:jc w:val="center"/>
              <w:rPr>
                <w:rFonts w:ascii="Times New Roman" w:hAnsi="Times New Roman" w:cs="Times New Roman" w:eastAsia="Times New Roman" w:hint="default"/>
                <w:sz w:val="18"/>
                <w:szCs w:val="18"/>
              </w:rPr>
            </w:pPr>
            <w:r>
              <w:rPr>
                <w:rFonts w:ascii="Times New Roman"/>
                <w:sz w:val="18"/>
              </w:rPr>
              <w:t>149,40</w:t>
            </w:r>
          </w:p>
          <w:p>
            <w:pPr>
              <w:pStyle w:val="TableParagraph"/>
              <w:spacing w:line="240" w:lineRule="auto" w:before="105"/>
              <w:ind w:left="194" w:right="0"/>
              <w:jc w:val="center"/>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1,662,7</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52.20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1,817,1</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52.20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-5,000.0</w:t>
            </w:r>
            <w:r>
              <w:rPr>
                <w:rFonts w:ascii="Times New Roman"/>
                <w:sz w:val="18"/>
              </w:rPr>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5" w:right="0"/>
              <w:jc w:val="left"/>
              <w:rPr>
                <w:rFonts w:ascii="Times New Roman" w:hAnsi="Times New Roman" w:cs="Times New Roman" w:eastAsia="Times New Roman" w:hint="default"/>
                <w:sz w:val="18"/>
                <w:szCs w:val="18"/>
              </w:rPr>
            </w:pPr>
            <w:r>
              <w:rPr>
                <w:rFonts w:ascii="Times New Roman"/>
                <w:sz w:val="18"/>
              </w:rPr>
              <w:t>-125,5</w:t>
            </w:r>
          </w:p>
          <w:p>
            <w:pPr>
              <w:pStyle w:val="TableParagraph"/>
              <w:spacing w:line="240" w:lineRule="auto" w:before="105"/>
              <w:ind w:left="125" w:right="0"/>
              <w:jc w:val="left"/>
              <w:rPr>
                <w:rFonts w:ascii="Times New Roman" w:hAnsi="Times New Roman" w:cs="Times New Roman" w:eastAsia="Times New Roman" w:hint="default"/>
                <w:sz w:val="18"/>
                <w:szCs w:val="18"/>
              </w:rPr>
            </w:pPr>
            <w:r>
              <w:rPr>
                <w:rFonts w:ascii="Times New Roman"/>
                <w:sz w:val="18"/>
              </w:rPr>
              <w:t>51.00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-1,531,5</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01.95</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-14,659,</w:t>
            </w:r>
          </w:p>
          <w:p>
            <w:pPr>
              <w:pStyle w:val="TableParagraph"/>
              <w:spacing w:line="240" w:lineRule="auto" w:before="105"/>
              <w:ind w:left="114" w:right="0"/>
              <w:jc w:val="center"/>
              <w:rPr>
                <w:rFonts w:ascii="Times New Roman" w:hAnsi="Times New Roman" w:cs="Times New Roman" w:eastAsia="Times New Roman" w:hint="default"/>
                <w:sz w:val="18"/>
                <w:szCs w:val="18"/>
              </w:rPr>
            </w:pPr>
            <w:r>
              <w:rPr>
                <w:rFonts w:ascii="Times New Roman"/>
                <w:sz w:val="18"/>
              </w:rPr>
              <w:t>648.20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-66,763.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05</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 w:right="0"/>
              <w:jc w:val="left"/>
              <w:rPr>
                <w:rFonts w:ascii="Times New Roman" w:hAnsi="Times New Roman" w:cs="Times New Roman" w:eastAsia="Times New Roman" w:hint="default"/>
                <w:sz w:val="18"/>
                <w:szCs w:val="18"/>
              </w:rPr>
            </w:pPr>
            <w:r>
              <w:rPr>
                <w:rFonts w:ascii="Times New Roman"/>
                <w:sz w:val="18"/>
              </w:rPr>
              <w:t>12,935,</w:t>
            </w:r>
          </w:p>
          <w:p>
            <w:pPr>
              <w:pStyle w:val="TableParagraph"/>
              <w:spacing w:line="240" w:lineRule="auto" w:before="105"/>
              <w:ind w:left="130" w:right="0"/>
              <w:jc w:val="left"/>
              <w:rPr>
                <w:rFonts w:ascii="Times New Roman" w:hAnsi="Times New Roman" w:cs="Times New Roman" w:eastAsia="Times New Roman" w:hint="default"/>
                <w:sz w:val="18"/>
                <w:szCs w:val="18"/>
              </w:rPr>
            </w:pPr>
            <w:r>
              <w:rPr>
                <w:rFonts w:ascii="Times New Roman"/>
                <w:sz w:val="18"/>
              </w:rPr>
              <w:t>832.20</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center"/>
              <w:rPr>
                <w:rFonts w:ascii="Times New Roman" w:hAnsi="Times New Roman" w:cs="Times New Roman" w:eastAsia="Times New Roman" w:hint="default"/>
                <w:sz w:val="18"/>
                <w:szCs w:val="18"/>
              </w:rPr>
            </w:pPr>
            <w:r>
              <w:rPr>
                <w:rFonts w:ascii="Times New Roman"/>
                <w:sz w:val="18"/>
              </w:rPr>
              <w:t>6,351,5</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77.71</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-23,953,</w:t>
            </w:r>
          </w:p>
          <w:p>
            <w:pPr>
              <w:pStyle w:val="TableParagraph"/>
              <w:spacing w:line="240" w:lineRule="auto" w:before="105"/>
              <w:ind w:left="118" w:right="0"/>
              <w:jc w:val="center"/>
              <w:rPr>
                <w:rFonts w:ascii="Times New Roman" w:hAnsi="Times New Roman" w:cs="Times New Roman" w:eastAsia="Times New Roman" w:hint="default"/>
                <w:sz w:val="18"/>
                <w:szCs w:val="18"/>
              </w:rPr>
            </w:pPr>
            <w:r>
              <w:rPr>
                <w:rFonts w:ascii="Times New Roman"/>
                <w:sz w:val="18"/>
              </w:rPr>
              <w:t>114.67</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-17,601,</w:t>
            </w:r>
          </w:p>
          <w:p>
            <w:pPr>
              <w:pStyle w:val="TableParagraph"/>
              <w:spacing w:line="240" w:lineRule="auto" w:before="105"/>
              <w:ind w:left="107" w:right="0"/>
              <w:jc w:val="center"/>
              <w:rPr>
                <w:rFonts w:ascii="Times New Roman" w:hAnsi="Times New Roman" w:cs="Times New Roman" w:eastAsia="Times New Roman" w:hint="default"/>
                <w:sz w:val="18"/>
                <w:szCs w:val="18"/>
              </w:rPr>
            </w:pPr>
            <w:r>
              <w:rPr>
                <w:rFonts w:ascii="Times New Roman"/>
                <w:sz w:val="18"/>
              </w:rPr>
              <w:t>536.96</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center"/>
              <w:rPr>
                <w:rFonts w:ascii="Times New Roman" w:hAnsi="Times New Roman" w:cs="Times New Roman" w:eastAsia="Times New Roman" w:hint="default"/>
                <w:sz w:val="18"/>
                <w:szCs w:val="18"/>
              </w:rPr>
            </w:pPr>
            <w:r>
              <w:rPr>
                <w:rFonts w:ascii="Times New Roman"/>
                <w:sz w:val="18"/>
              </w:rPr>
              <w:t>6,351,5</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77.71</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-6,351,5</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77.71</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-17,601,</w:t>
            </w:r>
          </w:p>
          <w:p>
            <w:pPr>
              <w:pStyle w:val="TableParagraph"/>
              <w:spacing w:line="240" w:lineRule="auto" w:before="105"/>
              <w:ind w:left="113" w:right="0"/>
              <w:jc w:val="center"/>
              <w:rPr>
                <w:rFonts w:ascii="Times New Roman" w:hAnsi="Times New Roman" w:cs="Times New Roman" w:eastAsia="Times New Roman" w:hint="default"/>
                <w:sz w:val="18"/>
                <w:szCs w:val="18"/>
              </w:rPr>
            </w:pPr>
            <w:r>
              <w:rPr>
                <w:rFonts w:ascii="Times New Roman"/>
                <w:sz w:val="18"/>
              </w:rPr>
              <w:t>536.96</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-17,601,</w:t>
            </w:r>
          </w:p>
          <w:p>
            <w:pPr>
              <w:pStyle w:val="TableParagraph"/>
              <w:spacing w:line="240" w:lineRule="auto" w:before="105"/>
              <w:ind w:left="107" w:right="0"/>
              <w:jc w:val="center"/>
              <w:rPr>
                <w:rFonts w:ascii="Times New Roman" w:hAnsi="Times New Roman" w:cs="Times New Roman" w:eastAsia="Times New Roman" w:hint="default"/>
                <w:sz w:val="18"/>
                <w:szCs w:val="18"/>
              </w:rPr>
            </w:pPr>
            <w:r>
              <w:rPr>
                <w:rFonts w:ascii="Times New Roman"/>
                <w:sz w:val="18"/>
              </w:rPr>
              <w:t>536.96</w:t>
            </w: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内部结转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5,808,0</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43.25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 w:right="0"/>
              <w:jc w:val="center"/>
              <w:rPr>
                <w:rFonts w:ascii="Times New Roman" w:hAnsi="Times New Roman" w:cs="Times New Roman" w:eastAsia="Times New Roman" w:hint="default"/>
                <w:sz w:val="18"/>
                <w:szCs w:val="18"/>
              </w:rPr>
            </w:pPr>
            <w:r>
              <w:rPr>
                <w:rFonts w:ascii="Times New Roman"/>
                <w:sz w:val="18"/>
              </w:rPr>
              <w:t>5,808,0</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43.25</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218,37</w:t>
            </w:r>
          </w:p>
          <w:p>
            <w:pPr>
              <w:pStyle w:val="TableParagraph"/>
              <w:spacing w:line="240" w:lineRule="auto" w:before="104"/>
              <w:ind w:left="80" w:right="0"/>
              <w:jc w:val="left"/>
              <w:rPr>
                <w:rFonts w:ascii="Times New Roman" w:hAnsi="Times New Roman" w:cs="Times New Roman" w:eastAsia="Times New Roman" w:hint="default"/>
                <w:sz w:val="18"/>
                <w:szCs w:val="18"/>
              </w:rPr>
            </w:pPr>
            <w:r>
              <w:rPr>
                <w:rFonts w:ascii="Times New Roman"/>
                <w:sz w:val="18"/>
              </w:rPr>
              <w:t>0,659.</w:t>
            </w:r>
          </w:p>
          <w:p>
            <w:pPr>
              <w:pStyle w:val="TableParagraph"/>
              <w:spacing w:line="240" w:lineRule="auto" w:before="106"/>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591,728</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,515.76</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17,966,</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615.03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36,755,</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219.51</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302,523</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,866.21</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33,932,</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230.44</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1,165,3</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43,875.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89</w:t>
            </w:r>
          </w:p>
        </w:tc>
      </w:tr>
    </w:tbl>
    <w:p>
      <w:pPr>
        <w:pStyle w:val="BodyText"/>
        <w:spacing w:line="240" w:lineRule="auto" w:before="51"/>
        <w:ind w:right="0"/>
        <w:jc w:val="left"/>
      </w:pPr>
      <w:r>
        <w:rPr/>
        <w:t>上期金额</w:t>
      </w:r>
    </w:p>
    <w:p>
      <w:pPr>
        <w:pStyle w:val="BodyText"/>
        <w:spacing w:line="240" w:lineRule="auto" w:before="11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438"/>
        <w:gridCol w:w="6822"/>
        <w:gridCol w:w="652"/>
        <w:gridCol w:w="647"/>
      </w:tblGrid>
      <w:tr>
        <w:trPr>
          <w:trHeight w:val="402" w:hRule="exact"/>
        </w:trPr>
        <w:tc>
          <w:tcPr>
            <w:tcW w:w="14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812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1438" w:type="dxa"/>
            <w:vMerge/>
            <w:tcBorders>
              <w:left w:val="single" w:sz="4" w:space="0" w:color="000000"/>
              <w:bottom w:val="single" w:sz="4" w:space="0" w:color="000000"/>
              <w:right w:val="single" w:sz="4" w:space="0" w:color="000000"/>
            </w:tcBorders>
            <w:shd w:val="clear" w:color="auto" w:fill="D2D2D2"/>
          </w:tcPr>
          <w:p>
            <w:pPr/>
          </w:p>
        </w:tc>
        <w:tc>
          <w:tcPr>
            <w:tcW w:w="68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50" w:right="0"/>
              <w:jc w:val="left"/>
              <w:rPr>
                <w:rFonts w:ascii="宋体" w:hAnsi="宋体" w:cs="宋体" w:eastAsia="宋体" w:hint="default"/>
                <w:sz w:val="18"/>
                <w:szCs w:val="18"/>
              </w:rPr>
            </w:pPr>
            <w:r>
              <w:rPr>
                <w:rFonts w:ascii="宋体" w:hAnsi="宋体" w:cs="宋体" w:eastAsia="宋体" w:hint="default"/>
                <w:sz w:val="18"/>
                <w:szCs w:val="18"/>
              </w:rPr>
              <w:t>少数股</w:t>
            </w:r>
          </w:p>
        </w:tc>
        <w:tc>
          <w:tcPr>
            <w:tcW w:w="6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53" w:right="0"/>
              <w:jc w:val="left"/>
              <w:rPr>
                <w:rFonts w:ascii="宋体" w:hAnsi="宋体" w:cs="宋体" w:eastAsia="宋体" w:hint="default"/>
                <w:sz w:val="18"/>
                <w:szCs w:val="18"/>
              </w:rPr>
            </w:pPr>
            <w:r>
              <w:rPr>
                <w:rFonts w:ascii="宋体" w:hAnsi="宋体" w:cs="宋体" w:eastAsia="宋体" w:hint="default"/>
                <w:sz w:val="18"/>
                <w:szCs w:val="18"/>
              </w:rPr>
              <w:t>所有者</w:t>
            </w:r>
          </w:p>
        </w:tc>
      </w:tr>
    </w:tbl>
    <w:p>
      <w:pPr>
        <w:spacing w:after="0" w:line="240" w:lineRule="auto"/>
        <w:jc w:val="left"/>
        <w:rPr>
          <w:rFonts w:ascii="宋体" w:hAnsi="宋体" w:cs="宋体" w:eastAsia="宋体" w:hint="default"/>
          <w:sz w:val="18"/>
          <w:szCs w:val="18"/>
        </w:rPr>
        <w:sectPr>
          <w:pgSz w:w="11910" w:h="16840"/>
          <w:pgMar w:header="787" w:footer="640" w:top="1100" w:bottom="840" w:left="0" w:right="0"/>
        </w:sectPr>
      </w:pPr>
    </w:p>
    <w:p>
      <w:pPr>
        <w:spacing w:line="240" w:lineRule="auto" w:before="4"/>
        <w:rPr>
          <w:rFonts w:ascii="Times New Roman" w:hAnsi="Times New Roman" w:cs="Times New Roman" w:eastAsia="Times New Roman" w:hint="default"/>
          <w:sz w:val="3"/>
          <w:szCs w:val="3"/>
        </w:rPr>
      </w:pPr>
    </w:p>
    <w:p>
      <w:pPr>
        <w:spacing w:line="20" w:lineRule="exact"/>
        <w:ind w:left="1096"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10"/>
        <w:rPr>
          <w:rFonts w:ascii="Times New Roman" w:hAnsi="Times New Roman" w:cs="Times New Roman" w:eastAsia="Times New Roman" w:hint="default"/>
          <w:sz w:val="23"/>
          <w:szCs w:val="23"/>
        </w:rPr>
      </w:pPr>
    </w:p>
    <w:tbl>
      <w:tblPr>
        <w:tblW w:w="0" w:type="auto"/>
        <w:jc w:val="left"/>
        <w:tblInd w:w="1140" w:type="dxa"/>
        <w:tblLayout w:type="fixed"/>
        <w:tblCellMar>
          <w:top w:w="0" w:type="dxa"/>
          <w:left w:w="0" w:type="dxa"/>
          <w:bottom w:w="0" w:type="dxa"/>
          <w:right w:w="0" w:type="dxa"/>
        </w:tblCellMar>
        <w:tblLook w:val="01E0"/>
      </w:tblPr>
      <w:tblGrid>
        <w:gridCol w:w="1415"/>
        <w:gridCol w:w="574"/>
        <w:gridCol w:w="530"/>
        <w:gridCol w:w="532"/>
        <w:gridCol w:w="530"/>
        <w:gridCol w:w="665"/>
        <w:gridCol w:w="665"/>
        <w:gridCol w:w="665"/>
        <w:gridCol w:w="665"/>
        <w:gridCol w:w="665"/>
        <w:gridCol w:w="665"/>
        <w:gridCol w:w="678"/>
        <w:gridCol w:w="652"/>
        <w:gridCol w:w="659"/>
      </w:tblGrid>
      <w:tr>
        <w:trPr>
          <w:trHeight w:val="206" w:hRule="exact"/>
        </w:trPr>
        <w:tc>
          <w:tcPr>
            <w:tcW w:w="1415" w:type="dxa"/>
            <w:vMerge w:val="restart"/>
            <w:tcBorders>
              <w:top w:val="single" w:sz="4" w:space="0" w:color="000000"/>
              <w:left w:val="single" w:sz="4" w:space="0" w:color="000000"/>
              <w:right w:val="single" w:sz="4" w:space="0" w:color="000000"/>
            </w:tcBorders>
            <w:shd w:val="clear" w:color="auto" w:fill="D2D2D2"/>
          </w:tcPr>
          <w:p>
            <w:pPr/>
          </w:p>
        </w:tc>
        <w:tc>
          <w:tcPr>
            <w:tcW w:w="574" w:type="dxa"/>
            <w:vMerge w:val="restart"/>
            <w:tcBorders>
              <w:top w:val="single" w:sz="4" w:space="0" w:color="000000"/>
              <w:left w:val="single" w:sz="4" w:space="0" w:color="000000"/>
              <w:right w:val="single" w:sz="4" w:space="0" w:color="000000"/>
            </w:tcBorders>
            <w:shd w:val="clear" w:color="auto" w:fill="D2D2D2"/>
          </w:tcPr>
          <w:p>
            <w:pPr/>
          </w:p>
        </w:tc>
        <w:tc>
          <w:tcPr>
            <w:tcW w:w="159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78" w:type="dxa"/>
            <w:tcBorders>
              <w:top w:val="single" w:sz="4" w:space="0" w:color="000000"/>
              <w:left w:val="single" w:sz="4" w:space="0" w:color="000000"/>
              <w:bottom w:val="nil" w:sz="6" w:space="0" w:color="auto"/>
              <w:right w:val="single" w:sz="4" w:space="0" w:color="000000"/>
            </w:tcBorders>
            <w:shd w:val="clear" w:color="auto" w:fill="D2D2D2"/>
          </w:tcPr>
          <w:p>
            <w:pPr/>
          </w:p>
        </w:tc>
        <w:tc>
          <w:tcPr>
            <w:tcW w:w="652" w:type="dxa"/>
            <w:vMerge w:val="restart"/>
            <w:tcBorders>
              <w:top w:val="single" w:sz="4" w:space="0" w:color="000000"/>
              <w:left w:val="single" w:sz="9" w:space="0" w:color="D2D2D2"/>
              <w:right w:val="single" w:sz="4" w:space="0" w:color="000000"/>
            </w:tcBorders>
          </w:tcPr>
          <w:p>
            <w:pPr>
              <w:pStyle w:val="TableParagraph"/>
              <w:spacing w:line="240" w:lineRule="auto" w:before="11"/>
              <w:ind w:left="43" w:right="0"/>
              <w:jc w:val="left"/>
              <w:rPr>
                <w:rFonts w:ascii="宋体" w:hAnsi="宋体" w:cs="宋体" w:eastAsia="宋体" w:hint="default"/>
                <w:sz w:val="18"/>
                <w:szCs w:val="18"/>
              </w:rPr>
            </w:pPr>
            <w:r>
              <w:rPr>
                <w:rFonts w:ascii="宋体" w:hAnsi="宋体" w:cs="宋体" w:eastAsia="宋体" w:hint="default"/>
                <w:sz w:val="18"/>
                <w:szCs w:val="18"/>
              </w:rPr>
              <w:t>东权益</w:t>
            </w:r>
          </w:p>
        </w:tc>
        <w:tc>
          <w:tcPr>
            <w:tcW w:w="659" w:type="dxa"/>
            <w:vMerge w:val="restart"/>
            <w:tcBorders>
              <w:top w:val="single" w:sz="4" w:space="0" w:color="000000"/>
              <w:left w:val="single" w:sz="4" w:space="0" w:color="000000"/>
              <w:right w:val="single" w:sz="4" w:space="0" w:color="000000"/>
            </w:tcBorders>
          </w:tcPr>
          <w:p>
            <w:pPr>
              <w:pStyle w:val="TableParagraph"/>
              <w:spacing w:line="319" w:lineRule="auto" w:before="10"/>
              <w:ind w:left="234" w:right="53" w:hanging="180"/>
              <w:jc w:val="left"/>
              <w:rPr>
                <w:rFonts w:ascii="宋体" w:hAnsi="宋体" w:cs="宋体" w:eastAsia="宋体" w:hint="default"/>
                <w:sz w:val="18"/>
                <w:szCs w:val="18"/>
              </w:rPr>
            </w:pPr>
            <w:r>
              <w:rPr>
                <w:rFonts w:ascii="宋体" w:hAnsi="宋体" w:cs="宋体" w:eastAsia="宋体" w:hint="default"/>
                <w:sz w:val="18"/>
                <w:szCs w:val="18"/>
              </w:rPr>
              <w:t>权益合 计</w:t>
            </w:r>
          </w:p>
        </w:tc>
      </w:tr>
      <w:tr>
        <w:trPr>
          <w:trHeight w:val="191" w:hRule="exact"/>
        </w:trPr>
        <w:tc>
          <w:tcPr>
            <w:tcW w:w="1415" w:type="dxa"/>
            <w:vMerge/>
            <w:tcBorders>
              <w:left w:val="single" w:sz="4" w:space="0" w:color="000000"/>
              <w:right w:val="single" w:sz="4" w:space="0" w:color="000000"/>
            </w:tcBorders>
            <w:shd w:val="clear" w:color="auto" w:fill="D2D2D2"/>
          </w:tcPr>
          <w:p>
            <w:pPr/>
          </w:p>
        </w:tc>
        <w:tc>
          <w:tcPr>
            <w:tcW w:w="574" w:type="dxa"/>
            <w:vMerge/>
            <w:tcBorders>
              <w:left w:val="single" w:sz="4" w:space="0" w:color="000000"/>
              <w:bottom w:val="nil" w:sz="6" w:space="0" w:color="auto"/>
              <w:right w:val="single" w:sz="4" w:space="0" w:color="000000"/>
            </w:tcBorders>
            <w:shd w:val="clear" w:color="auto" w:fill="D2D2D2"/>
          </w:tcPr>
          <w:p>
            <w:pPr/>
          </w:p>
        </w:tc>
        <w:tc>
          <w:tcPr>
            <w:tcW w:w="1592" w:type="dxa"/>
            <w:gridSpan w:val="3"/>
            <w:vMerge/>
            <w:tcBorders>
              <w:left w:val="single" w:sz="4" w:space="0" w:color="000000"/>
              <w:bottom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7" w:right="57" w:hanging="181"/>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7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53" w:right="62"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52" w:type="dxa"/>
            <w:vMerge/>
            <w:tcBorders>
              <w:left w:val="single" w:sz="9" w:space="0" w:color="D2D2D2"/>
              <w:right w:val="single" w:sz="4" w:space="0" w:color="000000"/>
            </w:tcBorders>
          </w:tcPr>
          <w:p>
            <w:pPr/>
          </w:p>
        </w:tc>
        <w:tc>
          <w:tcPr>
            <w:tcW w:w="659" w:type="dxa"/>
            <w:vMerge/>
            <w:tcBorders>
              <w:left w:val="single" w:sz="4" w:space="0" w:color="000000"/>
              <w:right w:val="single" w:sz="4" w:space="0" w:color="000000"/>
            </w:tcBorders>
          </w:tcPr>
          <w:p>
            <w:pPr/>
          </w:p>
        </w:tc>
      </w:tr>
      <w:tr>
        <w:trPr>
          <w:trHeight w:val="166" w:hRule="exact"/>
        </w:trPr>
        <w:tc>
          <w:tcPr>
            <w:tcW w:w="1415" w:type="dxa"/>
            <w:vMerge/>
            <w:tcBorders>
              <w:left w:val="single" w:sz="4" w:space="0" w:color="000000"/>
              <w:right w:val="single" w:sz="4" w:space="0" w:color="000000"/>
            </w:tcBorders>
            <w:shd w:val="clear" w:color="auto" w:fill="D2D2D2"/>
          </w:tcPr>
          <w:p>
            <w:pPr/>
          </w:p>
        </w:tc>
        <w:tc>
          <w:tcPr>
            <w:tcW w:w="57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6"/>
              <w:ind w:left="107"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6"/>
              <w:ind w:left="170"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6"/>
              <w:ind w:left="171" w:right="78"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78" w:type="dxa"/>
            <w:vMerge/>
            <w:tcBorders>
              <w:left w:val="single" w:sz="4" w:space="0" w:color="000000"/>
              <w:right w:val="single" w:sz="4" w:space="0" w:color="000000"/>
            </w:tcBorders>
            <w:shd w:val="clear" w:color="auto" w:fill="D2D2D2"/>
          </w:tcPr>
          <w:p>
            <w:pPr/>
          </w:p>
        </w:tc>
        <w:tc>
          <w:tcPr>
            <w:tcW w:w="652" w:type="dxa"/>
            <w:vMerge/>
            <w:tcBorders>
              <w:left w:val="single" w:sz="9" w:space="0" w:color="D2D2D2"/>
              <w:right w:val="single" w:sz="4" w:space="0" w:color="000000"/>
            </w:tcBorders>
          </w:tcPr>
          <w:p>
            <w:pPr/>
          </w:p>
        </w:tc>
        <w:tc>
          <w:tcPr>
            <w:tcW w:w="659" w:type="dxa"/>
            <w:vMerge/>
            <w:tcBorders>
              <w:left w:val="single" w:sz="4" w:space="0" w:color="000000"/>
              <w:right w:val="single" w:sz="4" w:space="0" w:color="000000"/>
            </w:tcBorders>
          </w:tcPr>
          <w:p>
            <w:pPr/>
          </w:p>
        </w:tc>
      </w:tr>
      <w:tr>
        <w:trPr>
          <w:trHeight w:val="191" w:hRule="exact"/>
        </w:trPr>
        <w:tc>
          <w:tcPr>
            <w:tcW w:w="1415" w:type="dxa"/>
            <w:vMerge/>
            <w:tcBorders>
              <w:left w:val="single" w:sz="4" w:space="0" w:color="000000"/>
              <w:right w:val="single" w:sz="4" w:space="0" w:color="000000"/>
            </w:tcBorders>
            <w:shd w:val="clear" w:color="auto" w:fill="D2D2D2"/>
          </w:tcPr>
          <w:p>
            <w:pPr/>
          </w:p>
        </w:tc>
        <w:tc>
          <w:tcPr>
            <w:tcW w:w="574" w:type="dxa"/>
            <w:vMerge/>
            <w:tcBorders>
              <w:left w:val="single" w:sz="4" w:space="0" w:color="000000"/>
              <w:bottom w:val="nil" w:sz="6" w:space="0" w:color="auto"/>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78" w:type="dxa"/>
            <w:vMerge/>
            <w:tcBorders>
              <w:left w:val="single" w:sz="4" w:space="0" w:color="000000"/>
              <w:right w:val="single" w:sz="4" w:space="0" w:color="000000"/>
            </w:tcBorders>
            <w:shd w:val="clear" w:color="auto" w:fill="D2D2D2"/>
          </w:tcPr>
          <w:p>
            <w:pPr/>
          </w:p>
        </w:tc>
        <w:tc>
          <w:tcPr>
            <w:tcW w:w="652" w:type="dxa"/>
            <w:vMerge/>
            <w:tcBorders>
              <w:left w:val="single" w:sz="9" w:space="0" w:color="D2D2D2"/>
              <w:right w:val="single" w:sz="4" w:space="0" w:color="000000"/>
            </w:tcBorders>
          </w:tcPr>
          <w:p>
            <w:pPr/>
          </w:p>
        </w:tc>
        <w:tc>
          <w:tcPr>
            <w:tcW w:w="659" w:type="dxa"/>
            <w:vMerge/>
            <w:tcBorders>
              <w:left w:val="single" w:sz="4" w:space="0" w:color="000000"/>
              <w:right w:val="single" w:sz="4" w:space="0" w:color="000000"/>
            </w:tcBorders>
          </w:tcPr>
          <w:p>
            <w:pPr/>
          </w:p>
        </w:tc>
      </w:tr>
      <w:tr>
        <w:trPr>
          <w:trHeight w:val="156" w:hRule="exact"/>
        </w:trPr>
        <w:tc>
          <w:tcPr>
            <w:tcW w:w="1415" w:type="dxa"/>
            <w:vMerge/>
            <w:tcBorders>
              <w:left w:val="single" w:sz="4" w:space="0" w:color="000000"/>
              <w:right w:val="single" w:sz="4" w:space="0" w:color="000000"/>
            </w:tcBorders>
            <w:shd w:val="clear" w:color="auto" w:fill="D2D2D2"/>
          </w:tcPr>
          <w:p>
            <w:pPr/>
          </w:p>
        </w:tc>
        <w:tc>
          <w:tcPr>
            <w:tcW w:w="574" w:type="dxa"/>
            <w:vMerge w:val="restart"/>
            <w:tcBorders>
              <w:top w:val="nil" w:sz="6" w:space="0" w:color="auto"/>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78" w:type="dxa"/>
            <w:vMerge/>
            <w:tcBorders>
              <w:left w:val="single" w:sz="4" w:space="0" w:color="000000"/>
              <w:bottom w:val="nil" w:sz="6" w:space="0" w:color="auto"/>
              <w:right w:val="single" w:sz="4" w:space="0" w:color="000000"/>
            </w:tcBorders>
            <w:shd w:val="clear" w:color="auto" w:fill="D2D2D2"/>
          </w:tcPr>
          <w:p>
            <w:pPr/>
          </w:p>
        </w:tc>
        <w:tc>
          <w:tcPr>
            <w:tcW w:w="652" w:type="dxa"/>
            <w:vMerge/>
            <w:tcBorders>
              <w:left w:val="single" w:sz="9" w:space="0" w:color="D2D2D2"/>
              <w:right w:val="single" w:sz="4" w:space="0" w:color="000000"/>
            </w:tcBorders>
          </w:tcPr>
          <w:p>
            <w:pPr/>
          </w:p>
        </w:tc>
        <w:tc>
          <w:tcPr>
            <w:tcW w:w="659" w:type="dxa"/>
            <w:vMerge/>
            <w:tcBorders>
              <w:left w:val="single" w:sz="4" w:space="0" w:color="000000"/>
              <w:right w:val="single" w:sz="4" w:space="0" w:color="000000"/>
            </w:tcBorders>
          </w:tcPr>
          <w:p>
            <w:pPr/>
          </w:p>
        </w:tc>
      </w:tr>
      <w:tr>
        <w:trPr>
          <w:trHeight w:val="206" w:hRule="exact"/>
        </w:trPr>
        <w:tc>
          <w:tcPr>
            <w:tcW w:w="1415" w:type="dxa"/>
            <w:vMerge/>
            <w:tcBorders>
              <w:left w:val="single" w:sz="4" w:space="0" w:color="000000"/>
              <w:bottom w:val="single" w:sz="4" w:space="0" w:color="000000"/>
              <w:right w:val="single" w:sz="4" w:space="0" w:color="000000"/>
            </w:tcBorders>
            <w:shd w:val="clear" w:color="auto" w:fill="D2D2D2"/>
          </w:tcPr>
          <w:p>
            <w:pPr/>
          </w:p>
        </w:tc>
        <w:tc>
          <w:tcPr>
            <w:tcW w:w="574"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2"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78" w:type="dxa"/>
            <w:tcBorders>
              <w:top w:val="nil" w:sz="6" w:space="0" w:color="auto"/>
              <w:left w:val="single" w:sz="4" w:space="0" w:color="000000"/>
              <w:bottom w:val="single" w:sz="4" w:space="0" w:color="000000"/>
              <w:right w:val="single" w:sz="4" w:space="0" w:color="000000"/>
            </w:tcBorders>
            <w:shd w:val="clear" w:color="auto" w:fill="D2D2D2"/>
          </w:tcPr>
          <w:p>
            <w:pPr/>
          </w:p>
        </w:tc>
        <w:tc>
          <w:tcPr>
            <w:tcW w:w="652" w:type="dxa"/>
            <w:vMerge/>
            <w:tcBorders>
              <w:left w:val="single" w:sz="9" w:space="0" w:color="D2D2D2"/>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317"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80,688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309,424</w:t>
            </w:r>
          </w:p>
          <w:p>
            <w:pPr>
              <w:pStyle w:val="TableParagraph"/>
              <w:spacing w:line="240" w:lineRule="auto" w:before="106"/>
              <w:ind w:left="92" w:right="0"/>
              <w:jc w:val="left"/>
              <w:rPr>
                <w:rFonts w:ascii="Times New Roman" w:hAnsi="Times New Roman" w:cs="Times New Roman" w:eastAsia="Times New Roman" w:hint="default"/>
                <w:sz w:val="18"/>
                <w:szCs w:val="18"/>
              </w:rPr>
            </w:pPr>
            <w:r>
              <w:rPr>
                <w:rFonts w:ascii="Times New Roman"/>
                <w:sz w:val="18"/>
              </w:rPr>
              <w:t>,886.78</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19,181,</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610.00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24,656,</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240.12</w:t>
            </w: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186,326</w:t>
            </w:r>
          </w:p>
          <w:p>
            <w:pPr>
              <w:pStyle w:val="TableParagraph"/>
              <w:spacing w:line="240" w:lineRule="auto" w:before="106"/>
              <w:ind w:left="104" w:right="0"/>
              <w:jc w:val="left"/>
              <w:rPr>
                <w:rFonts w:ascii="Times New Roman" w:hAnsi="Times New Roman" w:cs="Times New Roman" w:eastAsia="Times New Roman" w:hint="default"/>
                <w:sz w:val="18"/>
                <w:szCs w:val="18"/>
              </w:rPr>
            </w:pPr>
            <w:r>
              <w:rPr>
                <w:rFonts w:ascii="Times New Roman"/>
                <w:sz w:val="18"/>
              </w:rPr>
              <w:t>,691.07</w:t>
            </w:r>
          </w:p>
        </w:tc>
        <w:tc>
          <w:tcPr>
            <w:tcW w:w="652" w:type="dxa"/>
            <w:vMerge w:val="restart"/>
            <w:tcBorders>
              <w:top w:val="single" w:sz="4" w:space="0" w:color="000000"/>
              <w:left w:val="single" w:sz="4" w:space="0" w:color="000000"/>
              <w:right w:val="single" w:sz="4" w:space="0" w:color="000000"/>
            </w:tcBorders>
          </w:tcPr>
          <w:p>
            <w:pP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581,914</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,707.97</w:t>
            </w:r>
          </w:p>
        </w:tc>
      </w:tr>
      <w:tr>
        <w:trPr>
          <w:trHeight w:val="392"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7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31"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80,688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309,424</w:t>
            </w:r>
          </w:p>
          <w:p>
            <w:pPr>
              <w:pStyle w:val="TableParagraph"/>
              <w:spacing w:line="240" w:lineRule="auto" w:before="106"/>
              <w:ind w:left="92" w:right="0"/>
              <w:jc w:val="left"/>
              <w:rPr>
                <w:rFonts w:ascii="Times New Roman" w:hAnsi="Times New Roman" w:cs="Times New Roman" w:eastAsia="Times New Roman" w:hint="default"/>
                <w:sz w:val="18"/>
                <w:szCs w:val="18"/>
              </w:rPr>
            </w:pPr>
            <w:r>
              <w:rPr>
                <w:rFonts w:ascii="Times New Roman"/>
                <w:sz w:val="18"/>
              </w:rPr>
              <w:t>,886.78</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19,181,</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610.00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24,656,</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240.12</w:t>
            </w: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186,326</w:t>
            </w:r>
          </w:p>
          <w:p>
            <w:pPr>
              <w:pStyle w:val="TableParagraph"/>
              <w:spacing w:line="240" w:lineRule="auto" w:before="106"/>
              <w:ind w:left="104" w:right="0"/>
              <w:jc w:val="left"/>
              <w:rPr>
                <w:rFonts w:ascii="Times New Roman" w:hAnsi="Times New Roman" w:cs="Times New Roman" w:eastAsia="Times New Roman" w:hint="default"/>
                <w:sz w:val="18"/>
                <w:szCs w:val="18"/>
              </w:rPr>
            </w:pPr>
            <w:r>
              <w:rPr>
                <w:rFonts w:ascii="Times New Roman"/>
                <w:sz w:val="18"/>
              </w:rPr>
              <w:t>,691.07</w:t>
            </w:r>
          </w:p>
        </w:tc>
        <w:tc>
          <w:tcPr>
            <w:tcW w:w="652" w:type="dxa"/>
            <w:vMerge w:val="restart"/>
            <w:tcBorders>
              <w:top w:val="single" w:sz="4" w:space="0" w:color="000000"/>
              <w:left w:val="single" w:sz="4" w:space="0" w:color="000000"/>
              <w:right w:val="single" w:sz="4" w:space="0" w:color="000000"/>
            </w:tcBorders>
          </w:tcPr>
          <w:p>
            <w:pP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581,914</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,707.97</w:t>
            </w:r>
          </w:p>
        </w:tc>
      </w:tr>
      <w:tr>
        <w:trPr>
          <w:trHeight w:val="392"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7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1026"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10"/>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号填列）</w:t>
            </w:r>
          </w:p>
        </w:tc>
        <w:tc>
          <w:tcPr>
            <w:tcW w:w="57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34" w:right="0"/>
              <w:jc w:val="left"/>
              <w:rPr>
                <w:rFonts w:ascii="Times New Roman" w:hAnsi="Times New Roman" w:cs="Times New Roman" w:eastAsia="Times New Roman" w:hint="default"/>
                <w:sz w:val="18"/>
                <w:szCs w:val="18"/>
              </w:rPr>
            </w:pPr>
            <w:r>
              <w:rPr>
                <w:rFonts w:ascii="Times New Roman"/>
                <w:sz w:val="18"/>
              </w:rPr>
              <w:t>121,71</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2,942.</w:t>
            </w:r>
          </w:p>
          <w:p>
            <w:pPr>
              <w:pStyle w:val="TableParagraph"/>
              <w:spacing w:line="240" w:lineRule="auto" w:before="106"/>
              <w:ind w:left="349"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 w:right="0"/>
              <w:jc w:val="center"/>
              <w:rPr>
                <w:rFonts w:ascii="Times New Roman" w:hAnsi="Times New Roman" w:cs="Times New Roman" w:eastAsia="Times New Roman" w:hint="default"/>
                <w:sz w:val="18"/>
                <w:szCs w:val="18"/>
              </w:rPr>
            </w:pPr>
            <w:r>
              <w:rPr>
                <w:rFonts w:ascii="Times New Roman"/>
                <w:sz w:val="18"/>
              </w:rPr>
              <w:t>-52,264,</w:t>
            </w:r>
          </w:p>
          <w:p>
            <w:pPr>
              <w:pStyle w:val="TableParagraph"/>
              <w:spacing w:line="240" w:lineRule="auto" w:before="106"/>
              <w:ind w:left="115" w:right="0"/>
              <w:jc w:val="center"/>
              <w:rPr>
                <w:rFonts w:ascii="Times New Roman" w:hAnsi="Times New Roman" w:cs="Times New Roman" w:eastAsia="Times New Roman" w:hint="default"/>
                <w:sz w:val="18"/>
                <w:szCs w:val="18"/>
              </w:rPr>
            </w:pPr>
            <w:r>
              <w:rPr>
                <w:rFonts w:ascii="Times New Roman"/>
                <w:sz w:val="18"/>
              </w:rPr>
              <w:t>269.00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11,627,</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501.03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5,747,4</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01.68</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4" w:right="0"/>
              <w:jc w:val="left"/>
              <w:rPr>
                <w:rFonts w:ascii="Times New Roman" w:hAnsi="Times New Roman" w:cs="Times New Roman" w:eastAsia="Times New Roman" w:hint="default"/>
                <w:sz w:val="18"/>
                <w:szCs w:val="18"/>
              </w:rPr>
            </w:pPr>
            <w:r>
              <w:rPr>
                <w:rFonts w:ascii="Times New Roman"/>
                <w:sz w:val="18"/>
              </w:rPr>
              <w:t>28,965,</w:t>
            </w:r>
          </w:p>
          <w:p>
            <w:pPr>
              <w:pStyle w:val="TableParagraph"/>
              <w:spacing w:line="240" w:lineRule="auto" w:before="106"/>
              <w:ind w:left="149" w:right="0"/>
              <w:jc w:val="left"/>
              <w:rPr>
                <w:rFonts w:ascii="Times New Roman" w:hAnsi="Times New Roman" w:cs="Times New Roman" w:eastAsia="Times New Roman" w:hint="default"/>
                <w:sz w:val="18"/>
                <w:szCs w:val="18"/>
              </w:rPr>
            </w:pPr>
            <w:r>
              <w:rPr>
                <w:rFonts w:ascii="Times New Roman"/>
                <w:sz w:val="18"/>
              </w:rPr>
              <w:t>182.10</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25,874,</w:t>
            </w:r>
          </w:p>
          <w:p>
            <w:pPr>
              <w:pStyle w:val="TableParagraph"/>
              <w:spacing w:line="240" w:lineRule="auto" w:before="106"/>
              <w:ind w:left="124" w:right="0"/>
              <w:jc w:val="left"/>
              <w:rPr>
                <w:rFonts w:ascii="Times New Roman" w:hAnsi="Times New Roman" w:cs="Times New Roman" w:eastAsia="Times New Roman" w:hint="default"/>
                <w:sz w:val="18"/>
                <w:szCs w:val="18"/>
              </w:rPr>
            </w:pPr>
            <w:r>
              <w:rPr>
                <w:rFonts w:ascii="Times New Roman"/>
                <w:sz w:val="18"/>
              </w:rPr>
              <w:t>377.23</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118,408</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,132.98</w:t>
            </w: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额</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4" w:right="0"/>
              <w:jc w:val="left"/>
              <w:rPr>
                <w:rFonts w:ascii="Times New Roman" w:hAnsi="Times New Roman" w:cs="Times New Roman" w:eastAsia="Times New Roman" w:hint="default"/>
                <w:sz w:val="18"/>
                <w:szCs w:val="18"/>
              </w:rPr>
            </w:pPr>
            <w:r>
              <w:rPr>
                <w:rFonts w:ascii="Times New Roman"/>
                <w:sz w:val="18"/>
              </w:rPr>
              <w:t>87,160,</w:t>
            </w:r>
          </w:p>
          <w:p>
            <w:pPr>
              <w:pStyle w:val="TableParagraph"/>
              <w:spacing w:line="240" w:lineRule="auto" w:before="106"/>
              <w:ind w:left="149" w:right="0"/>
              <w:jc w:val="left"/>
              <w:rPr>
                <w:rFonts w:ascii="Times New Roman" w:hAnsi="Times New Roman" w:cs="Times New Roman" w:eastAsia="Times New Roman" w:hint="default"/>
                <w:sz w:val="18"/>
                <w:szCs w:val="18"/>
              </w:rPr>
            </w:pPr>
            <w:r>
              <w:rPr>
                <w:rFonts w:ascii="Times New Roman"/>
                <w:sz w:val="18"/>
              </w:rPr>
              <w:t>102.19</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center"/>
              <w:rPr>
                <w:rFonts w:ascii="Times New Roman" w:hAnsi="Times New Roman" w:cs="Times New Roman" w:eastAsia="Times New Roman" w:hint="default"/>
                <w:sz w:val="18"/>
                <w:szCs w:val="18"/>
              </w:rPr>
            </w:pPr>
            <w:r>
              <w:rPr>
                <w:rFonts w:ascii="Times New Roman"/>
                <w:sz w:val="18"/>
              </w:rPr>
              <w:t>5,874,3</w:t>
            </w:r>
          </w:p>
          <w:p>
            <w:pPr>
              <w:pStyle w:val="TableParagraph"/>
              <w:spacing w:line="240" w:lineRule="auto" w:before="106"/>
              <w:ind w:left="192" w:right="0"/>
              <w:jc w:val="center"/>
              <w:rPr>
                <w:rFonts w:ascii="Times New Roman" w:hAnsi="Times New Roman" w:cs="Times New Roman" w:eastAsia="Times New Roman" w:hint="default"/>
                <w:sz w:val="18"/>
                <w:szCs w:val="18"/>
              </w:rPr>
            </w:pPr>
            <w:r>
              <w:rPr>
                <w:rFonts w:ascii="Times New Roman"/>
                <w:sz w:val="18"/>
              </w:rPr>
              <w:t>20.53</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 w:right="0"/>
              <w:jc w:val="left"/>
              <w:rPr>
                <w:rFonts w:ascii="Times New Roman" w:hAnsi="Times New Roman" w:cs="Times New Roman" w:eastAsia="Times New Roman" w:hint="default"/>
                <w:sz w:val="18"/>
                <w:szCs w:val="18"/>
              </w:rPr>
            </w:pPr>
            <w:r>
              <w:rPr>
                <w:rFonts w:ascii="Times New Roman"/>
                <w:sz w:val="18"/>
              </w:rPr>
              <w:t>93,034,</w:t>
            </w:r>
          </w:p>
          <w:p>
            <w:pPr>
              <w:pStyle w:val="TableParagraph"/>
              <w:spacing w:line="240" w:lineRule="auto" w:before="106"/>
              <w:ind w:left="130" w:right="0"/>
              <w:jc w:val="left"/>
              <w:rPr>
                <w:rFonts w:ascii="Times New Roman" w:hAnsi="Times New Roman" w:cs="Times New Roman" w:eastAsia="Times New Roman" w:hint="default"/>
                <w:sz w:val="18"/>
                <w:szCs w:val="18"/>
              </w:rPr>
            </w:pPr>
            <w:r>
              <w:rPr>
                <w:rFonts w:ascii="Times New Roman"/>
                <w:sz w:val="18"/>
              </w:rPr>
              <w:t>422.72</w:t>
            </w: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和减少资本</w:t>
            </w:r>
          </w:p>
        </w:tc>
        <w:tc>
          <w:tcPr>
            <w:tcW w:w="57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680,20</w:t>
            </w:r>
          </w:p>
          <w:p>
            <w:pPr>
              <w:pStyle w:val="TableParagraph"/>
              <w:spacing w:line="240" w:lineRule="auto" w:before="106"/>
              <w:ind w:left="192" w:right="0"/>
              <w:jc w:val="center"/>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2" w:right="0"/>
              <w:jc w:val="left"/>
              <w:rPr>
                <w:rFonts w:ascii="Times New Roman" w:hAnsi="Times New Roman" w:cs="Times New Roman" w:eastAsia="Times New Roman" w:hint="default"/>
                <w:sz w:val="18"/>
                <w:szCs w:val="18"/>
              </w:rPr>
            </w:pPr>
            <w:r>
              <w:rPr>
                <w:rFonts w:ascii="Times New Roman"/>
                <w:sz w:val="18"/>
              </w:rPr>
              <w:t>22,790,</w:t>
            </w:r>
          </w:p>
          <w:p>
            <w:pPr>
              <w:pStyle w:val="TableParagraph"/>
              <w:spacing w:line="240" w:lineRule="auto" w:before="106"/>
              <w:ind w:left="137" w:right="0"/>
              <w:jc w:val="left"/>
              <w:rPr>
                <w:rFonts w:ascii="Times New Roman" w:hAnsi="Times New Roman" w:cs="Times New Roman" w:eastAsia="Times New Roman" w:hint="default"/>
                <w:sz w:val="18"/>
                <w:szCs w:val="18"/>
              </w:rPr>
            </w:pPr>
            <w:r>
              <w:rPr>
                <w:rFonts w:ascii="Times New Roman"/>
                <w:sz w:val="18"/>
              </w:rPr>
              <w:t>608.00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11,627,</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501.03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 w:right="0"/>
              <w:jc w:val="left"/>
              <w:rPr>
                <w:rFonts w:ascii="Times New Roman" w:hAnsi="Times New Roman" w:cs="Times New Roman" w:eastAsia="Times New Roman" w:hint="default"/>
                <w:sz w:val="18"/>
                <w:szCs w:val="18"/>
              </w:rPr>
            </w:pPr>
            <w:r>
              <w:rPr>
                <w:rFonts w:ascii="Times New Roman"/>
                <w:sz w:val="18"/>
              </w:rPr>
              <w:t>20,000,</w:t>
            </w:r>
          </w:p>
          <w:p>
            <w:pPr>
              <w:pStyle w:val="TableParagraph"/>
              <w:spacing w:line="240" w:lineRule="auto" w:before="106"/>
              <w:ind w:left="124" w:right="0"/>
              <w:jc w:val="left"/>
              <w:rPr>
                <w:rFonts w:ascii="Times New Roman" w:hAnsi="Times New Roman" w:cs="Times New Roman" w:eastAsia="Times New Roman" w:hint="default"/>
                <w:sz w:val="18"/>
                <w:szCs w:val="18"/>
              </w:rPr>
            </w:pPr>
            <w:r>
              <w:rPr>
                <w:rFonts w:ascii="Times New Roman"/>
                <w:sz w:val="18"/>
              </w:rPr>
              <w:t>056.70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 w:right="0"/>
              <w:jc w:val="left"/>
              <w:rPr>
                <w:rFonts w:ascii="Times New Roman" w:hAnsi="Times New Roman" w:cs="Times New Roman" w:eastAsia="Times New Roman" w:hint="default"/>
                <w:sz w:val="18"/>
                <w:szCs w:val="18"/>
              </w:rPr>
            </w:pPr>
            <w:r>
              <w:rPr>
                <w:rFonts w:ascii="Times New Roman"/>
                <w:sz w:val="18"/>
              </w:rPr>
              <w:t>31,843,</w:t>
            </w:r>
          </w:p>
          <w:p>
            <w:pPr>
              <w:pStyle w:val="TableParagraph"/>
              <w:spacing w:line="240" w:lineRule="auto" w:before="106"/>
              <w:ind w:left="130" w:right="0"/>
              <w:jc w:val="left"/>
              <w:rPr>
                <w:rFonts w:ascii="Times New Roman" w:hAnsi="Times New Roman" w:cs="Times New Roman" w:eastAsia="Times New Roman" w:hint="default"/>
                <w:sz w:val="18"/>
                <w:szCs w:val="18"/>
              </w:rPr>
            </w:pPr>
            <w:r>
              <w:rPr>
                <w:rFonts w:ascii="Times New Roman"/>
                <w:sz w:val="18"/>
              </w:rPr>
              <w:t>363.67</w:t>
            </w: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4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center"/>
              <w:rPr>
                <w:rFonts w:ascii="Times New Roman" w:hAnsi="Times New Roman" w:cs="Times New Roman" w:eastAsia="Times New Roman" w:hint="default"/>
                <w:sz w:val="18"/>
                <w:szCs w:val="18"/>
              </w:rPr>
            </w:pPr>
            <w:r>
              <w:rPr>
                <w:rFonts w:ascii="Times New Roman"/>
                <w:sz w:val="18"/>
              </w:rPr>
              <w:t>1,754,2</w:t>
            </w:r>
          </w:p>
          <w:p>
            <w:pPr>
              <w:pStyle w:val="TableParagraph"/>
              <w:spacing w:line="240" w:lineRule="auto" w:before="106"/>
              <w:ind w:left="192" w:right="0"/>
              <w:jc w:val="center"/>
              <w:rPr>
                <w:rFonts w:ascii="Times New Roman" w:hAnsi="Times New Roman" w:cs="Times New Roman" w:eastAsia="Times New Roman" w:hint="default"/>
                <w:sz w:val="18"/>
                <w:szCs w:val="18"/>
              </w:rPr>
            </w:pPr>
            <w:r>
              <w:rPr>
                <w:rFonts w:ascii="Times New Roman"/>
                <w:sz w:val="18"/>
              </w:rPr>
              <w:t>00.00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 w:right="0"/>
              <w:jc w:val="center"/>
              <w:rPr>
                <w:rFonts w:ascii="Times New Roman" w:hAnsi="Times New Roman" w:cs="Times New Roman" w:eastAsia="Times New Roman" w:hint="default"/>
                <w:sz w:val="18"/>
                <w:szCs w:val="18"/>
              </w:rPr>
            </w:pPr>
            <w:r>
              <w:rPr>
                <w:rFonts w:ascii="Times New Roman"/>
                <w:sz w:val="18"/>
              </w:rPr>
              <w:t>1,754,2</w:t>
            </w:r>
          </w:p>
          <w:p>
            <w:pPr>
              <w:pStyle w:val="TableParagraph"/>
              <w:spacing w:line="240" w:lineRule="auto" w:before="106"/>
              <w:ind w:left="197" w:right="0"/>
              <w:jc w:val="center"/>
              <w:rPr>
                <w:rFonts w:ascii="Times New Roman" w:hAnsi="Times New Roman" w:cs="Times New Roman" w:eastAsia="Times New Roman" w:hint="default"/>
                <w:sz w:val="18"/>
                <w:szCs w:val="18"/>
              </w:rPr>
            </w:pPr>
            <w:r>
              <w:rPr>
                <w:rFonts w:ascii="Times New Roman"/>
                <w:sz w:val="18"/>
              </w:rPr>
              <w:t>00.00</w:t>
            </w: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4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4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7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2" w:right="0"/>
              <w:jc w:val="center"/>
              <w:rPr>
                <w:rFonts w:ascii="Times New Roman" w:hAnsi="Times New Roman" w:cs="Times New Roman" w:eastAsia="Times New Roman" w:hint="default"/>
                <w:sz w:val="18"/>
                <w:szCs w:val="18"/>
              </w:rPr>
            </w:pPr>
            <w:r>
              <w:rPr>
                <w:rFonts w:ascii="Times New Roman"/>
                <w:sz w:val="18"/>
              </w:rPr>
              <w:t>680,20</w:t>
            </w:r>
          </w:p>
          <w:p>
            <w:pPr>
              <w:pStyle w:val="TableParagraph"/>
              <w:spacing w:line="240" w:lineRule="auto" w:before="106"/>
              <w:ind w:left="192" w:right="0"/>
              <w:jc w:val="center"/>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2" w:right="0"/>
              <w:jc w:val="left"/>
              <w:rPr>
                <w:rFonts w:ascii="Times New Roman" w:hAnsi="Times New Roman" w:cs="Times New Roman" w:eastAsia="Times New Roman" w:hint="default"/>
                <w:sz w:val="18"/>
                <w:szCs w:val="18"/>
              </w:rPr>
            </w:pPr>
            <w:r>
              <w:rPr>
                <w:rFonts w:ascii="Times New Roman"/>
                <w:sz w:val="18"/>
              </w:rPr>
              <w:t>22,790,</w:t>
            </w:r>
          </w:p>
          <w:p>
            <w:pPr>
              <w:pStyle w:val="TableParagraph"/>
              <w:spacing w:line="240" w:lineRule="auto" w:before="106"/>
              <w:ind w:left="137" w:right="0"/>
              <w:jc w:val="left"/>
              <w:rPr>
                <w:rFonts w:ascii="Times New Roman" w:hAnsi="Times New Roman" w:cs="Times New Roman" w:eastAsia="Times New Roman" w:hint="default"/>
                <w:sz w:val="18"/>
                <w:szCs w:val="18"/>
              </w:rPr>
            </w:pPr>
            <w:r>
              <w:rPr>
                <w:rFonts w:ascii="Times New Roman"/>
                <w:sz w:val="18"/>
              </w:rPr>
              <w:t>608.00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19,389,</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128.00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4,081,6</w:t>
            </w:r>
          </w:p>
          <w:p>
            <w:pPr>
              <w:pStyle w:val="TableParagraph"/>
              <w:spacing w:line="240" w:lineRule="auto" w:before="106"/>
              <w:ind w:left="197" w:right="0"/>
              <w:jc w:val="center"/>
              <w:rPr>
                <w:rFonts w:ascii="Times New Roman" w:hAnsi="Times New Roman" w:cs="Times New Roman" w:eastAsia="Times New Roman" w:hint="default"/>
                <w:sz w:val="18"/>
                <w:szCs w:val="18"/>
              </w:rPr>
            </w:pPr>
            <w:r>
              <w:rPr>
                <w:rFonts w:ascii="Times New Roman"/>
                <w:sz w:val="18"/>
              </w:rPr>
              <w:t>80.00</w:t>
            </w:r>
          </w:p>
        </w:tc>
      </w:tr>
      <w:tr>
        <w:trPr>
          <w:trHeight w:val="161"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9" w:space="0" w:color="D2D2D2"/>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-7,761,6</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26.97</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
        </w:tc>
        <w:tc>
          <w:tcPr>
            <w:tcW w:w="652" w:type="dxa"/>
            <w:vMerge w:val="restart"/>
            <w:tcBorders>
              <w:top w:val="single" w:sz="4" w:space="0" w:color="000000"/>
              <w:left w:val="single" w:sz="4" w:space="0" w:color="000000"/>
              <w:right w:val="single" w:sz="4" w:space="0" w:color="000000"/>
            </w:tcBorders>
          </w:tcPr>
          <w:p>
            <w:pPr>
              <w:pStyle w:val="TableParagraph"/>
              <w:spacing w:line="240" w:lineRule="auto" w:before="91"/>
              <w:ind w:left="79" w:right="0"/>
              <w:jc w:val="left"/>
              <w:rPr>
                <w:rFonts w:ascii="Times New Roman" w:hAnsi="Times New Roman" w:cs="Times New Roman" w:eastAsia="Times New Roman" w:hint="default"/>
                <w:sz w:val="18"/>
                <w:szCs w:val="18"/>
              </w:rPr>
            </w:pPr>
            <w:r>
              <w:rPr>
                <w:rFonts w:ascii="Times New Roman"/>
                <w:sz w:val="18"/>
              </w:rPr>
              <w:t>18,245,</w:t>
            </w:r>
          </w:p>
          <w:p>
            <w:pPr>
              <w:pStyle w:val="TableParagraph"/>
              <w:spacing w:line="240" w:lineRule="auto" w:before="106"/>
              <w:ind w:left="124" w:right="0"/>
              <w:jc w:val="left"/>
              <w:rPr>
                <w:rFonts w:ascii="Times New Roman" w:hAnsi="Times New Roman" w:cs="Times New Roman" w:eastAsia="Times New Roman" w:hint="default"/>
                <w:sz w:val="18"/>
                <w:szCs w:val="18"/>
              </w:rPr>
            </w:pPr>
            <w:r>
              <w:rPr>
                <w:rFonts w:ascii="Times New Roman"/>
                <w:sz w:val="18"/>
              </w:rPr>
              <w:t>856.70</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1"/>
              <w:ind w:left="85" w:right="0"/>
              <w:jc w:val="left"/>
              <w:rPr>
                <w:rFonts w:ascii="Times New Roman" w:hAnsi="Times New Roman" w:cs="Times New Roman" w:eastAsia="Times New Roman" w:hint="default"/>
                <w:sz w:val="18"/>
                <w:szCs w:val="18"/>
              </w:rPr>
            </w:pPr>
            <w:r>
              <w:rPr>
                <w:rFonts w:ascii="Times New Roman"/>
                <w:sz w:val="18"/>
              </w:rPr>
              <w:t>26,007,</w:t>
            </w:r>
          </w:p>
          <w:p>
            <w:pPr>
              <w:pStyle w:val="TableParagraph"/>
              <w:spacing w:line="240" w:lineRule="auto" w:before="106"/>
              <w:ind w:left="130" w:right="0"/>
              <w:jc w:val="left"/>
              <w:rPr>
                <w:rFonts w:ascii="Times New Roman" w:hAnsi="Times New Roman" w:cs="Times New Roman" w:eastAsia="Times New Roman" w:hint="default"/>
                <w:sz w:val="18"/>
                <w:szCs w:val="18"/>
              </w:rPr>
            </w:pPr>
            <w:r>
              <w:rPr>
                <w:rFonts w:ascii="Times New Roman"/>
                <w:sz w:val="18"/>
              </w:rPr>
              <w:t>483.67</w:t>
            </w:r>
          </w:p>
        </w:tc>
      </w:tr>
      <w:tr>
        <w:trPr>
          <w:trHeight w:val="392"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7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161"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161"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9" w:space="0" w:color="D2D2D2"/>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5,747,4</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01.68</w:t>
            </w: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-17,850,</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675.09</w:t>
            </w:r>
          </w:p>
        </w:tc>
        <w:tc>
          <w:tcPr>
            <w:tcW w:w="652" w:type="dxa"/>
            <w:vMerge w:val="restart"/>
            <w:tcBorders>
              <w:top w:val="single" w:sz="4" w:space="0" w:color="000000"/>
              <w:left w:val="single" w:sz="4" w:space="0" w:color="000000"/>
              <w:right w:val="single" w:sz="4" w:space="0" w:color="000000"/>
            </w:tcBorders>
          </w:tcPr>
          <w:p>
            <w:pP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-12,103,</w:t>
            </w:r>
          </w:p>
          <w:p>
            <w:pPr>
              <w:pStyle w:val="TableParagraph"/>
              <w:spacing w:line="240" w:lineRule="auto" w:before="106"/>
              <w:ind w:left="107" w:right="0"/>
              <w:jc w:val="center"/>
              <w:rPr>
                <w:rFonts w:ascii="Times New Roman" w:hAnsi="Times New Roman" w:cs="Times New Roman" w:eastAsia="Times New Roman" w:hint="default"/>
                <w:sz w:val="18"/>
                <w:szCs w:val="18"/>
              </w:rPr>
            </w:pPr>
            <w:r>
              <w:rPr>
                <w:rFonts w:ascii="Times New Roman"/>
                <w:sz w:val="18"/>
              </w:rPr>
              <w:t>273.41</w:t>
            </w:r>
          </w:p>
        </w:tc>
      </w:tr>
      <w:tr>
        <w:trPr>
          <w:trHeight w:val="392"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7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161"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161"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9" w:space="0" w:color="D2D2D2"/>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5,747,4</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01.68</w:t>
            </w: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-5,747,4</w:t>
            </w:r>
          </w:p>
          <w:p>
            <w:pPr>
              <w:pStyle w:val="TableParagraph"/>
              <w:spacing w:line="240" w:lineRule="auto" w:before="106"/>
              <w:ind w:left="216" w:right="0"/>
              <w:jc w:val="center"/>
              <w:rPr>
                <w:rFonts w:ascii="Times New Roman" w:hAnsi="Times New Roman" w:cs="Times New Roman" w:eastAsia="Times New Roman" w:hint="default"/>
                <w:sz w:val="18"/>
                <w:szCs w:val="18"/>
              </w:rPr>
            </w:pPr>
            <w:r>
              <w:rPr>
                <w:rFonts w:ascii="Times New Roman"/>
                <w:sz w:val="18"/>
              </w:rPr>
              <w:t>01.68</w:t>
            </w:r>
          </w:p>
        </w:tc>
        <w:tc>
          <w:tcPr>
            <w:tcW w:w="652" w:type="dxa"/>
            <w:vMerge w:val="restart"/>
            <w:tcBorders>
              <w:top w:val="single" w:sz="4" w:space="0" w:color="000000"/>
              <w:left w:val="single" w:sz="4" w:space="0" w:color="000000"/>
              <w:right w:val="single" w:sz="4" w:space="0" w:color="000000"/>
            </w:tcBorders>
          </w:tcPr>
          <w:p>
            <w:pPr/>
          </w:p>
        </w:tc>
        <w:tc>
          <w:tcPr>
            <w:tcW w:w="659" w:type="dxa"/>
            <w:vMerge w:val="restart"/>
            <w:tcBorders>
              <w:top w:val="single" w:sz="4" w:space="0" w:color="000000"/>
              <w:left w:val="single" w:sz="4" w:space="0" w:color="000000"/>
              <w:right w:val="single" w:sz="4" w:space="0" w:color="000000"/>
            </w:tcBorders>
          </w:tcPr>
          <w:p>
            <w:pPr/>
          </w:p>
        </w:tc>
      </w:tr>
      <w:tr>
        <w:trPr>
          <w:trHeight w:val="393"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7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161"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4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44" w:right="0"/>
              <w:jc w:val="left"/>
              <w:rPr>
                <w:rFonts w:ascii="Times New Roman" w:hAnsi="Times New Roman" w:cs="Times New Roman" w:eastAsia="Times New Roman" w:hint="default"/>
                <w:sz w:val="18"/>
                <w:szCs w:val="18"/>
              </w:rPr>
            </w:pPr>
            <w:r>
              <w:rPr>
                <w:rFonts w:ascii="Times New Roman"/>
                <w:sz w:val="18"/>
              </w:rPr>
              <w:t>-12,103,</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5" w:right="0"/>
              <w:jc w:val="left"/>
              <w:rPr>
                <w:rFonts w:ascii="Times New Roman" w:hAnsi="Times New Roman" w:cs="Times New Roman" w:eastAsia="Times New Roman" w:hint="default"/>
                <w:sz w:val="18"/>
                <w:szCs w:val="18"/>
              </w:rPr>
            </w:pPr>
            <w:r>
              <w:rPr>
                <w:rFonts w:ascii="Times New Roman"/>
                <w:sz w:val="18"/>
              </w:rPr>
              <w:t>-12,103,</w:t>
            </w:r>
          </w:p>
        </w:tc>
      </w:tr>
    </w:tbl>
    <w:p>
      <w:pPr>
        <w:spacing w:after="0" w:line="240" w:lineRule="auto"/>
        <w:jc w:val="left"/>
        <w:rPr>
          <w:rFonts w:ascii="Times New Roman" w:hAnsi="Times New Roman" w:cs="Times New Roman" w:eastAsia="Times New Roman" w:hint="default"/>
          <w:sz w:val="18"/>
          <w:szCs w:val="18"/>
        </w:rPr>
        <w:sectPr>
          <w:footerReference w:type="default" r:id="rId51"/>
          <w:pgSz w:w="11910" w:h="16840"/>
          <w:pgMar w:footer="640" w:header="787" w:top="1100" w:bottom="840" w:left="0" w:right="0"/>
        </w:sectPr>
      </w:pPr>
    </w:p>
    <w:p>
      <w:pPr>
        <w:spacing w:line="240" w:lineRule="auto" w:before="4"/>
        <w:rPr>
          <w:rFonts w:ascii="Times New Roman" w:hAnsi="Times New Roman" w:cs="Times New Roman" w:eastAsia="Times New Roman" w:hint="default"/>
          <w:sz w:val="3"/>
          <w:szCs w:val="3"/>
        </w:rPr>
      </w:pPr>
    </w:p>
    <w:p>
      <w:pPr>
        <w:spacing w:line="20" w:lineRule="exact"/>
        <w:ind w:left="1096"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10"/>
        <w:rPr>
          <w:rFonts w:ascii="Times New Roman" w:hAnsi="Times New Roman" w:cs="Times New Roman" w:eastAsia="Times New Roman" w:hint="default"/>
          <w:sz w:val="23"/>
          <w:szCs w:val="23"/>
        </w:rPr>
      </w:pPr>
    </w:p>
    <w:tbl>
      <w:tblPr>
        <w:tblW w:w="0" w:type="auto"/>
        <w:jc w:val="left"/>
        <w:tblInd w:w="1129" w:type="dxa"/>
        <w:tblLayout w:type="fixed"/>
        <w:tblCellMar>
          <w:top w:w="0" w:type="dxa"/>
          <w:left w:w="0" w:type="dxa"/>
          <w:bottom w:w="0" w:type="dxa"/>
          <w:right w:w="0" w:type="dxa"/>
        </w:tblCellMar>
        <w:tblLook w:val="01E0"/>
      </w:tblPr>
      <w:tblGrid>
        <w:gridCol w:w="1437"/>
        <w:gridCol w:w="562"/>
        <w:gridCol w:w="530"/>
        <w:gridCol w:w="532"/>
        <w:gridCol w:w="530"/>
        <w:gridCol w:w="665"/>
        <w:gridCol w:w="665"/>
        <w:gridCol w:w="665"/>
        <w:gridCol w:w="665"/>
        <w:gridCol w:w="665"/>
        <w:gridCol w:w="665"/>
        <w:gridCol w:w="678"/>
        <w:gridCol w:w="652"/>
        <w:gridCol w:w="659"/>
      </w:tblGrid>
      <w:tr>
        <w:trPr>
          <w:trHeight w:val="36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49" w:right="0"/>
              <w:jc w:val="left"/>
              <w:rPr>
                <w:rFonts w:ascii="Times New Roman" w:hAnsi="Times New Roman" w:cs="Times New Roman" w:eastAsia="Times New Roman" w:hint="default"/>
                <w:sz w:val="18"/>
                <w:szCs w:val="18"/>
              </w:rPr>
            </w:pPr>
            <w:r>
              <w:rPr>
                <w:rFonts w:ascii="Times New Roman"/>
                <w:sz w:val="18"/>
              </w:rPr>
              <w:t>273.41</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30" w:right="0"/>
              <w:jc w:val="left"/>
              <w:rPr>
                <w:rFonts w:ascii="Times New Roman" w:hAnsi="Times New Roman" w:cs="Times New Roman" w:eastAsia="Times New Roman" w:hint="default"/>
                <w:sz w:val="18"/>
                <w:szCs w:val="18"/>
              </w:rPr>
            </w:pPr>
            <w:r>
              <w:rPr>
                <w:rFonts w:ascii="Times New Roman"/>
                <w:sz w:val="18"/>
              </w:rPr>
              <w:t>273.41</w:t>
            </w: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121,03</w:t>
            </w:r>
          </w:p>
          <w:p>
            <w:pPr>
              <w:pStyle w:val="TableParagraph"/>
              <w:spacing w:line="240" w:lineRule="auto" w:before="104"/>
              <w:ind w:left="79" w:right="0"/>
              <w:jc w:val="left"/>
              <w:rPr>
                <w:rFonts w:ascii="Times New Roman" w:hAnsi="Times New Roman" w:cs="Times New Roman" w:eastAsia="Times New Roman" w:hint="default"/>
                <w:sz w:val="18"/>
                <w:szCs w:val="18"/>
              </w:rPr>
            </w:pPr>
            <w:r>
              <w:rPr>
                <w:rFonts w:ascii="Times New Roman"/>
                <w:sz w:val="18"/>
              </w:rPr>
              <w:t>2,742.</w:t>
            </w:r>
          </w:p>
          <w:p>
            <w:pPr>
              <w:pStyle w:val="TableParagraph"/>
              <w:spacing w:line="240" w:lineRule="auto" w:before="106"/>
              <w:ind w:left="349"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 w:right="0"/>
              <w:jc w:val="center"/>
              <w:rPr>
                <w:rFonts w:ascii="Times New Roman" w:hAnsi="Times New Roman" w:cs="Times New Roman" w:eastAsia="Times New Roman" w:hint="default"/>
                <w:sz w:val="18"/>
                <w:szCs w:val="18"/>
              </w:rPr>
            </w:pPr>
            <w:r>
              <w:rPr>
                <w:rFonts w:ascii="Times New Roman"/>
                <w:sz w:val="18"/>
              </w:rPr>
              <w:t>-80,688,</w:t>
            </w:r>
          </w:p>
          <w:p>
            <w:pPr>
              <w:pStyle w:val="TableParagraph"/>
              <w:spacing w:line="240" w:lineRule="auto" w:before="105"/>
              <w:ind w:left="115" w:right="0"/>
              <w:jc w:val="center"/>
              <w:rPr>
                <w:rFonts w:ascii="Times New Roman" w:hAnsi="Times New Roman" w:cs="Times New Roman" w:eastAsia="Times New Roman" w:hint="default"/>
                <w:sz w:val="18"/>
                <w:szCs w:val="18"/>
              </w:rPr>
            </w:pPr>
            <w:r>
              <w:rPr>
                <w:rFonts w:ascii="Times New Roman"/>
                <w:sz w:val="18"/>
              </w:rPr>
              <w:t>497.00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0" w:right="0"/>
              <w:jc w:val="center"/>
              <w:rPr>
                <w:rFonts w:ascii="Times New Roman" w:hAnsi="Times New Roman" w:cs="Times New Roman" w:eastAsia="Times New Roman" w:hint="default"/>
                <w:sz w:val="18"/>
                <w:szCs w:val="18"/>
              </w:rPr>
            </w:pPr>
            <w:r>
              <w:rPr>
                <w:rFonts w:ascii="Times New Roman"/>
                <w:sz w:val="18"/>
              </w:rPr>
              <w:t>-40,344,</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245.00</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0" w:lineRule="auto"/>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80,688</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,497.0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 w:right="0"/>
              <w:jc w:val="center"/>
              <w:rPr>
                <w:rFonts w:ascii="Times New Roman" w:hAnsi="Times New Roman" w:cs="Times New Roman" w:eastAsia="Times New Roman" w:hint="default"/>
                <w:sz w:val="18"/>
                <w:szCs w:val="18"/>
              </w:rPr>
            </w:pPr>
            <w:r>
              <w:rPr>
                <w:rFonts w:ascii="Times New Roman"/>
                <w:sz w:val="18"/>
              </w:rPr>
              <w:t>-80,688,</w:t>
            </w:r>
          </w:p>
          <w:p>
            <w:pPr>
              <w:pStyle w:val="TableParagraph"/>
              <w:spacing w:line="240" w:lineRule="auto" w:before="105"/>
              <w:ind w:left="115" w:right="0"/>
              <w:jc w:val="center"/>
              <w:rPr>
                <w:rFonts w:ascii="Times New Roman" w:hAnsi="Times New Roman" w:cs="Times New Roman" w:eastAsia="Times New Roman" w:hint="default"/>
                <w:sz w:val="18"/>
                <w:szCs w:val="18"/>
              </w:rPr>
            </w:pPr>
            <w:r>
              <w:rPr>
                <w:rFonts w:ascii="Times New Roman"/>
                <w:sz w:val="18"/>
              </w:rPr>
              <w:t>497.00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40,344</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,245.0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0" w:right="0"/>
              <w:jc w:val="center"/>
              <w:rPr>
                <w:rFonts w:ascii="Times New Roman" w:hAnsi="Times New Roman" w:cs="Times New Roman" w:eastAsia="Times New Roman" w:hint="default"/>
                <w:sz w:val="18"/>
                <w:szCs w:val="18"/>
              </w:rPr>
            </w:pPr>
            <w:r>
              <w:rPr>
                <w:rFonts w:ascii="Times New Roman"/>
                <w:sz w:val="18"/>
              </w:rPr>
              <w:t>-40,344,</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245.00</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0" w:right="0"/>
              <w:jc w:val="center"/>
              <w:rPr>
                <w:rFonts w:ascii="Times New Roman" w:hAnsi="Times New Roman" w:cs="Times New Roman" w:eastAsia="Times New Roman" w:hint="default"/>
                <w:sz w:val="18"/>
                <w:szCs w:val="18"/>
              </w:rPr>
            </w:pPr>
            <w:r>
              <w:rPr>
                <w:rFonts w:ascii="Times New Roman"/>
                <w:sz w:val="18"/>
              </w:rPr>
              <w:t>5,633,6</w:t>
            </w:r>
          </w:p>
          <w:p>
            <w:pPr>
              <w:pStyle w:val="TableParagraph"/>
              <w:spacing w:line="240" w:lineRule="auto" w:before="105"/>
              <w:ind w:left="206" w:right="0"/>
              <w:jc w:val="center"/>
              <w:rPr>
                <w:rFonts w:ascii="Times New Roman" w:hAnsi="Times New Roman" w:cs="Times New Roman" w:eastAsia="Times New Roman" w:hint="default"/>
                <w:sz w:val="18"/>
                <w:szCs w:val="18"/>
              </w:rPr>
            </w:pPr>
            <w:r>
              <w:rPr>
                <w:rFonts w:ascii="Times New Roman"/>
                <w:sz w:val="18"/>
              </w:rPr>
              <w:t>20.00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 w:right="0"/>
              <w:jc w:val="center"/>
              <w:rPr>
                <w:rFonts w:ascii="Times New Roman" w:hAnsi="Times New Roman" w:cs="Times New Roman" w:eastAsia="Times New Roman" w:hint="default"/>
                <w:sz w:val="18"/>
                <w:szCs w:val="18"/>
              </w:rPr>
            </w:pPr>
            <w:r>
              <w:rPr>
                <w:rFonts w:ascii="Times New Roman"/>
                <w:sz w:val="18"/>
              </w:rPr>
              <w:t>5,633,6</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20.00</w:t>
            </w: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202,40</w:t>
            </w:r>
          </w:p>
          <w:p>
            <w:pPr>
              <w:pStyle w:val="TableParagraph"/>
              <w:spacing w:line="240" w:lineRule="auto" w:before="104"/>
              <w:ind w:left="79" w:right="0"/>
              <w:jc w:val="left"/>
              <w:rPr>
                <w:rFonts w:ascii="Times New Roman" w:hAnsi="Times New Roman" w:cs="Times New Roman" w:eastAsia="Times New Roman" w:hint="default"/>
                <w:sz w:val="18"/>
                <w:szCs w:val="18"/>
              </w:rPr>
            </w:pPr>
            <w:r>
              <w:rPr>
                <w:rFonts w:ascii="Times New Roman"/>
                <w:sz w:val="18"/>
              </w:rPr>
              <w:t>1,442.</w:t>
            </w:r>
          </w:p>
          <w:p>
            <w:pPr>
              <w:pStyle w:val="TableParagraph"/>
              <w:spacing w:line="240" w:lineRule="auto" w:before="106"/>
              <w:ind w:left="349"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257,160</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,617.78</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30,809,</w:t>
            </w:r>
          </w:p>
          <w:p>
            <w:pPr>
              <w:pStyle w:val="TableParagraph"/>
              <w:spacing w:line="240" w:lineRule="auto" w:before="105"/>
              <w:ind w:left="150" w:right="0"/>
              <w:jc w:val="left"/>
              <w:rPr>
                <w:rFonts w:ascii="Times New Roman" w:hAnsi="Times New Roman" w:cs="Times New Roman" w:eastAsia="Times New Roman" w:hint="default"/>
                <w:sz w:val="18"/>
                <w:szCs w:val="18"/>
              </w:rPr>
            </w:pPr>
            <w:r>
              <w:rPr>
                <w:rFonts w:ascii="Times New Roman"/>
                <w:spacing w:val="-3"/>
                <w:sz w:val="18"/>
              </w:rPr>
              <w:t>111.03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30,403,</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641.80</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215,291</w:t>
            </w:r>
          </w:p>
          <w:p>
            <w:pPr>
              <w:pStyle w:val="TableParagraph"/>
              <w:spacing w:line="240" w:lineRule="auto" w:before="105"/>
              <w:ind w:left="104" w:right="0"/>
              <w:jc w:val="left"/>
              <w:rPr>
                <w:rFonts w:ascii="Times New Roman" w:hAnsi="Times New Roman" w:cs="Times New Roman" w:eastAsia="Times New Roman" w:hint="default"/>
                <w:sz w:val="18"/>
                <w:szCs w:val="18"/>
              </w:rPr>
            </w:pPr>
            <w:r>
              <w:rPr>
                <w:rFonts w:ascii="Times New Roman"/>
                <w:sz w:val="18"/>
              </w:rPr>
              <w:t>,873.17</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25,874,</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377.23</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700,322</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,840.95</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0"/>
        <w:jc w:val="left"/>
        <w:rPr>
          <w:b w:val="0"/>
          <w:bCs w:val="0"/>
        </w:rPr>
      </w:pPr>
      <w:bookmarkStart w:name="8、母公司所有者权益变动表" w:id="162"/>
      <w:bookmarkEnd w:id="162"/>
      <w:r>
        <w:rPr>
          <w:b w:val="0"/>
          <w:bCs w:val="0"/>
        </w:rPr>
      </w:r>
      <w:r>
        <w:rPr>
          <w:rFonts w:ascii="Times New Roman" w:hAnsi="Times New Roman" w:cs="Times New Roman" w:eastAsia="Times New Roman" w:hint="default"/>
        </w:rPr>
        <w:t>8</w:t>
      </w:r>
      <w:r>
        <w:rPr/>
        <w:t>、母公司所有者权益变动表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t>本期金额</w:t>
      </w:r>
    </w:p>
    <w:p>
      <w:pPr>
        <w:pStyle w:val="BodyText"/>
        <w:spacing w:line="240" w:lineRule="auto" w:before="116"/>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397" w:hRule="exact"/>
        </w:trPr>
        <w:tc>
          <w:tcPr>
            <w:tcW w:w="144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11" w:hRule="exact"/>
        </w:trPr>
        <w:tc>
          <w:tcPr>
            <w:tcW w:w="144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691"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304" w:right="31"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1" w:hRule="exact"/>
        </w:trPr>
        <w:tc>
          <w:tcPr>
            <w:tcW w:w="1442" w:type="dxa"/>
            <w:vMerge/>
            <w:tcBorders>
              <w:left w:val="single" w:sz="4" w:space="0" w:color="000000"/>
              <w:bottom w:val="nil" w:sz="6" w:space="0" w:color="auto"/>
              <w:right w:val="single" w:sz="4" w:space="0" w:color="000000"/>
            </w:tcBorders>
            <w:shd w:val="clear" w:color="auto" w:fill="D2D2D2"/>
          </w:tcPr>
          <w:p>
            <w:pPr/>
          </w:p>
        </w:tc>
        <w:tc>
          <w:tcPr>
            <w:tcW w:w="69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59"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0" w:hRule="exact"/>
        </w:trPr>
        <w:tc>
          <w:tcPr>
            <w:tcW w:w="1442" w:type="dxa"/>
            <w:vMerge w:val="restart"/>
            <w:tcBorders>
              <w:top w:val="nil" w:sz="6" w:space="0" w:color="auto"/>
              <w:left w:val="single" w:sz="4" w:space="0" w:color="000000"/>
              <w:right w:val="single" w:sz="4" w:space="0" w:color="000000"/>
            </w:tcBorders>
            <w:shd w:val="clear" w:color="auto" w:fill="D2D2D2"/>
          </w:tcPr>
          <w:p>
            <w:pPr/>
          </w:p>
        </w:tc>
        <w:tc>
          <w:tcPr>
            <w:tcW w:w="691"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6" w:hRule="exact"/>
        </w:trPr>
        <w:tc>
          <w:tcPr>
            <w:tcW w:w="1442" w:type="dxa"/>
            <w:vMerge/>
            <w:tcBorders>
              <w:left w:val="single" w:sz="4" w:space="0" w:color="000000"/>
              <w:bottom w:val="single" w:sz="4" w:space="0" w:color="000000"/>
              <w:right w:val="single" w:sz="4" w:space="0" w:color="000000"/>
            </w:tcBorders>
            <w:shd w:val="clear" w:color="auto" w:fill="D2D2D2"/>
          </w:tcPr>
          <w:p>
            <w:pPr/>
          </w:p>
        </w:tc>
        <w:tc>
          <w:tcPr>
            <w:tcW w:w="691"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442"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202,401,</w:t>
            </w:r>
          </w:p>
          <w:p>
            <w:pPr>
              <w:pStyle w:val="TableParagraph"/>
              <w:spacing w:line="240" w:lineRule="auto" w:before="105"/>
              <w:ind w:left="132" w:right="0"/>
              <w:jc w:val="center"/>
              <w:rPr>
                <w:rFonts w:ascii="Times New Roman" w:hAnsi="Times New Roman" w:cs="Times New Roman" w:eastAsia="Times New Roman" w:hint="default"/>
                <w:sz w:val="18"/>
                <w:szCs w:val="18"/>
              </w:rPr>
            </w:pPr>
            <w:r>
              <w:rPr>
                <w:rFonts w:ascii="Times New Roman"/>
                <w:sz w:val="18"/>
              </w:rPr>
              <w:t>442.00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257,160,6</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17.78</w:t>
            </w:r>
          </w:p>
        </w:tc>
        <w:tc>
          <w:tcPr>
            <w:tcW w:w="798" w:type="dxa"/>
            <w:vMerge w:val="restart"/>
            <w:tcBorders>
              <w:top w:val="single" w:sz="22" w:space="0" w:color="D2D2D2"/>
              <w:left w:val="single" w:sz="4" w:space="0" w:color="000000"/>
              <w:right w:val="single" w:sz="4" w:space="0" w:color="000000"/>
            </w:tcBorders>
          </w:tcPr>
          <w:p>
            <w:pPr>
              <w:pStyle w:val="TableParagraph"/>
              <w:spacing w:line="240" w:lineRule="auto" w:before="68"/>
              <w:ind w:left="58" w:right="0"/>
              <w:jc w:val="left"/>
              <w:rPr>
                <w:rFonts w:ascii="Times New Roman" w:hAnsi="Times New Roman" w:cs="Times New Roman" w:eastAsia="Times New Roman" w:hint="default"/>
                <w:sz w:val="18"/>
                <w:szCs w:val="18"/>
              </w:rPr>
            </w:pPr>
            <w:r>
              <w:rPr>
                <w:rFonts w:ascii="Times New Roman"/>
                <w:sz w:val="18"/>
              </w:rPr>
              <w:t>30,809,11</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1.03</w:t>
            </w:r>
          </w:p>
        </w:tc>
        <w:tc>
          <w:tcPr>
            <w:tcW w:w="798" w:type="dxa"/>
            <w:vMerge w:val="restart"/>
            <w:tcBorders>
              <w:top w:val="single" w:sz="22" w:space="0" w:color="D2D2D2"/>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30,503,78</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3.13</w:t>
            </w:r>
          </w:p>
        </w:tc>
        <w:tc>
          <w:tcPr>
            <w:tcW w:w="676" w:type="dxa"/>
            <w:vMerge w:val="restart"/>
            <w:tcBorders>
              <w:top w:val="single" w:sz="22" w:space="0" w:color="D2D2D2"/>
              <w:left w:val="single" w:sz="4" w:space="0" w:color="000000"/>
              <w:right w:val="single" w:sz="4" w:space="0" w:color="000000"/>
            </w:tcBorders>
          </w:tcPr>
          <w:p>
            <w:pPr>
              <w:pStyle w:val="TableParagraph"/>
              <w:spacing w:line="240" w:lineRule="auto" w:before="68"/>
              <w:ind w:left="58" w:right="0"/>
              <w:jc w:val="left"/>
              <w:rPr>
                <w:rFonts w:ascii="Times New Roman" w:hAnsi="Times New Roman" w:cs="Times New Roman" w:eastAsia="Times New Roman" w:hint="default"/>
                <w:sz w:val="18"/>
                <w:szCs w:val="18"/>
              </w:rPr>
            </w:pPr>
            <w:r>
              <w:rPr>
                <w:rFonts w:ascii="Times New Roman"/>
                <w:sz w:val="18"/>
              </w:rPr>
              <w:t>181,910</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,314.29</w:t>
            </w:r>
          </w:p>
        </w:tc>
        <w:tc>
          <w:tcPr>
            <w:tcW w:w="781" w:type="dxa"/>
            <w:vMerge w:val="restart"/>
            <w:tcBorders>
              <w:top w:val="single" w:sz="22" w:space="0" w:color="D2D2D2"/>
              <w:left w:val="single" w:sz="4" w:space="0" w:color="000000"/>
              <w:right w:val="single" w:sz="4" w:space="0" w:color="000000"/>
            </w:tcBorders>
          </w:tcPr>
          <w:p>
            <w:pPr>
              <w:pStyle w:val="TableParagraph"/>
              <w:spacing w:line="240" w:lineRule="auto" w:before="68"/>
              <w:ind w:left="27" w:right="0"/>
              <w:jc w:val="left"/>
              <w:rPr>
                <w:rFonts w:ascii="Times New Roman" w:hAnsi="Times New Roman" w:cs="Times New Roman" w:eastAsia="Times New Roman" w:hint="default"/>
                <w:sz w:val="18"/>
                <w:szCs w:val="18"/>
              </w:rPr>
            </w:pPr>
            <w:r>
              <w:rPr>
                <w:rFonts w:ascii="Times New Roman"/>
                <w:sz w:val="18"/>
              </w:rPr>
              <w:t>641,167,0</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46.17</w:t>
            </w:r>
          </w:p>
        </w:tc>
      </w:tr>
      <w:tr>
        <w:trPr>
          <w:trHeight w:val="392" w:hRule="exact"/>
        </w:trPr>
        <w:tc>
          <w:tcPr>
            <w:tcW w:w="144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42"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87" w:footer="640" w:top="1100" w:bottom="840" w:left="0" w:right="0"/>
        </w:sectPr>
      </w:pPr>
    </w:p>
    <w:p>
      <w:pPr>
        <w:spacing w:line="240" w:lineRule="auto" w:before="4"/>
        <w:rPr>
          <w:rFonts w:ascii="Times New Roman" w:hAnsi="Times New Roman" w:cs="Times New Roman" w:eastAsia="Times New Roman" w:hint="default"/>
          <w:sz w:val="3"/>
          <w:szCs w:val="3"/>
        </w:rPr>
      </w:pPr>
    </w:p>
    <w:p>
      <w:pPr>
        <w:spacing w:line="20" w:lineRule="exact"/>
        <w:ind w:left="1096"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10"/>
        <w:rPr>
          <w:rFonts w:ascii="Times New Roman" w:hAnsi="Times New Roman" w:cs="Times New Roman" w:eastAsia="Times New Roman" w:hint="default"/>
          <w:sz w:val="23"/>
          <w:szCs w:val="23"/>
        </w:rPr>
      </w:pPr>
    </w:p>
    <w:tbl>
      <w:tblPr>
        <w:tblW w:w="0" w:type="auto"/>
        <w:jc w:val="left"/>
        <w:tblInd w:w="112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202,401,</w:t>
            </w:r>
          </w:p>
          <w:p>
            <w:pPr>
              <w:pStyle w:val="TableParagraph"/>
              <w:spacing w:line="240" w:lineRule="auto" w:before="106"/>
              <w:ind w:left="140" w:right="0"/>
              <w:jc w:val="center"/>
              <w:rPr>
                <w:rFonts w:ascii="Times New Roman" w:hAnsi="Times New Roman" w:cs="Times New Roman" w:eastAsia="Times New Roman" w:hint="default"/>
                <w:sz w:val="18"/>
                <w:szCs w:val="18"/>
              </w:rPr>
            </w:pPr>
            <w:r>
              <w:rPr>
                <w:rFonts w:ascii="Times New Roman"/>
                <w:sz w:val="18"/>
              </w:rPr>
              <w:t>442.00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257,160,6</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17.78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30,809,11</w:t>
            </w:r>
          </w:p>
          <w:p>
            <w:pPr>
              <w:pStyle w:val="TableParagraph"/>
              <w:spacing w:line="240" w:lineRule="auto" w:before="106"/>
              <w:ind w:left="451" w:right="0"/>
              <w:jc w:val="left"/>
              <w:rPr>
                <w:rFonts w:ascii="Times New Roman" w:hAnsi="Times New Roman" w:cs="Times New Roman" w:eastAsia="Times New Roman" w:hint="default"/>
                <w:sz w:val="18"/>
                <w:szCs w:val="18"/>
              </w:rPr>
            </w:pPr>
            <w:r>
              <w:rPr>
                <w:rFonts w:ascii="Times New Roman"/>
                <w:sz w:val="18"/>
              </w:rPr>
              <w:t>1.03</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30,503,78</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3.13</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181,910</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,314.29</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641,167,0</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46.17</w:t>
            </w: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1"/>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15,969,2</w:t>
            </w:r>
          </w:p>
          <w:p>
            <w:pPr>
              <w:pStyle w:val="TableParagraph"/>
              <w:spacing w:line="240" w:lineRule="auto" w:before="106"/>
              <w:ind w:left="253" w:right="0"/>
              <w:jc w:val="left"/>
              <w:rPr>
                <w:rFonts w:ascii="Times New Roman" w:hAnsi="Times New Roman" w:cs="Times New Roman" w:eastAsia="Times New Roman" w:hint="default"/>
                <w:sz w:val="18"/>
                <w:szCs w:val="18"/>
              </w:rPr>
            </w:pPr>
            <w:r>
              <w:rPr>
                <w:rFonts w:ascii="Times New Roman"/>
                <w:sz w:val="18"/>
              </w:rPr>
              <w:t>17.00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334,571,1</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34.93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-12,842,4</w:t>
            </w:r>
          </w:p>
          <w:p>
            <w:pPr>
              <w:pStyle w:val="TableParagraph"/>
              <w:spacing w:line="240" w:lineRule="auto" w:before="106"/>
              <w:ind w:left="361" w:right="0"/>
              <w:jc w:val="left"/>
              <w:rPr>
                <w:rFonts w:ascii="Times New Roman" w:hAnsi="Times New Roman" w:cs="Times New Roman" w:eastAsia="Times New Roman" w:hint="default"/>
                <w:sz w:val="18"/>
                <w:szCs w:val="18"/>
              </w:rPr>
            </w:pPr>
            <w:r>
              <w:rPr>
                <w:rFonts w:ascii="Times New Roman"/>
                <w:sz w:val="18"/>
              </w:rPr>
              <w:t>96.00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6,351,577</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.71</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39,562,</w:t>
            </w:r>
          </w:p>
          <w:p>
            <w:pPr>
              <w:pStyle w:val="TableParagraph"/>
              <w:spacing w:line="240" w:lineRule="auto" w:before="106"/>
              <w:ind w:left="148" w:right="0"/>
              <w:jc w:val="left"/>
              <w:rPr>
                <w:rFonts w:ascii="Times New Roman" w:hAnsi="Times New Roman" w:cs="Times New Roman" w:eastAsia="Times New Roman" w:hint="default"/>
                <w:sz w:val="18"/>
                <w:szCs w:val="18"/>
              </w:rPr>
            </w:pPr>
            <w:r>
              <w:rPr>
                <w:rFonts w:ascii="Times New Roman"/>
                <w:sz w:val="18"/>
              </w:rPr>
              <w:t>662.44</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409,297,0</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88.08</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63,515,</w:t>
            </w:r>
          </w:p>
          <w:p>
            <w:pPr>
              <w:pStyle w:val="TableParagraph"/>
              <w:spacing w:line="240" w:lineRule="auto" w:before="106"/>
              <w:ind w:left="154" w:right="0"/>
              <w:jc w:val="left"/>
              <w:rPr>
                <w:rFonts w:ascii="Times New Roman" w:hAnsi="Times New Roman" w:cs="Times New Roman" w:eastAsia="Times New Roman" w:hint="default"/>
                <w:sz w:val="18"/>
                <w:szCs w:val="18"/>
              </w:rPr>
            </w:pPr>
            <w:r>
              <w:rPr>
                <w:rFonts w:ascii="Times New Roman"/>
                <w:sz w:val="18"/>
              </w:rPr>
              <w:t>777.11</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63,515,77</w:t>
            </w:r>
          </w:p>
          <w:p>
            <w:pPr>
              <w:pStyle w:val="TableParagraph"/>
              <w:spacing w:line="240" w:lineRule="auto" w:before="106"/>
              <w:ind w:left="439" w:right="0"/>
              <w:jc w:val="left"/>
              <w:rPr>
                <w:rFonts w:ascii="Times New Roman" w:hAnsi="Times New Roman" w:cs="Times New Roman" w:eastAsia="Times New Roman" w:hint="default"/>
                <w:sz w:val="18"/>
                <w:szCs w:val="18"/>
              </w:rPr>
            </w:pPr>
            <w:r>
              <w:rPr>
                <w:rFonts w:ascii="Times New Roman"/>
                <w:sz w:val="18"/>
              </w:rPr>
              <w:t>7.11</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15,969,2</w:t>
            </w:r>
          </w:p>
          <w:p>
            <w:pPr>
              <w:pStyle w:val="TableParagraph"/>
              <w:spacing w:line="240" w:lineRule="auto" w:before="106"/>
              <w:ind w:left="253" w:right="0"/>
              <w:jc w:val="left"/>
              <w:rPr>
                <w:rFonts w:ascii="Times New Roman" w:hAnsi="Times New Roman" w:cs="Times New Roman" w:eastAsia="Times New Roman" w:hint="default"/>
                <w:sz w:val="18"/>
                <w:szCs w:val="18"/>
              </w:rPr>
            </w:pPr>
            <w:r>
              <w:rPr>
                <w:rFonts w:ascii="Times New Roman"/>
                <w:sz w:val="18"/>
              </w:rPr>
              <w:t>17.00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328,763,0</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91.68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 w:right="0"/>
              <w:jc w:val="left"/>
              <w:rPr>
                <w:rFonts w:ascii="Times New Roman" w:hAnsi="Times New Roman" w:cs="Times New Roman" w:eastAsia="Times New Roman" w:hint="default"/>
                <w:sz w:val="18"/>
                <w:szCs w:val="18"/>
              </w:rPr>
            </w:pPr>
            <w:r>
              <w:rPr>
                <w:rFonts w:ascii="Times New Roman"/>
                <w:sz w:val="18"/>
              </w:rPr>
              <w:t>-12,842,4</w:t>
            </w:r>
          </w:p>
          <w:p>
            <w:pPr>
              <w:pStyle w:val="TableParagraph"/>
              <w:spacing w:line="240" w:lineRule="auto" w:before="106"/>
              <w:ind w:left="361" w:right="0"/>
              <w:jc w:val="left"/>
              <w:rPr>
                <w:rFonts w:ascii="Times New Roman" w:hAnsi="Times New Roman" w:cs="Times New Roman" w:eastAsia="Times New Roman" w:hint="default"/>
                <w:sz w:val="18"/>
                <w:szCs w:val="18"/>
              </w:rPr>
            </w:pPr>
            <w:r>
              <w:rPr>
                <w:rFonts w:ascii="Times New Roman"/>
                <w:sz w:val="18"/>
              </w:rPr>
              <w:t>96.00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357,574,8</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04.68</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15,945,3</w:t>
            </w:r>
          </w:p>
          <w:p>
            <w:pPr>
              <w:pStyle w:val="TableParagraph"/>
              <w:spacing w:line="240" w:lineRule="auto" w:before="106"/>
              <w:ind w:left="253" w:right="0"/>
              <w:jc w:val="left"/>
              <w:rPr>
                <w:rFonts w:ascii="Times New Roman" w:hAnsi="Times New Roman" w:cs="Times New Roman" w:eastAsia="Times New Roman" w:hint="default"/>
                <w:sz w:val="18"/>
                <w:szCs w:val="18"/>
              </w:rPr>
            </w:pPr>
            <w:r>
              <w:rPr>
                <w:rFonts w:ascii="Times New Roman"/>
                <w:sz w:val="18"/>
              </w:rPr>
              <w:t>68.00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328,628,6</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04.48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344,573,9</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72.48</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149,400.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1,662,752</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.20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1,817,152</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.20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-5,000.00</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-125,55</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1.00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-1,528,26</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5.00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 w:right="0"/>
              <w:jc w:val="left"/>
              <w:rPr>
                <w:rFonts w:ascii="Times New Roman" w:hAnsi="Times New Roman" w:cs="Times New Roman" w:eastAsia="Times New Roman" w:hint="default"/>
                <w:sz w:val="18"/>
                <w:szCs w:val="18"/>
              </w:rPr>
            </w:pPr>
            <w:r>
              <w:rPr>
                <w:rFonts w:ascii="Times New Roman"/>
                <w:sz w:val="18"/>
              </w:rPr>
              <w:t>-14,659,6</w:t>
            </w:r>
          </w:p>
          <w:p>
            <w:pPr>
              <w:pStyle w:val="TableParagraph"/>
              <w:spacing w:line="240" w:lineRule="auto" w:before="106"/>
              <w:ind w:left="361" w:right="0"/>
              <w:jc w:val="left"/>
              <w:rPr>
                <w:rFonts w:ascii="Times New Roman" w:hAnsi="Times New Roman" w:cs="Times New Roman" w:eastAsia="Times New Roman" w:hint="default"/>
                <w:sz w:val="18"/>
                <w:szCs w:val="18"/>
              </w:rPr>
            </w:pPr>
            <w:r>
              <w:rPr>
                <w:rFonts w:ascii="Times New Roman"/>
                <w:sz w:val="18"/>
              </w:rPr>
              <w:t>48.20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13,005,83</w:t>
            </w:r>
          </w:p>
          <w:p>
            <w:pPr>
              <w:pStyle w:val="TableParagraph"/>
              <w:spacing w:line="240" w:lineRule="auto" w:before="106"/>
              <w:ind w:left="433" w:right="0"/>
              <w:jc w:val="left"/>
              <w:rPr>
                <w:rFonts w:ascii="Times New Roman" w:hAnsi="Times New Roman" w:cs="Times New Roman" w:eastAsia="Times New Roman" w:hint="default"/>
                <w:sz w:val="18"/>
                <w:szCs w:val="18"/>
              </w:rPr>
            </w:pPr>
            <w:r>
              <w:rPr>
                <w:rFonts w:ascii="Times New Roman"/>
                <w:sz w:val="18"/>
              </w:rPr>
              <w:t>2.20</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6,351,577</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.71</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-23,953,</w:t>
            </w:r>
          </w:p>
          <w:p>
            <w:pPr>
              <w:pStyle w:val="TableParagraph"/>
              <w:spacing w:line="240" w:lineRule="auto" w:before="106"/>
              <w:ind w:left="131" w:right="0"/>
              <w:jc w:val="center"/>
              <w:rPr>
                <w:rFonts w:ascii="Times New Roman" w:hAnsi="Times New Roman" w:cs="Times New Roman" w:eastAsia="Times New Roman" w:hint="default"/>
                <w:sz w:val="18"/>
                <w:szCs w:val="18"/>
              </w:rPr>
            </w:pPr>
            <w:r>
              <w:rPr>
                <w:rFonts w:ascii="Times New Roman"/>
                <w:sz w:val="18"/>
              </w:rPr>
              <w:t>114.67</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-17,601,5</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36.96</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6,351,577</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.71</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-6,351,5</w:t>
            </w:r>
          </w:p>
          <w:p>
            <w:pPr>
              <w:pStyle w:val="TableParagraph"/>
              <w:spacing w:line="240" w:lineRule="auto" w:before="106"/>
              <w:ind w:left="216" w:right="0"/>
              <w:jc w:val="center"/>
              <w:rPr>
                <w:rFonts w:ascii="Times New Roman" w:hAnsi="Times New Roman" w:cs="Times New Roman" w:eastAsia="Times New Roman" w:hint="default"/>
                <w:sz w:val="18"/>
                <w:szCs w:val="18"/>
              </w:rPr>
            </w:pPr>
            <w:r>
              <w:rPr>
                <w:rFonts w:ascii="Times New Roman"/>
                <w:sz w:val="18"/>
              </w:rPr>
              <w:t>77.71</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-17,601,</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536.96</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-17,601,5</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36.96</w:t>
            </w: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44" w:right="0"/>
              <w:jc w:val="left"/>
              <w:rPr>
                <w:rFonts w:ascii="Times New Roman" w:hAnsi="Times New Roman" w:cs="Times New Roman" w:eastAsia="Times New Roman" w:hint="default"/>
                <w:sz w:val="18"/>
                <w:szCs w:val="18"/>
              </w:rPr>
            </w:pPr>
            <w:r>
              <w:rPr>
                <w:rFonts w:ascii="Times New Roman"/>
                <w:sz w:val="18"/>
              </w:rPr>
              <w:t>5,808,043</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7" w:right="0"/>
              <w:jc w:val="left"/>
              <w:rPr>
                <w:rFonts w:ascii="Times New Roman" w:hAnsi="Times New Roman" w:cs="Times New Roman" w:eastAsia="Times New Roman" w:hint="default"/>
                <w:sz w:val="18"/>
                <w:szCs w:val="18"/>
              </w:rPr>
            </w:pPr>
            <w:r>
              <w:rPr>
                <w:rFonts w:ascii="Times New Roman"/>
                <w:sz w:val="18"/>
              </w:rPr>
              <w:t>5,808,043</w:t>
            </w:r>
          </w:p>
        </w:tc>
      </w:tr>
    </w:tbl>
    <w:p>
      <w:pPr>
        <w:spacing w:after="0" w:line="240" w:lineRule="auto"/>
        <w:jc w:val="left"/>
        <w:rPr>
          <w:rFonts w:ascii="Times New Roman" w:hAnsi="Times New Roman" w:cs="Times New Roman" w:eastAsia="Times New Roman" w:hint="default"/>
          <w:sz w:val="18"/>
          <w:szCs w:val="18"/>
        </w:rPr>
        <w:sectPr>
          <w:pgSz w:w="11910" w:h="16840"/>
          <w:pgMar w:header="787" w:footer="640" w:top="1100" w:bottom="840" w:left="0" w:right="0"/>
        </w:sectPr>
      </w:pPr>
    </w:p>
    <w:p>
      <w:pPr>
        <w:spacing w:line="240" w:lineRule="auto" w:before="4"/>
        <w:rPr>
          <w:rFonts w:ascii="Times New Roman" w:hAnsi="Times New Roman" w:cs="Times New Roman" w:eastAsia="Times New Roman" w:hint="default"/>
          <w:sz w:val="3"/>
          <w:szCs w:val="3"/>
        </w:rPr>
      </w:pPr>
    </w:p>
    <w:p>
      <w:pPr>
        <w:spacing w:line="20" w:lineRule="exact"/>
        <w:ind w:left="1096"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10"/>
        <w:rPr>
          <w:rFonts w:ascii="Times New Roman" w:hAnsi="Times New Roman" w:cs="Times New Roman" w:eastAsia="Times New Roman" w:hint="default"/>
          <w:sz w:val="23"/>
          <w:szCs w:val="23"/>
        </w:rPr>
      </w:pPr>
    </w:p>
    <w:tbl>
      <w:tblPr>
        <w:tblW w:w="0" w:type="auto"/>
        <w:jc w:val="left"/>
        <w:tblInd w:w="112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36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z w:val="18"/>
              </w:rPr>
              <w:t>.25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z w:val="18"/>
              </w:rPr>
              <w:t>.25</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218,370,</w:t>
            </w:r>
          </w:p>
          <w:p>
            <w:pPr>
              <w:pStyle w:val="TableParagraph"/>
              <w:spacing w:line="240" w:lineRule="auto" w:before="105"/>
              <w:ind w:left="140" w:right="0"/>
              <w:jc w:val="center"/>
              <w:rPr>
                <w:rFonts w:ascii="Times New Roman" w:hAnsi="Times New Roman" w:cs="Times New Roman" w:eastAsia="Times New Roman" w:hint="default"/>
                <w:sz w:val="18"/>
                <w:szCs w:val="18"/>
              </w:rPr>
            </w:pPr>
            <w:r>
              <w:rPr>
                <w:rFonts w:ascii="Times New Roman"/>
                <w:sz w:val="18"/>
              </w:rPr>
              <w:t>659.00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591,731,7</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52.71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17,966,61</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5.03</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36,855,36</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0.84</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221,472</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,976.73</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1,050,464</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,134.25</w:t>
            </w:r>
          </w:p>
        </w:tc>
      </w:tr>
    </w:tbl>
    <w:p>
      <w:pPr>
        <w:pStyle w:val="BodyText"/>
        <w:spacing w:line="240" w:lineRule="auto" w:before="51"/>
        <w:ind w:right="0"/>
        <w:jc w:val="left"/>
      </w:pPr>
      <w:r>
        <w:rPr/>
        <w:t>上期金额</w:t>
      </w:r>
    </w:p>
    <w:p>
      <w:pPr>
        <w:pStyle w:val="BodyText"/>
        <w:spacing w:line="240" w:lineRule="auto" w:before="11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430"/>
        <w:gridCol w:w="691"/>
        <w:gridCol w:w="665"/>
        <w:gridCol w:w="665"/>
        <w:gridCol w:w="665"/>
        <w:gridCol w:w="797"/>
        <w:gridCol w:w="798"/>
        <w:gridCol w:w="798"/>
        <w:gridCol w:w="798"/>
        <w:gridCol w:w="797"/>
        <w:gridCol w:w="676"/>
        <w:gridCol w:w="781"/>
      </w:tblGrid>
      <w:tr>
        <w:trPr>
          <w:trHeight w:val="397"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11" w:hRule="exact"/>
        </w:trPr>
        <w:tc>
          <w:tcPr>
            <w:tcW w:w="14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691"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304" w:right="31"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1" w:hRule="exact"/>
        </w:trPr>
        <w:tc>
          <w:tcPr>
            <w:tcW w:w="1430" w:type="dxa"/>
            <w:vMerge/>
            <w:tcBorders>
              <w:left w:val="single" w:sz="4" w:space="0" w:color="000000"/>
              <w:bottom w:val="nil" w:sz="6" w:space="0" w:color="auto"/>
              <w:right w:val="single" w:sz="4" w:space="0" w:color="000000"/>
            </w:tcBorders>
            <w:shd w:val="clear" w:color="auto" w:fill="D2D2D2"/>
          </w:tcPr>
          <w:p>
            <w:pPr/>
          </w:p>
        </w:tc>
        <w:tc>
          <w:tcPr>
            <w:tcW w:w="69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59"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0" w:hRule="exact"/>
        </w:trPr>
        <w:tc>
          <w:tcPr>
            <w:tcW w:w="1430" w:type="dxa"/>
            <w:vMerge w:val="restart"/>
            <w:tcBorders>
              <w:top w:val="nil" w:sz="6" w:space="0" w:color="auto"/>
              <w:left w:val="single" w:sz="4" w:space="0" w:color="000000"/>
              <w:right w:val="single" w:sz="4" w:space="0" w:color="000000"/>
            </w:tcBorders>
            <w:shd w:val="clear" w:color="auto" w:fill="D2D2D2"/>
          </w:tcPr>
          <w:p>
            <w:pPr/>
          </w:p>
        </w:tc>
        <w:tc>
          <w:tcPr>
            <w:tcW w:w="691"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6" w:hRule="exact"/>
        </w:trPr>
        <w:tc>
          <w:tcPr>
            <w:tcW w:w="1430" w:type="dxa"/>
            <w:vMerge/>
            <w:tcBorders>
              <w:left w:val="single" w:sz="4" w:space="0" w:color="000000"/>
              <w:bottom w:val="single" w:sz="4" w:space="0" w:color="000000"/>
              <w:right w:val="single" w:sz="4" w:space="0" w:color="000000"/>
            </w:tcBorders>
            <w:shd w:val="clear" w:color="auto" w:fill="D2D2D2"/>
          </w:tcPr>
          <w:p>
            <w:pPr/>
          </w:p>
        </w:tc>
        <w:tc>
          <w:tcPr>
            <w:tcW w:w="691"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Style w:val="TableParagraph"/>
              <w:spacing w:line="240" w:lineRule="auto" w:before="91"/>
              <w:ind w:left="20" w:right="0"/>
              <w:jc w:val="left"/>
              <w:rPr>
                <w:rFonts w:ascii="Times New Roman" w:hAnsi="Times New Roman" w:cs="Times New Roman" w:eastAsia="Times New Roman" w:hint="default"/>
                <w:sz w:val="18"/>
                <w:szCs w:val="18"/>
              </w:rPr>
            </w:pPr>
            <w:r>
              <w:rPr>
                <w:rFonts w:ascii="Times New Roman"/>
                <w:sz w:val="18"/>
              </w:rPr>
              <w:t>80,688,5</w:t>
            </w:r>
          </w:p>
          <w:p>
            <w:pPr>
              <w:pStyle w:val="TableParagraph"/>
              <w:spacing w:line="240" w:lineRule="auto" w:before="106"/>
              <w:ind w:left="246" w:right="0"/>
              <w:jc w:val="left"/>
              <w:rPr>
                <w:rFonts w:ascii="Times New Roman" w:hAnsi="Times New Roman" w:cs="Times New Roman" w:eastAsia="Times New Roman" w:hint="default"/>
                <w:sz w:val="18"/>
                <w:szCs w:val="18"/>
              </w:rPr>
            </w:pPr>
            <w:r>
              <w:rPr>
                <w:rFonts w:ascii="Times New Roman"/>
                <w:sz w:val="18"/>
              </w:rPr>
              <w:t>00.00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309,424,8</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86.78</w:t>
            </w:r>
          </w:p>
        </w:tc>
        <w:tc>
          <w:tcPr>
            <w:tcW w:w="798" w:type="dxa"/>
            <w:vMerge w:val="restart"/>
            <w:tcBorders>
              <w:top w:val="single" w:sz="22" w:space="0" w:color="D2D2D2"/>
              <w:left w:val="single" w:sz="4" w:space="0" w:color="000000"/>
              <w:right w:val="single" w:sz="4" w:space="0" w:color="000000"/>
            </w:tcBorders>
          </w:tcPr>
          <w:p>
            <w:pPr>
              <w:pStyle w:val="TableParagraph"/>
              <w:spacing w:line="240" w:lineRule="auto" w:before="68"/>
              <w:ind w:left="45" w:right="0"/>
              <w:jc w:val="left"/>
              <w:rPr>
                <w:rFonts w:ascii="Times New Roman" w:hAnsi="Times New Roman" w:cs="Times New Roman" w:eastAsia="Times New Roman" w:hint="default"/>
                <w:sz w:val="18"/>
                <w:szCs w:val="18"/>
              </w:rPr>
            </w:pPr>
            <w:r>
              <w:rPr>
                <w:rFonts w:ascii="Times New Roman"/>
                <w:sz w:val="18"/>
              </w:rPr>
              <w:t>19,181,61</w:t>
            </w:r>
          </w:p>
          <w:p>
            <w:pPr>
              <w:pStyle w:val="TableParagraph"/>
              <w:spacing w:line="240" w:lineRule="auto" w:before="106"/>
              <w:ind w:left="451" w:right="0"/>
              <w:jc w:val="left"/>
              <w:rPr>
                <w:rFonts w:ascii="Times New Roman" w:hAnsi="Times New Roman" w:cs="Times New Roman" w:eastAsia="Times New Roman" w:hint="default"/>
                <w:sz w:val="18"/>
                <w:szCs w:val="18"/>
              </w:rPr>
            </w:pPr>
            <w:r>
              <w:rPr>
                <w:rFonts w:ascii="Times New Roman"/>
                <w:sz w:val="18"/>
              </w:rPr>
              <w:t>0.00</w:t>
            </w:r>
          </w:p>
        </w:tc>
        <w:tc>
          <w:tcPr>
            <w:tcW w:w="798" w:type="dxa"/>
            <w:vMerge w:val="restart"/>
            <w:tcBorders>
              <w:top w:val="single" w:sz="22" w:space="0" w:color="D2D2D2"/>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24,756,38</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1.45</w:t>
            </w:r>
          </w:p>
        </w:tc>
        <w:tc>
          <w:tcPr>
            <w:tcW w:w="676" w:type="dxa"/>
            <w:vMerge w:val="restart"/>
            <w:tcBorders>
              <w:top w:val="single" w:sz="22" w:space="0" w:color="D2D2D2"/>
              <w:left w:val="single" w:sz="4" w:space="0" w:color="000000"/>
              <w:right w:val="single" w:sz="4" w:space="0" w:color="000000"/>
            </w:tcBorders>
          </w:tcPr>
          <w:p>
            <w:pPr>
              <w:pStyle w:val="TableParagraph"/>
              <w:spacing w:line="240" w:lineRule="auto" w:before="68"/>
              <w:ind w:left="58" w:right="0"/>
              <w:jc w:val="left"/>
              <w:rPr>
                <w:rFonts w:ascii="Times New Roman" w:hAnsi="Times New Roman" w:cs="Times New Roman" w:eastAsia="Times New Roman" w:hint="default"/>
                <w:sz w:val="18"/>
                <w:szCs w:val="18"/>
              </w:rPr>
            </w:pPr>
            <w:r>
              <w:rPr>
                <w:rFonts w:ascii="Times New Roman"/>
                <w:sz w:val="18"/>
              </w:rPr>
              <w:t>182,631</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,217.60</w:t>
            </w:r>
          </w:p>
        </w:tc>
        <w:tc>
          <w:tcPr>
            <w:tcW w:w="781" w:type="dxa"/>
            <w:vMerge w:val="restart"/>
            <w:tcBorders>
              <w:top w:val="single" w:sz="22" w:space="0" w:color="D2D2D2"/>
              <w:left w:val="single" w:sz="4" w:space="0" w:color="000000"/>
              <w:right w:val="single" w:sz="4" w:space="0" w:color="000000"/>
            </w:tcBorders>
          </w:tcPr>
          <w:p>
            <w:pPr>
              <w:pStyle w:val="TableParagraph"/>
              <w:spacing w:line="240" w:lineRule="auto" w:before="68"/>
              <w:ind w:left="27" w:right="0"/>
              <w:jc w:val="left"/>
              <w:rPr>
                <w:rFonts w:ascii="Times New Roman" w:hAnsi="Times New Roman" w:cs="Times New Roman" w:eastAsia="Times New Roman" w:hint="default"/>
                <w:sz w:val="18"/>
                <w:szCs w:val="18"/>
              </w:rPr>
            </w:pPr>
            <w:r>
              <w:rPr>
                <w:rFonts w:ascii="Times New Roman"/>
                <w:sz w:val="18"/>
              </w:rPr>
              <w:t>578,319,3</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75.83</w:t>
            </w:r>
          </w:p>
        </w:tc>
      </w:tr>
      <w:tr>
        <w:trPr>
          <w:trHeight w:val="392" w:hRule="exact"/>
        </w:trPr>
        <w:tc>
          <w:tcPr>
            <w:tcW w:w="14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22"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Style w:val="TableParagraph"/>
              <w:spacing w:line="240" w:lineRule="auto" w:before="91"/>
              <w:ind w:left="20" w:right="0"/>
              <w:jc w:val="left"/>
              <w:rPr>
                <w:rFonts w:ascii="Times New Roman" w:hAnsi="Times New Roman" w:cs="Times New Roman" w:eastAsia="Times New Roman" w:hint="default"/>
                <w:sz w:val="18"/>
                <w:szCs w:val="18"/>
              </w:rPr>
            </w:pPr>
            <w:r>
              <w:rPr>
                <w:rFonts w:ascii="Times New Roman"/>
                <w:sz w:val="18"/>
              </w:rPr>
              <w:t>80,688,5</w:t>
            </w:r>
          </w:p>
          <w:p>
            <w:pPr>
              <w:pStyle w:val="TableParagraph"/>
              <w:spacing w:line="240" w:lineRule="auto" w:before="106"/>
              <w:ind w:left="246" w:right="0"/>
              <w:jc w:val="left"/>
              <w:rPr>
                <w:rFonts w:ascii="Times New Roman" w:hAnsi="Times New Roman" w:cs="Times New Roman" w:eastAsia="Times New Roman" w:hint="default"/>
                <w:sz w:val="18"/>
                <w:szCs w:val="18"/>
              </w:rPr>
            </w:pPr>
            <w:r>
              <w:rPr>
                <w:rFonts w:ascii="Times New Roman"/>
                <w:sz w:val="18"/>
              </w:rPr>
              <w:t>00.00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309,424,8</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86.78</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19,181,61</w:t>
            </w:r>
          </w:p>
          <w:p>
            <w:pPr>
              <w:pStyle w:val="TableParagraph"/>
              <w:spacing w:line="240" w:lineRule="auto" w:before="106"/>
              <w:ind w:left="451" w:right="0"/>
              <w:jc w:val="left"/>
              <w:rPr>
                <w:rFonts w:ascii="Times New Roman" w:hAnsi="Times New Roman" w:cs="Times New Roman" w:eastAsia="Times New Roman" w:hint="default"/>
                <w:sz w:val="18"/>
                <w:szCs w:val="18"/>
              </w:rPr>
            </w:pPr>
            <w:r>
              <w:rPr>
                <w:rFonts w:ascii="Times New Roman"/>
                <w:sz w:val="18"/>
              </w:rPr>
              <w:t>0.00</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24,756,38</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1.45</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182,631</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,217.60</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578,319,3</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75.83</w:t>
            </w:r>
          </w:p>
        </w:tc>
      </w:tr>
      <w:tr>
        <w:trPr>
          <w:trHeight w:val="392" w:hRule="exact"/>
        </w:trPr>
        <w:tc>
          <w:tcPr>
            <w:tcW w:w="14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1026"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21"/>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6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121,712,</w:t>
            </w:r>
          </w:p>
          <w:p>
            <w:pPr>
              <w:pStyle w:val="TableParagraph"/>
              <w:spacing w:line="240" w:lineRule="auto" w:before="106"/>
              <w:ind w:left="132" w:right="0"/>
              <w:jc w:val="center"/>
              <w:rPr>
                <w:rFonts w:ascii="Times New Roman" w:hAnsi="Times New Roman" w:cs="Times New Roman" w:eastAsia="Times New Roman" w:hint="default"/>
                <w:sz w:val="18"/>
                <w:szCs w:val="18"/>
              </w:rPr>
            </w:pPr>
            <w:r>
              <w:rPr>
                <w:rFonts w:ascii="Times New Roman"/>
                <w:sz w:val="18"/>
              </w:rPr>
              <w:t>942.00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-52,264,2</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69.00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11,627,50</w:t>
            </w:r>
          </w:p>
          <w:p>
            <w:pPr>
              <w:pStyle w:val="TableParagraph"/>
              <w:spacing w:line="240" w:lineRule="auto" w:before="106"/>
              <w:ind w:left="451" w:right="0"/>
              <w:jc w:val="left"/>
              <w:rPr>
                <w:rFonts w:ascii="Times New Roman" w:hAnsi="Times New Roman" w:cs="Times New Roman" w:eastAsia="Times New Roman" w:hint="default"/>
                <w:sz w:val="18"/>
                <w:szCs w:val="18"/>
              </w:rPr>
            </w:pPr>
            <w:r>
              <w:rPr>
                <w:rFonts w:ascii="Times New Roman"/>
                <w:sz w:val="18"/>
              </w:rPr>
              <w:t>1.03</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5,747,401</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.68</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-720,90</w:t>
            </w:r>
          </w:p>
          <w:p>
            <w:pPr>
              <w:pStyle w:val="TableParagraph"/>
              <w:spacing w:line="240" w:lineRule="auto" w:before="106"/>
              <w:ind w:left="328" w:right="0"/>
              <w:jc w:val="left"/>
              <w:rPr>
                <w:rFonts w:ascii="Times New Roman" w:hAnsi="Times New Roman" w:cs="Times New Roman" w:eastAsia="Times New Roman" w:hint="default"/>
                <w:sz w:val="18"/>
                <w:szCs w:val="18"/>
              </w:rPr>
            </w:pPr>
            <w:r>
              <w:rPr>
                <w:rFonts w:ascii="Times New Roman"/>
                <w:sz w:val="18"/>
              </w:rPr>
              <w:t>3.31</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62,847,67</w:t>
            </w:r>
          </w:p>
          <w:p>
            <w:pPr>
              <w:pStyle w:val="TableParagraph"/>
              <w:spacing w:line="240" w:lineRule="auto" w:before="106"/>
              <w:ind w:left="433" w:right="0"/>
              <w:jc w:val="left"/>
              <w:rPr>
                <w:rFonts w:ascii="Times New Roman" w:hAnsi="Times New Roman" w:cs="Times New Roman" w:eastAsia="Times New Roman" w:hint="default"/>
                <w:sz w:val="18"/>
                <w:szCs w:val="18"/>
              </w:rPr>
            </w:pPr>
            <w:r>
              <w:rPr>
                <w:rFonts w:ascii="Times New Roman"/>
                <w:sz w:val="18"/>
              </w:rPr>
              <w:t>0.34</w:t>
            </w: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22"/>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57,474,</w:t>
            </w:r>
          </w:p>
          <w:p>
            <w:pPr>
              <w:pStyle w:val="TableParagraph"/>
              <w:spacing w:line="240" w:lineRule="auto" w:before="106"/>
              <w:ind w:left="148" w:right="0"/>
              <w:jc w:val="left"/>
              <w:rPr>
                <w:rFonts w:ascii="Times New Roman" w:hAnsi="Times New Roman" w:cs="Times New Roman" w:eastAsia="Times New Roman" w:hint="default"/>
                <w:sz w:val="18"/>
                <w:szCs w:val="18"/>
              </w:rPr>
            </w:pPr>
            <w:r>
              <w:rPr>
                <w:rFonts w:ascii="Times New Roman"/>
                <w:sz w:val="18"/>
              </w:rPr>
              <w:t>016.78</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57,474,01</w:t>
            </w:r>
          </w:p>
          <w:p>
            <w:pPr>
              <w:pStyle w:val="TableParagraph"/>
              <w:spacing w:line="240" w:lineRule="auto" w:before="106"/>
              <w:ind w:left="433" w:right="0"/>
              <w:jc w:val="left"/>
              <w:rPr>
                <w:rFonts w:ascii="Times New Roman" w:hAnsi="Times New Roman" w:cs="Times New Roman" w:eastAsia="Times New Roman" w:hint="default"/>
                <w:sz w:val="18"/>
                <w:szCs w:val="18"/>
              </w:rPr>
            </w:pPr>
            <w:r>
              <w:rPr>
                <w:rFonts w:ascii="Times New Roman"/>
                <w:sz w:val="18"/>
              </w:rPr>
              <w:t>6.78</w:t>
            </w: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22"/>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680,200.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22,790,60</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8.00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z w:val="18"/>
              </w:rPr>
              <w:t>11,627,50</w:t>
            </w:r>
          </w:p>
          <w:p>
            <w:pPr>
              <w:pStyle w:val="TableParagraph"/>
              <w:spacing w:line="240" w:lineRule="auto" w:before="106"/>
              <w:ind w:left="451" w:right="0"/>
              <w:jc w:val="left"/>
              <w:rPr>
                <w:rFonts w:ascii="Times New Roman" w:hAnsi="Times New Roman" w:cs="Times New Roman" w:eastAsia="Times New Roman" w:hint="default"/>
                <w:sz w:val="18"/>
                <w:szCs w:val="18"/>
              </w:rPr>
            </w:pPr>
            <w:r>
              <w:rPr>
                <w:rFonts w:ascii="Times New Roman"/>
                <w:sz w:val="18"/>
              </w:rPr>
              <w:t>1.03</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 w:right="0"/>
              <w:jc w:val="left"/>
              <w:rPr>
                <w:rFonts w:ascii="Times New Roman" w:hAnsi="Times New Roman" w:cs="Times New Roman" w:eastAsia="Times New Roman" w:hint="default"/>
                <w:sz w:val="18"/>
                <w:szCs w:val="18"/>
              </w:rPr>
            </w:pPr>
            <w:r>
              <w:rPr>
                <w:rFonts w:ascii="Times New Roman"/>
                <w:sz w:val="18"/>
              </w:rPr>
              <w:t>11,843,30</w:t>
            </w:r>
          </w:p>
          <w:p>
            <w:pPr>
              <w:pStyle w:val="TableParagraph"/>
              <w:spacing w:line="240" w:lineRule="auto" w:before="106"/>
              <w:ind w:left="433" w:right="0"/>
              <w:jc w:val="left"/>
              <w:rPr>
                <w:rFonts w:ascii="Times New Roman" w:hAnsi="Times New Roman" w:cs="Times New Roman" w:eastAsia="Times New Roman" w:hint="default"/>
                <w:sz w:val="18"/>
                <w:szCs w:val="18"/>
              </w:rPr>
            </w:pPr>
            <w:r>
              <w:rPr>
                <w:rFonts w:ascii="Times New Roman"/>
                <w:sz w:val="18"/>
              </w:rPr>
              <w:t>6.97</w:t>
            </w: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680,200.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22,790,60</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8.00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19,389,12</w:t>
            </w:r>
          </w:p>
          <w:p>
            <w:pPr>
              <w:pStyle w:val="TableParagraph"/>
              <w:spacing w:line="240" w:lineRule="auto" w:before="106"/>
              <w:ind w:left="451" w:right="0"/>
              <w:jc w:val="left"/>
              <w:rPr>
                <w:rFonts w:ascii="Times New Roman" w:hAnsi="Times New Roman" w:cs="Times New Roman" w:eastAsia="Times New Roman" w:hint="default"/>
                <w:sz w:val="18"/>
                <w:szCs w:val="18"/>
              </w:rPr>
            </w:pPr>
            <w:r>
              <w:rPr>
                <w:rFonts w:ascii="Times New Roman"/>
                <w:sz w:val="18"/>
              </w:rPr>
              <w:t>8.00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4,081,680</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.00</w:t>
            </w:r>
          </w:p>
        </w:tc>
      </w:tr>
      <w:tr>
        <w:trPr>
          <w:trHeight w:val="161"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91"/>
              <w:ind w:left="75" w:right="0"/>
              <w:jc w:val="left"/>
              <w:rPr>
                <w:rFonts w:ascii="Times New Roman" w:hAnsi="Times New Roman" w:cs="Times New Roman" w:eastAsia="Times New Roman" w:hint="default"/>
                <w:sz w:val="18"/>
                <w:szCs w:val="18"/>
              </w:rPr>
            </w:pPr>
            <w:r>
              <w:rPr>
                <w:rFonts w:ascii="Times New Roman"/>
                <w:sz w:val="18"/>
              </w:rPr>
              <w:t>-7,761,62</w:t>
            </w:r>
          </w:p>
          <w:p>
            <w:pPr>
              <w:pStyle w:val="TableParagraph"/>
              <w:spacing w:line="240" w:lineRule="auto" w:before="106"/>
              <w:ind w:left="451" w:right="0"/>
              <w:jc w:val="left"/>
              <w:rPr>
                <w:rFonts w:ascii="Times New Roman" w:hAnsi="Times New Roman" w:cs="Times New Roman" w:eastAsia="Times New Roman" w:hint="default"/>
                <w:sz w:val="18"/>
                <w:szCs w:val="18"/>
              </w:rPr>
            </w:pPr>
            <w:r>
              <w:rPr>
                <w:rFonts w:ascii="Times New Roman"/>
                <w:sz w:val="18"/>
              </w:rPr>
              <w:t>6.97</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676" w:type="dxa"/>
            <w:vMerge w:val="restart"/>
            <w:tcBorders>
              <w:top w:val="single" w:sz="4" w:space="0" w:color="000000"/>
              <w:left w:val="single" w:sz="4" w:space="0" w:color="000000"/>
              <w:right w:val="single" w:sz="4" w:space="0" w:color="000000"/>
            </w:tcBorders>
          </w:tcPr>
          <w:p>
            <w:pP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7,761,626</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.97</w:t>
            </w:r>
          </w:p>
        </w:tc>
      </w:tr>
      <w:tr>
        <w:trPr>
          <w:trHeight w:val="392" w:hRule="exact"/>
        </w:trPr>
        <w:tc>
          <w:tcPr>
            <w:tcW w:w="14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161"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5,747,401</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.68</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-17,850,</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675.09</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-12,103,2</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73.41</w:t>
            </w:r>
          </w:p>
        </w:tc>
      </w:tr>
      <w:tr>
        <w:trPr>
          <w:trHeight w:val="392" w:hRule="exact"/>
        </w:trPr>
        <w:tc>
          <w:tcPr>
            <w:tcW w:w="14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161"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5,747,401</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.68</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-5,747,4</w:t>
            </w:r>
          </w:p>
          <w:p>
            <w:pPr>
              <w:pStyle w:val="TableParagraph"/>
              <w:spacing w:line="240" w:lineRule="auto" w:before="106"/>
              <w:ind w:left="216" w:right="0"/>
              <w:jc w:val="center"/>
              <w:rPr>
                <w:rFonts w:ascii="Times New Roman" w:hAnsi="Times New Roman" w:cs="Times New Roman" w:eastAsia="Times New Roman" w:hint="default"/>
                <w:sz w:val="18"/>
                <w:szCs w:val="18"/>
              </w:rPr>
            </w:pPr>
            <w:r>
              <w:rPr>
                <w:rFonts w:ascii="Times New Roman"/>
                <w:sz w:val="18"/>
              </w:rPr>
              <w:t>01.68</w:t>
            </w:r>
          </w:p>
        </w:tc>
        <w:tc>
          <w:tcPr>
            <w:tcW w:w="781" w:type="dxa"/>
            <w:vMerge w:val="restart"/>
            <w:tcBorders>
              <w:top w:val="single" w:sz="4" w:space="0" w:color="000000"/>
              <w:left w:val="single" w:sz="4" w:space="0" w:color="000000"/>
              <w:right w:val="single" w:sz="4" w:space="0" w:color="000000"/>
            </w:tcBorders>
          </w:tcPr>
          <w:p>
            <w:pPr/>
          </w:p>
        </w:tc>
      </w:tr>
      <w:tr>
        <w:trPr>
          <w:trHeight w:val="392" w:hRule="exact"/>
        </w:trPr>
        <w:tc>
          <w:tcPr>
            <w:tcW w:w="14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402"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43" w:right="0"/>
              <w:jc w:val="left"/>
              <w:rPr>
                <w:rFonts w:ascii="Times New Roman" w:hAnsi="Times New Roman" w:cs="Times New Roman" w:eastAsia="Times New Roman" w:hint="default"/>
                <w:sz w:val="18"/>
                <w:szCs w:val="18"/>
              </w:rPr>
            </w:pPr>
            <w:r>
              <w:rPr>
                <w:rFonts w:ascii="Times New Roman"/>
                <w:sz w:val="18"/>
              </w:rPr>
              <w:t>-12,103,</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57" w:right="0"/>
              <w:jc w:val="left"/>
              <w:rPr>
                <w:rFonts w:ascii="Times New Roman" w:hAnsi="Times New Roman" w:cs="Times New Roman" w:eastAsia="Times New Roman" w:hint="default"/>
                <w:sz w:val="18"/>
                <w:szCs w:val="18"/>
              </w:rPr>
            </w:pPr>
            <w:r>
              <w:rPr>
                <w:rFonts w:ascii="Times New Roman"/>
                <w:sz w:val="18"/>
              </w:rPr>
              <w:t>-12,103,2</w:t>
            </w:r>
          </w:p>
        </w:tc>
      </w:tr>
    </w:tbl>
    <w:p>
      <w:pPr>
        <w:spacing w:after="0" w:line="240" w:lineRule="auto"/>
        <w:jc w:val="left"/>
        <w:rPr>
          <w:rFonts w:ascii="Times New Roman" w:hAnsi="Times New Roman" w:cs="Times New Roman" w:eastAsia="Times New Roman" w:hint="default"/>
          <w:sz w:val="18"/>
          <w:szCs w:val="18"/>
        </w:rPr>
        <w:sectPr>
          <w:pgSz w:w="11910" w:h="16840"/>
          <w:pgMar w:header="787" w:footer="640" w:top="1100" w:bottom="840" w:left="0" w:right="0"/>
        </w:sectPr>
      </w:pPr>
    </w:p>
    <w:p>
      <w:pPr>
        <w:spacing w:line="240" w:lineRule="auto" w:before="5"/>
        <w:rPr>
          <w:rFonts w:ascii="宋体" w:hAnsi="宋体" w:cs="宋体" w:eastAsia="宋体" w:hint="default"/>
          <w:sz w:val="25"/>
          <w:szCs w:val="25"/>
        </w:rPr>
      </w:pPr>
    </w:p>
    <w:tbl>
      <w:tblPr>
        <w:tblW w:w="0" w:type="auto"/>
        <w:jc w:val="left"/>
        <w:tblInd w:w="112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36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48" w:right="0"/>
              <w:jc w:val="left"/>
              <w:rPr>
                <w:rFonts w:ascii="Times New Roman" w:hAnsi="Times New Roman" w:cs="Times New Roman" w:eastAsia="Times New Roman" w:hint="default"/>
                <w:sz w:val="18"/>
                <w:szCs w:val="18"/>
              </w:rPr>
            </w:pPr>
            <w:r>
              <w:rPr>
                <w:rFonts w:ascii="Times New Roman"/>
                <w:sz w:val="18"/>
              </w:rPr>
              <w:t>273.41</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43" w:right="0"/>
              <w:jc w:val="left"/>
              <w:rPr>
                <w:rFonts w:ascii="Times New Roman" w:hAnsi="Times New Roman" w:cs="Times New Roman" w:eastAsia="Times New Roman" w:hint="default"/>
                <w:sz w:val="18"/>
                <w:szCs w:val="18"/>
              </w:rPr>
            </w:pPr>
            <w:r>
              <w:rPr>
                <w:rFonts w:ascii="Times New Roman"/>
                <w:sz w:val="18"/>
              </w:rPr>
              <w:t>73.41</w:t>
            </w: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121,032,</w:t>
            </w:r>
          </w:p>
          <w:p>
            <w:pPr>
              <w:pStyle w:val="TableParagraph"/>
              <w:spacing w:line="240" w:lineRule="auto" w:before="105"/>
              <w:ind w:left="140" w:right="0"/>
              <w:jc w:val="center"/>
              <w:rPr>
                <w:rFonts w:ascii="Times New Roman" w:hAnsi="Times New Roman" w:cs="Times New Roman" w:eastAsia="Times New Roman" w:hint="default"/>
                <w:sz w:val="18"/>
                <w:szCs w:val="18"/>
              </w:rPr>
            </w:pPr>
            <w:r>
              <w:rPr>
                <w:rFonts w:ascii="Times New Roman"/>
                <w:sz w:val="18"/>
              </w:rPr>
              <w:t>742.00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-80,688,4</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97.00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-40,344,</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245.00</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80,688,4</w:t>
            </w:r>
          </w:p>
          <w:p>
            <w:pPr>
              <w:pStyle w:val="TableParagraph"/>
              <w:spacing w:line="240" w:lineRule="auto" w:before="105"/>
              <w:ind w:left="253" w:right="0"/>
              <w:jc w:val="left"/>
              <w:rPr>
                <w:rFonts w:ascii="Times New Roman" w:hAnsi="Times New Roman" w:cs="Times New Roman" w:eastAsia="Times New Roman" w:hint="default"/>
                <w:sz w:val="18"/>
                <w:szCs w:val="18"/>
              </w:rPr>
            </w:pPr>
            <w:r>
              <w:rPr>
                <w:rFonts w:ascii="Times New Roman"/>
                <w:sz w:val="18"/>
              </w:rPr>
              <w:t>97.00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-80,688,4</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97.00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40,344,2</w:t>
            </w:r>
          </w:p>
          <w:p>
            <w:pPr>
              <w:pStyle w:val="TableParagraph"/>
              <w:spacing w:line="240" w:lineRule="auto" w:before="105"/>
              <w:ind w:left="253" w:right="0"/>
              <w:jc w:val="left"/>
              <w:rPr>
                <w:rFonts w:ascii="Times New Roman" w:hAnsi="Times New Roman" w:cs="Times New Roman" w:eastAsia="Times New Roman" w:hint="default"/>
                <w:sz w:val="18"/>
                <w:szCs w:val="18"/>
              </w:rPr>
            </w:pPr>
            <w:r>
              <w:rPr>
                <w:rFonts w:ascii="Times New Roman"/>
                <w:sz w:val="18"/>
              </w:rPr>
              <w:t>45.00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-40,344,</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245.00</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5,633,620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5,633,620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202,401,</w:t>
            </w:r>
          </w:p>
          <w:p>
            <w:pPr>
              <w:pStyle w:val="TableParagraph"/>
              <w:spacing w:line="240" w:lineRule="auto" w:before="105"/>
              <w:ind w:left="140" w:right="0"/>
              <w:jc w:val="center"/>
              <w:rPr>
                <w:rFonts w:ascii="Times New Roman" w:hAnsi="Times New Roman" w:cs="Times New Roman" w:eastAsia="Times New Roman" w:hint="default"/>
                <w:sz w:val="18"/>
                <w:szCs w:val="18"/>
              </w:rPr>
            </w:pPr>
            <w:r>
              <w:rPr>
                <w:rFonts w:ascii="Times New Roman"/>
                <w:sz w:val="18"/>
              </w:rPr>
              <w:t>442.00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257,160,6</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17.78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30,809,11</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1.03</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30,503,78</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3.13</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181,910</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,314.29</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641,167,0</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46.17</w:t>
            </w:r>
          </w:p>
        </w:tc>
      </w:tr>
    </w:tbl>
    <w:p>
      <w:pPr>
        <w:spacing w:line="240" w:lineRule="auto" w:before="0"/>
        <w:rPr>
          <w:rFonts w:ascii="宋体" w:hAnsi="宋体" w:cs="宋体" w:eastAsia="宋体" w:hint="default"/>
          <w:sz w:val="24"/>
          <w:szCs w:val="24"/>
        </w:rPr>
      </w:pPr>
    </w:p>
    <w:p>
      <w:pPr>
        <w:pStyle w:val="Heading2"/>
        <w:spacing w:line="240" w:lineRule="auto" w:before="26"/>
        <w:ind w:left="1134" w:right="0"/>
        <w:jc w:val="left"/>
        <w:rPr>
          <w:b w:val="0"/>
          <w:bCs w:val="0"/>
        </w:rPr>
      </w:pPr>
      <w:bookmarkStart w:name="三、公司基本情况" w:id="163"/>
      <w:bookmarkEnd w:id="163"/>
      <w:r>
        <w:rPr>
          <w:b w:val="0"/>
          <w:bCs w:val="0"/>
        </w:rPr>
      </w:r>
      <w:r>
        <w:rPr/>
        <w:t>三、公司基本情况</w:t>
      </w:r>
      <w:r>
        <w:rPr>
          <w:b w:val="0"/>
          <w:bCs w:val="0"/>
        </w:rPr>
      </w:r>
    </w:p>
    <w:p>
      <w:pPr>
        <w:spacing w:line="240" w:lineRule="auto" w:before="0"/>
        <w:rPr>
          <w:rFonts w:ascii="宋体" w:hAnsi="宋体" w:cs="宋体" w:eastAsia="宋体" w:hint="default"/>
          <w:b/>
          <w:bCs/>
          <w:sz w:val="24"/>
          <w:szCs w:val="24"/>
        </w:rPr>
      </w:pPr>
    </w:p>
    <w:p>
      <w:pPr>
        <w:pStyle w:val="Heading3"/>
        <w:spacing w:line="240" w:lineRule="auto" w:before="163"/>
        <w:ind w:left="1133" w:right="0"/>
        <w:jc w:val="left"/>
        <w:rPr>
          <w:b w:val="0"/>
          <w:bCs w:val="0"/>
        </w:rPr>
      </w:pPr>
      <w:r>
        <w:rPr>
          <w:rFonts w:ascii="Times New Roman" w:hAnsi="Times New Roman" w:cs="Times New Roman" w:eastAsia="Times New Roman" w:hint="default"/>
        </w:rPr>
        <w:t>1</w:t>
      </w:r>
      <w:r>
        <w:rPr/>
        <w:t>、公司概况</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pStyle w:val="BodyText"/>
        <w:spacing w:line="504" w:lineRule="auto"/>
        <w:ind w:left="1496" w:right="6595"/>
        <w:jc w:val="left"/>
      </w:pPr>
      <w:r>
        <w:rPr/>
        <w:t>公司注册中文名称：浩云科技股份有限公司 公司注册英文名称：</w:t>
      </w:r>
      <w:r>
        <w:rPr>
          <w:rFonts w:ascii="Times New Roman" w:hAnsi="Times New Roman" w:cs="Times New Roman" w:eastAsia="Times New Roman" w:hint="default"/>
        </w:rPr>
        <w:t>Haoyun Technologies</w:t>
      </w:r>
      <w:r>
        <w:rPr>
          <w:rFonts w:ascii="Times New Roman" w:hAnsi="Times New Roman" w:cs="Times New Roman" w:eastAsia="Times New Roman" w:hint="default"/>
          <w:spacing w:val="-5"/>
        </w:rPr>
        <w:t> </w:t>
      </w:r>
      <w:r>
        <w:rPr>
          <w:rFonts w:ascii="Times New Roman" w:hAnsi="Times New Roman" w:cs="Times New Roman" w:eastAsia="Times New Roman" w:hint="default"/>
        </w:rPr>
        <w:t>Co.,Ltd</w:t>
      </w:r>
      <w:r>
        <w:rPr>
          <w:rFonts w:ascii="Times New Roman" w:hAnsi="Times New Roman" w:cs="Times New Roman" w:eastAsia="Times New Roman" w:hint="default"/>
        </w:rPr>
        <w:t> </w:t>
      </w:r>
      <w:r>
        <w:rPr/>
        <w:t>公司简称：浩云科技</w:t>
      </w:r>
    </w:p>
    <w:p>
      <w:pPr>
        <w:pStyle w:val="BodyText"/>
        <w:spacing w:line="489" w:lineRule="auto" w:before="74"/>
        <w:ind w:left="1496" w:right="7285"/>
        <w:jc w:val="left"/>
      </w:pPr>
      <w:r>
        <w:rPr/>
        <w:t>股票代码：</w:t>
      </w:r>
      <w:r>
        <w:rPr>
          <w:rFonts w:ascii="Times New Roman" w:hAnsi="Times New Roman" w:cs="Times New Roman" w:eastAsia="Times New Roman" w:hint="default"/>
        </w:rPr>
        <w:t>300448 </w:t>
      </w:r>
      <w:r>
        <w:rPr/>
        <w:t>注册资本与实收资本：</w:t>
      </w:r>
      <w:r>
        <w:rPr>
          <w:rFonts w:ascii="Times New Roman" w:hAnsi="Times New Roman" w:cs="Times New Roman" w:eastAsia="Times New Roman" w:hint="default"/>
        </w:rPr>
        <w:t>218,370,659.00</w:t>
      </w:r>
      <w:r>
        <w:rPr/>
        <w:t>元 法定代表人：雷洪文</w:t>
      </w:r>
    </w:p>
    <w:p>
      <w:pPr>
        <w:pStyle w:val="BodyText"/>
        <w:spacing w:line="489" w:lineRule="auto" w:before="85"/>
        <w:ind w:left="1496" w:right="3370"/>
        <w:jc w:val="left"/>
      </w:pPr>
      <w:r>
        <w:rPr/>
        <w:t>注册地址（总部地址）：广州市番禺区东环街番禺大道北</w:t>
      </w:r>
      <w:r>
        <w:rPr>
          <w:rFonts w:ascii="Times New Roman" w:hAnsi="Times New Roman" w:cs="Times New Roman" w:eastAsia="Times New Roman" w:hint="default"/>
        </w:rPr>
        <w:t>555</w:t>
      </w:r>
      <w:r>
        <w:rPr/>
        <w:t>号天安总部中心</w:t>
      </w:r>
      <w:r>
        <w:rPr>
          <w:rFonts w:ascii="Times New Roman" w:hAnsi="Times New Roman" w:cs="Times New Roman" w:eastAsia="Times New Roman" w:hint="default"/>
        </w:rPr>
        <w:t>22</w:t>
      </w:r>
      <w:r>
        <w:rPr/>
        <w:t>号楼</w:t>
      </w:r>
      <w:r>
        <w:rPr>
          <w:rFonts w:ascii="Times New Roman" w:hAnsi="Times New Roman" w:cs="Times New Roman" w:eastAsia="Times New Roman" w:hint="default"/>
        </w:rPr>
        <w:t>102</w:t>
      </w:r>
      <w:r>
        <w:rPr/>
        <w:t>房 公司类型：股份有限公司（上市、自然人投资或控股）</w:t>
      </w:r>
    </w:p>
    <w:p>
      <w:pPr>
        <w:spacing w:line="240" w:lineRule="auto" w:before="6"/>
        <w:rPr>
          <w:rFonts w:ascii="宋体" w:hAnsi="宋体" w:cs="宋体" w:eastAsia="宋体" w:hint="default"/>
          <w:sz w:val="24"/>
          <w:szCs w:val="24"/>
        </w:rPr>
      </w:pPr>
    </w:p>
    <w:p>
      <w:pPr>
        <w:pStyle w:val="Heading3"/>
        <w:spacing w:line="240" w:lineRule="auto"/>
        <w:ind w:left="1133" w:right="0"/>
        <w:jc w:val="left"/>
        <w:rPr>
          <w:b w:val="0"/>
          <w:bCs w:val="0"/>
        </w:rPr>
      </w:pPr>
      <w:r>
        <w:rPr>
          <w:rFonts w:ascii="Times New Roman" w:hAnsi="Times New Roman" w:cs="Times New Roman" w:eastAsia="Times New Roman" w:hint="default"/>
        </w:rPr>
        <w:t>2</w:t>
      </w:r>
      <w:r>
        <w:rPr/>
        <w:t>、公司业务性质及经营范围</w:t>
      </w:r>
      <w:r>
        <w:rPr>
          <w:b w:val="0"/>
          <w:bCs w:val="0"/>
        </w:rPr>
      </w:r>
    </w:p>
    <w:p>
      <w:pPr>
        <w:spacing w:after="0" w:line="240" w:lineRule="auto"/>
        <w:jc w:val="left"/>
        <w:sectPr>
          <w:pgSz w:w="11910" w:h="16840"/>
          <w:pgMar w:header="787" w:footer="640" w:top="1100" w:bottom="840" w:left="0" w:right="0"/>
        </w:sectPr>
      </w:pPr>
    </w:p>
    <w:p>
      <w:pPr>
        <w:spacing w:line="240" w:lineRule="auto" w:before="10"/>
        <w:rPr>
          <w:rFonts w:ascii="宋体" w:hAnsi="宋体" w:cs="宋体" w:eastAsia="宋体" w:hint="default"/>
          <w:b/>
          <w:bCs/>
          <w:sz w:val="28"/>
          <w:szCs w:val="28"/>
        </w:rPr>
      </w:pPr>
    </w:p>
    <w:p>
      <w:pPr>
        <w:pStyle w:val="BodyText"/>
        <w:spacing w:line="477" w:lineRule="auto" w:before="44"/>
        <w:ind w:left="1133" w:right="0" w:firstLine="360"/>
        <w:jc w:val="left"/>
      </w:pPr>
      <w:r>
        <w:rPr>
          <w:spacing w:val="-2"/>
        </w:rPr>
        <w:t>公司行业性质为软件和信息技术服务业，经营范围为：计算机技术开发、技术服务；安全技术防范系统设计、施工、维</w:t>
      </w:r>
      <w:r>
        <w:rPr/>
        <w:t> </w:t>
      </w:r>
      <w:r>
        <w:rPr>
          <w:spacing w:val="-2"/>
        </w:rPr>
        <w:t>修；安全技术防范产品批发；安全技术防范产品零售；信息系统集成服务；计算机网络系统工程服务；电子产品批发；电子</w:t>
      </w:r>
      <w:r>
        <w:rPr>
          <w:spacing w:val="-68"/>
        </w:rPr>
        <w:t> </w:t>
      </w:r>
      <w:r>
        <w:rPr>
          <w:spacing w:val="-68"/>
        </w:rPr>
      </w:r>
      <w:r>
        <w:rPr>
          <w:spacing w:val="-4"/>
        </w:rPr>
        <w:t>产品零售；安全技术防范产品制造；网络技术的研究、开发；智能化安装工程服务；场地租赁（不含仓储）；机械设备租赁；</w:t>
      </w:r>
      <w:r>
        <w:rPr>
          <w:spacing w:val="-46"/>
        </w:rPr>
        <w:t> </w:t>
      </w:r>
      <w:r>
        <w:rPr>
          <w:spacing w:val="-46"/>
        </w:rPr>
      </w:r>
      <w:r>
        <w:rPr>
          <w:spacing w:val="-2"/>
        </w:rPr>
        <w:t>房屋租赁；计算机及通讯设备租赁；机电设备安装服务；机电设备安装工程专业承包；防雷工程专业施工；防雷工程专业设</w:t>
      </w:r>
      <w:r>
        <w:rPr>
          <w:spacing w:val="-66"/>
        </w:rPr>
        <w:t> </w:t>
      </w:r>
      <w:r>
        <w:rPr>
          <w:spacing w:val="-66"/>
        </w:rPr>
      </w:r>
      <w:r>
        <w:rPr/>
        <w:t>计服务；电子设备工程安装服务；受金融机构委托从事金融信息技术外包服务。</w:t>
      </w:r>
    </w:p>
    <w:p>
      <w:pPr>
        <w:spacing w:line="240" w:lineRule="auto" w:before="0"/>
        <w:rPr>
          <w:rFonts w:ascii="宋体" w:hAnsi="宋体" w:cs="宋体" w:eastAsia="宋体" w:hint="default"/>
          <w:sz w:val="25"/>
          <w:szCs w:val="25"/>
        </w:rPr>
      </w:pPr>
    </w:p>
    <w:p>
      <w:pPr>
        <w:pStyle w:val="Heading3"/>
        <w:spacing w:line="240" w:lineRule="auto"/>
        <w:ind w:left="1133" w:right="0"/>
        <w:jc w:val="left"/>
        <w:rPr>
          <w:b w:val="0"/>
          <w:bCs w:val="0"/>
        </w:rPr>
      </w:pPr>
      <w:r>
        <w:rPr>
          <w:rFonts w:ascii="Times New Roman" w:hAnsi="Times New Roman" w:cs="Times New Roman" w:eastAsia="Times New Roman" w:hint="default"/>
        </w:rPr>
        <w:t>3</w:t>
      </w:r>
      <w:r>
        <w:rPr/>
        <w:t>、本财务报表经公司董事会于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18</w:t>
      </w:r>
      <w:r>
        <w:rPr/>
        <w:t>日批准报出。</w:t>
      </w:r>
      <w:r>
        <w:rPr>
          <w:b w:val="0"/>
          <w:bCs w:val="0"/>
        </w:rPr>
      </w:r>
    </w:p>
    <w:p>
      <w:pPr>
        <w:spacing w:line="240" w:lineRule="auto" w:before="0"/>
        <w:rPr>
          <w:rFonts w:ascii="宋体" w:hAnsi="宋体" w:cs="宋体" w:eastAsia="宋体" w:hint="default"/>
          <w:b/>
          <w:bCs/>
          <w:sz w:val="22"/>
          <w:szCs w:val="22"/>
        </w:rPr>
      </w:pPr>
    </w:p>
    <w:p>
      <w:pPr>
        <w:pStyle w:val="Heading3"/>
        <w:spacing w:line="403" w:lineRule="auto" w:before="189"/>
        <w:ind w:left="1133" w:right="1133"/>
        <w:jc w:val="both"/>
        <w:rPr>
          <w:b w:val="0"/>
          <w:bCs w:val="0"/>
        </w:rPr>
      </w:pPr>
      <w:r>
        <w:rPr>
          <w:rFonts w:ascii="Times New Roman" w:hAnsi="Times New Roman" w:cs="Times New Roman" w:eastAsia="Times New Roman" w:hint="default"/>
        </w:rPr>
        <w:t>4</w:t>
      </w:r>
      <w:r>
        <w:rPr/>
        <w:t>、截至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日，公司合并范围内的子公司包括：广州市浩云安防设备有限公司、广州市苏瑞计</w:t>
      </w:r>
      <w:r>
        <w:rPr>
          <w:spacing w:val="-73"/>
        </w:rPr>
        <w:t> </w:t>
      </w:r>
      <w:r>
        <w:rPr>
          <w:spacing w:val="-73"/>
        </w:rPr>
      </w:r>
      <w:r>
        <w:rPr>
          <w:spacing w:val="-1"/>
          <w:w w:val="95"/>
        </w:rPr>
        <w:t>算机科技有限公司、重庆浩云公共安全物联网技术有限公司、深圳市润安科技发展有限公司、西藏浩云创</w:t>
      </w:r>
      <w:r>
        <w:rPr>
          <w:spacing w:val="58"/>
          <w:w w:val="95"/>
        </w:rPr>
        <w:t> </w:t>
      </w:r>
      <w:r>
        <w:rPr>
          <w:spacing w:val="58"/>
          <w:w w:val="95"/>
        </w:rPr>
      </w:r>
      <w:r>
        <w:rPr>
          <w:spacing w:val="-1"/>
          <w:w w:val="95"/>
        </w:rPr>
        <w:t>业投资有限公司、广州浩昀宏信息技术有限公司、广州市浩耘元鸿信息技术有限公司和武汉浩立威保安服</w:t>
      </w:r>
      <w:r>
        <w:rPr>
          <w:spacing w:val="60"/>
          <w:w w:val="95"/>
        </w:rPr>
        <w:t> </w:t>
      </w:r>
      <w:r>
        <w:rPr>
          <w:spacing w:val="60"/>
          <w:w w:val="95"/>
        </w:rPr>
      </w:r>
      <w:r>
        <w:rPr>
          <w:spacing w:val="-1"/>
          <w:w w:val="95"/>
        </w:rPr>
        <w:t>务有限公司八家子公司纳入本期合并财务报表范围，情况详见本财务报表附注合并范围的变更和在其他主</w:t>
      </w:r>
      <w:r>
        <w:rPr>
          <w:spacing w:val="64"/>
          <w:w w:val="95"/>
        </w:rPr>
        <w:t> </w:t>
      </w:r>
      <w:r>
        <w:rPr>
          <w:spacing w:val="64"/>
          <w:w w:val="95"/>
        </w:rPr>
      </w:r>
      <w:r>
        <w:rPr/>
        <w:t>体中的权益之说明。</w:t>
      </w:r>
      <w:r>
        <w:rPr>
          <w:b w:val="0"/>
          <w:bCs w:val="0"/>
        </w:rPr>
      </w:r>
    </w:p>
    <w:p>
      <w:pPr>
        <w:spacing w:line="240" w:lineRule="auto" w:before="9"/>
        <w:rPr>
          <w:rFonts w:ascii="宋体" w:hAnsi="宋体" w:cs="宋体" w:eastAsia="宋体" w:hint="default"/>
          <w:b/>
          <w:bCs/>
          <w:sz w:val="28"/>
          <w:szCs w:val="28"/>
        </w:rPr>
      </w:pPr>
    </w:p>
    <w:p>
      <w:pPr>
        <w:pStyle w:val="BodyText"/>
        <w:spacing w:line="240" w:lineRule="auto"/>
        <w:ind w:left="1207" w:right="0"/>
        <w:jc w:val="left"/>
      </w:pPr>
      <w:r>
        <w:rPr/>
        <w:t>本期合并财务报表范围及其变化情况详见本附注</w:t>
      </w:r>
      <w:r>
        <w:rPr>
          <w:rFonts w:ascii="Times New Roman" w:hAnsi="Times New Roman" w:cs="Times New Roman" w:eastAsia="Times New Roman" w:hint="default"/>
        </w:rPr>
        <w:t>“</w:t>
      </w:r>
      <w:r>
        <w:rPr/>
        <w:t>八、合并范围的变更</w:t>
      </w:r>
      <w:r>
        <w:rPr>
          <w:rFonts w:ascii="Times New Roman" w:hAnsi="Times New Roman" w:cs="Times New Roman" w:eastAsia="Times New Roman" w:hint="default"/>
        </w:rPr>
        <w:t>”</w:t>
      </w:r>
      <w:r>
        <w:rPr>
          <w:rFonts w:ascii="Times New Roman" w:hAnsi="Times New Roman" w:cs="Times New Roman" w:eastAsia="Times New Roman" w:hint="default"/>
          <w:spacing w:val="25"/>
        </w:rPr>
        <w:t> </w:t>
      </w:r>
      <w:r>
        <w:rPr/>
        <w:t>和</w:t>
      </w:r>
      <w:r>
        <w:rPr>
          <w:rFonts w:ascii="Times New Roman" w:hAnsi="Times New Roman" w:cs="Times New Roman" w:eastAsia="Times New Roman" w:hint="default"/>
        </w:rPr>
        <w:t>“</w:t>
      </w:r>
      <w:r>
        <w:rPr/>
        <w:t>九、在其他主体中的权益</w:t>
      </w:r>
      <w:r>
        <w:rPr>
          <w:rFonts w:ascii="Times New Roman" w:hAnsi="Times New Roman" w:cs="Times New Roman" w:eastAsia="Times New Roman" w:hint="default"/>
        </w:rPr>
        <w:t>”</w:t>
      </w:r>
      <w:r>
        <w:rPr/>
        <w:t>。</w:t>
      </w: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17"/>
          <w:szCs w:val="17"/>
        </w:rPr>
      </w:pPr>
    </w:p>
    <w:p>
      <w:pPr>
        <w:pStyle w:val="Heading2"/>
        <w:spacing w:line="240" w:lineRule="auto"/>
        <w:ind w:left="1134" w:right="0"/>
        <w:jc w:val="left"/>
        <w:rPr>
          <w:b w:val="0"/>
          <w:bCs w:val="0"/>
        </w:rPr>
      </w:pPr>
      <w:bookmarkStart w:name="四、财务报表的编制基础" w:id="164"/>
      <w:bookmarkEnd w:id="164"/>
      <w:r>
        <w:rPr>
          <w:b w:val="0"/>
          <w:bCs w:val="0"/>
        </w:rPr>
      </w:r>
      <w:r>
        <w:rPr/>
        <w:t>四、财务报表的编制基础</w:t>
      </w:r>
      <w:r>
        <w:rPr>
          <w:b w:val="0"/>
          <w:bCs w:val="0"/>
        </w:rPr>
      </w:r>
    </w:p>
    <w:p>
      <w:pPr>
        <w:spacing w:line="240" w:lineRule="auto" w:before="0"/>
        <w:rPr>
          <w:rFonts w:ascii="宋体" w:hAnsi="宋体" w:cs="宋体" w:eastAsia="宋体" w:hint="default"/>
          <w:b/>
          <w:bCs/>
          <w:sz w:val="24"/>
          <w:szCs w:val="24"/>
        </w:rPr>
      </w:pPr>
    </w:p>
    <w:p>
      <w:pPr>
        <w:pStyle w:val="Heading3"/>
        <w:spacing w:line="240" w:lineRule="auto" w:before="163"/>
        <w:ind w:right="0"/>
        <w:jc w:val="left"/>
        <w:rPr>
          <w:b w:val="0"/>
          <w:bCs w:val="0"/>
        </w:rPr>
      </w:pPr>
      <w:bookmarkStart w:name="1、编制基础" w:id="165"/>
      <w:bookmarkEnd w:id="165"/>
      <w:r>
        <w:rPr>
          <w:b w:val="0"/>
          <w:bCs w:val="0"/>
        </w:rPr>
      </w:r>
      <w:r>
        <w:rPr>
          <w:rFonts w:ascii="Times New Roman" w:hAnsi="Times New Roman" w:cs="Times New Roman" w:eastAsia="Times New Roman" w:hint="default"/>
        </w:rPr>
        <w:t>1</w:t>
      </w:r>
      <w:r>
        <w:rPr/>
        <w:t>、编制基础</w:t>
      </w:r>
      <w:r>
        <w:rPr>
          <w:b w:val="0"/>
          <w:bCs w:val="0"/>
        </w:rPr>
      </w:r>
    </w:p>
    <w:p>
      <w:pPr>
        <w:spacing w:line="240" w:lineRule="auto" w:before="0"/>
        <w:rPr>
          <w:rFonts w:ascii="宋体" w:hAnsi="宋体" w:cs="宋体" w:eastAsia="宋体" w:hint="default"/>
          <w:b/>
          <w:bCs/>
          <w:sz w:val="22"/>
          <w:szCs w:val="22"/>
        </w:rPr>
      </w:pPr>
    </w:p>
    <w:p>
      <w:pPr>
        <w:spacing w:line="240" w:lineRule="auto" w:before="5"/>
        <w:rPr>
          <w:rFonts w:ascii="宋体" w:hAnsi="宋体" w:cs="宋体" w:eastAsia="宋体" w:hint="default"/>
          <w:b/>
          <w:bCs/>
          <w:sz w:val="16"/>
          <w:szCs w:val="16"/>
        </w:rPr>
      </w:pPr>
    </w:p>
    <w:p>
      <w:pPr>
        <w:pStyle w:val="BodyText"/>
        <w:spacing w:line="240" w:lineRule="auto"/>
        <w:ind w:right="0"/>
        <w:jc w:val="left"/>
      </w:pPr>
      <w:r>
        <w:rPr/>
        <w:t>本公司财务报表以持续经营为编制基础。</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0"/>
          <w:szCs w:val="20"/>
        </w:rPr>
      </w:pPr>
    </w:p>
    <w:p>
      <w:pPr>
        <w:pStyle w:val="Heading3"/>
        <w:spacing w:line="240" w:lineRule="auto"/>
        <w:ind w:right="0"/>
        <w:jc w:val="left"/>
        <w:rPr>
          <w:b w:val="0"/>
          <w:bCs w:val="0"/>
        </w:rPr>
      </w:pPr>
      <w:bookmarkStart w:name="2、持续经营" w:id="166"/>
      <w:bookmarkEnd w:id="166"/>
      <w:r>
        <w:rPr>
          <w:b w:val="0"/>
          <w:bCs w:val="0"/>
        </w:rPr>
      </w:r>
      <w:r>
        <w:rPr>
          <w:rFonts w:ascii="Times New Roman" w:hAnsi="Times New Roman" w:cs="Times New Roman" w:eastAsia="Times New Roman" w:hint="default"/>
        </w:rPr>
        <w:t>2</w:t>
      </w:r>
      <w:r>
        <w:rPr/>
        <w:t>、持续经营</w:t>
      </w:r>
      <w:r>
        <w:rPr>
          <w:b w:val="0"/>
          <w:bCs w:val="0"/>
        </w:rPr>
      </w:r>
    </w:p>
    <w:p>
      <w:pPr>
        <w:spacing w:line="240" w:lineRule="auto" w:before="0"/>
        <w:rPr>
          <w:rFonts w:ascii="宋体" w:hAnsi="宋体" w:cs="宋体" w:eastAsia="宋体" w:hint="default"/>
          <w:b/>
          <w:bCs/>
          <w:sz w:val="22"/>
          <w:szCs w:val="22"/>
        </w:rPr>
      </w:pPr>
    </w:p>
    <w:p>
      <w:pPr>
        <w:spacing w:line="240" w:lineRule="auto" w:before="5"/>
        <w:rPr>
          <w:rFonts w:ascii="宋体" w:hAnsi="宋体" w:cs="宋体" w:eastAsia="宋体" w:hint="default"/>
          <w:b/>
          <w:bCs/>
          <w:sz w:val="16"/>
          <w:szCs w:val="16"/>
        </w:rPr>
      </w:pPr>
    </w:p>
    <w:p>
      <w:pPr>
        <w:pStyle w:val="BodyText"/>
        <w:spacing w:line="240" w:lineRule="auto"/>
        <w:ind w:right="0"/>
        <w:jc w:val="left"/>
      </w:pPr>
      <w:r>
        <w:rPr/>
        <w:t>本公司不存在导致对报告期末起</w:t>
      </w:r>
      <w:r>
        <w:rPr>
          <w:rFonts w:ascii="宋体" w:hAnsi="宋体" w:cs="宋体" w:eastAsia="宋体" w:hint="default"/>
        </w:rPr>
        <w:t>12</w:t>
      </w:r>
      <w:r>
        <w:rPr/>
        <w:t>个月内的持续经营假设产生重大疑虑的事项或情况。</w:t>
      </w: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18"/>
          <w:szCs w:val="18"/>
        </w:rPr>
      </w:pPr>
    </w:p>
    <w:p>
      <w:pPr>
        <w:pStyle w:val="Heading2"/>
        <w:spacing w:line="240" w:lineRule="auto"/>
        <w:ind w:right="0"/>
        <w:jc w:val="left"/>
        <w:rPr>
          <w:b w:val="0"/>
          <w:bCs w:val="0"/>
        </w:rPr>
      </w:pPr>
      <w:bookmarkStart w:name="五、重要会计政策及会计估计" w:id="167"/>
      <w:bookmarkEnd w:id="167"/>
      <w:r>
        <w:rPr>
          <w:b w:val="0"/>
          <w:bCs w:val="0"/>
        </w:rPr>
      </w:r>
      <w:r>
        <w:rPr/>
        <w:t>五、重要会计政策及会计估计</w:t>
      </w:r>
      <w:r>
        <w:rPr>
          <w:b w:val="0"/>
          <w:bCs w:val="0"/>
        </w:rPr>
      </w:r>
    </w:p>
    <w:p>
      <w:pPr>
        <w:spacing w:line="240" w:lineRule="auto" w:before="0"/>
        <w:rPr>
          <w:rFonts w:ascii="宋体" w:hAnsi="宋体" w:cs="宋体" w:eastAsia="宋体" w:hint="default"/>
          <w:b/>
          <w:bCs/>
          <w:sz w:val="24"/>
          <w:szCs w:val="24"/>
        </w:rPr>
      </w:pPr>
    </w:p>
    <w:p>
      <w:pPr>
        <w:pStyle w:val="BodyText"/>
        <w:spacing w:line="516" w:lineRule="auto" w:before="189"/>
        <w:ind w:left="1133" w:right="7693"/>
        <w:jc w:val="left"/>
      </w:pPr>
      <w:r>
        <w:rPr/>
        <w:t>公司是否需要遵守特殊行业的披露要求 否</w:t>
      </w:r>
    </w:p>
    <w:p>
      <w:pPr>
        <w:pStyle w:val="BodyText"/>
        <w:spacing w:line="496" w:lineRule="auto" w:before="66"/>
        <w:ind w:right="0"/>
        <w:jc w:val="left"/>
      </w:pPr>
      <w:r>
        <w:rPr/>
        <w:t>具体会计政策和会计估计提示： </w:t>
      </w:r>
      <w:r>
        <w:rPr>
          <w:spacing w:val="-2"/>
        </w:rPr>
        <w:t>本公司根据实际生产经营特点针对应收款项坏账准备计提、固定资产折旧、无形资产摊销、收入确认等交易或事项制定了具</w:t>
      </w:r>
      <w:r>
        <w:rPr>
          <w:spacing w:val="-65"/>
        </w:rPr>
        <w:t> </w:t>
      </w:r>
      <w:r>
        <w:rPr>
          <w:spacing w:val="-65"/>
        </w:rPr>
      </w:r>
      <w:r>
        <w:rPr/>
        <w:t>体会计政策和会计估计。</w:t>
      </w:r>
    </w:p>
    <w:p>
      <w:pPr>
        <w:spacing w:after="0" w:line="496" w:lineRule="auto"/>
        <w:jc w:val="left"/>
        <w:sectPr>
          <w:pgSz w:w="11910" w:h="16840"/>
          <w:pgMar w:header="787" w:footer="640" w:top="1100" w:bottom="840" w:left="0" w:right="0"/>
        </w:sectPr>
      </w:pPr>
    </w:p>
    <w:p>
      <w:pPr>
        <w:spacing w:line="240" w:lineRule="auto" w:before="7"/>
        <w:rPr>
          <w:rFonts w:ascii="宋体" w:hAnsi="宋体" w:cs="宋体" w:eastAsia="宋体" w:hint="default"/>
          <w:sz w:val="27"/>
          <w:szCs w:val="27"/>
        </w:rPr>
      </w:pPr>
    </w:p>
    <w:p>
      <w:pPr>
        <w:pStyle w:val="Heading3"/>
        <w:spacing w:line="240" w:lineRule="auto" w:before="35"/>
        <w:ind w:right="0"/>
        <w:jc w:val="left"/>
        <w:rPr>
          <w:b w:val="0"/>
          <w:bCs w:val="0"/>
        </w:rPr>
      </w:pPr>
      <w:bookmarkStart w:name="1、遵循企业会计准则的声明" w:id="168"/>
      <w:bookmarkEnd w:id="168"/>
      <w:r>
        <w:rPr>
          <w:b w:val="0"/>
          <w:bCs w:val="0"/>
        </w:rPr>
      </w:r>
      <w:r>
        <w:rPr>
          <w:rFonts w:ascii="Times New Roman" w:hAnsi="Times New Roman" w:cs="Times New Roman" w:eastAsia="Times New Roman" w:hint="default"/>
        </w:rPr>
        <w:t>1</w:t>
      </w:r>
      <w:r>
        <w:rPr/>
        <w:t>、遵循企业会计准则的声明</w:t>
      </w:r>
      <w:r>
        <w:rPr>
          <w:b w:val="0"/>
          <w:bCs w:val="0"/>
        </w:rPr>
      </w:r>
    </w:p>
    <w:p>
      <w:pPr>
        <w:spacing w:line="240" w:lineRule="auto" w:before="0"/>
        <w:rPr>
          <w:rFonts w:ascii="宋体" w:hAnsi="宋体" w:cs="宋体" w:eastAsia="宋体" w:hint="default"/>
          <w:b/>
          <w:bCs/>
          <w:sz w:val="22"/>
          <w:szCs w:val="22"/>
        </w:rPr>
      </w:pPr>
    </w:p>
    <w:p>
      <w:pPr>
        <w:spacing w:line="240" w:lineRule="auto" w:before="5"/>
        <w:rPr>
          <w:rFonts w:ascii="宋体" w:hAnsi="宋体" w:cs="宋体" w:eastAsia="宋体" w:hint="default"/>
          <w:b/>
          <w:bCs/>
          <w:sz w:val="16"/>
          <w:szCs w:val="16"/>
        </w:rPr>
      </w:pPr>
    </w:p>
    <w:p>
      <w:pPr>
        <w:pStyle w:val="BodyText"/>
        <w:spacing w:line="240" w:lineRule="auto"/>
        <w:ind w:right="0"/>
        <w:jc w:val="left"/>
      </w:pPr>
      <w:r>
        <w:rPr>
          <w:spacing w:val="-4"/>
        </w:rPr>
        <w:t>本公司所编制的财务报表符合企业会计准则的要求，真实、完整地反映了公司的财务状况、经营成果和现金流量等有关信息。</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0"/>
          <w:szCs w:val="20"/>
        </w:rPr>
      </w:pPr>
    </w:p>
    <w:p>
      <w:pPr>
        <w:pStyle w:val="Heading3"/>
        <w:spacing w:line="240" w:lineRule="auto"/>
        <w:ind w:right="0"/>
        <w:jc w:val="left"/>
        <w:rPr>
          <w:b w:val="0"/>
          <w:bCs w:val="0"/>
        </w:rPr>
      </w:pPr>
      <w:bookmarkStart w:name="2、会计期间" w:id="169"/>
      <w:bookmarkEnd w:id="169"/>
      <w:r>
        <w:rPr>
          <w:b w:val="0"/>
          <w:bCs w:val="0"/>
        </w:rPr>
      </w:r>
      <w:r>
        <w:rPr>
          <w:rFonts w:ascii="Times New Roman" w:hAnsi="Times New Roman" w:cs="Times New Roman" w:eastAsia="Times New Roman" w:hint="default"/>
        </w:rPr>
        <w:t>2</w:t>
      </w:r>
      <w:r>
        <w:rPr/>
        <w:t>、会计期间</w:t>
      </w:r>
      <w:r>
        <w:rPr>
          <w:b w:val="0"/>
          <w:bCs w:val="0"/>
        </w:rPr>
      </w:r>
    </w:p>
    <w:p>
      <w:pPr>
        <w:spacing w:line="240" w:lineRule="auto" w:before="0"/>
        <w:rPr>
          <w:rFonts w:ascii="宋体" w:hAnsi="宋体" w:cs="宋体" w:eastAsia="宋体" w:hint="default"/>
          <w:b/>
          <w:bCs/>
          <w:sz w:val="22"/>
          <w:szCs w:val="22"/>
        </w:rPr>
      </w:pPr>
    </w:p>
    <w:p>
      <w:pPr>
        <w:spacing w:line="240" w:lineRule="auto" w:before="5"/>
        <w:rPr>
          <w:rFonts w:ascii="宋体" w:hAnsi="宋体" w:cs="宋体" w:eastAsia="宋体" w:hint="default"/>
          <w:b/>
          <w:bCs/>
          <w:sz w:val="16"/>
          <w:szCs w:val="16"/>
        </w:rPr>
      </w:pPr>
    </w:p>
    <w:p>
      <w:pPr>
        <w:pStyle w:val="BodyText"/>
        <w:spacing w:line="240" w:lineRule="auto"/>
        <w:ind w:right="0"/>
        <w:jc w:val="left"/>
      </w:pPr>
      <w:r>
        <w:rPr/>
        <w:t>会计年度自公历</w:t>
      </w:r>
      <w:r>
        <w:rPr>
          <w:rFonts w:ascii="宋体" w:hAnsi="宋体" w:cs="宋体" w:eastAsia="宋体" w:hint="default"/>
        </w:rPr>
        <w:t>1</w:t>
      </w:r>
      <w:r>
        <w:rPr/>
        <w:t>月</w:t>
      </w:r>
      <w:r>
        <w:rPr>
          <w:rFonts w:ascii="宋体" w:hAnsi="宋体" w:cs="宋体" w:eastAsia="宋体" w:hint="default"/>
        </w:rPr>
        <w:t>1</w:t>
      </w:r>
      <w:r>
        <w:rPr/>
        <w:t>日起至</w:t>
      </w:r>
      <w:r>
        <w:rPr>
          <w:rFonts w:ascii="宋体" w:hAnsi="宋体" w:cs="宋体" w:eastAsia="宋体" w:hint="default"/>
        </w:rPr>
        <w:t>12</w:t>
      </w:r>
      <w:r>
        <w:rPr/>
        <w:t>月</w:t>
      </w:r>
      <w:r>
        <w:rPr>
          <w:rFonts w:ascii="宋体" w:hAnsi="宋体" w:cs="宋体" w:eastAsia="宋体" w:hint="default"/>
        </w:rPr>
        <w:t>31</w:t>
      </w:r>
      <w:r>
        <w:rPr/>
        <w:t>日止。</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0"/>
          <w:szCs w:val="20"/>
        </w:rPr>
      </w:pPr>
    </w:p>
    <w:p>
      <w:pPr>
        <w:pStyle w:val="Heading3"/>
        <w:spacing w:line="240" w:lineRule="auto"/>
        <w:ind w:left="1133" w:right="0"/>
        <w:jc w:val="left"/>
        <w:rPr>
          <w:b w:val="0"/>
          <w:bCs w:val="0"/>
        </w:rPr>
      </w:pPr>
      <w:bookmarkStart w:name="3、营业周期" w:id="170"/>
      <w:bookmarkEnd w:id="170"/>
      <w:r>
        <w:rPr>
          <w:b w:val="0"/>
          <w:bCs w:val="0"/>
        </w:rPr>
      </w:r>
      <w:r>
        <w:rPr>
          <w:rFonts w:ascii="Times New Roman" w:hAnsi="Times New Roman" w:cs="Times New Roman" w:eastAsia="Times New Roman" w:hint="default"/>
        </w:rPr>
        <w:t>3</w:t>
      </w:r>
      <w:r>
        <w:rPr/>
        <w:t>、营业周期</w:t>
      </w:r>
      <w:r>
        <w:rPr>
          <w:b w:val="0"/>
          <w:bCs w:val="0"/>
        </w:rPr>
      </w:r>
    </w:p>
    <w:p>
      <w:pPr>
        <w:spacing w:line="240" w:lineRule="auto" w:before="0"/>
        <w:rPr>
          <w:rFonts w:ascii="宋体" w:hAnsi="宋体" w:cs="宋体" w:eastAsia="宋体" w:hint="default"/>
          <w:b/>
          <w:bCs/>
          <w:sz w:val="22"/>
          <w:szCs w:val="22"/>
        </w:rPr>
      </w:pPr>
    </w:p>
    <w:p>
      <w:pPr>
        <w:spacing w:line="240" w:lineRule="auto" w:before="5"/>
        <w:rPr>
          <w:rFonts w:ascii="宋体" w:hAnsi="宋体" w:cs="宋体" w:eastAsia="宋体" w:hint="default"/>
          <w:b/>
          <w:bCs/>
          <w:sz w:val="16"/>
          <w:szCs w:val="16"/>
        </w:rPr>
      </w:pPr>
    </w:p>
    <w:p>
      <w:pPr>
        <w:pStyle w:val="BodyText"/>
        <w:spacing w:line="240" w:lineRule="auto"/>
        <w:ind w:left="1133" w:right="0"/>
        <w:jc w:val="left"/>
      </w:pPr>
      <w:r>
        <w:rPr/>
        <w:t>公司经营业务的营业周期较短，以</w:t>
      </w:r>
      <w:r>
        <w:rPr>
          <w:rFonts w:ascii="宋体" w:hAnsi="宋体" w:cs="宋体" w:eastAsia="宋体" w:hint="default"/>
        </w:rPr>
        <w:t>12</w:t>
      </w:r>
      <w:r>
        <w:rPr/>
        <w:t>个月作为资产和负债的流动性划分标准。</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0"/>
          <w:szCs w:val="20"/>
        </w:rPr>
      </w:pPr>
    </w:p>
    <w:p>
      <w:pPr>
        <w:pStyle w:val="Heading3"/>
        <w:spacing w:line="240" w:lineRule="auto"/>
        <w:ind w:left="1133" w:right="0"/>
        <w:jc w:val="left"/>
        <w:rPr>
          <w:b w:val="0"/>
          <w:bCs w:val="0"/>
        </w:rPr>
      </w:pPr>
      <w:bookmarkStart w:name="4、记账本位币" w:id="171"/>
      <w:bookmarkEnd w:id="171"/>
      <w:r>
        <w:rPr>
          <w:b w:val="0"/>
          <w:bCs w:val="0"/>
        </w:rPr>
      </w:r>
      <w:r>
        <w:rPr>
          <w:rFonts w:ascii="Times New Roman" w:hAnsi="Times New Roman" w:cs="Times New Roman" w:eastAsia="Times New Roman" w:hint="default"/>
        </w:rPr>
        <w:t>4</w:t>
      </w:r>
      <w:r>
        <w:rPr/>
        <w:t>、记账本位币</w:t>
      </w:r>
      <w:r>
        <w:rPr>
          <w:b w:val="0"/>
          <w:bCs w:val="0"/>
        </w:rPr>
      </w:r>
    </w:p>
    <w:p>
      <w:pPr>
        <w:spacing w:line="240" w:lineRule="auto" w:before="0"/>
        <w:rPr>
          <w:rFonts w:ascii="宋体" w:hAnsi="宋体" w:cs="宋体" w:eastAsia="宋体" w:hint="default"/>
          <w:b/>
          <w:bCs/>
          <w:sz w:val="22"/>
          <w:szCs w:val="22"/>
        </w:rPr>
      </w:pPr>
    </w:p>
    <w:p>
      <w:pPr>
        <w:spacing w:line="240" w:lineRule="auto" w:before="5"/>
        <w:rPr>
          <w:rFonts w:ascii="宋体" w:hAnsi="宋体" w:cs="宋体" w:eastAsia="宋体" w:hint="default"/>
          <w:b/>
          <w:bCs/>
          <w:sz w:val="16"/>
          <w:szCs w:val="16"/>
        </w:rPr>
      </w:pPr>
    </w:p>
    <w:p>
      <w:pPr>
        <w:pStyle w:val="BodyText"/>
        <w:spacing w:line="240" w:lineRule="auto"/>
        <w:ind w:left="1133" w:right="0"/>
        <w:jc w:val="left"/>
      </w:pPr>
      <w:r>
        <w:rPr/>
        <w:t>采用人民币为记账本位币。</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0"/>
          <w:szCs w:val="20"/>
        </w:rPr>
      </w:pPr>
    </w:p>
    <w:p>
      <w:pPr>
        <w:pStyle w:val="Heading3"/>
        <w:spacing w:line="240" w:lineRule="auto"/>
        <w:ind w:left="1133" w:right="0"/>
        <w:jc w:val="left"/>
        <w:rPr>
          <w:b w:val="0"/>
          <w:bCs w:val="0"/>
        </w:rPr>
      </w:pPr>
      <w:bookmarkStart w:name="5、同一控制下和非同一控制下企业合并的会计处理方法" w:id="172"/>
      <w:bookmarkEnd w:id="172"/>
      <w:r>
        <w:rPr>
          <w:b w:val="0"/>
          <w:bCs w:val="0"/>
        </w:rPr>
      </w: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0"/>
        <w:rPr>
          <w:rFonts w:ascii="宋体" w:hAnsi="宋体" w:cs="宋体" w:eastAsia="宋体" w:hint="default"/>
          <w:b/>
          <w:bCs/>
          <w:sz w:val="22"/>
          <w:szCs w:val="22"/>
        </w:rPr>
      </w:pPr>
    </w:p>
    <w:p>
      <w:pPr>
        <w:spacing w:line="240" w:lineRule="auto" w:before="6"/>
        <w:rPr>
          <w:rFonts w:ascii="宋体" w:hAnsi="宋体" w:cs="宋体" w:eastAsia="宋体" w:hint="default"/>
          <w:b/>
          <w:bCs/>
          <w:sz w:val="16"/>
          <w:szCs w:val="16"/>
        </w:rPr>
      </w:pPr>
    </w:p>
    <w:p>
      <w:pPr>
        <w:pStyle w:val="BodyText"/>
        <w:spacing w:line="477" w:lineRule="auto"/>
        <w:ind w:right="0"/>
        <w:jc w:val="left"/>
      </w:pPr>
      <w:r>
        <w:rPr/>
        <w:t>（</w:t>
      </w:r>
      <w:r>
        <w:rPr>
          <w:rFonts w:ascii="宋体" w:hAnsi="宋体" w:cs="宋体" w:eastAsia="宋体" w:hint="default"/>
        </w:rPr>
        <w:t>1</w:t>
      </w:r>
      <w:r>
        <w:rPr/>
        <w:t>）同一控制下企业合并的会计处理方法 </w:t>
      </w:r>
      <w:r>
        <w:rPr>
          <w:spacing w:val="-2"/>
        </w:rPr>
        <w:t>公司在企业合并中取得的资产和负债，按照合并日被合并方在最终控制方合并财务报表中的账面价值计量。公司按照被合并</w:t>
      </w:r>
      <w:r>
        <w:rPr>
          <w:spacing w:val="-64"/>
        </w:rPr>
        <w:t> </w:t>
      </w:r>
      <w:r>
        <w:rPr>
          <w:spacing w:val="-64"/>
        </w:rPr>
      </w:r>
      <w:r>
        <w:rPr>
          <w:spacing w:val="-2"/>
        </w:rPr>
        <w:t>方所有者权益在最终控制方合并财务报表中的账面价值份额与支付的合并对价账面价值或发行股份面值总额的差额，调整资</w:t>
      </w:r>
      <w:r>
        <w:rPr>
          <w:spacing w:val="-64"/>
        </w:rPr>
        <w:t> </w:t>
      </w:r>
      <w:r>
        <w:rPr>
          <w:spacing w:val="-64"/>
        </w:rPr>
      </w:r>
      <w:r>
        <w:rPr/>
        <w:t>本公积；资本公积不足冲减的，调整留存收益。</w:t>
      </w:r>
    </w:p>
    <w:p>
      <w:pPr>
        <w:pStyle w:val="BodyText"/>
        <w:spacing w:line="477" w:lineRule="auto" w:before="54"/>
        <w:ind w:right="1118"/>
        <w:jc w:val="left"/>
      </w:pPr>
      <w:r>
        <w:rPr/>
        <w:t>（</w:t>
      </w:r>
      <w:r>
        <w:rPr>
          <w:rFonts w:ascii="宋体" w:hAnsi="宋体" w:cs="宋体" w:eastAsia="宋体" w:hint="default"/>
        </w:rPr>
        <w:t>2</w:t>
      </w:r>
      <w:r>
        <w:rPr/>
        <w:t>）非同一控制下企业合并的会计处理方法 </w:t>
      </w:r>
      <w:r>
        <w:rPr>
          <w:spacing w:val="-2"/>
        </w:rPr>
        <w:t>公司在购买日对合并成本大于合并中取得的被购买方可辨认净资产公允价值份额的差额，确认为商誉；如果合并成本小于合</w:t>
      </w:r>
      <w:r>
        <w:rPr>
          <w:spacing w:val="-64"/>
        </w:rPr>
        <w:t> </w:t>
      </w:r>
      <w:r>
        <w:rPr>
          <w:spacing w:val="-64"/>
        </w:rPr>
      </w:r>
      <w:r>
        <w:rPr>
          <w:spacing w:val="-2"/>
        </w:rPr>
        <w:t>并中取得的被购买方可辨认净资产公允价值份额，首先对取得的被购买方各项可辨认资产、负债及或有负债的公允价值以及</w:t>
      </w:r>
      <w:r>
        <w:rPr>
          <w:spacing w:val="-64"/>
        </w:rPr>
        <w:t> </w:t>
      </w:r>
      <w:r>
        <w:rPr>
          <w:spacing w:val="-64"/>
        </w:rPr>
      </w:r>
      <w:r>
        <w:rPr>
          <w:spacing w:val="-2"/>
        </w:rPr>
        <w:t>合并成本的计量进行复核，经复核后合并成本仍小于合并中取得的被购买方可辨认净资产公允价值份额的，其差额计入当期</w:t>
      </w:r>
      <w:r>
        <w:rPr>
          <w:spacing w:val="-64"/>
        </w:rPr>
        <w:t> </w:t>
      </w:r>
      <w:r>
        <w:rPr>
          <w:spacing w:val="-64"/>
        </w:rPr>
      </w:r>
      <w:r>
        <w:rPr/>
        <w:t>损益。</w:t>
      </w:r>
    </w:p>
    <w:p>
      <w:pPr>
        <w:spacing w:line="240" w:lineRule="auto" w:before="2"/>
        <w:rPr>
          <w:rFonts w:ascii="宋体" w:hAnsi="宋体" w:cs="宋体" w:eastAsia="宋体" w:hint="default"/>
          <w:sz w:val="25"/>
          <w:szCs w:val="25"/>
        </w:rPr>
      </w:pPr>
    </w:p>
    <w:p>
      <w:pPr>
        <w:pStyle w:val="Heading3"/>
        <w:spacing w:line="240" w:lineRule="auto"/>
        <w:ind w:right="0"/>
        <w:jc w:val="left"/>
        <w:rPr>
          <w:b w:val="0"/>
          <w:bCs w:val="0"/>
        </w:rPr>
      </w:pPr>
      <w:bookmarkStart w:name="6、合并财务报表的编制方法" w:id="173"/>
      <w:bookmarkEnd w:id="173"/>
      <w:r>
        <w:rPr>
          <w:b w:val="0"/>
          <w:bCs w:val="0"/>
        </w:rPr>
      </w:r>
      <w:r>
        <w:rPr>
          <w:rFonts w:ascii="Times New Roman" w:hAnsi="Times New Roman" w:cs="Times New Roman" w:eastAsia="Times New Roman" w:hint="default"/>
        </w:rPr>
        <w:t>6</w:t>
      </w:r>
      <w:r>
        <w:rPr/>
        <w:t>、合并财务报表的编制方法</w:t>
      </w:r>
      <w:r>
        <w:rPr>
          <w:b w:val="0"/>
          <w:bCs w:val="0"/>
        </w:rPr>
      </w:r>
    </w:p>
    <w:p>
      <w:pPr>
        <w:spacing w:line="240" w:lineRule="auto" w:before="0"/>
        <w:rPr>
          <w:rFonts w:ascii="宋体" w:hAnsi="宋体" w:cs="宋体" w:eastAsia="宋体" w:hint="default"/>
          <w:b/>
          <w:bCs/>
          <w:sz w:val="22"/>
          <w:szCs w:val="22"/>
        </w:rPr>
      </w:pPr>
    </w:p>
    <w:p>
      <w:pPr>
        <w:spacing w:line="240" w:lineRule="auto" w:before="5"/>
        <w:rPr>
          <w:rFonts w:ascii="宋体" w:hAnsi="宋体" w:cs="宋体" w:eastAsia="宋体" w:hint="default"/>
          <w:b/>
          <w:bCs/>
          <w:sz w:val="16"/>
          <w:szCs w:val="16"/>
        </w:rPr>
      </w:pPr>
    </w:p>
    <w:p>
      <w:pPr>
        <w:pStyle w:val="BodyText"/>
        <w:spacing w:line="477" w:lineRule="auto"/>
        <w:ind w:right="0"/>
        <w:jc w:val="left"/>
      </w:pPr>
      <w:r>
        <w:rPr>
          <w:spacing w:val="-2"/>
        </w:rPr>
        <w:t>母公司将其控制的所有子公司纳入合并财务报表的合并范围。合并财务报表以母公司及其子公司的财务报表为基础，根据其</w:t>
      </w:r>
      <w:r>
        <w:rPr>
          <w:spacing w:val="-64"/>
        </w:rPr>
        <w:t> </w:t>
      </w:r>
      <w:r>
        <w:rPr>
          <w:spacing w:val="-64"/>
        </w:rPr>
      </w:r>
      <w:r>
        <w:rPr/>
        <w:t>他有关资料，由母公司按照《企业会计准则第</w:t>
      </w:r>
      <w:r>
        <w:rPr>
          <w:rFonts w:ascii="宋体" w:hAnsi="宋体" w:cs="宋体" w:eastAsia="宋体" w:hint="default"/>
        </w:rPr>
        <w:t>33</w:t>
      </w:r>
      <w:r>
        <w:rPr/>
        <w:t>号——合并财务报表》编制。</w:t>
      </w:r>
    </w:p>
    <w:p>
      <w:pPr>
        <w:spacing w:after="0" w:line="477" w:lineRule="auto"/>
        <w:jc w:val="left"/>
        <w:sectPr>
          <w:pgSz w:w="11910" w:h="16840"/>
          <w:pgMar w:header="787" w:footer="640" w:top="1100" w:bottom="840" w:left="0" w:right="0"/>
        </w:sectPr>
      </w:pPr>
    </w:p>
    <w:p>
      <w:pPr>
        <w:spacing w:line="240" w:lineRule="auto" w:before="7"/>
        <w:rPr>
          <w:rFonts w:ascii="宋体" w:hAnsi="宋体" w:cs="宋体" w:eastAsia="宋体" w:hint="default"/>
          <w:sz w:val="27"/>
          <w:szCs w:val="27"/>
        </w:rPr>
      </w:pPr>
    </w:p>
    <w:p>
      <w:pPr>
        <w:pStyle w:val="Heading3"/>
        <w:spacing w:line="240" w:lineRule="auto" w:before="35"/>
        <w:ind w:right="0"/>
        <w:jc w:val="left"/>
        <w:rPr>
          <w:b w:val="0"/>
          <w:bCs w:val="0"/>
        </w:rPr>
      </w:pPr>
      <w:bookmarkStart w:name="7、合营安排分类及共同经营会计处理方法" w:id="174"/>
      <w:bookmarkEnd w:id="174"/>
      <w:r>
        <w:rPr>
          <w:b w:val="0"/>
          <w:bCs w:val="0"/>
        </w:rPr>
      </w:r>
      <w:r>
        <w:rPr>
          <w:rFonts w:ascii="Times New Roman" w:hAnsi="Times New Roman" w:cs="Times New Roman" w:eastAsia="Times New Roman" w:hint="default"/>
        </w:rPr>
        <w:t>7</w:t>
      </w:r>
      <w:r>
        <w:rPr/>
        <w:t>、合营安排分类及共同经营会计处理方法</w:t>
      </w:r>
      <w:r>
        <w:rPr>
          <w:b w:val="0"/>
          <w:bCs w:val="0"/>
        </w:rPr>
      </w:r>
    </w:p>
    <w:p>
      <w:pPr>
        <w:spacing w:line="240" w:lineRule="auto" w:before="0"/>
        <w:rPr>
          <w:rFonts w:ascii="宋体" w:hAnsi="宋体" w:cs="宋体" w:eastAsia="宋体" w:hint="default"/>
          <w:b/>
          <w:bCs/>
          <w:sz w:val="22"/>
          <w:szCs w:val="22"/>
        </w:rPr>
      </w:pPr>
    </w:p>
    <w:p>
      <w:pPr>
        <w:spacing w:line="240" w:lineRule="auto" w:before="5"/>
        <w:rPr>
          <w:rFonts w:ascii="宋体" w:hAnsi="宋体" w:cs="宋体" w:eastAsia="宋体" w:hint="default"/>
          <w:b/>
          <w:bCs/>
          <w:sz w:val="16"/>
          <w:szCs w:val="1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0"/>
          <w:szCs w:val="20"/>
        </w:rPr>
      </w:pPr>
    </w:p>
    <w:p>
      <w:pPr>
        <w:pStyle w:val="Heading3"/>
        <w:spacing w:line="240" w:lineRule="auto"/>
        <w:ind w:right="0"/>
        <w:jc w:val="left"/>
        <w:rPr>
          <w:b w:val="0"/>
          <w:bCs w:val="0"/>
        </w:rPr>
      </w:pPr>
      <w:bookmarkStart w:name="8、现金及现金等价物的确定标准" w:id="175"/>
      <w:bookmarkEnd w:id="175"/>
      <w:r>
        <w:rPr>
          <w:b w:val="0"/>
          <w:bCs w:val="0"/>
        </w:rPr>
      </w:r>
      <w:r>
        <w:rPr>
          <w:rFonts w:ascii="Times New Roman" w:hAnsi="Times New Roman" w:cs="Times New Roman" w:eastAsia="Times New Roman" w:hint="default"/>
        </w:rPr>
        <w:t>8</w:t>
      </w:r>
      <w:r>
        <w:rPr/>
        <w:t>、现金及现金等价物的确定标准</w:t>
      </w:r>
      <w:r>
        <w:rPr>
          <w:b w:val="0"/>
          <w:bCs w:val="0"/>
        </w:rPr>
      </w:r>
    </w:p>
    <w:p>
      <w:pPr>
        <w:spacing w:line="240" w:lineRule="auto" w:before="0"/>
        <w:rPr>
          <w:rFonts w:ascii="宋体" w:hAnsi="宋体" w:cs="宋体" w:eastAsia="宋体" w:hint="default"/>
          <w:b/>
          <w:bCs/>
          <w:sz w:val="22"/>
          <w:szCs w:val="22"/>
        </w:rPr>
      </w:pPr>
    </w:p>
    <w:p>
      <w:pPr>
        <w:spacing w:line="240" w:lineRule="auto" w:before="5"/>
        <w:rPr>
          <w:rFonts w:ascii="宋体" w:hAnsi="宋体" w:cs="宋体" w:eastAsia="宋体" w:hint="default"/>
          <w:b/>
          <w:bCs/>
          <w:sz w:val="16"/>
          <w:szCs w:val="16"/>
        </w:rPr>
      </w:pPr>
    </w:p>
    <w:p>
      <w:pPr>
        <w:pStyle w:val="BodyText"/>
        <w:spacing w:line="477" w:lineRule="auto"/>
        <w:ind w:right="0"/>
        <w:jc w:val="left"/>
      </w:pPr>
      <w:r>
        <w:rPr>
          <w:spacing w:val="-2"/>
        </w:rPr>
        <w:t>列示于现金流量表中的现金是指库存现金以及可以随时用于支付的存款。现金等价物是指企业持有的期限短、流动性强、易</w:t>
      </w:r>
      <w:r>
        <w:rPr>
          <w:spacing w:val="-66"/>
        </w:rPr>
        <w:t> </w:t>
      </w:r>
      <w:r>
        <w:rPr>
          <w:spacing w:val="-66"/>
        </w:rPr>
      </w:r>
      <w:r>
        <w:rPr/>
        <w:t>于转换为已知金额现金、价值变动风险很小的投资。</w:t>
      </w:r>
    </w:p>
    <w:p>
      <w:pPr>
        <w:spacing w:line="240" w:lineRule="auto" w:before="2"/>
        <w:rPr>
          <w:rFonts w:ascii="宋体" w:hAnsi="宋体" w:cs="宋体" w:eastAsia="宋体" w:hint="default"/>
          <w:sz w:val="25"/>
          <w:szCs w:val="25"/>
        </w:rPr>
      </w:pPr>
    </w:p>
    <w:p>
      <w:pPr>
        <w:pStyle w:val="Heading3"/>
        <w:spacing w:line="240" w:lineRule="auto"/>
        <w:ind w:right="0"/>
        <w:jc w:val="left"/>
        <w:rPr>
          <w:b w:val="0"/>
          <w:bCs w:val="0"/>
        </w:rPr>
      </w:pPr>
      <w:bookmarkStart w:name="9、外币业务和外币报表折算" w:id="176"/>
      <w:bookmarkEnd w:id="176"/>
      <w:r>
        <w:rPr>
          <w:b w:val="0"/>
          <w:bCs w:val="0"/>
        </w:rPr>
      </w:r>
      <w:r>
        <w:rPr>
          <w:rFonts w:ascii="Times New Roman" w:hAnsi="Times New Roman" w:cs="Times New Roman" w:eastAsia="Times New Roman" w:hint="default"/>
        </w:rPr>
        <w:t>9</w:t>
      </w:r>
      <w:r>
        <w:rPr/>
        <w:t>、外币业务和外币报表折算</w:t>
      </w:r>
      <w:r>
        <w:rPr>
          <w:b w:val="0"/>
          <w:bCs w:val="0"/>
        </w:rPr>
      </w:r>
    </w:p>
    <w:p>
      <w:pPr>
        <w:spacing w:line="240" w:lineRule="auto" w:before="0"/>
        <w:rPr>
          <w:rFonts w:ascii="宋体" w:hAnsi="宋体" w:cs="宋体" w:eastAsia="宋体" w:hint="default"/>
          <w:b/>
          <w:bCs/>
          <w:sz w:val="22"/>
          <w:szCs w:val="22"/>
        </w:rPr>
      </w:pPr>
    </w:p>
    <w:p>
      <w:pPr>
        <w:spacing w:line="240" w:lineRule="auto" w:before="5"/>
        <w:rPr>
          <w:rFonts w:ascii="宋体" w:hAnsi="宋体" w:cs="宋体" w:eastAsia="宋体" w:hint="default"/>
          <w:b/>
          <w:bCs/>
          <w:sz w:val="16"/>
          <w:szCs w:val="1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0"/>
          <w:szCs w:val="20"/>
        </w:rPr>
      </w:pPr>
    </w:p>
    <w:p>
      <w:pPr>
        <w:pStyle w:val="Heading3"/>
        <w:spacing w:line="240" w:lineRule="auto"/>
        <w:ind w:right="0"/>
        <w:jc w:val="left"/>
        <w:rPr>
          <w:b w:val="0"/>
          <w:bCs w:val="0"/>
        </w:rPr>
      </w:pPr>
      <w:bookmarkStart w:name="10、金融工具" w:id="177"/>
      <w:bookmarkEnd w:id="177"/>
      <w:r>
        <w:rPr>
          <w:b w:val="0"/>
          <w:bCs w:val="0"/>
        </w:rPr>
      </w:r>
      <w:r>
        <w:rPr>
          <w:rFonts w:ascii="Times New Roman" w:hAnsi="Times New Roman" w:cs="Times New Roman" w:eastAsia="Times New Roman" w:hint="default"/>
        </w:rPr>
        <w:t>10</w:t>
      </w:r>
      <w:r>
        <w:rPr/>
        <w:t>、金融工具</w:t>
      </w:r>
      <w:r>
        <w:rPr>
          <w:b w:val="0"/>
          <w:bCs w:val="0"/>
        </w:rPr>
      </w:r>
    </w:p>
    <w:p>
      <w:pPr>
        <w:spacing w:line="240" w:lineRule="auto" w:before="0"/>
        <w:rPr>
          <w:rFonts w:ascii="宋体" w:hAnsi="宋体" w:cs="宋体" w:eastAsia="宋体" w:hint="default"/>
          <w:b/>
          <w:bCs/>
          <w:sz w:val="22"/>
          <w:szCs w:val="22"/>
        </w:rPr>
      </w:pPr>
    </w:p>
    <w:p>
      <w:pPr>
        <w:pStyle w:val="Heading3"/>
        <w:spacing w:line="240" w:lineRule="auto" w:before="189"/>
        <w:ind w:right="0"/>
        <w:jc w:val="left"/>
        <w:rPr>
          <w:b w:val="0"/>
          <w:bCs w:val="0"/>
        </w:rPr>
      </w:pPr>
      <w:r>
        <w:rPr/>
        <w:t>（</w:t>
      </w:r>
      <w:r>
        <w:rPr>
          <w:rFonts w:ascii="Times New Roman" w:hAnsi="Times New Roman" w:cs="Times New Roman" w:eastAsia="Times New Roman" w:hint="default"/>
        </w:rPr>
        <w:t>1</w:t>
      </w:r>
      <w:r>
        <w:rPr/>
        <w:t>）</w:t>
      </w:r>
      <w:r>
        <w:rPr>
          <w:spacing w:val="-20"/>
        </w:rPr>
        <w:t> </w:t>
      </w:r>
      <w:r>
        <w:rPr/>
        <w:t>金融资产和金融负债的分类</w:t>
      </w:r>
      <w:r>
        <w:rPr>
          <w:b w:val="0"/>
          <w:bCs w:val="0"/>
        </w:rPr>
      </w:r>
    </w:p>
    <w:p>
      <w:pPr>
        <w:spacing w:line="240" w:lineRule="auto" w:before="0"/>
        <w:rPr>
          <w:rFonts w:ascii="宋体" w:hAnsi="宋体" w:cs="宋体" w:eastAsia="宋体" w:hint="default"/>
          <w:b/>
          <w:bCs/>
          <w:sz w:val="22"/>
          <w:szCs w:val="22"/>
        </w:rPr>
      </w:pPr>
    </w:p>
    <w:p>
      <w:pPr>
        <w:spacing w:line="240" w:lineRule="auto" w:before="5"/>
        <w:rPr>
          <w:rFonts w:ascii="宋体" w:hAnsi="宋体" w:cs="宋体" w:eastAsia="宋体" w:hint="default"/>
          <w:b/>
          <w:bCs/>
          <w:sz w:val="16"/>
          <w:szCs w:val="16"/>
        </w:rPr>
      </w:pPr>
    </w:p>
    <w:p>
      <w:pPr>
        <w:pStyle w:val="BodyText"/>
        <w:spacing w:line="477" w:lineRule="auto"/>
        <w:ind w:right="1131" w:firstLine="270"/>
        <w:jc w:val="both"/>
      </w:pPr>
      <w:r>
        <w:rPr/>
        <w:t>金融资产在初始确认时划分为以下四类：以公允价值计量且其变动计入当期损益的金融资产（包括交易性金融资产和在 </w:t>
      </w:r>
      <w:r>
        <w:rPr>
          <w:spacing w:val="-2"/>
        </w:rPr>
        <w:t>初始确认时指定为以公允价值计量且其变动计入当期损益的金融资产）、持有至到期投资、贷款和应收款项、可供出售金融</w:t>
      </w:r>
      <w:r>
        <w:rPr>
          <w:spacing w:val="-66"/>
        </w:rPr>
        <w:t> </w:t>
      </w:r>
      <w:r>
        <w:rPr>
          <w:spacing w:val="-66"/>
        </w:rPr>
      </w:r>
      <w:r>
        <w:rPr/>
        <w:t>资产。</w:t>
      </w:r>
    </w:p>
    <w:p>
      <w:pPr>
        <w:pStyle w:val="BodyText"/>
        <w:spacing w:line="477" w:lineRule="auto" w:before="92"/>
        <w:ind w:right="0" w:firstLine="360"/>
        <w:jc w:val="left"/>
      </w:pPr>
      <w:r>
        <w:rPr>
          <w:spacing w:val="-2"/>
        </w:rPr>
        <w:t>金融负债在初始确认时划分为以下两类：以公允价值计量且其变动计入当期损益的金融负债（包括交易性金融负债和在</w:t>
      </w:r>
      <w:r>
        <w:rPr/>
        <w:t> 初始确认时指定为以公允价值计量且其变动计入当期损益的金融负债）、其他金融负债。</w:t>
      </w:r>
    </w:p>
    <w:p>
      <w:pPr>
        <w:spacing w:line="240" w:lineRule="auto" w:before="2"/>
        <w:rPr>
          <w:rFonts w:ascii="宋体" w:hAnsi="宋体" w:cs="宋体" w:eastAsia="宋体" w:hint="default"/>
          <w:sz w:val="25"/>
          <w:szCs w:val="25"/>
        </w:rPr>
      </w:pPr>
    </w:p>
    <w:p>
      <w:pPr>
        <w:pStyle w:val="Heading3"/>
        <w:spacing w:line="240" w:lineRule="auto"/>
        <w:ind w:left="1133" w:right="0"/>
        <w:jc w:val="left"/>
        <w:rPr>
          <w:b w:val="0"/>
          <w:bCs w:val="0"/>
        </w:rPr>
      </w:pPr>
      <w:r>
        <w:rPr/>
        <w:t>（</w:t>
      </w:r>
      <w:r>
        <w:rPr>
          <w:rFonts w:ascii="Times New Roman" w:hAnsi="Times New Roman" w:cs="Times New Roman" w:eastAsia="Times New Roman" w:hint="default"/>
        </w:rPr>
        <w:t>2</w:t>
      </w:r>
      <w:r>
        <w:rPr/>
        <w:t>）金融资产和金融负债的确认依据、计量方法和终止确认条件</w:t>
      </w:r>
      <w:r>
        <w:rPr>
          <w:b w:val="0"/>
          <w:bCs w:val="0"/>
        </w:rPr>
      </w:r>
    </w:p>
    <w:p>
      <w:pPr>
        <w:spacing w:line="240" w:lineRule="auto" w:before="0"/>
        <w:rPr>
          <w:rFonts w:ascii="宋体" w:hAnsi="宋体" w:cs="宋体" w:eastAsia="宋体" w:hint="default"/>
          <w:b/>
          <w:bCs/>
          <w:sz w:val="22"/>
          <w:szCs w:val="22"/>
        </w:rPr>
      </w:pPr>
    </w:p>
    <w:p>
      <w:pPr>
        <w:spacing w:line="240" w:lineRule="auto" w:before="4"/>
        <w:rPr>
          <w:rFonts w:ascii="宋体" w:hAnsi="宋体" w:cs="宋体" w:eastAsia="宋体" w:hint="default"/>
          <w:b/>
          <w:bCs/>
          <w:sz w:val="16"/>
          <w:szCs w:val="16"/>
        </w:rPr>
      </w:pPr>
    </w:p>
    <w:p>
      <w:pPr>
        <w:pStyle w:val="BodyText"/>
        <w:spacing w:line="477" w:lineRule="auto"/>
        <w:ind w:right="0" w:firstLine="357"/>
        <w:jc w:val="left"/>
      </w:pPr>
      <w:r>
        <w:rPr>
          <w:spacing w:val="-4"/>
        </w:rPr>
        <w:t>公司成为金融工具合同的一方时，确认一项金融资产或金融负债。初始确认金融资产或金融负债时，按照公允价值计量；</w:t>
      </w:r>
      <w:r>
        <w:rPr/>
        <w:t> </w:t>
      </w:r>
      <w:r>
        <w:rPr>
          <w:spacing w:val="-2"/>
        </w:rPr>
        <w:t>对于以公允价值计量且其变动计入当期损益的金融资产和金融负债，相关交易费用直接计入当期损益；对于其他类别的金融</w:t>
      </w:r>
      <w:r>
        <w:rPr>
          <w:spacing w:val="-64"/>
        </w:rPr>
        <w:t> </w:t>
      </w:r>
      <w:r>
        <w:rPr>
          <w:spacing w:val="-64"/>
        </w:rPr>
      </w:r>
      <w:r>
        <w:rPr/>
        <w:t>资产或金融负债，相关交易费用计入初始确认金额。</w:t>
      </w:r>
    </w:p>
    <w:p>
      <w:pPr>
        <w:pStyle w:val="BodyText"/>
        <w:spacing w:line="240" w:lineRule="auto" w:before="94"/>
        <w:ind w:left="1491" w:right="0"/>
        <w:jc w:val="left"/>
      </w:pPr>
      <w:r>
        <w:rPr/>
        <w:t>公司按照公允价值对金融资产进行后续计量，且不扣除将来处置该金融资产时可能发生的交易费用，但下列情况除外：</w:t>
      </w:r>
    </w:p>
    <w:p>
      <w:pPr>
        <w:spacing w:line="240" w:lineRule="auto" w:before="10"/>
        <w:rPr>
          <w:rFonts w:ascii="宋体" w:hAnsi="宋体" w:cs="宋体" w:eastAsia="宋体" w:hint="default"/>
          <w:sz w:val="17"/>
          <w:szCs w:val="17"/>
        </w:rPr>
      </w:pPr>
    </w:p>
    <w:p>
      <w:pPr>
        <w:pStyle w:val="BodyText"/>
        <w:spacing w:line="477" w:lineRule="auto"/>
        <w:ind w:right="0"/>
        <w:jc w:val="left"/>
      </w:pPr>
      <w:r>
        <w:rPr>
          <w:spacing w:val="-2"/>
        </w:rPr>
        <w:t>①持有至到期投资以及贷款和应收款项采用实际利率法，按摊余成本计量；②在活跃市场中没有报价且其公允价值不能可靠</w:t>
      </w:r>
      <w:r>
        <w:rPr>
          <w:spacing w:val="-63"/>
        </w:rPr>
        <w:t> </w:t>
      </w:r>
      <w:r>
        <w:rPr>
          <w:spacing w:val="-63"/>
        </w:rPr>
      </w:r>
      <w:r>
        <w:rPr/>
        <w:t>计量的权益工具投资，以及与该权益工具挂钩并须通过交付该权益工具结算的衍生金融资产，按照成本计量。</w:t>
      </w:r>
    </w:p>
    <w:p>
      <w:pPr>
        <w:pStyle w:val="BodyText"/>
        <w:spacing w:line="477" w:lineRule="auto" w:before="92"/>
        <w:ind w:left="1133" w:right="0" w:firstLine="357"/>
        <w:jc w:val="left"/>
      </w:pPr>
      <w:r>
        <w:rPr>
          <w:spacing w:val="-2"/>
        </w:rPr>
        <w:t>公司采用实际利率法，按摊余成本对金融负债进行后续计量，但下列情况除外：①以公允价值计量且其变动计入当期损</w:t>
      </w:r>
      <w:r>
        <w:rPr/>
        <w:t> </w:t>
      </w:r>
      <w:r>
        <w:rPr>
          <w:spacing w:val="-2"/>
        </w:rPr>
        <w:t>益的金融负债，按照公允价值计量，且不扣除将来结清金融负债时可能发生的交易费用；②与在活跃市场中没有报价、公允</w:t>
      </w:r>
    </w:p>
    <w:p>
      <w:pPr>
        <w:spacing w:after="0" w:line="477" w:lineRule="auto"/>
        <w:jc w:val="left"/>
        <w:sectPr>
          <w:pgSz w:w="11910" w:h="16840"/>
          <w:pgMar w:header="787" w:footer="640" w:top="1100" w:bottom="840" w:left="0" w:right="0"/>
        </w:sectPr>
      </w:pPr>
    </w:p>
    <w:p>
      <w:pPr>
        <w:spacing w:line="240" w:lineRule="auto" w:before="10"/>
        <w:rPr>
          <w:rFonts w:ascii="宋体" w:hAnsi="宋体" w:cs="宋体" w:eastAsia="宋体" w:hint="default"/>
          <w:sz w:val="28"/>
          <w:szCs w:val="28"/>
        </w:rPr>
      </w:pPr>
    </w:p>
    <w:p>
      <w:pPr>
        <w:pStyle w:val="BodyText"/>
        <w:spacing w:line="475" w:lineRule="auto" w:before="44"/>
        <w:ind w:left="0" w:right="1109"/>
        <w:jc w:val="right"/>
      </w:pPr>
      <w:r>
        <w:rPr>
          <w:spacing w:val="-2"/>
        </w:rPr>
        <w:t>价值不能可靠计量的权益工具挂钩并须通过交付该权益工具结算的衍生金融负债，按照成本计量；③不属于指定为以公允价</w:t>
      </w:r>
      <w:r>
        <w:rPr/>
        <w:t> </w:t>
      </w:r>
      <w:r>
        <w:rPr>
          <w:spacing w:val="-2"/>
        </w:rPr>
        <w:t>值计量且其变动计入当期损益的金融负债的财务担保合同，或没有指定为以公允价值计量且其变动计入当期损益并将以低于</w:t>
      </w:r>
      <w:r>
        <w:rPr/>
        <w:t> </w:t>
      </w:r>
      <w:r>
        <w:rPr>
          <w:spacing w:val="-4"/>
        </w:rPr>
        <w:t>市场利率贷款的贷款承诺，在初始确认后按照下列两项金额之中的较高者进行后续计量：</w:t>
      </w:r>
      <w:r>
        <w:rPr>
          <w:rFonts w:ascii="Times New Roman" w:hAnsi="Times New Roman" w:cs="Times New Roman" w:eastAsia="Times New Roman" w:hint="default"/>
          <w:spacing w:val="-4"/>
        </w:rPr>
        <w:t>A</w:t>
      </w:r>
      <w:r>
        <w:rPr>
          <w:spacing w:val="-4"/>
        </w:rPr>
        <w:t>、按照《企业会计准则第</w:t>
      </w:r>
      <w:r>
        <w:rPr>
          <w:rFonts w:ascii="Times New Roman" w:hAnsi="Times New Roman" w:cs="Times New Roman" w:eastAsia="Times New Roman" w:hint="default"/>
          <w:spacing w:val="-4"/>
        </w:rPr>
        <w:t>13</w:t>
      </w:r>
      <w:r>
        <w:rPr>
          <w:spacing w:val="-4"/>
        </w:rPr>
        <w:t>号</w:t>
      </w:r>
      <w:r>
        <w:rPr>
          <w:rFonts w:ascii="Times New Roman" w:hAnsi="Times New Roman" w:cs="Times New Roman" w:eastAsia="Times New Roman" w:hint="default"/>
          <w:spacing w:val="-4"/>
        </w:rPr>
        <w:t>——</w:t>
      </w:r>
      <w:r>
        <w:rPr>
          <w:rFonts w:ascii="Times New Roman" w:hAnsi="Times New Roman" w:cs="Times New Roman" w:eastAsia="Times New Roman" w:hint="default"/>
        </w:rPr>
        <w:t> </w:t>
      </w:r>
      <w:r>
        <w:rPr/>
        <w:t>或有事项》确定的金额；</w:t>
      </w:r>
      <w:r>
        <w:rPr>
          <w:rFonts w:ascii="Times New Roman" w:hAnsi="Times New Roman" w:cs="Times New Roman" w:eastAsia="Times New Roman" w:hint="default"/>
        </w:rPr>
        <w:t>B</w:t>
      </w:r>
      <w:r>
        <w:rPr/>
        <w:t>、初始确认金额扣除按照《企业会计准则第</w:t>
      </w:r>
      <w:r>
        <w:rPr>
          <w:rFonts w:ascii="Times New Roman" w:hAnsi="Times New Roman" w:cs="Times New Roman" w:eastAsia="Times New Roman" w:hint="default"/>
        </w:rPr>
        <w:t>14</w:t>
      </w:r>
      <w:r>
        <w:rPr/>
        <w:t>号</w:t>
      </w:r>
      <w:r>
        <w:rPr>
          <w:rFonts w:ascii="Times New Roman" w:hAnsi="Times New Roman" w:cs="Times New Roman" w:eastAsia="Times New Roman" w:hint="default"/>
        </w:rPr>
        <w:t>——</w:t>
      </w:r>
      <w:r>
        <w:rPr/>
        <w:t>收入》的原则确定的累积摊销额后的余额。 </w:t>
      </w:r>
      <w:r>
        <w:rPr>
          <w:spacing w:val="-2"/>
        </w:rPr>
        <w:t>金融资产或金融负债公允价值变动形成的利得或损失，除与套期保值有关外，按照如下方法处理：①以公允价值计量且</w:t>
      </w:r>
      <w:r>
        <w:rPr/>
        <w:t> </w:t>
      </w:r>
      <w:r>
        <w:rPr>
          <w:spacing w:val="-2"/>
        </w:rPr>
        <w:t>其变动计入当期损益的金融资产或金融负债公允价值变动形成的利得或损失，计入公允价值变动收益；在资产持有期间所取</w:t>
      </w:r>
      <w:r>
        <w:rPr/>
        <w:t> </w:t>
      </w:r>
      <w:r>
        <w:rPr>
          <w:spacing w:val="-2"/>
        </w:rPr>
        <w:t>得的利息或现金股利，确认为投资收益；处置时，将实际收到的金额与初始入账金额之间的差额确认为投资收益，同时调整</w:t>
      </w:r>
      <w:r>
        <w:rPr/>
        <w:t> </w:t>
      </w:r>
      <w:r>
        <w:rPr>
          <w:spacing w:val="-2"/>
        </w:rPr>
        <w:t>公允价值变动收益。②可供出售金融资产的公允价值变动计入其他综合收益；持有期间按实际利率法计算的利息，计入投资</w:t>
      </w:r>
      <w:r>
        <w:rPr/>
        <w:t> </w:t>
      </w:r>
      <w:r>
        <w:rPr>
          <w:spacing w:val="-2"/>
        </w:rPr>
        <w:t>收益；可供出售权益工具投资的现金股利，于被投资单位宣告发放股利时计入投资收益；处置时，将实际收到的金额与账面</w:t>
      </w:r>
    </w:p>
    <w:p>
      <w:pPr>
        <w:pStyle w:val="BodyText"/>
        <w:spacing w:line="240" w:lineRule="auto" w:before="57"/>
        <w:ind w:right="0"/>
        <w:jc w:val="left"/>
      </w:pPr>
      <w:r>
        <w:rPr/>
        <w:t>价值扣除原直接计入其他综合收益的公允价值变动累计额之后的差额确认为投资收益。</w:t>
      </w:r>
    </w:p>
    <w:p>
      <w:pPr>
        <w:spacing w:line="240" w:lineRule="auto" w:before="11"/>
        <w:rPr>
          <w:rFonts w:ascii="宋体" w:hAnsi="宋体" w:cs="宋体" w:eastAsia="宋体" w:hint="default"/>
          <w:sz w:val="14"/>
          <w:szCs w:val="14"/>
        </w:rPr>
      </w:pPr>
    </w:p>
    <w:p>
      <w:pPr>
        <w:pStyle w:val="BodyText"/>
        <w:spacing w:line="319" w:lineRule="auto"/>
        <w:ind w:right="1131" w:firstLine="360"/>
        <w:jc w:val="both"/>
      </w:pPr>
      <w:r>
        <w:rPr>
          <w:spacing w:val="-2"/>
        </w:rPr>
        <w:t>当收取某项金融资产现金流量的合同权利已终止或该金融资产所有权上几乎所有的风险和报酬已转移时，终止确认该金</w:t>
      </w:r>
      <w:r>
        <w:rPr/>
        <w:t> 融资产；当金融负债的现时义务全部或部分解除时，相应终止确认该金融负债或其一部分。</w:t>
      </w:r>
    </w:p>
    <w:p>
      <w:pPr>
        <w:spacing w:line="240" w:lineRule="auto" w:before="0"/>
        <w:rPr>
          <w:rFonts w:ascii="宋体" w:hAnsi="宋体" w:cs="宋体" w:eastAsia="宋体" w:hint="default"/>
          <w:sz w:val="18"/>
          <w:szCs w:val="18"/>
        </w:rPr>
      </w:pPr>
    </w:p>
    <w:p>
      <w:pPr>
        <w:pStyle w:val="Heading3"/>
        <w:spacing w:line="240" w:lineRule="auto" w:before="133"/>
        <w:ind w:right="0"/>
        <w:jc w:val="left"/>
        <w:rPr>
          <w:b w:val="0"/>
          <w:bCs w:val="0"/>
        </w:rPr>
      </w:pPr>
      <w:r>
        <w:rPr/>
        <w:t>（</w:t>
      </w:r>
      <w:r>
        <w:rPr>
          <w:rFonts w:ascii="Times New Roman" w:hAnsi="Times New Roman" w:cs="Times New Roman" w:eastAsia="Times New Roman" w:hint="default"/>
        </w:rPr>
        <w:t>3</w:t>
      </w:r>
      <w:r>
        <w:rPr/>
        <w:t>）</w:t>
      </w:r>
      <w:r>
        <w:rPr>
          <w:spacing w:val="-20"/>
        </w:rPr>
        <w:t> </w:t>
      </w:r>
      <w:r>
        <w:rPr/>
        <w:t>金融资产转移的确认依据和计量方法</w:t>
      </w:r>
      <w:r>
        <w:rPr>
          <w:b w:val="0"/>
          <w:bCs w:val="0"/>
        </w:rPr>
      </w:r>
    </w:p>
    <w:p>
      <w:pPr>
        <w:spacing w:line="240" w:lineRule="auto" w:before="0"/>
        <w:rPr>
          <w:rFonts w:ascii="宋体" w:hAnsi="宋体" w:cs="宋体" w:eastAsia="宋体" w:hint="default"/>
          <w:b/>
          <w:bCs/>
          <w:sz w:val="22"/>
          <w:szCs w:val="22"/>
        </w:rPr>
      </w:pPr>
    </w:p>
    <w:p>
      <w:pPr>
        <w:spacing w:line="240" w:lineRule="auto" w:before="5"/>
        <w:rPr>
          <w:rFonts w:ascii="宋体" w:hAnsi="宋体" w:cs="宋体" w:eastAsia="宋体" w:hint="default"/>
          <w:b/>
          <w:bCs/>
          <w:sz w:val="16"/>
          <w:szCs w:val="16"/>
        </w:rPr>
      </w:pPr>
    </w:p>
    <w:p>
      <w:pPr>
        <w:pStyle w:val="BodyText"/>
        <w:spacing w:line="477" w:lineRule="auto"/>
        <w:ind w:right="1131" w:firstLine="360"/>
        <w:jc w:val="both"/>
      </w:pPr>
      <w:r>
        <w:rPr>
          <w:spacing w:val="-2"/>
        </w:rPr>
        <w:t>公司已将金融资产所有权上几乎所有的风险和报酬转移给了转入方的，终止确认该金融资产；保留了金融资产所有权上</w:t>
      </w:r>
      <w:r>
        <w:rPr/>
        <w:t> </w:t>
      </w:r>
      <w:r>
        <w:rPr>
          <w:spacing w:val="-2"/>
        </w:rPr>
        <w:t>几乎所有的风险和报酬的，继续确认所转移的金融资产，并将收到的对价确认为一项金融负债。公司既没有转移也没有保留</w:t>
      </w:r>
      <w:r>
        <w:rPr>
          <w:spacing w:val="-66"/>
        </w:rPr>
        <w:t> </w:t>
      </w:r>
      <w:r>
        <w:rPr>
          <w:spacing w:val="-66"/>
        </w:rPr>
      </w:r>
      <w:r>
        <w:rPr>
          <w:spacing w:val="-2"/>
        </w:rPr>
        <w:t>金融资产所有权上几乎所有的风险和报酬的，分别下列情况处理：①放弃了对该金融资产控制的，终止确认该金融资产；②</w:t>
      </w:r>
      <w:r>
        <w:rPr>
          <w:spacing w:val="-66"/>
        </w:rPr>
        <w:t> </w:t>
      </w:r>
      <w:r>
        <w:rPr>
          <w:spacing w:val="-66"/>
        </w:rPr>
      </w:r>
      <w:r>
        <w:rPr/>
        <w:t>未放弃对该金融资产控制的，按照继续涉入所转移金融资产的程度确认有关金融资产，并相应确认有关负债。</w:t>
      </w:r>
    </w:p>
    <w:p>
      <w:pPr>
        <w:pStyle w:val="BodyText"/>
        <w:spacing w:line="477" w:lineRule="auto" w:before="92"/>
        <w:ind w:right="1132" w:firstLine="290"/>
        <w:jc w:val="both"/>
      </w:pPr>
      <w:r>
        <w:rPr>
          <w:spacing w:val="-1"/>
        </w:rPr>
        <w:t>金融资产整体转移满足终止确认条件的，将下列两项金额的差额计入当期损益：①所转移金融资产的账面价值；②因转</w:t>
      </w:r>
      <w:r>
        <w:rPr/>
        <w:t> </w:t>
      </w:r>
      <w:r>
        <w:rPr>
          <w:spacing w:val="-2"/>
        </w:rPr>
        <w:t>移而收到的对价，与原直接计入所有者权益的公允价值变动累计额之和。金融资产部分转移满足终止确认条件的，将所转移</w:t>
      </w:r>
      <w:r>
        <w:rPr>
          <w:spacing w:val="-66"/>
        </w:rPr>
        <w:t> </w:t>
      </w:r>
      <w:r>
        <w:rPr>
          <w:spacing w:val="-66"/>
        </w:rPr>
      </w:r>
      <w:r>
        <w:rPr>
          <w:spacing w:val="-2"/>
        </w:rPr>
        <w:t>金融资产整体的账面价值，在终止确认部分和未终止确认部分之间，按照各自的相对公允价值进行分摊，并将下列两项金额</w:t>
      </w:r>
      <w:r>
        <w:rPr>
          <w:spacing w:val="-66"/>
        </w:rPr>
        <w:t> </w:t>
      </w:r>
      <w:r>
        <w:rPr>
          <w:spacing w:val="-66"/>
        </w:rPr>
      </w:r>
      <w:r>
        <w:rPr>
          <w:spacing w:val="-2"/>
        </w:rPr>
        <w:t>的差额计入当期损益：①终止确认部分的账面价值；②终止确认部分的对价，与原直接计入所有者权益的公允价值变动累计</w:t>
      </w:r>
      <w:r>
        <w:rPr>
          <w:spacing w:val="-66"/>
        </w:rPr>
        <w:t> </w:t>
      </w:r>
      <w:r>
        <w:rPr>
          <w:spacing w:val="-66"/>
        </w:rPr>
      </w:r>
      <w:r>
        <w:rPr/>
        <w:t>额中对应终止确认部分的金额之和。</w:t>
      </w:r>
    </w:p>
    <w:p>
      <w:pPr>
        <w:spacing w:line="240" w:lineRule="auto" w:before="0"/>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）金融资产和金融负债的公允价值确定方法</w:t>
      </w:r>
      <w:r>
        <w:rPr>
          <w:b w:val="0"/>
          <w:bCs w:val="0"/>
        </w:rPr>
      </w:r>
    </w:p>
    <w:p>
      <w:pPr>
        <w:spacing w:line="240" w:lineRule="auto" w:before="0"/>
        <w:rPr>
          <w:rFonts w:ascii="宋体" w:hAnsi="宋体" w:cs="宋体" w:eastAsia="宋体" w:hint="default"/>
          <w:b/>
          <w:bCs/>
          <w:sz w:val="22"/>
          <w:szCs w:val="22"/>
        </w:rPr>
      </w:pPr>
    </w:p>
    <w:p>
      <w:pPr>
        <w:spacing w:line="240" w:lineRule="auto" w:before="5"/>
        <w:rPr>
          <w:rFonts w:ascii="宋体" w:hAnsi="宋体" w:cs="宋体" w:eastAsia="宋体" w:hint="default"/>
          <w:b/>
          <w:bCs/>
          <w:sz w:val="16"/>
          <w:szCs w:val="16"/>
        </w:rPr>
      </w:pPr>
    </w:p>
    <w:p>
      <w:pPr>
        <w:pStyle w:val="BodyText"/>
        <w:spacing w:line="477" w:lineRule="auto"/>
        <w:ind w:right="1230" w:firstLine="360"/>
        <w:jc w:val="both"/>
      </w:pPr>
      <w:r>
        <w:rPr/>
        <w:t>公司采用在当前情况下适用并且有足够可利用数据和其他信息支持的估值技术确定相关金融资产和金融负债的公允价 值。公司将估值技术使用的输入值分以下层级，并依次使用：</w:t>
      </w:r>
    </w:p>
    <w:p>
      <w:pPr>
        <w:pStyle w:val="BodyText"/>
        <w:spacing w:line="240" w:lineRule="auto" w:before="94"/>
        <w:ind w:left="1404" w:right="0"/>
        <w:jc w:val="left"/>
      </w:pPr>
      <w:r>
        <w:rPr/>
        <w:t>①第一层次输入值是在计量日能够取得的相同资产或负债在活跃市场上未经调整的报价；</w:t>
      </w:r>
    </w:p>
    <w:p>
      <w:pPr>
        <w:spacing w:line="240" w:lineRule="auto" w:before="10"/>
        <w:rPr>
          <w:rFonts w:ascii="宋体" w:hAnsi="宋体" w:cs="宋体" w:eastAsia="宋体" w:hint="default"/>
          <w:sz w:val="20"/>
          <w:szCs w:val="20"/>
        </w:rPr>
      </w:pPr>
    </w:p>
    <w:p>
      <w:pPr>
        <w:pStyle w:val="BodyText"/>
        <w:spacing w:line="240" w:lineRule="auto"/>
        <w:ind w:left="1441" w:right="0"/>
        <w:jc w:val="left"/>
      </w:pPr>
      <w:r>
        <w:rPr/>
        <w:t>②第二层次输入值是除第一层次输入值外相关资产或负债直接或间接可观察的输入值，包括：活跃市场中类似资产或负</w:t>
      </w:r>
    </w:p>
    <w:p>
      <w:pPr>
        <w:spacing w:after="0" w:line="240" w:lineRule="auto"/>
        <w:jc w:val="left"/>
        <w:sectPr>
          <w:footerReference w:type="default" r:id="rId52"/>
          <w:pgSz w:w="11910" w:h="16840"/>
          <w:pgMar w:footer="640" w:header="787" w:top="1100" w:bottom="840" w:left="0" w:right="0"/>
        </w:sectPr>
      </w:pPr>
    </w:p>
    <w:p>
      <w:pPr>
        <w:spacing w:line="240" w:lineRule="auto" w:before="10"/>
        <w:rPr>
          <w:rFonts w:ascii="宋体" w:hAnsi="宋体" w:cs="宋体" w:eastAsia="宋体" w:hint="default"/>
          <w:sz w:val="28"/>
          <w:szCs w:val="28"/>
        </w:rPr>
      </w:pPr>
    </w:p>
    <w:p>
      <w:pPr>
        <w:pStyle w:val="BodyText"/>
        <w:spacing w:line="477" w:lineRule="auto" w:before="44"/>
        <w:ind w:right="0"/>
        <w:jc w:val="left"/>
      </w:pPr>
      <w:r>
        <w:rPr>
          <w:spacing w:val="-2"/>
        </w:rPr>
        <w:t>债的报价；非活跃市场中相同或类似资产或负债的报价；除报价以外的其他可观察输入值，如在正常报价间隔期间可观察的</w:t>
      </w:r>
      <w:r>
        <w:rPr>
          <w:spacing w:val="-66"/>
        </w:rPr>
        <w:t> </w:t>
      </w:r>
      <w:r>
        <w:rPr>
          <w:spacing w:val="-66"/>
        </w:rPr>
      </w:r>
      <w:r>
        <w:rPr/>
        <w:t>利率和收益率曲线等；市场验证的输入值等；</w:t>
      </w:r>
    </w:p>
    <w:p>
      <w:pPr>
        <w:pStyle w:val="BodyText"/>
        <w:spacing w:line="477" w:lineRule="auto" w:before="92"/>
        <w:ind w:right="1122" w:firstLine="270"/>
        <w:jc w:val="left"/>
      </w:pPr>
      <w:r>
        <w:rPr/>
        <w:t>③第三层次输入值是相关资产或负债的不可观察输入值，包括不能直接观察或无法由可观察市场数据验证的利率、股票 波动率、企业合并中承担的弃置义务的未来现金流量、使用自身数据作出的财务预测等。</w:t>
      </w:r>
    </w:p>
    <w:p>
      <w:pPr>
        <w:spacing w:line="240" w:lineRule="auto" w:before="2"/>
        <w:rPr>
          <w:rFonts w:ascii="宋体" w:hAnsi="宋体" w:cs="宋体" w:eastAsia="宋体" w:hint="default"/>
          <w:sz w:val="25"/>
          <w:szCs w:val="25"/>
        </w:rPr>
      </w:pPr>
    </w:p>
    <w:p>
      <w:pPr>
        <w:pStyle w:val="Heading3"/>
        <w:spacing w:line="240" w:lineRule="auto"/>
        <w:ind w:left="1133" w:right="0"/>
        <w:jc w:val="left"/>
        <w:rPr>
          <w:b w:val="0"/>
          <w:bCs w:val="0"/>
        </w:rPr>
      </w:pPr>
      <w:r>
        <w:rPr/>
        <w:t>（</w:t>
      </w:r>
      <w:r>
        <w:rPr>
          <w:rFonts w:ascii="Times New Roman" w:hAnsi="Times New Roman" w:cs="Times New Roman" w:eastAsia="Times New Roman" w:hint="default"/>
        </w:rPr>
        <w:t>5</w:t>
      </w:r>
      <w:r>
        <w:rPr/>
        <w:t>）</w:t>
      </w:r>
      <w:r>
        <w:rPr>
          <w:spacing w:val="-22"/>
        </w:rPr>
        <w:t> </w:t>
      </w:r>
      <w:r>
        <w:rPr/>
        <w:t>金融资产的减值测试和减值准备计提方法</w:t>
      </w:r>
      <w:r>
        <w:rPr>
          <w:b w:val="0"/>
          <w:bCs w:val="0"/>
        </w:rPr>
      </w:r>
    </w:p>
    <w:p>
      <w:pPr>
        <w:spacing w:line="240" w:lineRule="auto" w:before="0"/>
        <w:rPr>
          <w:rFonts w:ascii="宋体" w:hAnsi="宋体" w:cs="宋体" w:eastAsia="宋体" w:hint="default"/>
          <w:b/>
          <w:bCs/>
          <w:sz w:val="22"/>
          <w:szCs w:val="22"/>
        </w:rPr>
      </w:pPr>
    </w:p>
    <w:p>
      <w:pPr>
        <w:spacing w:line="240" w:lineRule="auto" w:before="4"/>
        <w:rPr>
          <w:rFonts w:ascii="宋体" w:hAnsi="宋体" w:cs="宋体" w:eastAsia="宋体" w:hint="default"/>
          <w:b/>
          <w:bCs/>
          <w:sz w:val="16"/>
          <w:szCs w:val="16"/>
        </w:rPr>
      </w:pPr>
    </w:p>
    <w:p>
      <w:pPr>
        <w:pStyle w:val="BodyText"/>
        <w:spacing w:line="477" w:lineRule="auto"/>
        <w:ind w:right="0" w:firstLine="360"/>
        <w:jc w:val="left"/>
      </w:pPr>
      <w:r>
        <w:rPr>
          <w:spacing w:val="-2"/>
        </w:rPr>
        <w:t>①资产负债表日对以公允价值计量且其变动计入当期损益的金融资产以外的金融资产的账面价值进行检查，如有客观证</w:t>
      </w:r>
      <w:r>
        <w:rPr/>
        <w:t> 据表明该金融资产发生减值的，计提减值准备。</w:t>
      </w:r>
    </w:p>
    <w:p>
      <w:pPr>
        <w:pStyle w:val="BodyText"/>
        <w:spacing w:line="477" w:lineRule="auto" w:before="94"/>
        <w:ind w:right="1131" w:firstLine="360"/>
        <w:jc w:val="both"/>
      </w:pPr>
      <w:r>
        <w:rPr>
          <w:spacing w:val="-2"/>
        </w:rPr>
        <w:t>②对于持有至到期投资、贷款和应收款，先将单项金额重大的金融资产区分开来，单独进行减值测试；对单项金额不重</w:t>
      </w:r>
      <w:r>
        <w:rPr/>
        <w:t> </w:t>
      </w:r>
      <w:r>
        <w:rPr>
          <w:spacing w:val="-2"/>
        </w:rPr>
        <w:t>大的金融资产，可以单独进行减值测试，或包括在具有类似信用风险特征的金融资产组合中进行减值测试；单独测试未发生</w:t>
      </w:r>
      <w:r>
        <w:rPr>
          <w:spacing w:val="-66"/>
        </w:rPr>
        <w:t> </w:t>
      </w:r>
      <w:r>
        <w:rPr>
          <w:spacing w:val="-66"/>
        </w:rPr>
      </w:r>
      <w:r>
        <w:rPr>
          <w:spacing w:val="-2"/>
        </w:rPr>
        <w:t>减值的金融资产（包括单项金额重大和不重大的金融资产），包括在具有类似信用风险特征的金融资产组合中再进行减值测</w:t>
      </w:r>
      <w:r>
        <w:rPr>
          <w:spacing w:val="-66"/>
        </w:rPr>
        <w:t> </w:t>
      </w:r>
      <w:r>
        <w:rPr>
          <w:spacing w:val="-66"/>
        </w:rPr>
      </w:r>
      <w:r>
        <w:rPr/>
        <w:t>试。测试结果表明其发生了减值的，根据其账面价值高于预计未来现金流量现值的差额确认减值损失。</w:t>
      </w:r>
    </w:p>
    <w:p>
      <w:pPr>
        <w:pStyle w:val="BodyText"/>
        <w:spacing w:line="504" w:lineRule="auto" w:before="94"/>
        <w:ind w:left="1423" w:right="5833" w:firstLine="70"/>
        <w:jc w:val="left"/>
      </w:pPr>
      <w:r>
        <w:rPr/>
        <w:t>③可供出售金融资产 </w:t>
      </w:r>
      <w:r>
        <w:rPr>
          <w:rFonts w:ascii="Times New Roman" w:hAnsi="Times New Roman" w:cs="Times New Roman" w:eastAsia="Times New Roman" w:hint="default"/>
        </w:rPr>
        <w:t>A</w:t>
      </w:r>
      <w:r>
        <w:rPr/>
        <w:t>、表明可供出售债务工具投资发生减值的客观证据包括： </w:t>
      </w:r>
      <w:r>
        <w:rPr>
          <w:rFonts w:ascii="Times New Roman" w:hAnsi="Times New Roman" w:cs="Times New Roman" w:eastAsia="Times New Roman" w:hint="default"/>
        </w:rPr>
        <w:t>a</w:t>
      </w:r>
      <w:r>
        <w:rPr/>
        <w:t>、债务人发生严重财务困难；</w:t>
      </w:r>
    </w:p>
    <w:p>
      <w:pPr>
        <w:pStyle w:val="BodyText"/>
        <w:spacing w:line="240" w:lineRule="auto" w:before="39"/>
        <w:ind w:left="1424" w:right="0"/>
        <w:jc w:val="left"/>
      </w:pPr>
      <w:r>
        <w:rPr>
          <w:rFonts w:ascii="Times New Roman" w:hAnsi="Times New Roman" w:cs="Times New Roman" w:eastAsia="Times New Roman" w:hint="default"/>
        </w:rPr>
        <w:t>b</w:t>
      </w:r>
      <w:r>
        <w:rPr/>
        <w:t>、</w:t>
      </w:r>
      <w:r>
        <w:rPr>
          <w:spacing w:val="-20"/>
        </w:rPr>
        <w:t> </w:t>
      </w:r>
      <w:r>
        <w:rPr/>
        <w:t>债务人违反了合同条款，如偿付利息或本金发生违约或逾期；</w:t>
      </w:r>
    </w:p>
    <w:p>
      <w:pPr>
        <w:spacing w:line="240" w:lineRule="auto" w:before="10"/>
        <w:rPr>
          <w:rFonts w:ascii="宋体" w:hAnsi="宋体" w:cs="宋体" w:eastAsia="宋体" w:hint="default"/>
          <w:sz w:val="19"/>
          <w:szCs w:val="19"/>
        </w:rPr>
      </w:pPr>
    </w:p>
    <w:p>
      <w:pPr>
        <w:pStyle w:val="BodyText"/>
        <w:spacing w:line="489" w:lineRule="auto"/>
        <w:ind w:left="1423" w:right="4014" w:hanging="1"/>
        <w:jc w:val="left"/>
      </w:pPr>
      <w:r>
        <w:rPr>
          <w:rFonts w:ascii="Times New Roman" w:hAnsi="Times New Roman" w:cs="Times New Roman" w:eastAsia="Times New Roman" w:hint="default"/>
        </w:rPr>
        <w:t>c</w:t>
      </w:r>
      <w:r>
        <w:rPr>
          <w:rFonts w:ascii="Times New Roman" w:hAnsi="Times New Roman" w:cs="Times New Roman" w:eastAsia="Times New Roman" w:hint="default"/>
          <w:spacing w:val="25"/>
        </w:rPr>
        <w:t> </w:t>
      </w:r>
      <w:r>
        <w:rPr/>
        <w:t>、公司出于经济或法律等方面因素的考虑，对发生财务困难的债务人作出让步； </w:t>
      </w:r>
      <w:r>
        <w:rPr>
          <w:rFonts w:ascii="Times New Roman" w:hAnsi="Times New Roman" w:cs="Times New Roman" w:eastAsia="Times New Roman" w:hint="default"/>
        </w:rPr>
        <w:t>d</w:t>
      </w:r>
      <w:r>
        <w:rPr>
          <w:rFonts w:ascii="Times New Roman" w:hAnsi="Times New Roman" w:cs="Times New Roman" w:eastAsia="Times New Roman" w:hint="default"/>
          <w:spacing w:val="26"/>
        </w:rPr>
        <w:t> </w:t>
      </w:r>
      <w:r>
        <w:rPr/>
        <w:t>、债务人很可能倒闭或进行其他财务重组； </w:t>
      </w:r>
      <w:r>
        <w:rPr>
          <w:rFonts w:ascii="Times New Roman" w:hAnsi="Times New Roman" w:cs="Times New Roman" w:eastAsia="Times New Roman" w:hint="default"/>
        </w:rPr>
        <w:t>e</w:t>
      </w:r>
      <w:r>
        <w:rPr/>
        <w:t>、因债务人发生重大财务困难，该债务工具无法在活跃市场继续交易；</w:t>
      </w:r>
    </w:p>
    <w:p>
      <w:pPr>
        <w:pStyle w:val="BodyText"/>
        <w:spacing w:line="240" w:lineRule="auto" w:before="51"/>
        <w:ind w:left="1423" w:right="0"/>
        <w:jc w:val="left"/>
      </w:pPr>
      <w:r>
        <w:rPr>
          <w:rFonts w:ascii="Times New Roman" w:hAnsi="Times New Roman" w:cs="Times New Roman" w:eastAsia="Times New Roman" w:hint="default"/>
        </w:rPr>
        <w:t>f</w:t>
      </w:r>
      <w:r>
        <w:rPr/>
        <w:t>、</w:t>
      </w:r>
      <w:r>
        <w:rPr>
          <w:spacing w:val="-20"/>
        </w:rPr>
        <w:t> </w:t>
      </w:r>
      <w:r>
        <w:rPr/>
        <w:t>其他表明可供出售债务工具已经发生减值的情况。</w:t>
      </w:r>
    </w:p>
    <w:p>
      <w:pPr>
        <w:spacing w:line="240" w:lineRule="auto" w:before="11"/>
        <w:rPr>
          <w:rFonts w:ascii="宋体" w:hAnsi="宋体" w:cs="宋体" w:eastAsia="宋体" w:hint="default"/>
          <w:sz w:val="19"/>
          <w:szCs w:val="19"/>
        </w:rPr>
      </w:pPr>
    </w:p>
    <w:p>
      <w:pPr>
        <w:pStyle w:val="BodyText"/>
        <w:spacing w:line="489" w:lineRule="auto"/>
        <w:ind w:right="1272" w:firstLine="290"/>
        <w:jc w:val="left"/>
      </w:pPr>
      <w:r>
        <w:rPr>
          <w:rFonts w:ascii="Times New Roman" w:hAnsi="Times New Roman" w:cs="Times New Roman" w:eastAsia="Times New Roman" w:hint="default"/>
        </w:rPr>
        <w:t>B</w:t>
      </w:r>
      <w:r>
        <w:rPr/>
        <w:t>、</w:t>
      </w:r>
      <w:r>
        <w:rPr>
          <w:spacing w:val="-20"/>
        </w:rPr>
        <w:t> </w:t>
      </w:r>
      <w:r>
        <w:rPr/>
        <w:t>表明可供出售权益工具投资发生减值的客观证据包括权益工具投资的公允价值发生严重或非暂时性下跌，以及被</w:t>
      </w:r>
      <w:r>
        <w:rPr/>
        <w:t> 投资单位经营所处的技术、市场、经济或法律环境等发生重大不利变化使公司可能无法收回投资成本。</w:t>
      </w:r>
    </w:p>
    <w:p>
      <w:pPr>
        <w:pStyle w:val="BodyText"/>
        <w:spacing w:line="460" w:lineRule="auto" w:before="83"/>
        <w:ind w:left="1133" w:right="1031" w:firstLine="360"/>
        <w:jc w:val="left"/>
      </w:pPr>
      <w:r>
        <w:rPr>
          <w:spacing w:val="-2"/>
        </w:rPr>
        <w:t>本公司于资产负债表日对各项可供出售权益工具投资单独进行检查。对于以公允价值计量的权益工具投资，若其于资产</w:t>
      </w:r>
      <w:r>
        <w:rPr/>
        <w:t> </w:t>
      </w:r>
      <w:r>
        <w:rPr>
          <w:spacing w:val="-2"/>
        </w:rPr>
        <w:t>负债表日的公允价值低于其成本超过</w:t>
      </w:r>
      <w:r>
        <w:rPr>
          <w:rFonts w:ascii="Times New Roman" w:hAnsi="Times New Roman" w:cs="Times New Roman" w:eastAsia="Times New Roman" w:hint="default"/>
          <w:spacing w:val="-2"/>
        </w:rPr>
        <w:t>50%</w:t>
      </w:r>
      <w:r>
        <w:rPr>
          <w:spacing w:val="-2"/>
        </w:rPr>
        <w:t>（含</w:t>
      </w:r>
      <w:r>
        <w:rPr>
          <w:rFonts w:ascii="Times New Roman" w:hAnsi="Times New Roman" w:cs="Times New Roman" w:eastAsia="Times New Roman" w:hint="default"/>
          <w:spacing w:val="-2"/>
        </w:rPr>
        <w:t>50%</w:t>
      </w:r>
      <w:r>
        <w:rPr>
          <w:spacing w:val="-2"/>
        </w:rPr>
        <w:t>）或低于其成本持续时间超过</w:t>
      </w:r>
      <w:r>
        <w:rPr>
          <w:rFonts w:ascii="Times New Roman" w:hAnsi="Times New Roman" w:cs="Times New Roman" w:eastAsia="Times New Roman" w:hint="default"/>
          <w:spacing w:val="-2"/>
        </w:rPr>
        <w:t>12</w:t>
      </w:r>
      <w:r>
        <w:rPr>
          <w:spacing w:val="-2"/>
        </w:rPr>
        <w:t>个月（含</w:t>
      </w:r>
      <w:r>
        <w:rPr>
          <w:rFonts w:ascii="Times New Roman" w:hAnsi="Times New Roman" w:cs="Times New Roman" w:eastAsia="Times New Roman" w:hint="default"/>
          <w:spacing w:val="-2"/>
        </w:rPr>
        <w:t>12</w:t>
      </w:r>
      <w:r>
        <w:rPr>
          <w:spacing w:val="-2"/>
        </w:rPr>
        <w:t>个月）的，则表明其发生减值；</w:t>
      </w:r>
      <w:r>
        <w:rPr>
          <w:spacing w:val="-86"/>
        </w:rPr>
        <w:t> </w:t>
      </w:r>
      <w:r>
        <w:rPr>
          <w:spacing w:val="-86"/>
        </w:rPr>
      </w:r>
      <w:r>
        <w:rPr/>
        <w:t>若其于资产负债表日的公允价值低于其成本超过</w:t>
      </w:r>
      <w:r>
        <w:rPr>
          <w:rFonts w:ascii="Times New Roman" w:hAnsi="Times New Roman" w:cs="Times New Roman" w:eastAsia="Times New Roman" w:hint="default"/>
        </w:rPr>
        <w:t>20%</w:t>
      </w:r>
      <w:r>
        <w:rPr/>
        <w:t>（含</w:t>
      </w:r>
      <w:r>
        <w:rPr>
          <w:rFonts w:ascii="Times New Roman" w:hAnsi="Times New Roman" w:cs="Times New Roman" w:eastAsia="Times New Roman" w:hint="default"/>
        </w:rPr>
        <w:t>20%</w:t>
      </w:r>
      <w:r>
        <w:rPr/>
        <w:t>）但尚未达到</w:t>
      </w:r>
      <w:r>
        <w:rPr>
          <w:rFonts w:ascii="Times New Roman" w:hAnsi="Times New Roman" w:cs="Times New Roman" w:eastAsia="Times New Roman" w:hint="default"/>
        </w:rPr>
        <w:t>50%</w:t>
      </w:r>
      <w:r>
        <w:rPr/>
        <w:t>的，或低于其成本持续时间超过</w:t>
      </w:r>
      <w:r>
        <w:rPr>
          <w:rFonts w:ascii="Times New Roman" w:hAnsi="Times New Roman" w:cs="Times New Roman" w:eastAsia="Times New Roman" w:hint="default"/>
        </w:rPr>
        <w:t>6</w:t>
      </w:r>
      <w:r>
        <w:rPr/>
        <w:t>个月（含</w:t>
      </w:r>
      <w:r>
        <w:rPr>
          <w:rFonts w:ascii="Times New Roman" w:hAnsi="Times New Roman" w:cs="Times New Roman" w:eastAsia="Times New Roman" w:hint="default"/>
        </w:rPr>
        <w:t>6 </w:t>
      </w:r>
      <w:r>
        <w:rPr>
          <w:spacing w:val="-2"/>
        </w:rPr>
        <w:t>个月）但未超过</w:t>
      </w:r>
      <w:r>
        <w:rPr>
          <w:rFonts w:ascii="Times New Roman" w:hAnsi="Times New Roman" w:cs="Times New Roman" w:eastAsia="Times New Roman" w:hint="default"/>
          <w:spacing w:val="-2"/>
        </w:rPr>
        <w:t>12</w:t>
      </w:r>
      <w:r>
        <w:rPr>
          <w:spacing w:val="-2"/>
        </w:rPr>
        <w:t>个月的，本公司会综合考虑其他相关因素，诸如价格波动率等，判断该权益工具投资是否发生减值。对于</w:t>
      </w:r>
      <w:r>
        <w:rPr>
          <w:spacing w:val="-64"/>
        </w:rPr>
        <w:t> </w:t>
      </w:r>
      <w:r>
        <w:rPr>
          <w:spacing w:val="-64"/>
        </w:rPr>
      </w:r>
      <w:r>
        <w:rPr/>
        <w:t>以成本计量的权益工具投资，公司综合考虑被投资单位经营所处的技术、市场、经济或法律环境等是否发生重大不利变化， 判断该权益工具是否发生减值。</w:t>
      </w:r>
    </w:p>
    <w:p>
      <w:pPr>
        <w:spacing w:after="0" w:line="460" w:lineRule="auto"/>
        <w:jc w:val="left"/>
        <w:sectPr>
          <w:pgSz w:w="11910" w:h="16840"/>
          <w:pgMar w:header="787" w:footer="640" w:top="1100" w:bottom="840" w:left="0" w:right="0"/>
        </w:sectPr>
      </w:pPr>
    </w:p>
    <w:p>
      <w:pPr>
        <w:spacing w:line="240" w:lineRule="auto" w:before="10"/>
        <w:rPr>
          <w:rFonts w:ascii="宋体" w:hAnsi="宋体" w:cs="宋体" w:eastAsia="宋体" w:hint="default"/>
          <w:sz w:val="28"/>
          <w:szCs w:val="28"/>
        </w:rPr>
      </w:pPr>
    </w:p>
    <w:p>
      <w:pPr>
        <w:pStyle w:val="BodyText"/>
        <w:spacing w:line="477" w:lineRule="auto" w:before="44"/>
        <w:ind w:right="1131" w:firstLine="360"/>
        <w:jc w:val="both"/>
      </w:pPr>
      <w:r>
        <w:rPr>
          <w:spacing w:val="-2"/>
        </w:rPr>
        <w:t>以公允价值计量的可供出售金融资产发生减值时，原直接计入其他综合收益的因公允价值下降形成的累计损失予以转出</w:t>
      </w:r>
      <w:r>
        <w:rPr/>
        <w:t> </w:t>
      </w:r>
      <w:r>
        <w:rPr>
          <w:spacing w:val="-2"/>
        </w:rPr>
        <w:t>并计入减值损失。对已确认减值损失的可供出售债务工具投资，在期后公允价值回升且客观上与确认原减值损失后发生的事</w:t>
      </w:r>
      <w:r>
        <w:rPr>
          <w:spacing w:val="-64"/>
        </w:rPr>
        <w:t> </w:t>
      </w:r>
      <w:r>
        <w:rPr>
          <w:spacing w:val="-64"/>
        </w:rPr>
      </w:r>
      <w:r>
        <w:rPr>
          <w:spacing w:val="-2"/>
        </w:rPr>
        <w:t>项有关的，原确认的减值损失予以转回并计入当期损益。对已确认减值损失的可供出售权益工具投资，期后公允价值回升直</w:t>
      </w:r>
      <w:r>
        <w:rPr>
          <w:spacing w:val="-66"/>
        </w:rPr>
        <w:t> </w:t>
      </w:r>
      <w:r>
        <w:rPr>
          <w:spacing w:val="-66"/>
        </w:rPr>
      </w:r>
      <w:r>
        <w:rPr/>
        <w:t>接计入其他综合收益。</w:t>
      </w:r>
    </w:p>
    <w:p>
      <w:pPr>
        <w:pStyle w:val="BodyText"/>
        <w:spacing w:line="477" w:lineRule="auto" w:before="92"/>
        <w:ind w:left="1133" w:right="0"/>
        <w:jc w:val="left"/>
      </w:pPr>
      <w:r>
        <w:rPr>
          <w:spacing w:val="-2"/>
        </w:rPr>
        <w:t>以成本计量的可供出售权益工具发生减值时，将该权益工具投资的账面价值，与按照类似金融资产当时市场收益率对未来现</w:t>
      </w:r>
      <w:r>
        <w:rPr>
          <w:spacing w:val="-64"/>
        </w:rPr>
        <w:t> </w:t>
      </w:r>
      <w:r>
        <w:rPr>
          <w:spacing w:val="-64"/>
        </w:rPr>
      </w:r>
      <w:r>
        <w:rPr/>
        <w:t>金流量折现确定的现值之间的差额，确认为减值损失，计入当期损益，发生的减值损失一经确认，不予转回。</w:t>
      </w:r>
    </w:p>
    <w:p>
      <w:pPr>
        <w:spacing w:line="240" w:lineRule="auto" w:before="2"/>
        <w:rPr>
          <w:rFonts w:ascii="宋体" w:hAnsi="宋体" w:cs="宋体" w:eastAsia="宋体" w:hint="default"/>
          <w:sz w:val="25"/>
          <w:szCs w:val="25"/>
        </w:rPr>
      </w:pPr>
    </w:p>
    <w:p>
      <w:pPr>
        <w:pStyle w:val="Heading3"/>
        <w:spacing w:line="240" w:lineRule="auto"/>
        <w:ind w:left="1133" w:right="0"/>
        <w:jc w:val="left"/>
        <w:rPr>
          <w:b w:val="0"/>
          <w:bCs w:val="0"/>
        </w:rPr>
      </w:pPr>
      <w:bookmarkStart w:name="11、应收款项" w:id="178"/>
      <w:bookmarkEnd w:id="178"/>
      <w:r>
        <w:rPr>
          <w:b w:val="0"/>
          <w:bCs w:val="0"/>
        </w:rPr>
      </w:r>
      <w:r>
        <w:rPr>
          <w:rFonts w:ascii="Times New Roman" w:hAnsi="Times New Roman" w:cs="Times New Roman" w:eastAsia="Times New Roman" w:hint="default"/>
        </w:rPr>
        <w:t>11</w:t>
      </w:r>
      <w:r>
        <w:rPr/>
        <w:t>、应收款项</w:t>
      </w:r>
      <w:r>
        <w:rPr>
          <w:b w:val="0"/>
          <w:bCs w:val="0"/>
        </w:rPr>
      </w:r>
    </w:p>
    <w:p>
      <w:pPr>
        <w:spacing w:line="240" w:lineRule="auto" w:before="0"/>
        <w:rPr>
          <w:rFonts w:ascii="宋体" w:hAnsi="宋体" w:cs="宋体" w:eastAsia="宋体" w:hint="default"/>
          <w:b/>
          <w:bCs/>
          <w:sz w:val="22"/>
          <w:szCs w:val="22"/>
        </w:rPr>
      </w:pPr>
    </w:p>
    <w:p>
      <w:pPr>
        <w:pStyle w:val="Heading3"/>
        <w:spacing w:line="240" w:lineRule="auto" w:before="188"/>
        <w:ind w:right="0"/>
        <w:jc w:val="left"/>
        <w:rPr>
          <w:b w:val="0"/>
          <w:bCs w:val="0"/>
        </w:rPr>
      </w:pPr>
      <w:bookmarkStart w:name="（1）单项金额重大并单独计提坏账准备的应收款项" w:id="179"/>
      <w:bookmarkEnd w:id="179"/>
      <w:r>
        <w:rPr>
          <w:b w:val="0"/>
          <w:bCs w:val="0"/>
        </w:rPr>
      </w:r>
      <w:r>
        <w:rPr/>
        <w:t>（</w:t>
      </w:r>
      <w:r>
        <w:rPr>
          <w:rFonts w:ascii="Times New Roman" w:hAnsi="Times New Roman" w:cs="Times New Roman" w:eastAsia="Times New Roman" w:hint="default"/>
        </w:rPr>
        <w:t>1</w:t>
      </w:r>
      <w:r>
        <w:rPr/>
        <w:t>）单项金额重大并单独计提坏账准备的应收款项</w:t>
      </w:r>
      <w:r>
        <w:rPr>
          <w:b w:val="0"/>
          <w:bCs w:val="0"/>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1"/>
          <w:szCs w:val="11"/>
        </w:rPr>
      </w:pPr>
    </w:p>
    <w:tbl>
      <w:tblPr>
        <w:tblW w:w="0" w:type="auto"/>
        <w:jc w:val="left"/>
        <w:tblInd w:w="1129" w:type="dxa"/>
        <w:tblLayout w:type="fixed"/>
        <w:tblCellMar>
          <w:top w:w="0" w:type="dxa"/>
          <w:left w:w="0" w:type="dxa"/>
          <w:bottom w:w="0" w:type="dxa"/>
          <w:right w:w="0" w:type="dxa"/>
        </w:tblCellMar>
        <w:tblLook w:val="01E0"/>
      </w:tblPr>
      <w:tblGrid>
        <w:gridCol w:w="4785"/>
        <w:gridCol w:w="4784"/>
      </w:tblGrid>
      <w:tr>
        <w:trPr>
          <w:trHeight w:val="755"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b/>
                <w:bCs/>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应收账款期末余额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万元以上（含）</w:t>
            </w:r>
          </w:p>
          <w:p>
            <w:pPr>
              <w:pStyle w:val="TableParagraph"/>
              <w:spacing w:line="240" w:lineRule="auto" w:before="102"/>
              <w:ind w:left="23" w:right="0"/>
              <w:jc w:val="left"/>
              <w:rPr>
                <w:rFonts w:ascii="宋体" w:hAnsi="宋体" w:cs="宋体" w:eastAsia="宋体" w:hint="default"/>
                <w:sz w:val="18"/>
                <w:szCs w:val="18"/>
              </w:rPr>
            </w:pPr>
            <w:r>
              <w:rPr>
                <w:rFonts w:ascii="宋体" w:hAnsi="宋体" w:cs="宋体" w:eastAsia="宋体" w:hint="default"/>
                <w:sz w:val="18"/>
                <w:szCs w:val="18"/>
              </w:rPr>
              <w:t>其他应收款期末余额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万元以上（含）</w:t>
            </w:r>
          </w:p>
        </w:tc>
      </w:tr>
      <w:tr>
        <w:trPr>
          <w:trHeight w:val="71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69"/>
              <w:jc w:val="left"/>
              <w:rPr>
                <w:rFonts w:ascii="宋体" w:hAnsi="宋体" w:cs="宋体" w:eastAsia="宋体" w:hint="default"/>
                <w:sz w:val="18"/>
                <w:szCs w:val="18"/>
              </w:rPr>
            </w:pPr>
            <w:r>
              <w:rPr>
                <w:rFonts w:ascii="宋体" w:hAnsi="宋体" w:cs="宋体" w:eastAsia="宋体" w:hint="default"/>
                <w:sz w:val="18"/>
                <w:szCs w:val="18"/>
              </w:rPr>
              <w:t>单独进行减值测试，根据其未来现金流量现值低于其账面价 值的差额计提坏账准备</w:t>
            </w: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left"/>
        <w:rPr>
          <w:b w:val="0"/>
          <w:bCs w:val="0"/>
        </w:rPr>
      </w:pPr>
      <w:bookmarkStart w:name="（2）按信用风险特征组合计提坏账准备的应收款项" w:id="180"/>
      <w:bookmarkEnd w:id="180"/>
      <w:r>
        <w:rPr>
          <w:b w:val="0"/>
          <w:bCs w:val="0"/>
        </w:rPr>
      </w:r>
      <w:r>
        <w:rPr/>
        <w:t>（</w:t>
      </w:r>
      <w:r>
        <w:rPr>
          <w:rFonts w:ascii="Times New Roman" w:hAnsi="Times New Roman" w:cs="Times New Roman" w:eastAsia="Times New Roman" w:hint="default"/>
        </w:rPr>
        <w:t>2</w:t>
      </w:r>
      <w:r>
        <w:rPr/>
        <w:t>）按信用风险特征组合计提坏账准备的应收款项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合并范围内关联往来组合</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其他方法</w:t>
            </w:r>
          </w:p>
        </w:tc>
      </w:tr>
    </w:tbl>
    <w:p>
      <w:pPr>
        <w:spacing w:line="240" w:lineRule="auto" w:before="6"/>
        <w:rPr>
          <w:rFonts w:ascii="宋体" w:hAnsi="宋体" w:cs="宋体" w:eastAsia="宋体" w:hint="default"/>
          <w:b/>
          <w:bCs/>
          <w:sz w:val="6"/>
          <w:szCs w:val="6"/>
        </w:rPr>
      </w:pPr>
    </w:p>
    <w:p>
      <w:pPr>
        <w:pStyle w:val="BodyText"/>
        <w:spacing w:line="240" w:lineRule="auto" w:before="44"/>
        <w:ind w:right="0"/>
        <w:jc w:val="left"/>
      </w:pPr>
      <w:r>
        <w:rPr/>
        <w:t>组合中，采用账龄分析法计提坏账准备的：</w:t>
      </w:r>
    </w:p>
    <w:p>
      <w:pPr>
        <w:spacing w:line="240" w:lineRule="auto" w:before="12"/>
        <w:rPr>
          <w:rFonts w:ascii="宋体" w:hAnsi="宋体" w:cs="宋体" w:eastAsia="宋体" w:hint="default"/>
          <w:sz w:val="20"/>
          <w:szCs w:val="20"/>
        </w:rPr>
      </w:pPr>
    </w:p>
    <w:p>
      <w:pPr>
        <w:pStyle w:val="BodyText"/>
        <w:spacing w:line="240" w:lineRule="auto"/>
        <w:ind w:left="113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12"/>
          <w:szCs w:val="12"/>
        </w:rPr>
      </w:pPr>
    </w:p>
    <w:tbl>
      <w:tblPr>
        <w:tblW w:w="0" w:type="auto"/>
        <w:jc w:val="left"/>
        <w:tblInd w:w="114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82"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80"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r>
    </w:tbl>
    <w:p>
      <w:pPr>
        <w:spacing w:line="240" w:lineRule="auto" w:before="6"/>
        <w:rPr>
          <w:rFonts w:ascii="宋体" w:hAnsi="宋体" w:cs="宋体" w:eastAsia="宋体" w:hint="default"/>
          <w:sz w:val="6"/>
          <w:szCs w:val="6"/>
        </w:rPr>
      </w:pPr>
    </w:p>
    <w:p>
      <w:pPr>
        <w:pStyle w:val="BodyText"/>
        <w:spacing w:line="240" w:lineRule="auto" w:before="44"/>
        <w:ind w:right="0"/>
        <w:jc w:val="left"/>
      </w:pPr>
      <w:r>
        <w:rPr/>
        <w:t>组合中，采用余额百分比法计提坏账准备的：</w:t>
      </w:r>
    </w:p>
    <w:p>
      <w:pPr>
        <w:spacing w:line="240" w:lineRule="auto" w:before="11"/>
        <w:rPr>
          <w:rFonts w:ascii="宋体" w:hAnsi="宋体" w:cs="宋体" w:eastAsia="宋体" w:hint="default"/>
          <w:sz w:val="20"/>
          <w:szCs w:val="20"/>
        </w:rPr>
      </w:pPr>
    </w:p>
    <w:p>
      <w:pPr>
        <w:pStyle w:val="BodyText"/>
        <w:spacing w:line="489" w:lineRule="auto"/>
        <w:ind w:left="1133" w:right="75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w:t>
      </w:r>
    </w:p>
    <w:p>
      <w:pPr>
        <w:spacing w:after="0" w:line="489" w:lineRule="auto"/>
        <w:jc w:val="left"/>
        <w:sectPr>
          <w:pgSz w:w="11910" w:h="16840"/>
          <w:pgMar w:header="787" w:footer="640" w:top="1100" w:bottom="840" w:left="0" w:right="0"/>
        </w:sectPr>
      </w:pPr>
    </w:p>
    <w:p>
      <w:pPr>
        <w:spacing w:line="240" w:lineRule="auto" w:before="11"/>
        <w:rPr>
          <w:rFonts w:ascii="宋体" w:hAnsi="宋体" w:cs="宋体" w:eastAsia="宋体" w:hint="default"/>
          <w:sz w:val="28"/>
          <w:szCs w:val="28"/>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229"/>
              <w:jc w:val="right"/>
              <w:rPr>
                <w:rFonts w:ascii="宋体" w:hAnsi="宋体" w:cs="宋体" w:eastAsia="宋体" w:hint="default"/>
                <w:sz w:val="18"/>
                <w:szCs w:val="18"/>
              </w:rPr>
            </w:pPr>
            <w:r>
              <w:rPr>
                <w:rFonts w:ascii="宋体" w:hAnsi="宋体" w:cs="宋体" w:eastAsia="宋体" w:hint="default"/>
                <w:sz w:val="18"/>
                <w:szCs w:val="18"/>
              </w:rPr>
              <w:t>组合名称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70"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80"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175"/>
              <w:jc w:val="right"/>
              <w:rPr>
                <w:rFonts w:ascii="宋体" w:hAnsi="宋体" w:cs="宋体" w:eastAsia="宋体" w:hint="default"/>
                <w:sz w:val="18"/>
                <w:szCs w:val="18"/>
              </w:rPr>
            </w:pPr>
            <w:r>
              <w:rPr>
                <w:rFonts w:ascii="宋体" w:hAnsi="宋体" w:cs="宋体" w:eastAsia="宋体" w:hint="default"/>
                <w:sz w:val="18"/>
                <w:szCs w:val="18"/>
              </w:rPr>
              <w:t>合并范围内关联往来组合</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3）单项金额不重大但单独计提坏账准备的应收款项" w:id="181"/>
      <w:bookmarkEnd w:id="181"/>
      <w:r>
        <w:rPr>
          <w:b w:val="0"/>
          <w:bCs w:val="0"/>
        </w:rPr>
      </w:r>
      <w:r>
        <w:rPr/>
        <w:t>（</w:t>
      </w:r>
      <w:r>
        <w:rPr>
          <w:rFonts w:ascii="Times New Roman" w:hAnsi="Times New Roman" w:cs="Times New Roman" w:eastAsia="Times New Roman" w:hint="default"/>
        </w:rPr>
        <w:t>3</w:t>
      </w:r>
      <w:r>
        <w:rPr/>
        <w:t>）单项金额不重大但单独计提坏账准备的应收款项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4785"/>
        <w:gridCol w:w="4784"/>
      </w:tblGrid>
      <w:tr>
        <w:trPr>
          <w:trHeight w:val="1026"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69"/>
              <w:jc w:val="both"/>
              <w:rPr>
                <w:rFonts w:ascii="宋体" w:hAnsi="宋体" w:cs="宋体" w:eastAsia="宋体" w:hint="default"/>
                <w:sz w:val="18"/>
                <w:szCs w:val="18"/>
              </w:rPr>
            </w:pPr>
            <w:r>
              <w:rPr>
                <w:rFonts w:ascii="宋体" w:hAnsi="宋体" w:cs="宋体" w:eastAsia="宋体" w:hint="default"/>
                <w:sz w:val="18"/>
                <w:szCs w:val="18"/>
              </w:rPr>
              <w:t>应收款项的未来现金流量现值与以账龄为信用风险特征的应 收款项组合及合并范围内关联方往来的未来现金流量现值存 在显著差异</w:t>
            </w:r>
          </w:p>
        </w:tc>
      </w:tr>
      <w:tr>
        <w:trPr>
          <w:trHeight w:val="71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69"/>
              <w:jc w:val="left"/>
              <w:rPr>
                <w:rFonts w:ascii="宋体" w:hAnsi="宋体" w:cs="宋体" w:eastAsia="宋体" w:hint="default"/>
                <w:sz w:val="18"/>
                <w:szCs w:val="18"/>
              </w:rPr>
            </w:pPr>
            <w:r>
              <w:rPr>
                <w:rFonts w:ascii="宋体" w:hAnsi="宋体" w:cs="宋体" w:eastAsia="宋体" w:hint="default"/>
                <w:sz w:val="18"/>
                <w:szCs w:val="18"/>
              </w:rPr>
              <w:t>单独进行减值测试，根据其未来现金流量现值低于其账面价 值的差额计提坏账准备</w:t>
            </w:r>
          </w:p>
        </w:tc>
      </w:tr>
    </w:tbl>
    <w:p>
      <w:pPr>
        <w:spacing w:line="240" w:lineRule="auto" w:before="1"/>
        <w:rPr>
          <w:rFonts w:ascii="宋体" w:hAnsi="宋体" w:cs="宋体" w:eastAsia="宋体" w:hint="default"/>
          <w:b/>
          <w:bCs/>
          <w:sz w:val="25"/>
          <w:szCs w:val="25"/>
        </w:rPr>
      </w:pPr>
    </w:p>
    <w:p>
      <w:pPr>
        <w:pStyle w:val="Heading3"/>
        <w:spacing w:line="240" w:lineRule="auto" w:before="35"/>
        <w:ind w:right="0"/>
        <w:jc w:val="left"/>
        <w:rPr>
          <w:b w:val="0"/>
          <w:bCs w:val="0"/>
        </w:rPr>
      </w:pPr>
      <w:bookmarkStart w:name="12、存货" w:id="182"/>
      <w:bookmarkEnd w:id="182"/>
      <w:r>
        <w:rPr>
          <w:b w:val="0"/>
          <w:bCs w:val="0"/>
        </w:rPr>
      </w:r>
      <w:r>
        <w:rPr>
          <w:rFonts w:ascii="Times New Roman" w:hAnsi="Times New Roman" w:cs="Times New Roman" w:eastAsia="Times New Roman" w:hint="default"/>
        </w:rPr>
        <w:t>12</w:t>
      </w:r>
      <w:r>
        <w:rPr/>
        <w:t>、存货</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pStyle w:val="BodyText"/>
        <w:spacing w:line="516" w:lineRule="auto"/>
        <w:ind w:right="7692"/>
        <w:jc w:val="left"/>
      </w:pPr>
      <w:r>
        <w:rPr/>
        <w:t>公司是否需要遵守特殊行业的披露要求 否</w:t>
      </w:r>
    </w:p>
    <w:p>
      <w:pPr>
        <w:spacing w:line="240" w:lineRule="auto" w:before="12"/>
        <w:rPr>
          <w:rFonts w:ascii="宋体" w:hAnsi="宋体" w:cs="宋体" w:eastAsia="宋体" w:hint="default"/>
          <w:sz w:val="22"/>
          <w:szCs w:val="22"/>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）存货的分类</w:t>
      </w:r>
      <w:r>
        <w:rPr>
          <w:b w:val="0"/>
          <w:bCs w:val="0"/>
        </w:rPr>
      </w:r>
    </w:p>
    <w:p>
      <w:pPr>
        <w:spacing w:line="240" w:lineRule="auto" w:before="0"/>
        <w:rPr>
          <w:rFonts w:ascii="宋体" w:hAnsi="宋体" w:cs="宋体" w:eastAsia="宋体" w:hint="default"/>
          <w:b/>
          <w:bCs/>
          <w:sz w:val="22"/>
          <w:szCs w:val="22"/>
        </w:rPr>
      </w:pPr>
    </w:p>
    <w:p>
      <w:pPr>
        <w:spacing w:line="240" w:lineRule="auto" w:before="5"/>
        <w:rPr>
          <w:rFonts w:ascii="宋体" w:hAnsi="宋体" w:cs="宋体" w:eastAsia="宋体" w:hint="default"/>
          <w:b/>
          <w:bCs/>
          <w:sz w:val="16"/>
          <w:szCs w:val="16"/>
        </w:rPr>
      </w:pPr>
    </w:p>
    <w:p>
      <w:pPr>
        <w:pStyle w:val="BodyText"/>
        <w:spacing w:line="477" w:lineRule="auto"/>
        <w:ind w:right="0" w:firstLine="360"/>
        <w:jc w:val="left"/>
      </w:pPr>
      <w:r>
        <w:rPr>
          <w:spacing w:val="-2"/>
        </w:rPr>
        <w:t>存货包括在日常活动中持有以备出售的产成品或商品、处在生产过程中的在产品、在生产过程或提供劳务过程中耗用的</w:t>
      </w:r>
      <w:r>
        <w:rPr/>
        <w:t> 材料和物料等。</w:t>
      </w:r>
    </w:p>
    <w:p>
      <w:pPr>
        <w:spacing w:line="240" w:lineRule="auto" w:before="2"/>
        <w:rPr>
          <w:rFonts w:ascii="宋体" w:hAnsi="宋体" w:cs="宋体" w:eastAsia="宋体" w:hint="default"/>
          <w:sz w:val="25"/>
          <w:szCs w:val="25"/>
        </w:rPr>
      </w:pPr>
    </w:p>
    <w:p>
      <w:pPr>
        <w:pStyle w:val="Heading3"/>
        <w:spacing w:line="240" w:lineRule="auto"/>
        <w:ind w:left="1133" w:right="0"/>
        <w:jc w:val="left"/>
        <w:rPr>
          <w:b w:val="0"/>
          <w:bCs w:val="0"/>
        </w:rPr>
      </w:pPr>
      <w:r>
        <w:rPr/>
        <w:t>（</w:t>
      </w:r>
      <w:r>
        <w:rPr>
          <w:rFonts w:ascii="Times New Roman" w:hAnsi="Times New Roman" w:cs="Times New Roman" w:eastAsia="Times New Roman" w:hint="default"/>
        </w:rPr>
        <w:t>2</w:t>
      </w:r>
      <w:r>
        <w:rPr/>
        <w:t>）发出存货的计价方法</w:t>
      </w:r>
      <w:r>
        <w:rPr>
          <w:b w:val="0"/>
          <w:bCs w:val="0"/>
        </w:rPr>
      </w:r>
    </w:p>
    <w:p>
      <w:pPr>
        <w:spacing w:line="240" w:lineRule="auto" w:before="0"/>
        <w:rPr>
          <w:rFonts w:ascii="宋体" w:hAnsi="宋体" w:cs="宋体" w:eastAsia="宋体" w:hint="default"/>
          <w:b/>
          <w:bCs/>
          <w:sz w:val="22"/>
          <w:szCs w:val="22"/>
        </w:rPr>
      </w:pPr>
    </w:p>
    <w:p>
      <w:pPr>
        <w:spacing w:line="240" w:lineRule="auto" w:before="5"/>
        <w:rPr>
          <w:rFonts w:ascii="宋体" w:hAnsi="宋体" w:cs="宋体" w:eastAsia="宋体" w:hint="default"/>
          <w:b/>
          <w:bCs/>
          <w:sz w:val="16"/>
          <w:szCs w:val="16"/>
        </w:rPr>
      </w:pPr>
    </w:p>
    <w:p>
      <w:pPr>
        <w:pStyle w:val="BodyText"/>
        <w:spacing w:line="240" w:lineRule="auto"/>
        <w:ind w:left="1493" w:right="0"/>
        <w:jc w:val="left"/>
      </w:pPr>
      <w:r>
        <w:rPr/>
        <w:t>用于生产和销售的存货发出采用月末一次加权平均法计价，用于工程领用的存货发出采用先进先出法计价。</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0"/>
          <w:szCs w:val="20"/>
        </w:rPr>
      </w:pPr>
    </w:p>
    <w:p>
      <w:pPr>
        <w:pStyle w:val="Heading3"/>
        <w:spacing w:line="240" w:lineRule="auto"/>
        <w:ind w:left="1133" w:right="0"/>
        <w:jc w:val="left"/>
        <w:rPr>
          <w:b w:val="0"/>
          <w:bCs w:val="0"/>
        </w:rPr>
      </w:pPr>
      <w:r>
        <w:rPr/>
        <w:t>（</w:t>
      </w:r>
      <w:r>
        <w:rPr>
          <w:rFonts w:ascii="Times New Roman" w:hAnsi="Times New Roman" w:cs="Times New Roman" w:eastAsia="Times New Roman" w:hint="default"/>
        </w:rPr>
        <w:t>3</w:t>
      </w:r>
      <w:r>
        <w:rPr/>
        <w:t>）存货可变现净值的确定依据</w:t>
      </w:r>
      <w:r>
        <w:rPr>
          <w:b w:val="0"/>
          <w:bCs w:val="0"/>
        </w:rPr>
      </w:r>
    </w:p>
    <w:p>
      <w:pPr>
        <w:spacing w:line="240" w:lineRule="auto" w:before="0"/>
        <w:rPr>
          <w:rFonts w:ascii="宋体" w:hAnsi="宋体" w:cs="宋体" w:eastAsia="宋体" w:hint="default"/>
          <w:b/>
          <w:bCs/>
          <w:sz w:val="22"/>
          <w:szCs w:val="22"/>
        </w:rPr>
      </w:pPr>
    </w:p>
    <w:p>
      <w:pPr>
        <w:spacing w:line="240" w:lineRule="auto" w:before="4"/>
        <w:rPr>
          <w:rFonts w:ascii="宋体" w:hAnsi="宋体" w:cs="宋体" w:eastAsia="宋体" w:hint="default"/>
          <w:b/>
          <w:bCs/>
          <w:sz w:val="16"/>
          <w:szCs w:val="16"/>
        </w:rPr>
      </w:pPr>
    </w:p>
    <w:p>
      <w:pPr>
        <w:pStyle w:val="BodyText"/>
        <w:spacing w:line="477" w:lineRule="auto"/>
        <w:ind w:left="1133" w:right="0" w:firstLine="360"/>
        <w:jc w:val="left"/>
      </w:pPr>
      <w:r>
        <w:rPr>
          <w:spacing w:val="-2"/>
        </w:rPr>
        <w:t>资产负债表日，存货采用成本与可变现净值孰低计量，按照单个存货成本高于可变现净值的差额计提存货跌价准备。直</w:t>
      </w:r>
      <w:r>
        <w:rPr/>
        <w:t> 接用于出售的存货，在正常生产经营过程中以该存货的估计售价减去估计的销售费用和相关税费后的金额确定其可变现净 </w:t>
      </w:r>
      <w:r>
        <w:rPr>
          <w:spacing w:val="-2"/>
        </w:rPr>
        <w:t>值；需要经过加工的存货，在正常生产经营过程中以所生产的产成品的估计售价减去至完工时估计将要发生的成本、估计的</w:t>
      </w:r>
      <w:r>
        <w:rPr>
          <w:spacing w:val="-66"/>
        </w:rPr>
        <w:t> </w:t>
      </w:r>
      <w:r>
        <w:rPr>
          <w:spacing w:val="-66"/>
        </w:rPr>
      </w:r>
      <w:r>
        <w:rPr>
          <w:spacing w:val="-2"/>
        </w:rPr>
        <w:t>销售费用和相关税费后的金额确定其可变现净值；资产负债表日，同一项存货中一部分有合同价格约定、其他部分不存在合</w:t>
      </w:r>
      <w:r>
        <w:rPr>
          <w:spacing w:val="-66"/>
        </w:rPr>
        <w:t> </w:t>
      </w:r>
      <w:r>
        <w:rPr>
          <w:spacing w:val="-66"/>
        </w:rPr>
      </w:r>
      <w:r>
        <w:rPr/>
        <w:t>同价格的，分别确定其可变现净值，并与其对应的成本进行比较，分别确定存货跌价准备的计提或转回的金额。</w:t>
      </w:r>
    </w:p>
    <w:p>
      <w:pPr>
        <w:spacing w:line="240" w:lineRule="auto" w:before="2"/>
        <w:rPr>
          <w:rFonts w:ascii="宋体" w:hAnsi="宋体" w:cs="宋体" w:eastAsia="宋体" w:hint="default"/>
          <w:sz w:val="25"/>
          <w:szCs w:val="25"/>
        </w:rPr>
      </w:pPr>
    </w:p>
    <w:p>
      <w:pPr>
        <w:pStyle w:val="Heading3"/>
        <w:spacing w:line="240" w:lineRule="auto"/>
        <w:ind w:left="1133" w:right="0"/>
        <w:jc w:val="left"/>
        <w:rPr>
          <w:b w:val="0"/>
          <w:bCs w:val="0"/>
        </w:rPr>
      </w:pPr>
      <w:r>
        <w:rPr/>
        <w:t>（</w:t>
      </w:r>
      <w:r>
        <w:rPr>
          <w:rFonts w:ascii="Times New Roman" w:hAnsi="Times New Roman" w:cs="Times New Roman" w:eastAsia="Times New Roman" w:hint="default"/>
        </w:rPr>
        <w:t>4</w:t>
      </w:r>
      <w:r>
        <w:rPr/>
        <w:t>）存货的盘存制度</w:t>
      </w:r>
      <w:r>
        <w:rPr>
          <w:b w:val="0"/>
          <w:bCs w:val="0"/>
        </w:rPr>
      </w:r>
    </w:p>
    <w:p>
      <w:pPr>
        <w:spacing w:after="0" w:line="240" w:lineRule="auto"/>
        <w:jc w:val="left"/>
        <w:sectPr>
          <w:pgSz w:w="11910" w:h="16840"/>
          <w:pgMar w:header="787" w:footer="640" w:top="1100" w:bottom="840" w:left="0" w:right="0"/>
        </w:sectPr>
      </w:pPr>
    </w:p>
    <w:p>
      <w:pPr>
        <w:spacing w:line="240" w:lineRule="auto" w:before="11"/>
        <w:rPr>
          <w:rFonts w:ascii="宋体" w:hAnsi="宋体" w:cs="宋体" w:eastAsia="宋体" w:hint="default"/>
          <w:b/>
          <w:bCs/>
          <w:sz w:val="28"/>
          <w:szCs w:val="28"/>
        </w:rPr>
      </w:pPr>
    </w:p>
    <w:p>
      <w:pPr>
        <w:pStyle w:val="BodyText"/>
        <w:spacing w:line="240" w:lineRule="auto" w:before="44"/>
        <w:ind w:left="1494" w:right="0"/>
        <w:jc w:val="left"/>
      </w:pPr>
      <w:r>
        <w:rPr/>
        <w:t>存货的盘存制度为永续盘存制。</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0"/>
          <w:szCs w:val="20"/>
        </w:rPr>
      </w:pPr>
    </w:p>
    <w:p>
      <w:pPr>
        <w:pStyle w:val="Heading3"/>
        <w:spacing w:line="240" w:lineRule="auto"/>
        <w:ind w:left="1133" w:right="0"/>
        <w:jc w:val="left"/>
        <w:rPr>
          <w:b w:val="0"/>
          <w:bCs w:val="0"/>
        </w:rPr>
      </w:pPr>
      <w:r>
        <w:rPr/>
        <w:t>（</w:t>
      </w:r>
      <w:r>
        <w:rPr>
          <w:rFonts w:ascii="Times New Roman" w:hAnsi="Times New Roman" w:cs="Times New Roman" w:eastAsia="Times New Roman" w:hint="default"/>
        </w:rPr>
        <w:t>5</w:t>
      </w:r>
      <w:r>
        <w:rPr/>
        <w:t>）低值易耗品和包装物的摊销方法</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pStyle w:val="BodyText"/>
        <w:spacing w:line="516" w:lineRule="auto"/>
        <w:ind w:left="1568" w:right="8158"/>
        <w:jc w:val="left"/>
      </w:pPr>
      <w:r>
        <w:rPr/>
        <w:t>①</w:t>
      </w:r>
      <w:r>
        <w:rPr>
          <w:spacing w:val="-19"/>
        </w:rPr>
        <w:t> </w:t>
      </w:r>
      <w:r>
        <w:rPr/>
        <w:t>低值易耗品</w:t>
      </w:r>
      <w:r>
        <w:rPr/>
        <w:t> 按照一次转销法进行摊销。</w:t>
      </w:r>
    </w:p>
    <w:p>
      <w:pPr>
        <w:pStyle w:val="BodyText"/>
        <w:spacing w:line="516" w:lineRule="auto" w:before="66"/>
        <w:ind w:left="1568" w:right="8158"/>
        <w:jc w:val="left"/>
      </w:pPr>
      <w:r>
        <w:rPr/>
        <w:t>②包装物 按照一次转销法进行摊销。</w:t>
      </w:r>
    </w:p>
    <w:p>
      <w:pPr>
        <w:spacing w:line="240" w:lineRule="auto" w:before="11"/>
        <w:rPr>
          <w:rFonts w:ascii="宋体" w:hAnsi="宋体" w:cs="宋体" w:eastAsia="宋体" w:hint="default"/>
          <w:sz w:val="22"/>
          <w:szCs w:val="22"/>
        </w:rPr>
      </w:pPr>
    </w:p>
    <w:p>
      <w:pPr>
        <w:pStyle w:val="Heading3"/>
        <w:spacing w:line="240" w:lineRule="auto"/>
        <w:ind w:left="1133" w:right="0"/>
        <w:jc w:val="left"/>
        <w:rPr>
          <w:b w:val="0"/>
          <w:bCs w:val="0"/>
        </w:rPr>
      </w:pPr>
      <w:bookmarkStart w:name="13、持有待售资产" w:id="183"/>
      <w:bookmarkEnd w:id="183"/>
      <w:r>
        <w:rPr>
          <w:b w:val="0"/>
          <w:bCs w:val="0"/>
        </w:rPr>
      </w:r>
      <w:r>
        <w:rPr>
          <w:rFonts w:ascii="Times New Roman" w:hAnsi="Times New Roman" w:cs="Times New Roman" w:eastAsia="Times New Roman" w:hint="default"/>
        </w:rPr>
        <w:t>13</w:t>
      </w:r>
      <w:r>
        <w:rPr/>
        <w:t>、持有待售资产</w:t>
      </w:r>
      <w:r>
        <w:rPr>
          <w:b w:val="0"/>
          <w:bCs w:val="0"/>
        </w:rPr>
      </w:r>
    </w:p>
    <w:p>
      <w:pPr>
        <w:spacing w:line="240" w:lineRule="auto" w:before="0"/>
        <w:rPr>
          <w:rFonts w:ascii="宋体" w:hAnsi="宋体" w:cs="宋体" w:eastAsia="宋体" w:hint="default"/>
          <w:b/>
          <w:bCs/>
          <w:sz w:val="22"/>
          <w:szCs w:val="22"/>
        </w:rPr>
      </w:pPr>
    </w:p>
    <w:p>
      <w:pPr>
        <w:spacing w:line="240" w:lineRule="auto" w:before="5"/>
        <w:rPr>
          <w:rFonts w:ascii="宋体" w:hAnsi="宋体" w:cs="宋体" w:eastAsia="宋体" w:hint="default"/>
          <w:b/>
          <w:bCs/>
          <w:sz w:val="16"/>
          <w:szCs w:val="1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0"/>
          <w:szCs w:val="20"/>
        </w:rPr>
      </w:pPr>
    </w:p>
    <w:p>
      <w:pPr>
        <w:pStyle w:val="Heading3"/>
        <w:spacing w:line="240" w:lineRule="auto"/>
        <w:ind w:right="0"/>
        <w:jc w:val="left"/>
        <w:rPr>
          <w:b w:val="0"/>
          <w:bCs w:val="0"/>
        </w:rPr>
      </w:pPr>
      <w:bookmarkStart w:name="14、长期股权投资" w:id="184"/>
      <w:bookmarkEnd w:id="184"/>
      <w:r>
        <w:rPr>
          <w:b w:val="0"/>
          <w:bCs w:val="0"/>
        </w:rPr>
      </w:r>
      <w:r>
        <w:rPr>
          <w:rFonts w:ascii="Times New Roman" w:hAnsi="Times New Roman" w:cs="Times New Roman" w:eastAsia="Times New Roman" w:hint="default"/>
        </w:rPr>
        <w:t>14</w:t>
      </w:r>
      <w:r>
        <w:rPr/>
        <w:t>、长期股权投资</w:t>
      </w:r>
      <w:r>
        <w:rPr>
          <w:b w:val="0"/>
          <w:bCs w:val="0"/>
        </w:rPr>
      </w:r>
    </w:p>
    <w:p>
      <w:pPr>
        <w:spacing w:line="240" w:lineRule="auto" w:before="0"/>
        <w:rPr>
          <w:rFonts w:ascii="宋体" w:hAnsi="宋体" w:cs="宋体" w:eastAsia="宋体" w:hint="default"/>
          <w:b/>
          <w:bCs/>
          <w:sz w:val="22"/>
          <w:szCs w:val="22"/>
        </w:rPr>
      </w:pPr>
    </w:p>
    <w:p>
      <w:pPr>
        <w:pStyle w:val="Heading3"/>
        <w:spacing w:line="240" w:lineRule="auto" w:before="189"/>
        <w:ind w:right="0"/>
        <w:jc w:val="left"/>
        <w:rPr>
          <w:b w:val="0"/>
          <w:bCs w:val="0"/>
        </w:rPr>
      </w:pPr>
      <w:r>
        <w:rPr/>
        <w:t>（</w:t>
      </w:r>
      <w:r>
        <w:rPr>
          <w:rFonts w:ascii="Times New Roman" w:hAnsi="Times New Roman" w:cs="Times New Roman" w:eastAsia="Times New Roman" w:hint="default"/>
        </w:rPr>
        <w:t>1</w:t>
      </w:r>
      <w:r>
        <w:rPr/>
        <w:t>）共同控制、重要影响的判断</w:t>
      </w:r>
      <w:r>
        <w:rPr>
          <w:b w:val="0"/>
          <w:bCs w:val="0"/>
        </w:rPr>
      </w:r>
    </w:p>
    <w:p>
      <w:pPr>
        <w:spacing w:line="240" w:lineRule="auto" w:before="0"/>
        <w:rPr>
          <w:rFonts w:ascii="宋体" w:hAnsi="宋体" w:cs="宋体" w:eastAsia="宋体" w:hint="default"/>
          <w:b/>
          <w:bCs/>
          <w:sz w:val="22"/>
          <w:szCs w:val="22"/>
        </w:rPr>
      </w:pPr>
    </w:p>
    <w:p>
      <w:pPr>
        <w:spacing w:line="240" w:lineRule="auto" w:before="6"/>
        <w:rPr>
          <w:rFonts w:ascii="宋体" w:hAnsi="宋体" w:cs="宋体" w:eastAsia="宋体" w:hint="default"/>
          <w:b/>
          <w:bCs/>
          <w:sz w:val="16"/>
          <w:szCs w:val="16"/>
        </w:rPr>
      </w:pPr>
    </w:p>
    <w:p>
      <w:pPr>
        <w:pStyle w:val="BodyText"/>
        <w:spacing w:line="477" w:lineRule="auto"/>
        <w:ind w:right="1131" w:firstLine="362"/>
        <w:jc w:val="both"/>
      </w:pPr>
      <w:r>
        <w:rPr>
          <w:spacing w:val="-2"/>
        </w:rPr>
        <w:t>按照相关约定对某项安排所共有的控制，并且该安排的相关活动必须经过分享控制权的参与方一致同意后才能决策，认</w:t>
      </w:r>
      <w:r>
        <w:rPr/>
        <w:t> </w:t>
      </w:r>
      <w:r>
        <w:rPr>
          <w:spacing w:val="-2"/>
        </w:rPr>
        <w:t>定为共同控制。对被投资单位的财务和经营政策有参与决策的权力，但并不能够控制或者与其他方一起共同控制这些政策的</w:t>
      </w:r>
      <w:r>
        <w:rPr>
          <w:spacing w:val="-64"/>
        </w:rPr>
        <w:t> </w:t>
      </w:r>
      <w:r>
        <w:rPr>
          <w:spacing w:val="-64"/>
        </w:rPr>
      </w:r>
      <w:r>
        <w:rPr/>
        <w:t>制定，认定为重大影响。</w:t>
      </w:r>
    </w:p>
    <w:p>
      <w:pPr>
        <w:spacing w:line="240" w:lineRule="auto" w:before="0"/>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）投资成本的确定</w:t>
      </w:r>
      <w:r>
        <w:rPr>
          <w:b w:val="0"/>
          <w:bCs w:val="0"/>
        </w:rPr>
      </w:r>
    </w:p>
    <w:p>
      <w:pPr>
        <w:spacing w:line="240" w:lineRule="auto" w:before="0"/>
        <w:rPr>
          <w:rFonts w:ascii="宋体" w:hAnsi="宋体" w:cs="宋体" w:eastAsia="宋体" w:hint="default"/>
          <w:b/>
          <w:bCs/>
          <w:sz w:val="22"/>
          <w:szCs w:val="22"/>
        </w:rPr>
      </w:pPr>
    </w:p>
    <w:p>
      <w:pPr>
        <w:spacing w:line="240" w:lineRule="auto" w:before="5"/>
        <w:rPr>
          <w:rFonts w:ascii="宋体" w:hAnsi="宋体" w:cs="宋体" w:eastAsia="宋体" w:hint="default"/>
          <w:b/>
          <w:bCs/>
          <w:sz w:val="16"/>
          <w:szCs w:val="16"/>
        </w:rPr>
      </w:pPr>
    </w:p>
    <w:p>
      <w:pPr>
        <w:pStyle w:val="BodyText"/>
        <w:spacing w:line="477" w:lineRule="auto"/>
        <w:ind w:right="1030" w:firstLine="362"/>
        <w:jc w:val="left"/>
      </w:pPr>
      <w:r>
        <w:rPr/>
        <w:t>①同一控制下的企业合并形成的，合并方以支付现金、转让非现金资产、承担债务或发行权益性证券作为合并对价的， </w:t>
      </w:r>
      <w:r>
        <w:rPr>
          <w:spacing w:val="-2"/>
        </w:rPr>
        <w:t>在合并日按照取得被合并方所有者权益在最终控制方合并财务报表中的账面价值的份额作为其初始投资成本。长期股权投资</w:t>
      </w:r>
      <w:r>
        <w:rPr>
          <w:spacing w:val="-64"/>
        </w:rPr>
        <w:t> </w:t>
      </w:r>
      <w:r>
        <w:rPr>
          <w:spacing w:val="-64"/>
        </w:rPr>
      </w:r>
      <w:r>
        <w:rPr>
          <w:spacing w:val="-2"/>
        </w:rPr>
        <w:t>初始投资成本与支付的合并对价的账面价值或发行股份的面值总额之间的差额调整资本公积；资本公积不足冲减的，调整留</w:t>
      </w:r>
      <w:r>
        <w:rPr>
          <w:spacing w:val="-64"/>
        </w:rPr>
        <w:t> </w:t>
      </w:r>
      <w:r>
        <w:rPr>
          <w:spacing w:val="-64"/>
        </w:rPr>
      </w:r>
      <w:r>
        <w:rPr/>
        <w:t>存收益。</w:t>
      </w:r>
    </w:p>
    <w:p>
      <w:pPr>
        <w:pStyle w:val="BodyText"/>
        <w:spacing w:line="463" w:lineRule="auto" w:before="92"/>
        <w:ind w:right="1130" w:firstLine="360"/>
        <w:jc w:val="both"/>
      </w:pPr>
      <w:r>
        <w:rPr>
          <w:spacing w:val="-1"/>
        </w:rPr>
        <w:t>公司通过多次交易分步实现同一控制下企业合并形成的长期股权投资，判断是否属于</w:t>
      </w:r>
      <w:r>
        <w:rPr>
          <w:rFonts w:ascii="Times New Roman" w:hAnsi="Times New Roman" w:cs="Times New Roman" w:eastAsia="Times New Roman" w:hint="default"/>
          <w:spacing w:val="-1"/>
        </w:rPr>
        <w:t>“</w:t>
      </w:r>
      <w:r>
        <w:rPr>
          <w:spacing w:val="-1"/>
        </w:rPr>
        <w:t>一揽子交易</w:t>
      </w:r>
      <w:r>
        <w:rPr>
          <w:rFonts w:ascii="Times New Roman" w:hAnsi="Times New Roman" w:cs="Times New Roman" w:eastAsia="Times New Roman" w:hint="default"/>
          <w:spacing w:val="-1"/>
        </w:rPr>
        <w:t>”</w:t>
      </w:r>
      <w:r>
        <w:rPr>
          <w:spacing w:val="-1"/>
        </w:rPr>
        <w:t>。属于</w:t>
      </w:r>
      <w:r>
        <w:rPr>
          <w:rFonts w:ascii="Times New Roman" w:hAnsi="Times New Roman" w:cs="Times New Roman" w:eastAsia="Times New Roman" w:hint="default"/>
          <w:spacing w:val="-1"/>
        </w:rPr>
        <w:t>“</w:t>
      </w:r>
      <w:r>
        <w:rPr>
          <w:spacing w:val="-1"/>
        </w:rPr>
        <w:t>一揽子交易</w:t>
      </w:r>
      <w:r>
        <w:rPr>
          <w:rFonts w:ascii="Times New Roman" w:hAnsi="Times New Roman" w:cs="Times New Roman" w:eastAsia="Times New Roman" w:hint="default"/>
          <w:spacing w:val="-1"/>
        </w:rPr>
        <w:t>”</w:t>
      </w:r>
      <w:r>
        <w:rPr>
          <w:rFonts w:ascii="Times New Roman" w:hAnsi="Times New Roman" w:cs="Times New Roman" w:eastAsia="Times New Roman" w:hint="default"/>
          <w:w w:val="100"/>
        </w:rPr>
        <w:t> </w:t>
      </w:r>
      <w:r>
        <w:rPr>
          <w:spacing w:val="-2"/>
        </w:rPr>
        <w:t>的，把各项交易作为一项取得控制权的交易进行会计处理。不属于</w:t>
      </w:r>
      <w:r>
        <w:rPr>
          <w:rFonts w:ascii="Times New Roman" w:hAnsi="Times New Roman" w:cs="Times New Roman" w:eastAsia="Times New Roman" w:hint="default"/>
          <w:spacing w:val="-2"/>
        </w:rPr>
        <w:t>“</w:t>
      </w:r>
      <w:r>
        <w:rPr>
          <w:spacing w:val="-2"/>
        </w:rPr>
        <w:t>一揽子交易</w:t>
      </w:r>
      <w:r>
        <w:rPr>
          <w:rFonts w:ascii="Times New Roman" w:hAnsi="Times New Roman" w:cs="Times New Roman" w:eastAsia="Times New Roman" w:hint="default"/>
          <w:spacing w:val="-2"/>
        </w:rPr>
        <w:t>”</w:t>
      </w:r>
      <w:r>
        <w:rPr>
          <w:spacing w:val="-2"/>
        </w:rPr>
        <w:t>的，在合并日，根据合并后应享有被合并方</w:t>
      </w:r>
      <w:r>
        <w:rPr>
          <w:spacing w:val="-44"/>
        </w:rPr>
        <w:t> </w:t>
      </w:r>
      <w:r>
        <w:rPr>
          <w:spacing w:val="-44"/>
        </w:rPr>
      </w:r>
      <w:r>
        <w:rPr>
          <w:spacing w:val="-2"/>
        </w:rPr>
        <w:t>净资产在最终控制方合并财务报表中的账面价值的份额确定初始投资成本。合并日长期股权投资的初始投资成本，与达到合</w:t>
      </w:r>
      <w:r>
        <w:rPr>
          <w:spacing w:val="-64"/>
        </w:rPr>
        <w:t> </w:t>
      </w:r>
      <w:r>
        <w:rPr>
          <w:spacing w:val="-64"/>
        </w:rPr>
      </w:r>
      <w:r>
        <w:rPr>
          <w:spacing w:val="-2"/>
        </w:rPr>
        <w:t>并前的长期股权投资账面价值加上合并日进一步取得股份新支付对价的账面价值之和的差额，调整资本公积；资本公积不足</w:t>
      </w:r>
      <w:r>
        <w:rPr>
          <w:spacing w:val="-63"/>
        </w:rPr>
        <w:t> </w:t>
      </w:r>
      <w:r>
        <w:rPr>
          <w:spacing w:val="-63"/>
        </w:rPr>
      </w:r>
      <w:r>
        <w:rPr/>
        <w:t>冲减的，调整留存收益。</w:t>
      </w:r>
    </w:p>
    <w:p>
      <w:pPr>
        <w:spacing w:after="0" w:line="463" w:lineRule="auto"/>
        <w:jc w:val="both"/>
        <w:sectPr>
          <w:pgSz w:w="11910" w:h="16840"/>
          <w:pgMar w:header="787" w:footer="640" w:top="1100" w:bottom="840" w:left="0" w:right="0"/>
        </w:sectPr>
      </w:pPr>
    </w:p>
    <w:p>
      <w:pPr>
        <w:spacing w:line="240" w:lineRule="auto" w:before="11"/>
        <w:rPr>
          <w:rFonts w:ascii="宋体" w:hAnsi="宋体" w:cs="宋体" w:eastAsia="宋体" w:hint="default"/>
          <w:sz w:val="28"/>
          <w:szCs w:val="28"/>
        </w:rPr>
      </w:pPr>
    </w:p>
    <w:p>
      <w:pPr>
        <w:pStyle w:val="BodyText"/>
        <w:spacing w:line="516" w:lineRule="auto" w:before="44"/>
        <w:ind w:left="1493" w:right="0"/>
        <w:jc w:val="left"/>
      </w:pPr>
      <w:r>
        <w:rPr/>
        <w:t>②</w:t>
      </w:r>
      <w:r>
        <w:rPr>
          <w:spacing w:val="-18"/>
        </w:rPr>
        <w:t> </w:t>
      </w:r>
      <w:r>
        <w:rPr/>
        <w:t>非同一控制下的企业合并形成的，在购买日按照支付的合并对价的公允价值作为其初始投资成本。</w:t>
      </w:r>
      <w:r>
        <w:rPr/>
        <w:t> </w:t>
      </w:r>
      <w:r>
        <w:rPr>
          <w:spacing w:val="-2"/>
        </w:rPr>
        <w:t>公司通过多次交易分步实现非同一控制下企业合并形成的长期股权投资，区分个别财务报表和合并财务报表进行相关会</w:t>
      </w:r>
    </w:p>
    <w:p>
      <w:pPr>
        <w:pStyle w:val="BodyText"/>
        <w:spacing w:line="240" w:lineRule="auto" w:before="26"/>
        <w:ind w:left="1133" w:right="0"/>
        <w:jc w:val="left"/>
      </w:pPr>
      <w:r>
        <w:rPr/>
        <w:t>计处理：</w:t>
      </w:r>
    </w:p>
    <w:p>
      <w:pPr>
        <w:spacing w:line="240" w:lineRule="auto" w:before="11"/>
        <w:rPr>
          <w:rFonts w:ascii="宋体" w:hAnsi="宋体" w:cs="宋体" w:eastAsia="宋体" w:hint="default"/>
          <w:sz w:val="20"/>
          <w:szCs w:val="20"/>
        </w:rPr>
      </w:pPr>
    </w:p>
    <w:p>
      <w:pPr>
        <w:pStyle w:val="BodyText"/>
        <w:spacing w:line="451" w:lineRule="auto"/>
        <w:ind w:right="1191" w:firstLine="360"/>
        <w:jc w:val="left"/>
      </w:pPr>
      <w:r>
        <w:rPr>
          <w:rFonts w:ascii="Times New Roman" w:hAnsi="Times New Roman" w:cs="Times New Roman" w:eastAsia="Times New Roman" w:hint="default"/>
        </w:rPr>
        <w:t>A</w:t>
      </w:r>
      <w:r>
        <w:rPr/>
        <w:t>、</w:t>
      </w:r>
      <w:r>
        <w:rPr>
          <w:spacing w:val="-19"/>
        </w:rPr>
        <w:t> </w:t>
      </w:r>
      <w:r>
        <w:rPr/>
        <w:t>在个别财务报表中，按照原持有的股权投资的账面价值加上新增投资成本之和，作为改按成本法核算的初始投资</w:t>
      </w:r>
      <w:r>
        <w:rPr/>
        <w:t> 成本。</w:t>
      </w:r>
    </w:p>
    <w:p>
      <w:pPr>
        <w:pStyle w:val="BodyText"/>
        <w:spacing w:line="463" w:lineRule="auto" w:before="112"/>
        <w:ind w:left="1133" w:right="1131" w:firstLine="360"/>
        <w:jc w:val="both"/>
      </w:pPr>
      <w:r>
        <w:rPr>
          <w:rFonts w:ascii="Times New Roman" w:hAnsi="Times New Roman" w:cs="Times New Roman" w:eastAsia="Times New Roman" w:hint="default"/>
        </w:rPr>
        <w:t>B</w:t>
      </w:r>
      <w:r>
        <w:rPr/>
        <w:t>、在合并财务报表中，判断是否属于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的，把各项交易作为一项取得控制权的交易进 </w:t>
      </w:r>
      <w:r>
        <w:rPr>
          <w:spacing w:val="-2"/>
        </w:rPr>
        <w:t>行会计处理。不属于</w:t>
      </w:r>
      <w:r>
        <w:rPr>
          <w:rFonts w:ascii="Times New Roman" w:hAnsi="Times New Roman" w:cs="Times New Roman" w:eastAsia="Times New Roman" w:hint="default"/>
          <w:spacing w:val="-2"/>
        </w:rPr>
        <w:t>“</w:t>
      </w:r>
      <w:r>
        <w:rPr>
          <w:spacing w:val="-2"/>
        </w:rPr>
        <w:t>一揽子交易</w:t>
      </w:r>
      <w:r>
        <w:rPr>
          <w:rFonts w:ascii="Times New Roman" w:hAnsi="Times New Roman" w:cs="Times New Roman" w:eastAsia="Times New Roman" w:hint="default"/>
          <w:spacing w:val="-2"/>
        </w:rPr>
        <w:t>”</w:t>
      </w:r>
      <w:r>
        <w:rPr>
          <w:spacing w:val="-2"/>
        </w:rPr>
        <w:t>的，对于购买日之前持有的被购买方的股权，按照该股权在购买日的公允价值进行重新计</w:t>
      </w:r>
      <w:r>
        <w:rPr>
          <w:spacing w:val="-45"/>
        </w:rPr>
        <w:t> </w:t>
      </w:r>
      <w:r>
        <w:rPr>
          <w:spacing w:val="-45"/>
        </w:rPr>
      </w:r>
      <w:r>
        <w:rPr>
          <w:spacing w:val="-2"/>
        </w:rPr>
        <w:t>量，公允价值与其账面价值的差额计入当期投资收益；购买日之前持有的被购买方的股权涉及权益法核算下的其他综合收益</w:t>
      </w:r>
      <w:r>
        <w:rPr>
          <w:spacing w:val="-64"/>
        </w:rPr>
        <w:t> </w:t>
      </w:r>
      <w:r>
        <w:rPr>
          <w:spacing w:val="-64"/>
        </w:rPr>
      </w:r>
      <w:r>
        <w:rPr>
          <w:spacing w:val="-2"/>
        </w:rPr>
        <w:t>等的，与其相关的其他综合收益等转为购买日所属当期收益。但由于被投资方重新计量设定受益计划净负债或净资产变动而</w:t>
      </w:r>
      <w:r>
        <w:rPr>
          <w:spacing w:val="-64"/>
        </w:rPr>
        <w:t> </w:t>
      </w:r>
      <w:r>
        <w:rPr>
          <w:spacing w:val="-64"/>
        </w:rPr>
      </w:r>
      <w:r>
        <w:rPr/>
        <w:t>产生的其他综合收益除外。</w:t>
      </w:r>
    </w:p>
    <w:p>
      <w:pPr>
        <w:pStyle w:val="BodyText"/>
        <w:spacing w:line="463" w:lineRule="auto" w:before="103"/>
        <w:ind w:left="1133" w:right="0" w:firstLine="360"/>
        <w:jc w:val="left"/>
      </w:pPr>
      <w:r>
        <w:rPr>
          <w:spacing w:val="-2"/>
        </w:rPr>
        <w:t>③除企业合并形成以外的：以支付现金取得的，按照实际支付的购买价款作为其初始投资成本；以发行权益性证券取得</w:t>
      </w:r>
      <w:r>
        <w:rPr/>
        <w:t> </w:t>
      </w:r>
      <w:r>
        <w:rPr>
          <w:spacing w:val="-4"/>
        </w:rPr>
        <w:t>的，按照发行权益性证券的公允价值作为其初始投资成本；以债务重组方式取得的，按《企业会计准则第</w:t>
      </w:r>
      <w:r>
        <w:rPr>
          <w:rFonts w:ascii="Times New Roman" w:hAnsi="Times New Roman" w:cs="Times New Roman" w:eastAsia="Times New Roman" w:hint="default"/>
          <w:spacing w:val="-4"/>
        </w:rPr>
        <w:t>12</w:t>
      </w:r>
      <w:r>
        <w:rPr>
          <w:spacing w:val="-4"/>
        </w:rPr>
        <w:t>号</w:t>
      </w:r>
      <w:r>
        <w:rPr>
          <w:rFonts w:ascii="Times New Roman" w:hAnsi="Times New Roman" w:cs="Times New Roman" w:eastAsia="Times New Roman" w:hint="default"/>
          <w:spacing w:val="-4"/>
        </w:rPr>
        <w:t>——</w:t>
      </w:r>
      <w:r>
        <w:rPr>
          <w:spacing w:val="-4"/>
        </w:rPr>
        <w:t>债务重组》</w:t>
      </w:r>
      <w:r>
        <w:rPr>
          <w:spacing w:val="-41"/>
        </w:rPr>
        <w:t> </w:t>
      </w:r>
      <w:r>
        <w:rPr>
          <w:spacing w:val="-2"/>
        </w:rPr>
        <w:t>确定其初始投资成本；以非货币性资产交换取得的，按《企业会计准则第</w:t>
      </w:r>
      <w:r>
        <w:rPr>
          <w:rFonts w:ascii="Times New Roman" w:hAnsi="Times New Roman" w:cs="Times New Roman" w:eastAsia="Times New Roman" w:hint="default"/>
          <w:spacing w:val="-2"/>
        </w:rPr>
        <w:t>7</w:t>
      </w:r>
      <w:r>
        <w:rPr>
          <w:spacing w:val="-2"/>
        </w:rPr>
        <w:t>号</w:t>
      </w:r>
      <w:r>
        <w:rPr>
          <w:rFonts w:ascii="Times New Roman" w:hAnsi="Times New Roman" w:cs="Times New Roman" w:eastAsia="Times New Roman" w:hint="default"/>
          <w:spacing w:val="-2"/>
        </w:rPr>
        <w:t>——</w:t>
      </w:r>
      <w:r>
        <w:rPr>
          <w:spacing w:val="-2"/>
        </w:rPr>
        <w:t>非货币性资产交换》确定其初始投资成本。</w:t>
      </w:r>
    </w:p>
    <w:p>
      <w:pPr>
        <w:spacing w:line="240" w:lineRule="auto" w:before="7"/>
        <w:rPr>
          <w:rFonts w:ascii="宋体" w:hAnsi="宋体" w:cs="宋体" w:eastAsia="宋体" w:hint="default"/>
          <w:sz w:val="23"/>
          <w:szCs w:val="23"/>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）后续计量及损益确认方法</w:t>
      </w:r>
      <w:r>
        <w:rPr>
          <w:b w:val="0"/>
          <w:bCs w:val="0"/>
        </w:rPr>
      </w:r>
    </w:p>
    <w:p>
      <w:pPr>
        <w:spacing w:line="240" w:lineRule="auto" w:before="0"/>
        <w:rPr>
          <w:rFonts w:ascii="宋体" w:hAnsi="宋体" w:cs="宋体" w:eastAsia="宋体" w:hint="default"/>
          <w:b/>
          <w:bCs/>
          <w:sz w:val="22"/>
          <w:szCs w:val="22"/>
        </w:rPr>
      </w:pPr>
    </w:p>
    <w:p>
      <w:pPr>
        <w:spacing w:line="240" w:lineRule="auto" w:before="6"/>
        <w:rPr>
          <w:rFonts w:ascii="宋体" w:hAnsi="宋体" w:cs="宋体" w:eastAsia="宋体" w:hint="default"/>
          <w:b/>
          <w:bCs/>
          <w:sz w:val="16"/>
          <w:szCs w:val="16"/>
        </w:rPr>
      </w:pPr>
    </w:p>
    <w:p>
      <w:pPr>
        <w:pStyle w:val="BodyText"/>
        <w:spacing w:line="240" w:lineRule="auto"/>
        <w:ind w:left="1351" w:right="0"/>
        <w:jc w:val="left"/>
      </w:pPr>
      <w:r>
        <w:rPr/>
        <w:t>对被投资单位实施控制的长期股权投资采用成本法核算；对联营企业和合营企业的长期股权投资，采用权益法核算。</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0"/>
          <w:szCs w:val="20"/>
        </w:rPr>
      </w:pPr>
    </w:p>
    <w:p>
      <w:pPr>
        <w:pStyle w:val="Heading3"/>
        <w:spacing w:line="240" w:lineRule="auto"/>
        <w:ind w:right="0"/>
        <w:jc w:val="left"/>
        <w:rPr>
          <w:b w:val="0"/>
          <w:bCs w:val="0"/>
        </w:rPr>
      </w:pPr>
      <w:bookmarkStart w:name="15、投资性房地产" w:id="185"/>
      <w:bookmarkEnd w:id="185"/>
      <w:r>
        <w:rPr>
          <w:b w:val="0"/>
          <w:bCs w:val="0"/>
        </w:rPr>
      </w:r>
      <w:r>
        <w:rPr>
          <w:rFonts w:ascii="Times New Roman" w:hAnsi="Times New Roman" w:cs="Times New Roman" w:eastAsia="Times New Roman" w:hint="default"/>
        </w:rPr>
        <w:t>15</w:t>
      </w:r>
      <w:r>
        <w:rPr/>
        <w:t>、投资性房地产</w:t>
      </w:r>
      <w:r>
        <w:rPr>
          <w:b w:val="0"/>
          <w:bCs w:val="0"/>
        </w:rPr>
      </w:r>
    </w:p>
    <w:p>
      <w:pPr>
        <w:spacing w:line="240" w:lineRule="auto" w:before="0"/>
        <w:rPr>
          <w:rFonts w:ascii="宋体" w:hAnsi="宋体" w:cs="宋体" w:eastAsia="宋体" w:hint="default"/>
          <w:b/>
          <w:bCs/>
          <w:sz w:val="22"/>
          <w:szCs w:val="22"/>
        </w:rPr>
      </w:pPr>
    </w:p>
    <w:p>
      <w:pPr>
        <w:spacing w:line="240" w:lineRule="auto" w:before="5"/>
        <w:rPr>
          <w:rFonts w:ascii="宋体" w:hAnsi="宋体" w:cs="宋体" w:eastAsia="宋体" w:hint="default"/>
          <w:b/>
          <w:bCs/>
          <w:sz w:val="16"/>
          <w:szCs w:val="16"/>
        </w:rPr>
      </w:pPr>
    </w:p>
    <w:p>
      <w:pPr>
        <w:pStyle w:val="BodyText"/>
        <w:spacing w:line="518" w:lineRule="auto"/>
        <w:ind w:right="8952"/>
        <w:jc w:val="left"/>
      </w:pPr>
      <w:r>
        <w:rPr/>
        <w:t>投资性房地产计量模式 成本法计量 折旧或摊销方法</w:t>
      </w:r>
    </w:p>
    <w:p>
      <w:pPr>
        <w:pStyle w:val="BodyText"/>
        <w:spacing w:line="240" w:lineRule="auto" w:before="62"/>
        <w:ind w:right="0"/>
        <w:jc w:val="left"/>
      </w:pPr>
      <w:r>
        <w:rPr/>
        <w:t>（</w:t>
      </w:r>
      <w:r>
        <w:rPr>
          <w:rFonts w:ascii="宋体" w:hAnsi="宋体" w:cs="宋体" w:eastAsia="宋体" w:hint="default"/>
        </w:rPr>
        <w:t>1</w:t>
      </w:r>
      <w:r>
        <w:rPr/>
        <w:t>）投资性房地产包括已出租的土地使用权、持有并准备增值后转让的土地使用权和已出租的建筑物。</w:t>
      </w:r>
    </w:p>
    <w:p>
      <w:pPr>
        <w:spacing w:line="240" w:lineRule="auto" w:before="10"/>
        <w:rPr>
          <w:rFonts w:ascii="宋体" w:hAnsi="宋体" w:cs="宋体" w:eastAsia="宋体" w:hint="default"/>
          <w:sz w:val="17"/>
          <w:szCs w:val="17"/>
        </w:rPr>
      </w:pPr>
    </w:p>
    <w:p>
      <w:pPr>
        <w:pStyle w:val="BodyText"/>
        <w:spacing w:line="477" w:lineRule="auto"/>
        <w:ind w:right="1122"/>
        <w:jc w:val="left"/>
      </w:pPr>
      <w:r>
        <w:rPr/>
        <w:t>（</w:t>
      </w:r>
      <w:r>
        <w:rPr>
          <w:rFonts w:ascii="宋体" w:hAnsi="宋体" w:cs="宋体" w:eastAsia="宋体" w:hint="default"/>
        </w:rPr>
        <w:t>2</w:t>
      </w:r>
      <w:r>
        <w:rPr/>
        <w:t>）投资性房地产按照成本进行初始计量，采用成本模式进行后续计量，并采用与固定资产和无形资产相同的方法计提折</w:t>
      </w:r>
      <w:r>
        <w:rPr>
          <w:spacing w:val="-82"/>
        </w:rPr>
        <w:t> </w:t>
      </w:r>
      <w:r>
        <w:rPr>
          <w:spacing w:val="-82"/>
        </w:rPr>
      </w:r>
      <w:r>
        <w:rPr/>
        <w:t>旧或进行摊销。</w:t>
      </w:r>
    </w:p>
    <w:p>
      <w:pPr>
        <w:spacing w:after="0" w:line="477" w:lineRule="auto"/>
        <w:jc w:val="left"/>
        <w:sectPr>
          <w:pgSz w:w="11910" w:h="16840"/>
          <w:pgMar w:header="787" w:footer="640" w:top="1100" w:bottom="840" w:left="0" w:right="0"/>
        </w:sectPr>
      </w:pPr>
    </w:p>
    <w:p>
      <w:pPr>
        <w:spacing w:line="240" w:lineRule="auto" w:before="7"/>
        <w:rPr>
          <w:rFonts w:ascii="宋体" w:hAnsi="宋体" w:cs="宋体" w:eastAsia="宋体" w:hint="default"/>
          <w:sz w:val="27"/>
          <w:szCs w:val="27"/>
        </w:rPr>
      </w:pPr>
    </w:p>
    <w:p>
      <w:pPr>
        <w:pStyle w:val="Heading3"/>
        <w:spacing w:line="240" w:lineRule="auto" w:before="35"/>
        <w:ind w:right="0"/>
        <w:jc w:val="left"/>
        <w:rPr>
          <w:b w:val="0"/>
          <w:bCs w:val="0"/>
        </w:rPr>
      </w:pPr>
      <w:bookmarkStart w:name="16、固定资产" w:id="186"/>
      <w:bookmarkEnd w:id="186"/>
      <w:r>
        <w:rPr>
          <w:b w:val="0"/>
          <w:bCs w:val="0"/>
        </w:rPr>
      </w:r>
      <w:r>
        <w:rPr>
          <w:rFonts w:ascii="Times New Roman" w:hAnsi="Times New Roman" w:cs="Times New Roman" w:eastAsia="Times New Roman" w:hint="default"/>
        </w:rPr>
        <w:t>16</w:t>
      </w:r>
      <w:r>
        <w:rPr/>
        <w:t>、固定资产</w:t>
      </w:r>
      <w:r>
        <w:rPr>
          <w:b w:val="0"/>
          <w:bCs w:val="0"/>
        </w:rPr>
      </w:r>
    </w:p>
    <w:p>
      <w:pPr>
        <w:spacing w:line="240" w:lineRule="auto" w:before="0"/>
        <w:rPr>
          <w:rFonts w:ascii="宋体" w:hAnsi="宋体" w:cs="宋体" w:eastAsia="宋体" w:hint="default"/>
          <w:b/>
          <w:bCs/>
          <w:sz w:val="22"/>
          <w:szCs w:val="22"/>
        </w:rPr>
      </w:pPr>
    </w:p>
    <w:p>
      <w:pPr>
        <w:pStyle w:val="Heading3"/>
        <w:spacing w:line="240" w:lineRule="auto" w:before="189"/>
        <w:ind w:right="0"/>
        <w:jc w:val="left"/>
        <w:rPr>
          <w:b w:val="0"/>
          <w:bCs w:val="0"/>
        </w:rPr>
      </w:pPr>
      <w:bookmarkStart w:name="（1）确认条件" w:id="187"/>
      <w:bookmarkEnd w:id="187"/>
      <w:r>
        <w:rPr>
          <w:b w:val="0"/>
          <w:bCs w:val="0"/>
        </w:rPr>
      </w:r>
      <w:r>
        <w:rPr/>
        <w:t>（</w:t>
      </w:r>
      <w:r>
        <w:rPr>
          <w:rFonts w:ascii="Times New Roman" w:hAnsi="Times New Roman" w:cs="Times New Roman" w:eastAsia="Times New Roman" w:hint="default"/>
        </w:rPr>
        <w:t>1</w:t>
      </w:r>
      <w:r>
        <w:rPr/>
        <w:t>）确认条件</w:t>
      </w:r>
      <w:r>
        <w:rPr>
          <w:b w:val="0"/>
          <w:bCs w:val="0"/>
        </w:rPr>
      </w:r>
    </w:p>
    <w:p>
      <w:pPr>
        <w:spacing w:line="240" w:lineRule="auto" w:before="0"/>
        <w:rPr>
          <w:rFonts w:ascii="宋体" w:hAnsi="宋体" w:cs="宋体" w:eastAsia="宋体" w:hint="default"/>
          <w:b/>
          <w:bCs/>
          <w:sz w:val="22"/>
          <w:szCs w:val="22"/>
        </w:rPr>
      </w:pPr>
    </w:p>
    <w:p>
      <w:pPr>
        <w:spacing w:line="240" w:lineRule="auto" w:before="6"/>
        <w:rPr>
          <w:rFonts w:ascii="宋体" w:hAnsi="宋体" w:cs="宋体" w:eastAsia="宋体" w:hint="default"/>
          <w:b/>
          <w:bCs/>
          <w:sz w:val="16"/>
          <w:szCs w:val="16"/>
        </w:rPr>
      </w:pPr>
    </w:p>
    <w:p>
      <w:pPr>
        <w:pStyle w:val="BodyText"/>
        <w:spacing w:line="477" w:lineRule="auto"/>
        <w:ind w:right="0"/>
        <w:jc w:val="left"/>
      </w:pPr>
      <w:r>
        <w:rPr>
          <w:spacing w:val="-2"/>
        </w:rPr>
        <w:t>固定资产是指为生产商品、提供劳务、出租或经营管理而持有的，使用年限超过一个会计年度的有形资产。固定资产在同时</w:t>
      </w:r>
      <w:r>
        <w:rPr>
          <w:spacing w:val="-66"/>
        </w:rPr>
        <w:t> </w:t>
      </w:r>
      <w:r>
        <w:rPr>
          <w:spacing w:val="-66"/>
        </w:rPr>
      </w:r>
      <w:r>
        <w:rPr/>
        <w:t>满足经济利益很可能流入、成本能够可靠计量时予以确认。</w:t>
      </w:r>
    </w:p>
    <w:p>
      <w:pPr>
        <w:spacing w:line="240" w:lineRule="auto" w:before="0"/>
        <w:rPr>
          <w:rFonts w:ascii="宋体" w:hAnsi="宋体" w:cs="宋体" w:eastAsia="宋体" w:hint="default"/>
          <w:sz w:val="25"/>
          <w:szCs w:val="25"/>
        </w:rPr>
      </w:pPr>
    </w:p>
    <w:p>
      <w:pPr>
        <w:pStyle w:val="Heading3"/>
        <w:spacing w:line="240" w:lineRule="auto"/>
        <w:ind w:right="0"/>
        <w:jc w:val="left"/>
        <w:rPr>
          <w:b w:val="0"/>
          <w:bCs w:val="0"/>
        </w:rPr>
      </w:pPr>
      <w:bookmarkStart w:name="（2）折旧方法" w:id="188"/>
      <w:bookmarkEnd w:id="188"/>
      <w:r>
        <w:rPr>
          <w:b w:val="0"/>
          <w:bCs w:val="0"/>
        </w:rPr>
      </w:r>
      <w:r>
        <w:rPr/>
        <w:t>（</w:t>
      </w:r>
      <w:r>
        <w:rPr>
          <w:rFonts w:ascii="Times New Roman" w:hAnsi="Times New Roman" w:cs="Times New Roman" w:eastAsia="Times New Roman" w:hint="default"/>
        </w:rPr>
        <w:t>2</w:t>
      </w:r>
      <w:r>
        <w:rPr/>
        <w:t>）折旧方法</w:t>
      </w:r>
      <w:r>
        <w:rPr>
          <w:b w:val="0"/>
          <w:bCs w:val="0"/>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1"/>
          <w:szCs w:val="11"/>
        </w:rPr>
      </w:pPr>
    </w:p>
    <w:tbl>
      <w:tblPr>
        <w:tblW w:w="0" w:type="auto"/>
        <w:jc w:val="left"/>
        <w:tblInd w:w="112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2.375-4.75</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施工设备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19.00</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研发及生产检测设备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19.00</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19.00</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19.00</w:t>
            </w:r>
          </w:p>
        </w:tc>
      </w:tr>
    </w:tbl>
    <w:p>
      <w:pPr>
        <w:spacing w:line="240" w:lineRule="auto" w:before="1"/>
        <w:rPr>
          <w:rFonts w:ascii="宋体" w:hAnsi="宋体" w:cs="宋体" w:eastAsia="宋体" w:hint="default"/>
          <w:b/>
          <w:bCs/>
          <w:sz w:val="25"/>
          <w:szCs w:val="25"/>
        </w:rPr>
      </w:pPr>
    </w:p>
    <w:p>
      <w:pPr>
        <w:pStyle w:val="Heading3"/>
        <w:spacing w:line="240" w:lineRule="auto" w:before="35"/>
        <w:ind w:right="0"/>
        <w:jc w:val="left"/>
        <w:rPr>
          <w:b w:val="0"/>
          <w:bCs w:val="0"/>
        </w:rPr>
      </w:pPr>
      <w:bookmarkStart w:name="（3）融资租入固定资产的认定依据、计价和折旧方法" w:id="189"/>
      <w:bookmarkEnd w:id="189"/>
      <w:r>
        <w:rPr>
          <w:b w:val="0"/>
          <w:bCs w:val="0"/>
        </w:rPr>
      </w:r>
      <w:r>
        <w:rPr/>
        <w:t>（</w:t>
      </w:r>
      <w:r>
        <w:rPr>
          <w:rFonts w:ascii="Times New Roman" w:hAnsi="Times New Roman" w:cs="Times New Roman" w:eastAsia="Times New Roman" w:hint="default"/>
        </w:rPr>
        <w:t>3</w:t>
      </w:r>
      <w:r>
        <w:rPr/>
        <w:t>）融资租入固定资产的认定依据、计价和折旧方法</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0"/>
          <w:szCs w:val="20"/>
        </w:rPr>
      </w:pPr>
    </w:p>
    <w:p>
      <w:pPr>
        <w:pStyle w:val="Heading3"/>
        <w:spacing w:line="240" w:lineRule="auto"/>
        <w:ind w:right="0"/>
        <w:jc w:val="left"/>
        <w:rPr>
          <w:b w:val="0"/>
          <w:bCs w:val="0"/>
        </w:rPr>
      </w:pPr>
      <w:bookmarkStart w:name="17、在建工程" w:id="190"/>
      <w:bookmarkEnd w:id="190"/>
      <w:r>
        <w:rPr>
          <w:b w:val="0"/>
          <w:bCs w:val="0"/>
        </w:rPr>
      </w:r>
      <w:r>
        <w:rPr>
          <w:rFonts w:ascii="Times New Roman" w:hAnsi="Times New Roman" w:cs="Times New Roman" w:eastAsia="Times New Roman" w:hint="default"/>
        </w:rPr>
        <w:t>17</w:t>
      </w:r>
      <w:r>
        <w:rPr/>
        <w:t>、在建工程</w:t>
      </w:r>
      <w:r>
        <w:rPr>
          <w:b w:val="0"/>
          <w:bCs w:val="0"/>
        </w:rPr>
      </w:r>
    </w:p>
    <w:p>
      <w:pPr>
        <w:spacing w:line="240" w:lineRule="auto" w:before="0"/>
        <w:rPr>
          <w:rFonts w:ascii="宋体" w:hAnsi="宋体" w:cs="宋体" w:eastAsia="宋体" w:hint="default"/>
          <w:b/>
          <w:bCs/>
          <w:sz w:val="22"/>
          <w:szCs w:val="22"/>
        </w:rPr>
      </w:pPr>
    </w:p>
    <w:p>
      <w:pPr>
        <w:spacing w:line="240" w:lineRule="auto" w:before="5"/>
        <w:rPr>
          <w:rFonts w:ascii="宋体" w:hAnsi="宋体" w:cs="宋体" w:eastAsia="宋体" w:hint="default"/>
          <w:b/>
          <w:bCs/>
          <w:sz w:val="16"/>
          <w:szCs w:val="16"/>
        </w:rPr>
      </w:pPr>
    </w:p>
    <w:p>
      <w:pPr>
        <w:pStyle w:val="BodyText"/>
        <w:spacing w:line="518" w:lineRule="auto"/>
        <w:ind w:right="7692"/>
        <w:jc w:val="left"/>
      </w:pPr>
      <w:r>
        <w:rPr/>
        <w:t>公司是否需要遵守特殊行业的披露要求 否</w:t>
      </w:r>
    </w:p>
    <w:p>
      <w:pPr>
        <w:pStyle w:val="BodyText"/>
        <w:spacing w:line="451" w:lineRule="auto" w:before="62"/>
        <w:ind w:right="1122"/>
        <w:jc w:val="left"/>
      </w:pPr>
      <w:r>
        <w:rPr/>
        <w:t>（</w:t>
      </w:r>
      <w:r>
        <w:rPr>
          <w:rFonts w:ascii="Times New Roman" w:hAnsi="Times New Roman" w:cs="Times New Roman" w:eastAsia="Times New Roman" w:hint="default"/>
        </w:rPr>
        <w:t>1</w:t>
      </w:r>
      <w:r>
        <w:rPr/>
        <w:t>）在建工程同时满足经济利益很可能流入、成本能够可靠计量则予以确认。在建工程按建造该项资产达到预定可使用状 态前所发生的实际成本计量。</w:t>
      </w:r>
    </w:p>
    <w:p>
      <w:pPr>
        <w:pStyle w:val="BodyText"/>
        <w:spacing w:line="451" w:lineRule="auto" w:before="112"/>
        <w:ind w:left="1133" w:right="1123"/>
        <w:jc w:val="left"/>
      </w:pPr>
      <w:r>
        <w:rPr/>
        <w:t>（</w:t>
      </w:r>
      <w:r>
        <w:rPr>
          <w:rFonts w:ascii="Times New Roman" w:hAnsi="Times New Roman" w:cs="Times New Roman" w:eastAsia="Times New Roman" w:hint="default"/>
        </w:rPr>
        <w:t>2</w:t>
      </w:r>
      <w:r>
        <w:rPr/>
        <w:t>）在建工程达到预定可使用状态时，按工程实际成本转入固定资产。已达到预定可使用状态但尚未办理竣工决算的，先 按估计价值转入固定资产，待办理竣工决算后再按实际成本调整原暂估价值，但不再调整原已计提的折旧。</w:t>
      </w:r>
    </w:p>
    <w:p>
      <w:pPr>
        <w:spacing w:line="240" w:lineRule="auto" w:before="9"/>
        <w:rPr>
          <w:rFonts w:ascii="宋体" w:hAnsi="宋体" w:cs="宋体" w:eastAsia="宋体" w:hint="default"/>
          <w:sz w:val="20"/>
          <w:szCs w:val="20"/>
        </w:rPr>
      </w:pPr>
    </w:p>
    <w:p>
      <w:pPr>
        <w:pStyle w:val="Heading3"/>
        <w:spacing w:line="240" w:lineRule="auto"/>
        <w:ind w:left="1133" w:right="0"/>
        <w:jc w:val="left"/>
        <w:rPr>
          <w:b w:val="0"/>
          <w:bCs w:val="0"/>
        </w:rPr>
      </w:pPr>
      <w:bookmarkStart w:name="18、借款费用" w:id="191"/>
      <w:bookmarkEnd w:id="191"/>
      <w:r>
        <w:rPr>
          <w:b w:val="0"/>
          <w:bCs w:val="0"/>
        </w:rPr>
      </w:r>
      <w:r>
        <w:rPr>
          <w:rFonts w:ascii="Times New Roman" w:hAnsi="Times New Roman" w:cs="Times New Roman" w:eastAsia="Times New Roman" w:hint="default"/>
        </w:rPr>
        <w:t>18</w:t>
      </w:r>
      <w:r>
        <w:rPr/>
        <w:t>、借款费用</w:t>
      </w:r>
      <w:r>
        <w:rPr>
          <w:b w:val="0"/>
          <w:bCs w:val="0"/>
        </w:rPr>
      </w:r>
    </w:p>
    <w:p>
      <w:pPr>
        <w:spacing w:line="240" w:lineRule="auto" w:before="7"/>
        <w:rPr>
          <w:rFonts w:ascii="宋体" w:hAnsi="宋体" w:cs="宋体" w:eastAsia="宋体" w:hint="default"/>
          <w:b/>
          <w:bCs/>
          <w:sz w:val="30"/>
          <w:szCs w:val="30"/>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）借款费用资本化的确认原则</w:t>
      </w:r>
      <w:r>
        <w:rPr>
          <w:b w:val="0"/>
          <w:bCs w:val="0"/>
        </w:rPr>
      </w:r>
    </w:p>
    <w:p>
      <w:pPr>
        <w:spacing w:line="240" w:lineRule="auto" w:before="0"/>
        <w:rPr>
          <w:rFonts w:ascii="宋体" w:hAnsi="宋体" w:cs="宋体" w:eastAsia="宋体" w:hint="default"/>
          <w:b/>
          <w:bCs/>
          <w:sz w:val="22"/>
          <w:szCs w:val="22"/>
        </w:rPr>
      </w:pPr>
    </w:p>
    <w:p>
      <w:pPr>
        <w:spacing w:line="240" w:lineRule="auto" w:before="5"/>
        <w:rPr>
          <w:rFonts w:ascii="宋体" w:hAnsi="宋体" w:cs="宋体" w:eastAsia="宋体" w:hint="default"/>
          <w:b/>
          <w:bCs/>
          <w:sz w:val="16"/>
          <w:szCs w:val="16"/>
        </w:rPr>
      </w:pPr>
    </w:p>
    <w:p>
      <w:pPr>
        <w:pStyle w:val="BodyText"/>
        <w:spacing w:line="240" w:lineRule="auto"/>
        <w:ind w:left="1494" w:right="0"/>
        <w:jc w:val="left"/>
      </w:pPr>
      <w:r>
        <w:rPr/>
        <w:t>公司发生的借款费用，可直接归属于符合资本化条件的资产的购建或者生产的，予以资本化，计入相关资产成本；其他</w:t>
      </w:r>
    </w:p>
    <w:p>
      <w:pPr>
        <w:spacing w:after="0" w:line="240" w:lineRule="auto"/>
        <w:jc w:val="left"/>
        <w:sectPr>
          <w:pgSz w:w="11910" w:h="16840"/>
          <w:pgMar w:header="787" w:footer="640" w:top="1100" w:bottom="840" w:left="0" w:right="0"/>
        </w:sectPr>
      </w:pPr>
    </w:p>
    <w:p>
      <w:pPr>
        <w:spacing w:line="240" w:lineRule="auto" w:before="11"/>
        <w:rPr>
          <w:rFonts w:ascii="宋体" w:hAnsi="宋体" w:cs="宋体" w:eastAsia="宋体" w:hint="default"/>
          <w:sz w:val="28"/>
          <w:szCs w:val="28"/>
        </w:rPr>
      </w:pPr>
    </w:p>
    <w:p>
      <w:pPr>
        <w:pStyle w:val="BodyText"/>
        <w:spacing w:line="240" w:lineRule="auto" w:before="44"/>
        <w:ind w:right="0"/>
        <w:jc w:val="left"/>
      </w:pPr>
      <w:r>
        <w:rPr/>
        <w:t>借款费用，在发生时确认为费用，计入当期损益。</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0"/>
          <w:szCs w:val="20"/>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）借款费用资本化期间</w:t>
      </w:r>
      <w:r>
        <w:rPr>
          <w:b w:val="0"/>
          <w:bCs w:val="0"/>
        </w:rPr>
      </w:r>
    </w:p>
    <w:p>
      <w:pPr>
        <w:spacing w:line="240" w:lineRule="auto" w:before="0"/>
        <w:rPr>
          <w:rFonts w:ascii="宋体" w:hAnsi="宋体" w:cs="宋体" w:eastAsia="宋体" w:hint="default"/>
          <w:b/>
          <w:bCs/>
          <w:sz w:val="22"/>
          <w:szCs w:val="22"/>
        </w:rPr>
      </w:pPr>
    </w:p>
    <w:p>
      <w:pPr>
        <w:spacing w:line="240" w:lineRule="auto" w:before="6"/>
        <w:rPr>
          <w:rFonts w:ascii="宋体" w:hAnsi="宋体" w:cs="宋体" w:eastAsia="宋体" w:hint="default"/>
          <w:b/>
          <w:bCs/>
          <w:sz w:val="16"/>
          <w:szCs w:val="16"/>
        </w:rPr>
      </w:pPr>
    </w:p>
    <w:p>
      <w:pPr>
        <w:pStyle w:val="BodyText"/>
        <w:spacing w:line="451" w:lineRule="auto"/>
        <w:ind w:right="1139" w:firstLine="433"/>
        <w:jc w:val="both"/>
      </w:pPr>
      <w:r>
        <w:rPr/>
        <w:t>① 当借款费用同时满足下列条件时，开始资本化：</w:t>
      </w:r>
      <w:r>
        <w:rPr>
          <w:rFonts w:ascii="Times New Roman" w:hAnsi="Times New Roman" w:cs="Times New Roman" w:eastAsia="Times New Roman" w:hint="default"/>
        </w:rPr>
        <w:t>1) </w:t>
      </w:r>
      <w:r>
        <w:rPr/>
        <w:t>资产支出已经发生；</w:t>
      </w:r>
      <w:r>
        <w:rPr>
          <w:rFonts w:ascii="Times New Roman" w:hAnsi="Times New Roman" w:cs="Times New Roman" w:eastAsia="Times New Roman" w:hint="default"/>
        </w:rPr>
        <w:t>2) </w:t>
      </w:r>
      <w:r>
        <w:rPr/>
        <w:t>借款费用已经发生；</w:t>
      </w:r>
      <w:r>
        <w:rPr>
          <w:rFonts w:ascii="Times New Roman" w:hAnsi="Times New Roman" w:cs="Times New Roman" w:eastAsia="Times New Roman" w:hint="default"/>
        </w:rPr>
        <w:t>3)</w:t>
      </w:r>
      <w:r>
        <w:rPr>
          <w:rFonts w:ascii="Times New Roman" w:hAnsi="Times New Roman" w:cs="Times New Roman" w:eastAsia="Times New Roman" w:hint="default"/>
          <w:spacing w:val="13"/>
        </w:rPr>
        <w:t> </w:t>
      </w:r>
      <w:r>
        <w:rPr/>
        <w:t>为使资产达到预 定可使用或可销售状态所必要的购建或者生产活动已经开始。</w:t>
      </w:r>
    </w:p>
    <w:p>
      <w:pPr>
        <w:pStyle w:val="BodyText"/>
        <w:spacing w:line="451" w:lineRule="auto" w:before="112"/>
        <w:ind w:left="1133" w:right="1175" w:firstLine="433"/>
        <w:jc w:val="both"/>
      </w:pPr>
      <w:r>
        <w:rPr/>
        <w:t>②</w:t>
      </w:r>
      <w:r>
        <w:rPr>
          <w:spacing w:val="-20"/>
        </w:rPr>
        <w:t> </w:t>
      </w:r>
      <w:r>
        <w:rPr/>
        <w:t>若符合资本化条件的资产在购建或者生产过程中发生非正常中断，并且中断时间连续超过</w:t>
      </w:r>
      <w:r>
        <w:rPr>
          <w:rFonts w:ascii="Times New Roman" w:hAnsi="Times New Roman" w:cs="Times New Roman" w:eastAsia="Times New Roman" w:hint="default"/>
        </w:rPr>
        <w:t>3</w:t>
      </w:r>
      <w:r>
        <w:rPr/>
        <w:t>个月，暂停借款费用的 资本化；中断期间发生的借款费用确认为当期费用，直至资产的购建或者生产活动重新开始。</w:t>
      </w:r>
    </w:p>
    <w:p>
      <w:pPr>
        <w:pStyle w:val="BodyText"/>
        <w:spacing w:line="240" w:lineRule="auto" w:before="115"/>
        <w:ind w:left="1586" w:right="0"/>
        <w:jc w:val="left"/>
      </w:pPr>
      <w:r>
        <w:rPr/>
        <w:t>③当所购建或者生产符合资本化条件的资产达到预定可使用或可销售状态时，借款费用停止资本化。</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0"/>
          <w:szCs w:val="20"/>
        </w:rPr>
      </w:pPr>
    </w:p>
    <w:p>
      <w:pPr>
        <w:pStyle w:val="Heading3"/>
        <w:spacing w:line="240" w:lineRule="auto"/>
        <w:ind w:left="1133" w:right="0"/>
        <w:jc w:val="left"/>
        <w:rPr>
          <w:b w:val="0"/>
          <w:bCs w:val="0"/>
        </w:rPr>
      </w:pPr>
      <w:r>
        <w:rPr/>
        <w:t>（</w:t>
      </w:r>
      <w:r>
        <w:rPr>
          <w:rFonts w:ascii="Times New Roman" w:hAnsi="Times New Roman" w:cs="Times New Roman" w:eastAsia="Times New Roman" w:hint="default"/>
        </w:rPr>
        <w:t>3</w:t>
      </w:r>
      <w:r>
        <w:rPr/>
        <w:t>）借款费用资本化率以及资本化金额</w:t>
      </w:r>
      <w:r>
        <w:rPr>
          <w:b w:val="0"/>
          <w:bCs w:val="0"/>
        </w:rPr>
      </w:r>
    </w:p>
    <w:p>
      <w:pPr>
        <w:spacing w:line="240" w:lineRule="auto" w:before="0"/>
        <w:rPr>
          <w:rFonts w:ascii="宋体" w:hAnsi="宋体" w:cs="宋体" w:eastAsia="宋体" w:hint="default"/>
          <w:b/>
          <w:bCs/>
          <w:sz w:val="22"/>
          <w:szCs w:val="22"/>
        </w:rPr>
      </w:pPr>
    </w:p>
    <w:p>
      <w:pPr>
        <w:spacing w:line="240" w:lineRule="auto" w:before="5"/>
        <w:rPr>
          <w:rFonts w:ascii="宋体" w:hAnsi="宋体" w:cs="宋体" w:eastAsia="宋体" w:hint="default"/>
          <w:b/>
          <w:bCs/>
          <w:sz w:val="16"/>
          <w:szCs w:val="16"/>
        </w:rPr>
      </w:pPr>
    </w:p>
    <w:p>
      <w:pPr>
        <w:pStyle w:val="BodyText"/>
        <w:spacing w:line="477" w:lineRule="auto"/>
        <w:ind w:left="1133" w:right="1131" w:firstLine="360"/>
        <w:jc w:val="both"/>
      </w:pPr>
      <w:r>
        <w:rPr>
          <w:spacing w:val="-2"/>
        </w:rPr>
        <w:t>为购建或者生产符合资本化条件的资产而借入专门借款的，以专门借款当期实际发生的利息费用（包括按照实际利率法</w:t>
      </w:r>
      <w:r>
        <w:rPr/>
        <w:t> </w:t>
      </w:r>
      <w:r>
        <w:rPr>
          <w:spacing w:val="-2"/>
        </w:rPr>
        <w:t>确定的折价或溢价的摊销），减去将尚未动用的借款资金存入银行取得的利息收入或进行暂时性投资取得的投资收益后的金</w:t>
      </w:r>
      <w:r>
        <w:rPr>
          <w:spacing w:val="-64"/>
        </w:rPr>
        <w:t> </w:t>
      </w:r>
      <w:r>
        <w:rPr>
          <w:spacing w:val="-64"/>
        </w:rPr>
      </w:r>
      <w:r>
        <w:rPr>
          <w:spacing w:val="-2"/>
        </w:rPr>
        <w:t>额，确定应予资本化的利息金额；为购建或者生产符合资本化条件的资产占用了一般借款的，根据累计资产支出超过专门借</w:t>
      </w:r>
      <w:r>
        <w:rPr>
          <w:spacing w:val="-65"/>
        </w:rPr>
        <w:t> </w:t>
      </w:r>
      <w:r>
        <w:rPr>
          <w:spacing w:val="-65"/>
        </w:rPr>
      </w:r>
      <w:r>
        <w:rPr/>
        <w:t>款的资产支出加权平均数乘以占用一般借款的资本化率，计算确定一般借款应予资本化的利息金额。</w:t>
      </w:r>
    </w:p>
    <w:p>
      <w:pPr>
        <w:spacing w:line="240" w:lineRule="auto" w:before="1"/>
        <w:rPr>
          <w:rFonts w:ascii="宋体" w:hAnsi="宋体" w:cs="宋体" w:eastAsia="宋体" w:hint="default"/>
          <w:sz w:val="25"/>
          <w:szCs w:val="25"/>
        </w:rPr>
      </w:pPr>
    </w:p>
    <w:p>
      <w:pPr>
        <w:pStyle w:val="Heading3"/>
        <w:spacing w:line="240" w:lineRule="auto"/>
        <w:ind w:left="1133" w:right="0"/>
        <w:jc w:val="left"/>
        <w:rPr>
          <w:b w:val="0"/>
          <w:bCs w:val="0"/>
        </w:rPr>
      </w:pPr>
      <w:bookmarkStart w:name="19、生物资产" w:id="192"/>
      <w:bookmarkEnd w:id="192"/>
      <w:r>
        <w:rPr>
          <w:b w:val="0"/>
          <w:bCs w:val="0"/>
        </w:rPr>
      </w:r>
      <w:r>
        <w:rPr>
          <w:rFonts w:ascii="Times New Roman" w:hAnsi="Times New Roman" w:cs="Times New Roman" w:eastAsia="Times New Roman" w:hint="default"/>
        </w:rPr>
        <w:t>19</w:t>
      </w:r>
      <w:r>
        <w:rPr/>
        <w:t>、生物资产</w:t>
      </w:r>
      <w:r>
        <w:rPr>
          <w:b w:val="0"/>
          <w:bCs w:val="0"/>
        </w:rPr>
      </w:r>
    </w:p>
    <w:p>
      <w:pPr>
        <w:spacing w:line="240" w:lineRule="auto" w:before="0"/>
        <w:rPr>
          <w:rFonts w:ascii="宋体" w:hAnsi="宋体" w:cs="宋体" w:eastAsia="宋体" w:hint="default"/>
          <w:b/>
          <w:bCs/>
          <w:sz w:val="22"/>
          <w:szCs w:val="22"/>
        </w:rPr>
      </w:pPr>
    </w:p>
    <w:p>
      <w:pPr>
        <w:spacing w:line="240" w:lineRule="auto" w:before="5"/>
        <w:rPr>
          <w:rFonts w:ascii="宋体" w:hAnsi="宋体" w:cs="宋体" w:eastAsia="宋体" w:hint="default"/>
          <w:b/>
          <w:bCs/>
          <w:sz w:val="16"/>
          <w:szCs w:val="1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0"/>
          <w:szCs w:val="20"/>
        </w:rPr>
      </w:pPr>
    </w:p>
    <w:p>
      <w:pPr>
        <w:pStyle w:val="Heading3"/>
        <w:spacing w:line="240" w:lineRule="auto"/>
        <w:ind w:right="0"/>
        <w:jc w:val="left"/>
        <w:rPr>
          <w:b w:val="0"/>
          <w:bCs w:val="0"/>
        </w:rPr>
      </w:pPr>
      <w:bookmarkStart w:name="20、油气资产" w:id="193"/>
      <w:bookmarkEnd w:id="193"/>
      <w:r>
        <w:rPr>
          <w:b w:val="0"/>
          <w:bCs w:val="0"/>
        </w:rPr>
      </w:r>
      <w:r>
        <w:rPr>
          <w:rFonts w:ascii="Times New Roman" w:hAnsi="Times New Roman" w:cs="Times New Roman" w:eastAsia="Times New Roman" w:hint="default"/>
        </w:rPr>
        <w:t>20</w:t>
      </w:r>
      <w:r>
        <w:rPr/>
        <w:t>、油气资产</w:t>
      </w:r>
      <w:r>
        <w:rPr>
          <w:b w:val="0"/>
          <w:bCs w:val="0"/>
        </w:rPr>
      </w:r>
    </w:p>
    <w:p>
      <w:pPr>
        <w:spacing w:line="240" w:lineRule="auto" w:before="0"/>
        <w:rPr>
          <w:rFonts w:ascii="宋体" w:hAnsi="宋体" w:cs="宋体" w:eastAsia="宋体" w:hint="default"/>
          <w:b/>
          <w:bCs/>
          <w:sz w:val="22"/>
          <w:szCs w:val="22"/>
        </w:rPr>
      </w:pPr>
    </w:p>
    <w:p>
      <w:pPr>
        <w:spacing w:line="240" w:lineRule="auto" w:before="5"/>
        <w:rPr>
          <w:rFonts w:ascii="宋体" w:hAnsi="宋体" w:cs="宋体" w:eastAsia="宋体" w:hint="default"/>
          <w:b/>
          <w:bCs/>
          <w:sz w:val="16"/>
          <w:szCs w:val="1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0"/>
          <w:szCs w:val="20"/>
        </w:rPr>
      </w:pPr>
    </w:p>
    <w:p>
      <w:pPr>
        <w:pStyle w:val="Heading3"/>
        <w:spacing w:line="240" w:lineRule="auto"/>
        <w:ind w:right="0"/>
        <w:jc w:val="left"/>
        <w:rPr>
          <w:b w:val="0"/>
          <w:bCs w:val="0"/>
        </w:rPr>
      </w:pPr>
      <w:bookmarkStart w:name="21、无形资产" w:id="194"/>
      <w:bookmarkEnd w:id="194"/>
      <w:r>
        <w:rPr>
          <w:b w:val="0"/>
          <w:bCs w:val="0"/>
        </w:rPr>
      </w:r>
      <w:r>
        <w:rPr>
          <w:rFonts w:ascii="Times New Roman" w:hAnsi="Times New Roman" w:cs="Times New Roman" w:eastAsia="Times New Roman" w:hint="default"/>
        </w:rPr>
        <w:t>21</w:t>
      </w:r>
      <w:r>
        <w:rPr/>
        <w:t>、无形资产</w:t>
      </w:r>
      <w:r>
        <w:rPr>
          <w:b w:val="0"/>
          <w:bCs w:val="0"/>
        </w:rPr>
      </w:r>
    </w:p>
    <w:p>
      <w:pPr>
        <w:spacing w:line="240" w:lineRule="auto" w:before="0"/>
        <w:rPr>
          <w:rFonts w:ascii="宋体" w:hAnsi="宋体" w:cs="宋体" w:eastAsia="宋体" w:hint="default"/>
          <w:b/>
          <w:bCs/>
          <w:sz w:val="22"/>
          <w:szCs w:val="22"/>
        </w:rPr>
      </w:pPr>
    </w:p>
    <w:p>
      <w:pPr>
        <w:pStyle w:val="Heading3"/>
        <w:spacing w:line="240" w:lineRule="auto" w:before="189"/>
        <w:ind w:right="0"/>
        <w:jc w:val="left"/>
        <w:rPr>
          <w:b w:val="0"/>
          <w:bCs w:val="0"/>
        </w:rPr>
      </w:pPr>
      <w:bookmarkStart w:name="（1）计价方法、使用寿命、减值测试" w:id="195"/>
      <w:bookmarkEnd w:id="195"/>
      <w:r>
        <w:rPr>
          <w:b w:val="0"/>
          <w:bCs w:val="0"/>
        </w:rPr>
      </w:r>
      <w:r>
        <w:rPr/>
        <w:t>（</w:t>
      </w:r>
      <w:r>
        <w:rPr>
          <w:rFonts w:ascii="Times New Roman" w:hAnsi="Times New Roman" w:cs="Times New Roman" w:eastAsia="Times New Roman" w:hint="default"/>
        </w:rPr>
        <w:t>1</w:t>
      </w:r>
      <w:r>
        <w:rPr/>
        <w:t>）计价方法、使用寿命、减值测试</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pStyle w:val="BodyText"/>
        <w:spacing w:line="518" w:lineRule="auto"/>
        <w:ind w:right="7692"/>
        <w:jc w:val="left"/>
      </w:pPr>
      <w:r>
        <w:rPr/>
        <w:t>公司是否需要遵守特殊行业的披露要求 否</w:t>
      </w:r>
    </w:p>
    <w:p>
      <w:pPr>
        <w:pStyle w:val="BodyText"/>
        <w:spacing w:line="240" w:lineRule="auto" w:before="63"/>
        <w:ind w:right="0"/>
        <w:jc w:val="left"/>
      </w:pPr>
      <w:r>
        <w:rPr>
          <w:rFonts w:ascii="Times New Roman" w:hAnsi="Times New Roman" w:cs="Times New Roman" w:eastAsia="Times New Roman" w:hint="default"/>
        </w:rPr>
        <w:t>1</w:t>
      </w:r>
      <w:r>
        <w:rPr/>
        <w:t>、无形资产包括软件，按成本进行初始计量。</w:t>
      </w:r>
    </w:p>
    <w:p>
      <w:pPr>
        <w:spacing w:line="240" w:lineRule="auto" w:before="10"/>
        <w:rPr>
          <w:rFonts w:ascii="宋体" w:hAnsi="宋体" w:cs="宋体" w:eastAsia="宋体" w:hint="default"/>
          <w:sz w:val="19"/>
          <w:szCs w:val="19"/>
        </w:rPr>
      </w:pPr>
    </w:p>
    <w:p>
      <w:pPr>
        <w:pStyle w:val="BodyText"/>
        <w:spacing w:line="240" w:lineRule="auto"/>
        <w:ind w:right="0"/>
        <w:jc w:val="left"/>
      </w:pPr>
      <w:r>
        <w:rPr>
          <w:rFonts w:ascii="Times New Roman" w:hAnsi="Times New Roman" w:cs="Times New Roman" w:eastAsia="Times New Roman" w:hint="default"/>
        </w:rPr>
        <w:t>2</w:t>
      </w:r>
      <w:r>
        <w:rPr/>
        <w:t>、使用寿命有限的无形资产，在使用寿命内按照与该项无形资产有关的经济利益的预期实现方式系统合理地摊销，无法可</w:t>
      </w:r>
    </w:p>
    <w:p>
      <w:pPr>
        <w:spacing w:after="0" w:line="240" w:lineRule="auto"/>
        <w:jc w:val="left"/>
        <w:sectPr>
          <w:pgSz w:w="11910" w:h="16840"/>
          <w:pgMar w:header="787" w:footer="640" w:top="1100" w:bottom="840" w:left="0" w:right="0"/>
        </w:sectPr>
      </w:pPr>
    </w:p>
    <w:p>
      <w:pPr>
        <w:spacing w:line="240" w:lineRule="auto" w:before="11"/>
        <w:rPr>
          <w:rFonts w:ascii="宋体" w:hAnsi="宋体" w:cs="宋体" w:eastAsia="宋体" w:hint="default"/>
          <w:sz w:val="28"/>
          <w:szCs w:val="28"/>
        </w:rPr>
      </w:pPr>
    </w:p>
    <w:p>
      <w:pPr>
        <w:pStyle w:val="BodyText"/>
        <w:spacing w:line="240" w:lineRule="auto" w:before="44"/>
        <w:ind w:right="0"/>
        <w:jc w:val="left"/>
      </w:pPr>
      <w:r>
        <w:rPr/>
        <w:t>靠确定预期实现方式的，采用直线法摊销。具体年限如下：</w:t>
      </w:r>
    </w:p>
    <w:p>
      <w:pPr>
        <w:spacing w:line="240" w:lineRule="auto" w:before="13"/>
        <w:rPr>
          <w:rFonts w:ascii="宋体" w:hAnsi="宋体" w:cs="宋体" w:eastAsia="宋体" w:hint="default"/>
          <w:sz w:val="13"/>
          <w:szCs w:val="13"/>
        </w:rPr>
      </w:pPr>
    </w:p>
    <w:tbl>
      <w:tblPr>
        <w:tblW w:w="0" w:type="auto"/>
        <w:jc w:val="left"/>
        <w:tblInd w:w="1113" w:type="dxa"/>
        <w:tblLayout w:type="fixed"/>
        <w:tblCellMar>
          <w:top w:w="0" w:type="dxa"/>
          <w:left w:w="0" w:type="dxa"/>
          <w:bottom w:w="0" w:type="dxa"/>
          <w:right w:w="0" w:type="dxa"/>
        </w:tblCellMar>
        <w:tblLook w:val="01E0"/>
      </w:tblPr>
      <w:tblGrid>
        <w:gridCol w:w="2001"/>
        <w:gridCol w:w="5671"/>
      </w:tblGrid>
      <w:tr>
        <w:trPr>
          <w:trHeight w:val="322" w:hRule="exact"/>
        </w:trPr>
        <w:tc>
          <w:tcPr>
            <w:tcW w:w="2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56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摊销年限（年）</w:t>
            </w:r>
          </w:p>
        </w:tc>
      </w:tr>
      <w:tr>
        <w:trPr>
          <w:trHeight w:val="322" w:hRule="exact"/>
        </w:trPr>
        <w:tc>
          <w:tcPr>
            <w:tcW w:w="2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软件</w:t>
            </w:r>
          </w:p>
        </w:tc>
        <w:tc>
          <w:tcPr>
            <w:tcW w:w="5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5-10</w:t>
            </w:r>
            <w:r>
              <w:rPr>
                <w:rFonts w:ascii="宋体" w:hAnsi="宋体" w:cs="宋体" w:eastAsia="宋体" w:hint="default"/>
                <w:spacing w:val="-46"/>
                <w:sz w:val="18"/>
                <w:szCs w:val="18"/>
              </w:rPr>
              <w:t> </w:t>
            </w:r>
            <w:r>
              <w:rPr>
                <w:rFonts w:ascii="宋体" w:hAnsi="宋体" w:cs="宋体" w:eastAsia="宋体" w:hint="default"/>
                <w:sz w:val="18"/>
                <w:szCs w:val="18"/>
              </w:rPr>
              <w:t>年</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2）内部研究开发支出会计政策" w:id="196"/>
      <w:bookmarkEnd w:id="196"/>
      <w:r>
        <w:rPr>
          <w:b w:val="0"/>
          <w:bCs w:val="0"/>
        </w:rPr>
      </w:r>
      <w:r>
        <w:rPr/>
        <w:t>（</w:t>
      </w:r>
      <w:r>
        <w:rPr>
          <w:rFonts w:ascii="Times New Roman" w:hAnsi="Times New Roman" w:cs="Times New Roman" w:eastAsia="Times New Roman" w:hint="default"/>
        </w:rPr>
        <w:t>2</w:t>
      </w:r>
      <w:r>
        <w:rPr/>
        <w:t>）内部研究开发支出会计政策</w:t>
      </w:r>
      <w:r>
        <w:rPr>
          <w:b w:val="0"/>
          <w:bCs w:val="0"/>
        </w:rPr>
      </w:r>
    </w:p>
    <w:p>
      <w:pPr>
        <w:spacing w:line="240" w:lineRule="auto" w:before="6"/>
        <w:rPr>
          <w:rFonts w:ascii="宋体" w:hAnsi="宋体" w:cs="宋体" w:eastAsia="宋体" w:hint="default"/>
          <w:b/>
          <w:bCs/>
          <w:sz w:val="32"/>
          <w:szCs w:val="32"/>
        </w:rPr>
      </w:pPr>
    </w:p>
    <w:p>
      <w:pPr>
        <w:pStyle w:val="BodyText"/>
        <w:spacing w:line="477" w:lineRule="auto"/>
        <w:ind w:left="1133" w:right="1131"/>
        <w:jc w:val="both"/>
      </w:pPr>
      <w:r>
        <w:rPr>
          <w:spacing w:val="-2"/>
        </w:rPr>
        <w:t>内部研究开发项目研究阶段的支出，于发生时计入当期损益。内部研究开发项目开发阶段的支出，同时满足下列条件的，确</w:t>
      </w:r>
      <w:r>
        <w:rPr>
          <w:spacing w:val="-66"/>
        </w:rPr>
        <w:t> </w:t>
      </w:r>
      <w:r>
        <w:rPr>
          <w:spacing w:val="-66"/>
        </w:rPr>
      </w:r>
      <w:r>
        <w:rPr>
          <w:spacing w:val="-5"/>
        </w:rPr>
        <w:t>认为无形资产：</w:t>
      </w:r>
      <w:r>
        <w:rPr>
          <w:rFonts w:ascii="宋体" w:hAnsi="宋体" w:cs="宋体" w:eastAsia="宋体" w:hint="default"/>
          <w:spacing w:val="-5"/>
        </w:rPr>
        <w:t>(1) </w:t>
      </w:r>
      <w:r>
        <w:rPr/>
        <w:t>完成该无形资产以使其能够使用或出售在技术上具有可行性；</w:t>
      </w:r>
      <w:r>
        <w:rPr>
          <w:rFonts w:ascii="宋体" w:hAnsi="宋体" w:cs="宋体" w:eastAsia="宋体" w:hint="default"/>
        </w:rPr>
        <w:t>(2)</w:t>
      </w:r>
      <w:r>
        <w:rPr>
          <w:rFonts w:ascii="宋体" w:hAnsi="宋体" w:cs="宋体" w:eastAsia="宋体" w:hint="default"/>
          <w:spacing w:val="-26"/>
        </w:rPr>
        <w:t> </w:t>
      </w:r>
      <w:r>
        <w:rPr/>
        <w:t>具有完成该无形资产并使用或出售的 </w:t>
      </w:r>
      <w:r>
        <w:rPr>
          <w:spacing w:val="-5"/>
        </w:rPr>
        <w:t>意图；</w:t>
      </w:r>
      <w:r>
        <w:rPr>
          <w:rFonts w:ascii="宋体" w:hAnsi="宋体" w:cs="宋体" w:eastAsia="宋体" w:hint="default"/>
          <w:spacing w:val="-5"/>
        </w:rPr>
        <w:t>(3)</w:t>
      </w:r>
      <w:r>
        <w:rPr>
          <w:rFonts w:ascii="宋体" w:hAnsi="宋体" w:cs="宋体" w:eastAsia="宋体" w:hint="default"/>
          <w:spacing w:val="-49"/>
        </w:rPr>
        <w:t> </w:t>
      </w:r>
      <w:r>
        <w:rPr/>
        <w:t>无形资产产生经济利益的方式，包括能够证明运用该无形资产生产的产品存在市场或无形资产自身存在市场，无 </w:t>
      </w:r>
      <w:r>
        <w:rPr>
          <w:spacing w:val="-2"/>
        </w:rPr>
        <w:t>形资产将在内部使用的，能证明其有用性；</w:t>
      </w:r>
      <w:r>
        <w:rPr>
          <w:rFonts w:ascii="宋体" w:hAnsi="宋体" w:cs="宋体" w:eastAsia="宋体" w:hint="default"/>
          <w:spacing w:val="-2"/>
        </w:rPr>
        <w:t>(4)</w:t>
      </w:r>
      <w:r>
        <w:rPr>
          <w:rFonts w:ascii="宋体" w:hAnsi="宋体" w:cs="宋体" w:eastAsia="宋体" w:hint="default"/>
          <w:spacing w:val="23"/>
        </w:rPr>
        <w:t> </w:t>
      </w:r>
      <w:r>
        <w:rPr>
          <w:spacing w:val="-2"/>
        </w:rPr>
        <w:t>有足够的技术、财务资源和其他资源支持，以完成该无形资产的开发，并有</w:t>
      </w:r>
      <w:r>
        <w:rPr>
          <w:spacing w:val="-88"/>
        </w:rPr>
        <w:t> </w:t>
      </w:r>
      <w:r>
        <w:rPr>
          <w:spacing w:val="-88"/>
        </w:rPr>
      </w:r>
      <w:r>
        <w:rPr/>
        <w:t>能力使用或出售该无形资产；</w:t>
      </w:r>
      <w:r>
        <w:rPr>
          <w:rFonts w:ascii="宋体" w:hAnsi="宋体" w:cs="宋体" w:eastAsia="宋体" w:hint="default"/>
        </w:rPr>
        <w:t>(5) </w:t>
      </w:r>
      <w:r>
        <w:rPr/>
        <w:t>归属于该无形资产开发阶段的支出能够可靠地计量。</w:t>
      </w:r>
    </w:p>
    <w:p>
      <w:pPr>
        <w:pStyle w:val="BodyText"/>
        <w:spacing w:line="496" w:lineRule="auto" w:before="95"/>
        <w:ind w:left="1133" w:right="1123"/>
        <w:jc w:val="left"/>
      </w:pPr>
      <w:r>
        <w:rPr/>
        <w:t>公司划分内部研究开发项目研究阶段支出和开发阶段支出的具体标准： </w:t>
      </w:r>
      <w:r>
        <w:rPr>
          <w:rFonts w:ascii="宋体" w:hAnsi="宋体" w:cs="宋体" w:eastAsia="宋体" w:hint="default"/>
        </w:rPr>
        <w:t>(1)</w:t>
      </w:r>
      <w:r>
        <w:rPr/>
        <w:t>内部研究开发项目阶段支出：前期探索性研究、新技术研究、底层架构预先研究及产品完成后的后续迭代研发，属于研 究阶段支出。</w:t>
      </w:r>
    </w:p>
    <w:p>
      <w:pPr>
        <w:pStyle w:val="BodyText"/>
        <w:spacing w:line="477" w:lineRule="auto" w:before="78"/>
        <w:ind w:left="1133" w:right="1123"/>
        <w:jc w:val="left"/>
      </w:pPr>
      <w:r>
        <w:rPr>
          <w:rFonts w:ascii="宋体" w:hAnsi="宋体" w:cs="宋体" w:eastAsia="宋体" w:hint="default"/>
        </w:rPr>
        <w:t>(2)</w:t>
      </w:r>
      <w:r>
        <w:rPr/>
        <w:t>开发阶段支出：基础架构明确、采用的技术明确、市场需求明确、产品功能目标明确、产品开发计划明确、开发过程控 制有效、人员及相关投入有明确预算，按要求履行了公司立项手续，公司同意开发后的支出，属于开发阶段支出。</w:t>
      </w:r>
    </w:p>
    <w:p>
      <w:pPr>
        <w:spacing w:line="240" w:lineRule="auto" w:before="2"/>
        <w:rPr>
          <w:rFonts w:ascii="宋体" w:hAnsi="宋体" w:cs="宋体" w:eastAsia="宋体" w:hint="default"/>
          <w:sz w:val="25"/>
          <w:szCs w:val="25"/>
        </w:rPr>
      </w:pPr>
    </w:p>
    <w:p>
      <w:pPr>
        <w:pStyle w:val="Heading3"/>
        <w:spacing w:line="240" w:lineRule="auto"/>
        <w:ind w:left="1133" w:right="0"/>
        <w:jc w:val="left"/>
        <w:rPr>
          <w:b w:val="0"/>
          <w:bCs w:val="0"/>
        </w:rPr>
      </w:pPr>
      <w:bookmarkStart w:name="22、长期资产减值" w:id="197"/>
      <w:bookmarkEnd w:id="197"/>
      <w:r>
        <w:rPr>
          <w:b w:val="0"/>
          <w:bCs w:val="0"/>
        </w:rPr>
      </w:r>
      <w:r>
        <w:rPr>
          <w:rFonts w:ascii="Times New Roman" w:hAnsi="Times New Roman" w:cs="Times New Roman" w:eastAsia="Times New Roman" w:hint="default"/>
        </w:rPr>
        <w:t>22</w:t>
      </w:r>
      <w:r>
        <w:rPr/>
        <w:t>、长期资产减值</w:t>
      </w:r>
      <w:r>
        <w:rPr>
          <w:b w:val="0"/>
          <w:bCs w:val="0"/>
        </w:rPr>
      </w:r>
    </w:p>
    <w:p>
      <w:pPr>
        <w:spacing w:line="240" w:lineRule="auto" w:before="0"/>
        <w:rPr>
          <w:rFonts w:ascii="宋体" w:hAnsi="宋体" w:cs="宋体" w:eastAsia="宋体" w:hint="default"/>
          <w:b/>
          <w:bCs/>
          <w:sz w:val="22"/>
          <w:szCs w:val="22"/>
        </w:rPr>
      </w:pPr>
    </w:p>
    <w:p>
      <w:pPr>
        <w:spacing w:line="240" w:lineRule="auto" w:before="4"/>
        <w:rPr>
          <w:rFonts w:ascii="宋体" w:hAnsi="宋体" w:cs="宋体" w:eastAsia="宋体" w:hint="default"/>
          <w:b/>
          <w:bCs/>
          <w:sz w:val="16"/>
          <w:szCs w:val="16"/>
        </w:rPr>
      </w:pPr>
    </w:p>
    <w:p>
      <w:pPr>
        <w:pStyle w:val="BodyText"/>
        <w:spacing w:line="477" w:lineRule="auto"/>
        <w:ind w:left="1133" w:right="1123"/>
        <w:jc w:val="left"/>
      </w:pPr>
      <w:r>
        <w:rPr/>
        <w:t>对长期股权投资、采用成本模式计量的投资性房地产、固定资产、在建工程、使用寿命有限的无形资产等长期资产</w:t>
      </w:r>
      <w:r>
        <w:rPr>
          <w:rFonts w:ascii="宋体" w:hAnsi="宋体" w:cs="宋体" w:eastAsia="宋体" w:hint="default"/>
        </w:rPr>
        <w:t>,</w:t>
      </w:r>
      <w:r>
        <w:rPr/>
        <w:t>在资产</w:t>
      </w:r>
      <w:r>
        <w:rPr>
          <w:spacing w:val="-84"/>
        </w:rPr>
        <w:t> </w:t>
      </w:r>
      <w:r>
        <w:rPr>
          <w:spacing w:val="-84"/>
        </w:rPr>
      </w:r>
      <w:r>
        <w:rPr>
          <w:spacing w:val="-2"/>
        </w:rPr>
        <w:t>负债表日有迹象表明发生减值的，估计其可收回金额。对因企业合并所形成的商誉和使用寿命不确定的无形资产，无论是否</w:t>
      </w:r>
      <w:r>
        <w:rPr>
          <w:spacing w:val="-66"/>
        </w:rPr>
        <w:t> </w:t>
      </w:r>
      <w:r>
        <w:rPr>
          <w:spacing w:val="-66"/>
        </w:rPr>
      </w:r>
      <w:r>
        <w:rPr/>
        <w:t>存在减值迹象，每年都进行减值测试。商誉结合与其相关的资产组或者资产组组合进行减值测试。 若上述长期资产的可收回金额低于其账面价值的，按其差额确认资产减值准备并计入当期损益。</w:t>
      </w:r>
    </w:p>
    <w:p>
      <w:pPr>
        <w:spacing w:line="240" w:lineRule="auto" w:before="2"/>
        <w:rPr>
          <w:rFonts w:ascii="宋体" w:hAnsi="宋体" w:cs="宋体" w:eastAsia="宋体" w:hint="default"/>
          <w:sz w:val="25"/>
          <w:szCs w:val="25"/>
        </w:rPr>
      </w:pPr>
    </w:p>
    <w:p>
      <w:pPr>
        <w:pStyle w:val="Heading3"/>
        <w:spacing w:line="240" w:lineRule="auto"/>
        <w:ind w:left="1133" w:right="0"/>
        <w:jc w:val="left"/>
        <w:rPr>
          <w:b w:val="0"/>
          <w:bCs w:val="0"/>
        </w:rPr>
      </w:pPr>
      <w:bookmarkStart w:name="23、长期待摊费用" w:id="198"/>
      <w:bookmarkEnd w:id="198"/>
      <w:r>
        <w:rPr>
          <w:b w:val="0"/>
          <w:bCs w:val="0"/>
        </w:rPr>
      </w:r>
      <w:r>
        <w:rPr>
          <w:rFonts w:ascii="Times New Roman" w:hAnsi="Times New Roman" w:cs="Times New Roman" w:eastAsia="Times New Roman" w:hint="default"/>
        </w:rPr>
        <w:t>23</w:t>
      </w:r>
      <w:r>
        <w:rPr/>
        <w:t>、长期待摊费用</w:t>
      </w:r>
      <w:r>
        <w:rPr>
          <w:b w:val="0"/>
          <w:bCs w:val="0"/>
        </w:rPr>
      </w:r>
    </w:p>
    <w:p>
      <w:pPr>
        <w:spacing w:line="240" w:lineRule="auto" w:before="0"/>
        <w:rPr>
          <w:rFonts w:ascii="宋体" w:hAnsi="宋体" w:cs="宋体" w:eastAsia="宋体" w:hint="default"/>
          <w:b/>
          <w:bCs/>
          <w:sz w:val="22"/>
          <w:szCs w:val="22"/>
        </w:rPr>
      </w:pPr>
    </w:p>
    <w:p>
      <w:pPr>
        <w:spacing w:line="240" w:lineRule="auto" w:before="5"/>
        <w:rPr>
          <w:rFonts w:ascii="宋体" w:hAnsi="宋体" w:cs="宋体" w:eastAsia="宋体" w:hint="default"/>
          <w:b/>
          <w:bCs/>
          <w:sz w:val="16"/>
          <w:szCs w:val="16"/>
        </w:rPr>
      </w:pPr>
    </w:p>
    <w:p>
      <w:pPr>
        <w:pStyle w:val="BodyText"/>
        <w:spacing w:line="477" w:lineRule="auto"/>
        <w:ind w:left="1133" w:right="1131"/>
        <w:jc w:val="both"/>
      </w:pPr>
      <w:r>
        <w:rPr>
          <w:spacing w:val="-2"/>
        </w:rPr>
        <w:t>长期待摊费用核算已经支出，摊销期限在</w:t>
      </w:r>
      <w:r>
        <w:rPr>
          <w:rFonts w:ascii="宋体" w:hAnsi="宋体" w:cs="宋体" w:eastAsia="宋体" w:hint="default"/>
          <w:spacing w:val="-2"/>
        </w:rPr>
        <w:t>1</w:t>
      </w:r>
      <w:r>
        <w:rPr>
          <w:spacing w:val="-2"/>
        </w:rPr>
        <w:t>年以上（不含</w:t>
      </w:r>
      <w:r>
        <w:rPr>
          <w:rFonts w:ascii="宋体" w:hAnsi="宋体" w:cs="宋体" w:eastAsia="宋体" w:hint="default"/>
          <w:spacing w:val="-2"/>
        </w:rPr>
        <w:t>1</w:t>
      </w:r>
      <w:r>
        <w:rPr>
          <w:spacing w:val="-2"/>
        </w:rPr>
        <w:t>年）的各项费用。长期待摊费用按实际发生额入账，在受益期或规</w:t>
      </w:r>
      <w:r>
        <w:rPr>
          <w:spacing w:val="-64"/>
        </w:rPr>
        <w:t> </w:t>
      </w:r>
      <w:r>
        <w:rPr>
          <w:spacing w:val="-64"/>
        </w:rPr>
      </w:r>
      <w:r>
        <w:rPr>
          <w:spacing w:val="-2"/>
        </w:rPr>
        <w:t>定的期限内分期平均摊销。如果长期待摊的费用项目不能使以后会计期间受益则将尚未摊销的该项目的摊余价值全部转入当</w:t>
      </w:r>
      <w:r>
        <w:rPr>
          <w:spacing w:val="-64"/>
        </w:rPr>
        <w:t> </w:t>
      </w:r>
      <w:r>
        <w:rPr>
          <w:spacing w:val="-64"/>
        </w:rPr>
      </w:r>
      <w:r>
        <w:rPr/>
        <w:t>期损益。</w:t>
      </w:r>
    </w:p>
    <w:p>
      <w:pPr>
        <w:spacing w:after="0" w:line="477" w:lineRule="auto"/>
        <w:jc w:val="both"/>
        <w:sectPr>
          <w:pgSz w:w="11910" w:h="16840"/>
          <w:pgMar w:header="787" w:footer="640" w:top="1100" w:bottom="840" w:left="0" w:right="0"/>
        </w:sectPr>
      </w:pPr>
    </w:p>
    <w:p>
      <w:pPr>
        <w:spacing w:line="240" w:lineRule="auto" w:before="7"/>
        <w:rPr>
          <w:rFonts w:ascii="宋体" w:hAnsi="宋体" w:cs="宋体" w:eastAsia="宋体" w:hint="default"/>
          <w:sz w:val="27"/>
          <w:szCs w:val="27"/>
        </w:rPr>
      </w:pPr>
    </w:p>
    <w:p>
      <w:pPr>
        <w:pStyle w:val="Heading3"/>
        <w:spacing w:line="240" w:lineRule="auto" w:before="35"/>
        <w:ind w:right="0"/>
        <w:jc w:val="both"/>
        <w:rPr>
          <w:b w:val="0"/>
          <w:bCs w:val="0"/>
        </w:rPr>
      </w:pPr>
      <w:bookmarkStart w:name="24、职工薪酬" w:id="199"/>
      <w:bookmarkEnd w:id="199"/>
      <w:r>
        <w:rPr>
          <w:b w:val="0"/>
          <w:bCs w:val="0"/>
        </w:rPr>
      </w:r>
      <w:r>
        <w:rPr>
          <w:rFonts w:ascii="Times New Roman" w:hAnsi="Times New Roman" w:cs="Times New Roman" w:eastAsia="Times New Roman" w:hint="default"/>
        </w:rPr>
        <w:t>24</w:t>
      </w:r>
      <w:r>
        <w:rPr/>
        <w:t>、职工薪酬</w:t>
      </w:r>
      <w:r>
        <w:rPr>
          <w:b w:val="0"/>
          <w:bCs w:val="0"/>
        </w:rPr>
      </w:r>
    </w:p>
    <w:p>
      <w:pPr>
        <w:spacing w:line="240" w:lineRule="auto" w:before="0"/>
        <w:rPr>
          <w:rFonts w:ascii="宋体" w:hAnsi="宋体" w:cs="宋体" w:eastAsia="宋体" w:hint="default"/>
          <w:b/>
          <w:bCs/>
          <w:sz w:val="22"/>
          <w:szCs w:val="22"/>
        </w:rPr>
      </w:pPr>
    </w:p>
    <w:p>
      <w:pPr>
        <w:pStyle w:val="Heading3"/>
        <w:spacing w:line="240" w:lineRule="auto" w:before="189"/>
        <w:ind w:right="0"/>
        <w:jc w:val="both"/>
        <w:rPr>
          <w:b w:val="0"/>
          <w:bCs w:val="0"/>
        </w:rPr>
      </w:pPr>
      <w:bookmarkStart w:name="（1）短期薪酬的会计处理方法" w:id="200"/>
      <w:bookmarkEnd w:id="200"/>
      <w:r>
        <w:rPr>
          <w:b w:val="0"/>
          <w:bCs w:val="0"/>
        </w:rPr>
      </w:r>
      <w:r>
        <w:rPr/>
        <w:t>（</w:t>
      </w:r>
      <w:r>
        <w:rPr>
          <w:rFonts w:ascii="Times New Roman" w:hAnsi="Times New Roman" w:cs="Times New Roman" w:eastAsia="Times New Roman" w:hint="default"/>
        </w:rPr>
        <w:t>1</w:t>
      </w:r>
      <w:r>
        <w:rPr/>
        <w:t>）短期薪酬的会计处理方法</w:t>
      </w:r>
      <w:r>
        <w:rPr>
          <w:b w:val="0"/>
          <w:bCs w:val="0"/>
        </w:rPr>
      </w:r>
    </w:p>
    <w:p>
      <w:pPr>
        <w:spacing w:line="240" w:lineRule="auto" w:before="0"/>
        <w:rPr>
          <w:rFonts w:ascii="宋体" w:hAnsi="宋体" w:cs="宋体" w:eastAsia="宋体" w:hint="default"/>
          <w:b/>
          <w:bCs/>
          <w:sz w:val="22"/>
          <w:szCs w:val="22"/>
        </w:rPr>
      </w:pPr>
    </w:p>
    <w:p>
      <w:pPr>
        <w:spacing w:line="240" w:lineRule="auto" w:before="6"/>
        <w:rPr>
          <w:rFonts w:ascii="宋体" w:hAnsi="宋体" w:cs="宋体" w:eastAsia="宋体" w:hint="default"/>
          <w:b/>
          <w:bCs/>
          <w:sz w:val="16"/>
          <w:szCs w:val="16"/>
        </w:rPr>
      </w:pPr>
    </w:p>
    <w:p>
      <w:pPr>
        <w:pStyle w:val="BodyText"/>
        <w:spacing w:line="240" w:lineRule="auto"/>
        <w:ind w:right="0"/>
        <w:jc w:val="both"/>
      </w:pPr>
      <w:r>
        <w:rPr/>
        <w:t>在职工为公司提供服务的会计期间，将实际发生的短期薪酬确认为负债，并计入当期损益或相关资产成本。</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4"/>
          <w:szCs w:val="14"/>
        </w:rPr>
      </w:pPr>
    </w:p>
    <w:p>
      <w:pPr>
        <w:pStyle w:val="Heading3"/>
        <w:spacing w:line="240" w:lineRule="auto"/>
        <w:ind w:left="1133" w:right="0"/>
        <w:jc w:val="both"/>
        <w:rPr>
          <w:b w:val="0"/>
          <w:bCs w:val="0"/>
        </w:rPr>
      </w:pPr>
      <w:bookmarkStart w:name="（2）离职后福利的会计处理方法" w:id="201"/>
      <w:bookmarkEnd w:id="201"/>
      <w:r>
        <w:rPr>
          <w:b w:val="0"/>
          <w:bCs w:val="0"/>
        </w:rPr>
      </w:r>
      <w:r>
        <w:rPr/>
        <w:t>（</w:t>
      </w:r>
      <w:r>
        <w:rPr>
          <w:rFonts w:ascii="Times New Roman" w:hAnsi="Times New Roman" w:cs="Times New Roman" w:eastAsia="Times New Roman" w:hint="default"/>
        </w:rPr>
        <w:t>2</w:t>
      </w:r>
      <w:r>
        <w:rPr/>
        <w:t>）离职后福利的会计处理方法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494" w:right="0"/>
        <w:jc w:val="left"/>
      </w:pPr>
      <w:r>
        <w:rPr/>
        <w:t>离职后福利分为设定提存计划和设定受益计划。</w:t>
      </w:r>
    </w:p>
    <w:p>
      <w:pPr>
        <w:pStyle w:val="BodyText"/>
        <w:spacing w:line="316" w:lineRule="auto" w:before="76"/>
        <w:ind w:right="1132" w:firstLine="360"/>
        <w:jc w:val="both"/>
      </w:pPr>
      <w:r>
        <w:rPr>
          <w:spacing w:val="-2"/>
        </w:rPr>
        <w:t>①在职工为公司提供服务的会计期间，根据设定提存计划计算的应缴存金额确认为负债，并计入当期损益或相关资产成</w:t>
      </w:r>
      <w:r>
        <w:rPr/>
        <w:t> 本。</w:t>
      </w:r>
    </w:p>
    <w:p>
      <w:pPr>
        <w:pStyle w:val="BodyText"/>
        <w:spacing w:line="316" w:lineRule="auto" w:before="19"/>
        <w:ind w:left="1434" w:right="0" w:firstLine="60"/>
        <w:jc w:val="left"/>
      </w:pPr>
      <w:r>
        <w:rPr/>
        <w:t>②对设定受益计划的会计处理通常包括下列步骤： </w:t>
      </w:r>
      <w:r>
        <w:rPr>
          <w:rFonts w:ascii="宋体" w:hAnsi="宋体" w:cs="宋体" w:eastAsia="宋体" w:hint="default"/>
        </w:rPr>
        <w:t>A</w:t>
      </w:r>
      <w:r>
        <w:rPr/>
        <w:t>、根据预期累计福利单位法，采用无偏且相互一致的精算假设对有关人口统计变量和财务变量等作出估计，计量设定</w:t>
      </w:r>
    </w:p>
    <w:p>
      <w:pPr>
        <w:pStyle w:val="BodyText"/>
        <w:spacing w:line="316" w:lineRule="auto" w:before="19"/>
        <w:ind w:right="0"/>
        <w:jc w:val="left"/>
      </w:pPr>
      <w:r>
        <w:rPr>
          <w:spacing w:val="-2"/>
        </w:rPr>
        <w:t>受益计划所产生的义务，并确定相关义务的所属期间。同时，对设定受益计划所产生的义务予以折现，以确定设定受益计划</w:t>
      </w:r>
      <w:r>
        <w:rPr>
          <w:spacing w:val="-66"/>
        </w:rPr>
        <w:t> </w:t>
      </w:r>
      <w:r>
        <w:rPr>
          <w:spacing w:val="-66"/>
        </w:rPr>
      </w:r>
      <w:r>
        <w:rPr/>
        <w:t>义务的现值和当期服务成本；</w:t>
      </w:r>
    </w:p>
    <w:p>
      <w:pPr>
        <w:pStyle w:val="BodyText"/>
        <w:spacing w:line="316" w:lineRule="auto" w:before="19"/>
        <w:ind w:right="1132" w:firstLine="300"/>
        <w:jc w:val="both"/>
      </w:pPr>
      <w:r>
        <w:rPr>
          <w:rFonts w:ascii="宋体" w:hAnsi="宋体" w:cs="宋体" w:eastAsia="宋体" w:hint="default"/>
        </w:rPr>
        <w:t>B</w:t>
      </w:r>
      <w:r>
        <w:rPr/>
        <w:t>、设定受益计划存在资产的，将设定受益计划义务现值减去设定受益计划资产公允价值所形成的赤字或盈余确认为一 </w:t>
      </w:r>
      <w:r>
        <w:rPr>
          <w:spacing w:val="-2"/>
        </w:rPr>
        <w:t>项设定受益计划净负债或净资产。设定受益计划存在盈余的，以设定受益计划的盈余和资产上限两项的孰低者计量设定受益</w:t>
      </w:r>
      <w:r>
        <w:rPr>
          <w:spacing w:val="-64"/>
        </w:rPr>
        <w:t> </w:t>
      </w:r>
      <w:r>
        <w:rPr>
          <w:spacing w:val="-64"/>
        </w:rPr>
      </w:r>
      <w:r>
        <w:rPr/>
        <w:t>计划净资产；</w:t>
      </w:r>
    </w:p>
    <w:p>
      <w:pPr>
        <w:pStyle w:val="BodyText"/>
        <w:spacing w:line="477" w:lineRule="auto" w:before="97"/>
        <w:ind w:right="1130" w:firstLine="300"/>
        <w:jc w:val="both"/>
      </w:pPr>
      <w:r>
        <w:rPr>
          <w:rFonts w:ascii="宋体" w:hAnsi="宋体" w:cs="宋体" w:eastAsia="宋体" w:hint="default"/>
        </w:rPr>
        <w:t>C</w:t>
      </w:r>
      <w:r>
        <w:rPr/>
        <w:t>、期末，将设定受益计划产生的职工薪酬成本确认为服务成本、设定受益计划净负债或净资产的利息净额以及重新计 </w:t>
      </w:r>
      <w:r>
        <w:rPr>
          <w:spacing w:val="-2"/>
        </w:rPr>
        <w:t>量设定受益计划净负债或净资产所产生的变动等三部分，其中服务成本和设定受益计划净负债或净资产的利息净额计入当期</w:t>
      </w:r>
      <w:r>
        <w:rPr>
          <w:spacing w:val="-64"/>
        </w:rPr>
        <w:t> </w:t>
      </w:r>
      <w:r>
        <w:rPr>
          <w:spacing w:val="-64"/>
        </w:rPr>
      </w:r>
      <w:r>
        <w:rPr>
          <w:spacing w:val="-2"/>
        </w:rPr>
        <w:t>损益或相关资产成本，重新计量设定受益计划净负债或净资产所产生的变动计入其他综合收益，并且在后续会计期间不允许</w:t>
      </w:r>
      <w:r>
        <w:rPr>
          <w:spacing w:val="-64"/>
        </w:rPr>
        <w:t> </w:t>
      </w:r>
      <w:r>
        <w:rPr>
          <w:spacing w:val="-64"/>
        </w:rPr>
      </w:r>
      <w:r>
        <w:rPr/>
        <w:t>转回至损益，但可以在权益范围内转移这些在其他综合收益确认的金额。</w:t>
      </w:r>
    </w:p>
    <w:p>
      <w:pPr>
        <w:spacing w:line="240" w:lineRule="auto" w:before="2"/>
        <w:rPr>
          <w:rFonts w:ascii="宋体" w:hAnsi="宋体" w:cs="宋体" w:eastAsia="宋体" w:hint="default"/>
          <w:sz w:val="25"/>
          <w:szCs w:val="25"/>
        </w:rPr>
      </w:pPr>
    </w:p>
    <w:p>
      <w:pPr>
        <w:pStyle w:val="Heading3"/>
        <w:spacing w:line="240" w:lineRule="auto"/>
        <w:ind w:left="1133" w:right="0"/>
        <w:jc w:val="both"/>
        <w:rPr>
          <w:b w:val="0"/>
          <w:bCs w:val="0"/>
        </w:rPr>
      </w:pPr>
      <w:bookmarkStart w:name="（3）辞退福利的会计处理方法" w:id="202"/>
      <w:bookmarkEnd w:id="202"/>
      <w:r>
        <w:rPr>
          <w:b w:val="0"/>
          <w:bCs w:val="0"/>
        </w:rPr>
      </w:r>
      <w:r>
        <w:rPr/>
        <w:t>（</w:t>
      </w:r>
      <w:r>
        <w:rPr>
          <w:rFonts w:ascii="Times New Roman" w:hAnsi="Times New Roman" w:cs="Times New Roman" w:eastAsia="Times New Roman" w:hint="default"/>
        </w:rPr>
        <w:t>3</w:t>
      </w:r>
      <w:r>
        <w:rPr/>
        <w:t>）辞退福利的会计处理方法</w:t>
      </w:r>
      <w:r>
        <w:rPr>
          <w:b w:val="0"/>
          <w:bCs w:val="0"/>
        </w:rPr>
      </w:r>
    </w:p>
    <w:p>
      <w:pPr>
        <w:spacing w:line="240" w:lineRule="auto" w:before="0"/>
        <w:rPr>
          <w:rFonts w:ascii="宋体" w:hAnsi="宋体" w:cs="宋体" w:eastAsia="宋体" w:hint="default"/>
          <w:b/>
          <w:bCs/>
          <w:sz w:val="22"/>
          <w:szCs w:val="22"/>
        </w:rPr>
      </w:pPr>
    </w:p>
    <w:p>
      <w:pPr>
        <w:spacing w:line="240" w:lineRule="auto" w:before="5"/>
        <w:rPr>
          <w:rFonts w:ascii="宋体" w:hAnsi="宋体" w:cs="宋体" w:eastAsia="宋体" w:hint="default"/>
          <w:b/>
          <w:bCs/>
          <w:sz w:val="16"/>
          <w:szCs w:val="16"/>
        </w:rPr>
      </w:pPr>
    </w:p>
    <w:p>
      <w:pPr>
        <w:pStyle w:val="BodyText"/>
        <w:spacing w:line="477" w:lineRule="auto"/>
        <w:ind w:left="1133" w:right="0"/>
        <w:jc w:val="left"/>
      </w:pPr>
      <w:r>
        <w:rPr>
          <w:spacing w:val="-2"/>
        </w:rPr>
        <w:t>向职工提供的辞退福利，在下列两者孰早日确认辞退福利产生的职工薪酬负债，并计入当期损益：①公司不能单方面撤回因</w:t>
      </w:r>
      <w:r>
        <w:rPr>
          <w:spacing w:val="-66"/>
        </w:rPr>
        <w:t> </w:t>
      </w:r>
      <w:r>
        <w:rPr>
          <w:spacing w:val="-66"/>
        </w:rPr>
      </w:r>
      <w:r>
        <w:rPr/>
        <w:t>解除劳动关系计划或裁减建议所提供的辞退福利时；②公司确认与涉及支付辞退福利的重组相关的成本或费用时。</w:t>
      </w:r>
    </w:p>
    <w:p>
      <w:pPr>
        <w:spacing w:line="240" w:lineRule="auto" w:before="2"/>
        <w:rPr>
          <w:rFonts w:ascii="宋体" w:hAnsi="宋体" w:cs="宋体" w:eastAsia="宋体" w:hint="default"/>
          <w:sz w:val="25"/>
          <w:szCs w:val="25"/>
        </w:rPr>
      </w:pPr>
    </w:p>
    <w:p>
      <w:pPr>
        <w:pStyle w:val="Heading3"/>
        <w:spacing w:line="240" w:lineRule="auto"/>
        <w:ind w:left="1133" w:right="0"/>
        <w:jc w:val="both"/>
        <w:rPr>
          <w:b w:val="0"/>
          <w:bCs w:val="0"/>
        </w:rPr>
      </w:pPr>
      <w:bookmarkStart w:name="（4）其他长期职工福利的会计处理方法" w:id="203"/>
      <w:bookmarkEnd w:id="203"/>
      <w:r>
        <w:rPr>
          <w:b w:val="0"/>
          <w:bCs w:val="0"/>
        </w:rPr>
      </w:r>
      <w:r>
        <w:rPr/>
        <w:t>（</w:t>
      </w:r>
      <w:r>
        <w:rPr>
          <w:rFonts w:ascii="Times New Roman" w:hAnsi="Times New Roman" w:cs="Times New Roman" w:eastAsia="Times New Roman" w:hint="default"/>
        </w:rPr>
        <w:t>4</w:t>
      </w:r>
      <w:r>
        <w:rPr/>
        <w:t>）其他长期职工福利的会计处理方法</w:t>
      </w:r>
      <w:r>
        <w:rPr>
          <w:b w:val="0"/>
          <w:bCs w:val="0"/>
        </w:rPr>
      </w:r>
    </w:p>
    <w:p>
      <w:pPr>
        <w:spacing w:line="240" w:lineRule="auto" w:before="0"/>
        <w:rPr>
          <w:rFonts w:ascii="宋体" w:hAnsi="宋体" w:cs="宋体" w:eastAsia="宋体" w:hint="default"/>
          <w:b/>
          <w:bCs/>
          <w:sz w:val="22"/>
          <w:szCs w:val="22"/>
        </w:rPr>
      </w:pPr>
    </w:p>
    <w:p>
      <w:pPr>
        <w:spacing w:line="240" w:lineRule="auto" w:before="5"/>
        <w:rPr>
          <w:rFonts w:ascii="宋体" w:hAnsi="宋体" w:cs="宋体" w:eastAsia="宋体" w:hint="default"/>
          <w:b/>
          <w:bCs/>
          <w:sz w:val="16"/>
          <w:szCs w:val="16"/>
        </w:rPr>
      </w:pPr>
    </w:p>
    <w:p>
      <w:pPr>
        <w:pStyle w:val="BodyText"/>
        <w:spacing w:line="477" w:lineRule="auto"/>
        <w:ind w:left="1133" w:right="1131"/>
        <w:jc w:val="both"/>
      </w:pPr>
      <w:r>
        <w:rPr>
          <w:spacing w:val="-2"/>
        </w:rPr>
        <w:t>向职工提供的其他长期福利，符合设定提存计划条件的，按照设定提存计划的有关规定进行会计处理；除此之外的其他长期</w:t>
      </w:r>
      <w:r>
        <w:rPr>
          <w:spacing w:val="-66"/>
        </w:rPr>
        <w:t> </w:t>
      </w:r>
      <w:r>
        <w:rPr>
          <w:spacing w:val="-66"/>
        </w:rPr>
      </w:r>
      <w:r>
        <w:rPr>
          <w:spacing w:val="-2"/>
        </w:rPr>
        <w:t>福利，按照设定受益计划的有关规定进行会计处理，为简化相关会计处理，将其产生的职工薪酬成本确认为服务成本、其他</w:t>
      </w:r>
      <w:r>
        <w:rPr>
          <w:spacing w:val="-66"/>
        </w:rPr>
        <w:t> </w:t>
      </w:r>
      <w:r>
        <w:rPr>
          <w:spacing w:val="-66"/>
        </w:rPr>
      </w:r>
      <w:r>
        <w:rPr/>
        <w:t>长期职工福利净负债或净资产的利息净额以及重新计量其他长期职工福利净负债或净资产所产生的变动等组成项目的总净</w:t>
      </w:r>
      <w:r>
        <w:rPr>
          <w:spacing w:val="-9"/>
        </w:rPr>
        <w:t> </w:t>
      </w:r>
      <w:r>
        <w:rPr>
          <w:spacing w:val="-9"/>
        </w:rPr>
      </w:r>
      <w:r>
        <w:rPr/>
        <w:t>额计入当期损益或相关资产成本。</w:t>
      </w:r>
    </w:p>
    <w:p>
      <w:pPr>
        <w:spacing w:after="0" w:line="477" w:lineRule="auto"/>
        <w:jc w:val="both"/>
        <w:sectPr>
          <w:pgSz w:w="11910" w:h="16840"/>
          <w:pgMar w:header="787" w:footer="640" w:top="1100" w:bottom="840" w:left="0" w:right="0"/>
        </w:sectPr>
      </w:pPr>
    </w:p>
    <w:p>
      <w:pPr>
        <w:spacing w:line="240" w:lineRule="auto" w:before="7"/>
        <w:rPr>
          <w:rFonts w:ascii="宋体" w:hAnsi="宋体" w:cs="宋体" w:eastAsia="宋体" w:hint="default"/>
          <w:sz w:val="27"/>
          <w:szCs w:val="27"/>
        </w:rPr>
      </w:pPr>
    </w:p>
    <w:p>
      <w:pPr>
        <w:pStyle w:val="Heading3"/>
        <w:spacing w:line="240" w:lineRule="auto" w:before="35"/>
        <w:ind w:right="0"/>
        <w:jc w:val="both"/>
        <w:rPr>
          <w:b w:val="0"/>
          <w:bCs w:val="0"/>
        </w:rPr>
      </w:pPr>
      <w:bookmarkStart w:name="25、预计负债" w:id="204"/>
      <w:bookmarkEnd w:id="204"/>
      <w:r>
        <w:rPr>
          <w:b w:val="0"/>
          <w:bCs w:val="0"/>
        </w:rPr>
      </w:r>
      <w:r>
        <w:rPr>
          <w:rFonts w:ascii="Times New Roman" w:hAnsi="Times New Roman" w:cs="Times New Roman" w:eastAsia="Times New Roman" w:hint="default"/>
        </w:rPr>
        <w:t>25</w:t>
      </w:r>
      <w:r>
        <w:rPr/>
        <w:t>、预计负债</w:t>
      </w:r>
      <w:r>
        <w:rPr>
          <w:b w:val="0"/>
          <w:bCs w:val="0"/>
        </w:rPr>
      </w:r>
    </w:p>
    <w:p>
      <w:pPr>
        <w:spacing w:line="240" w:lineRule="auto" w:before="0"/>
        <w:rPr>
          <w:rFonts w:ascii="宋体" w:hAnsi="宋体" w:cs="宋体" w:eastAsia="宋体" w:hint="default"/>
          <w:b/>
          <w:bCs/>
          <w:sz w:val="22"/>
          <w:szCs w:val="22"/>
        </w:rPr>
      </w:pPr>
    </w:p>
    <w:p>
      <w:pPr>
        <w:spacing w:line="240" w:lineRule="auto" w:before="5"/>
        <w:rPr>
          <w:rFonts w:ascii="宋体" w:hAnsi="宋体" w:cs="宋体" w:eastAsia="宋体" w:hint="default"/>
          <w:b/>
          <w:bCs/>
          <w:sz w:val="16"/>
          <w:szCs w:val="16"/>
        </w:rPr>
      </w:pPr>
    </w:p>
    <w:p>
      <w:pPr>
        <w:pStyle w:val="BodyText"/>
        <w:spacing w:line="477" w:lineRule="auto"/>
        <w:ind w:right="1139"/>
        <w:jc w:val="both"/>
      </w:pPr>
      <w:r>
        <w:rPr/>
        <w:t>（</w:t>
      </w:r>
      <w:r>
        <w:rPr>
          <w:rFonts w:ascii="宋体" w:hAnsi="宋体" w:cs="宋体" w:eastAsia="宋体" w:hint="default"/>
        </w:rPr>
        <w:t>1</w:t>
      </w:r>
      <w:r>
        <w:rPr/>
        <w:t>）因对外提供担保、诉讼事项、产品质量保证、亏损合同等或有事项形成的义务成为公司承担的现时义务，履行该义务 很可能导致经济利益流出公司，且该义务的金额能够可靠的计量时，公司将该项义务确认为预计负债。</w:t>
      </w:r>
    </w:p>
    <w:p>
      <w:pPr>
        <w:pStyle w:val="BodyText"/>
        <w:spacing w:line="477" w:lineRule="auto" w:before="54"/>
        <w:ind w:right="1140"/>
        <w:jc w:val="both"/>
      </w:pPr>
      <w:r>
        <w:rPr/>
        <w:t>（</w:t>
      </w:r>
      <w:r>
        <w:rPr>
          <w:rFonts w:ascii="宋体" w:hAnsi="宋体" w:cs="宋体" w:eastAsia="宋体" w:hint="default"/>
        </w:rPr>
        <w:t>2</w:t>
      </w:r>
      <w:r>
        <w:rPr/>
        <w:t>）公司按照履行相关现时义务所需支出的最佳估计数对预计负债进行初始计量，并在资产负债表日对预计负债的账面价 值进行复核。</w:t>
      </w:r>
    </w:p>
    <w:p>
      <w:pPr>
        <w:spacing w:line="240" w:lineRule="auto" w:before="2"/>
        <w:rPr>
          <w:rFonts w:ascii="宋体" w:hAnsi="宋体" w:cs="宋体" w:eastAsia="宋体" w:hint="default"/>
          <w:sz w:val="25"/>
          <w:szCs w:val="25"/>
        </w:rPr>
      </w:pPr>
    </w:p>
    <w:p>
      <w:pPr>
        <w:pStyle w:val="Heading3"/>
        <w:spacing w:line="240" w:lineRule="auto"/>
        <w:ind w:left="1133" w:right="0"/>
        <w:jc w:val="both"/>
        <w:rPr>
          <w:b w:val="0"/>
          <w:bCs w:val="0"/>
        </w:rPr>
      </w:pPr>
      <w:bookmarkStart w:name="26、股份支付" w:id="205"/>
      <w:bookmarkEnd w:id="205"/>
      <w:r>
        <w:rPr>
          <w:b w:val="0"/>
          <w:bCs w:val="0"/>
        </w:rPr>
      </w:r>
      <w:r>
        <w:rPr>
          <w:rFonts w:ascii="Times New Roman" w:hAnsi="Times New Roman" w:cs="Times New Roman" w:eastAsia="Times New Roman" w:hint="default"/>
        </w:rPr>
        <w:t>26</w:t>
      </w:r>
      <w:r>
        <w:rPr/>
        <w:t>、股份支付</w:t>
      </w:r>
      <w:r>
        <w:rPr>
          <w:b w:val="0"/>
          <w:bCs w:val="0"/>
        </w:rPr>
      </w:r>
    </w:p>
    <w:p>
      <w:pPr>
        <w:spacing w:line="240" w:lineRule="auto" w:before="0"/>
        <w:rPr>
          <w:rFonts w:ascii="宋体" w:hAnsi="宋体" w:cs="宋体" w:eastAsia="宋体" w:hint="default"/>
          <w:b/>
          <w:bCs/>
          <w:sz w:val="22"/>
          <w:szCs w:val="22"/>
        </w:rPr>
      </w:pPr>
    </w:p>
    <w:p>
      <w:pPr>
        <w:pStyle w:val="Heading3"/>
        <w:spacing w:line="240" w:lineRule="auto" w:before="189"/>
        <w:ind w:right="0"/>
        <w:jc w:val="both"/>
        <w:rPr>
          <w:b w:val="0"/>
          <w:bCs w:val="0"/>
        </w:rPr>
      </w:pPr>
      <w:r>
        <w:rPr/>
        <w:t>（</w:t>
      </w:r>
      <w:r>
        <w:rPr>
          <w:rFonts w:ascii="Times New Roman" w:hAnsi="Times New Roman" w:cs="Times New Roman" w:eastAsia="Times New Roman" w:hint="default"/>
        </w:rPr>
        <w:t>1</w:t>
      </w:r>
      <w:r>
        <w:rPr/>
        <w:t>）股份支付的种类</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pStyle w:val="BodyText"/>
        <w:spacing w:line="240" w:lineRule="auto"/>
        <w:ind w:left="1640" w:right="0"/>
        <w:jc w:val="left"/>
      </w:pPr>
      <w:r>
        <w:rPr/>
        <w:t>包括以权益结算的股份支付和以现金结算的股份支付。</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0"/>
          <w:szCs w:val="20"/>
        </w:rPr>
      </w:pPr>
    </w:p>
    <w:p>
      <w:pPr>
        <w:pStyle w:val="Heading3"/>
        <w:spacing w:line="240" w:lineRule="auto"/>
        <w:ind w:left="1133" w:right="0"/>
        <w:jc w:val="both"/>
        <w:rPr>
          <w:b w:val="0"/>
          <w:bCs w:val="0"/>
        </w:rPr>
      </w:pPr>
      <w:r>
        <w:rPr/>
        <w:t>（</w:t>
      </w:r>
      <w:r>
        <w:rPr>
          <w:rFonts w:ascii="Times New Roman" w:hAnsi="Times New Roman" w:cs="Times New Roman" w:eastAsia="Times New Roman" w:hint="default"/>
        </w:rPr>
        <w:t>2</w:t>
      </w:r>
      <w:r>
        <w:rPr/>
        <w:t>）实施、修改、终止股份支付计划的相关会计处理</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pStyle w:val="BodyText"/>
        <w:spacing w:line="516" w:lineRule="auto"/>
        <w:ind w:left="1493" w:right="1033" w:firstLine="74"/>
        <w:jc w:val="left"/>
      </w:pPr>
      <w:r>
        <w:rPr/>
        <w:t>①以权益结算的股份支付 授予后立即可行权的换取职工服务的以权益结算的股份支付，在授予日按照权益工具的公允价值计入相关成本或费用，</w:t>
      </w:r>
    </w:p>
    <w:p>
      <w:pPr>
        <w:pStyle w:val="BodyText"/>
        <w:spacing w:line="477" w:lineRule="auto" w:before="26"/>
        <w:ind w:left="1133" w:right="1132"/>
        <w:jc w:val="both"/>
      </w:pPr>
      <w:r>
        <w:rPr>
          <w:spacing w:val="-2"/>
        </w:rPr>
        <w:t>相应调整资本公积。完成等待期内的服务或达到规定业绩条件才可行权的换取职工服务的以权益结算的股份支付，在等待期</w:t>
      </w:r>
      <w:r>
        <w:rPr>
          <w:spacing w:val="-64"/>
        </w:rPr>
        <w:t> </w:t>
      </w:r>
      <w:r>
        <w:rPr>
          <w:spacing w:val="-64"/>
        </w:rPr>
      </w:r>
      <w:r>
        <w:rPr>
          <w:spacing w:val="-2"/>
        </w:rPr>
        <w:t>内的每个资产负债表日，以对可行权权益工具数量的最佳估计为基础，按权益工具授予日的公允价值，将当期取得的服务计</w:t>
      </w:r>
      <w:r>
        <w:rPr>
          <w:spacing w:val="-66"/>
        </w:rPr>
        <w:t> </w:t>
      </w:r>
      <w:r>
        <w:rPr>
          <w:spacing w:val="-66"/>
        </w:rPr>
      </w:r>
      <w:r>
        <w:rPr/>
        <w:t>入相关成本或费用，相应调整资本公积。</w:t>
      </w:r>
    </w:p>
    <w:p>
      <w:pPr>
        <w:pStyle w:val="BodyText"/>
        <w:spacing w:line="477" w:lineRule="auto" w:before="94"/>
        <w:ind w:left="1133" w:right="1132" w:firstLine="360"/>
        <w:jc w:val="both"/>
      </w:pPr>
      <w:r>
        <w:rPr>
          <w:spacing w:val="-2"/>
        </w:rPr>
        <w:t>换取其他方服务的权益结算的股份支付，如果其他方服务的公允价值能够可靠计量的，按照其他方服务在取得日的公允</w:t>
      </w:r>
      <w:r>
        <w:rPr/>
        <w:t> </w:t>
      </w:r>
      <w:r>
        <w:rPr>
          <w:spacing w:val="-2"/>
        </w:rPr>
        <w:t>价值计量；如果其他方服务的公允价值不能可靠计量，但权益工具的公允价值能够可靠计量的，按照权益工具在服务取得日</w:t>
      </w:r>
      <w:r>
        <w:rPr>
          <w:spacing w:val="-66"/>
        </w:rPr>
        <w:t> </w:t>
      </w:r>
      <w:r>
        <w:rPr>
          <w:spacing w:val="-66"/>
        </w:rPr>
      </w:r>
      <w:r>
        <w:rPr/>
        <w:t>的公允价值计量，计入相关成本或费用，相应增加所有者权益。</w:t>
      </w:r>
    </w:p>
    <w:p>
      <w:pPr>
        <w:pStyle w:val="BodyText"/>
        <w:spacing w:line="516" w:lineRule="auto" w:before="94"/>
        <w:ind w:left="1567" w:right="1139" w:hanging="74"/>
        <w:jc w:val="left"/>
      </w:pPr>
      <w:r>
        <w:rPr/>
        <w:t>②以现金结算的股份支付 授予后立即可行权的换取职工服务的以现金结算的股份支付，在授予日按公司承担负债的公允价值计入相关成本或费</w:t>
      </w:r>
    </w:p>
    <w:p>
      <w:pPr>
        <w:pStyle w:val="BodyText"/>
        <w:spacing w:line="477" w:lineRule="auto" w:before="25"/>
        <w:ind w:left="1133" w:right="1133"/>
        <w:jc w:val="both"/>
      </w:pPr>
      <w:r>
        <w:rPr>
          <w:spacing w:val="-2"/>
        </w:rPr>
        <w:t>用，相应增加负债。完成等待期内的服务或达到规定业绩条件才可行权的换取职工服务的以现金结算的股份支付，在等待期</w:t>
      </w:r>
      <w:r>
        <w:rPr>
          <w:spacing w:val="-66"/>
        </w:rPr>
        <w:t> </w:t>
      </w:r>
      <w:r>
        <w:rPr>
          <w:spacing w:val="-66"/>
        </w:rPr>
      </w:r>
      <w:r>
        <w:rPr>
          <w:spacing w:val="-2"/>
        </w:rPr>
        <w:t>内的每个资产负债表日，以对可行权情况的最佳估计为基础，按公司承担负债的公允价值，将当期取得的服务计入相关成本</w:t>
      </w:r>
      <w:r>
        <w:rPr>
          <w:spacing w:val="-66"/>
        </w:rPr>
        <w:t> </w:t>
      </w:r>
      <w:r>
        <w:rPr>
          <w:spacing w:val="-66"/>
        </w:rPr>
      </w:r>
      <w:r>
        <w:rPr/>
        <w:t>或费用和相应的负债。</w:t>
      </w:r>
    </w:p>
    <w:p>
      <w:pPr>
        <w:pStyle w:val="BodyText"/>
        <w:spacing w:line="516" w:lineRule="auto" w:before="95"/>
        <w:ind w:left="1493" w:right="0"/>
        <w:jc w:val="left"/>
      </w:pPr>
      <w:r>
        <w:rPr/>
        <w:t>③修改、终止股份支付计划 </w:t>
      </w:r>
      <w:r>
        <w:rPr>
          <w:spacing w:val="-2"/>
        </w:rPr>
        <w:t>如果修改增加了所授予的权益工具的公允价值，公司按照权益工具公允价值的增加相应地确认取得服务的增加；如果修</w:t>
      </w:r>
    </w:p>
    <w:p>
      <w:pPr>
        <w:pStyle w:val="BodyText"/>
        <w:spacing w:line="240" w:lineRule="auto" w:before="25"/>
        <w:ind w:left="1133" w:right="0"/>
        <w:jc w:val="both"/>
      </w:pPr>
      <w:r>
        <w:rPr/>
        <w:t>改增加了所授予的权益工具的数量，公司将增加的权益工具的公允价值相应地确认为取得服务的增加；如果公司按照有利于</w:t>
      </w:r>
    </w:p>
    <w:p>
      <w:pPr>
        <w:spacing w:after="0" w:line="240" w:lineRule="auto"/>
        <w:jc w:val="both"/>
        <w:sectPr>
          <w:pgSz w:w="11910" w:h="16840"/>
          <w:pgMar w:header="787" w:footer="640" w:top="1100" w:bottom="840" w:left="0" w:right="0"/>
        </w:sectPr>
      </w:pPr>
    </w:p>
    <w:p>
      <w:pPr>
        <w:spacing w:line="240" w:lineRule="auto" w:before="11"/>
        <w:rPr>
          <w:rFonts w:ascii="宋体" w:hAnsi="宋体" w:cs="宋体" w:eastAsia="宋体" w:hint="default"/>
          <w:sz w:val="28"/>
          <w:szCs w:val="28"/>
        </w:rPr>
      </w:pPr>
    </w:p>
    <w:p>
      <w:pPr>
        <w:pStyle w:val="BodyText"/>
        <w:spacing w:line="516" w:lineRule="auto" w:before="44"/>
        <w:ind w:left="1493" w:right="1033" w:hanging="360"/>
        <w:jc w:val="left"/>
      </w:pPr>
      <w:r>
        <w:rPr/>
        <w:t>职的方式修改可行权条件，公司在处理可行权条件时，考虑修改后的可行权条件。 如果修改减少了授予的权益工具的公允价值，公司继续以权益工具在授予日的公允价值为基础，确认取得服务的金额，</w:t>
      </w:r>
    </w:p>
    <w:p>
      <w:pPr>
        <w:pStyle w:val="BodyText"/>
        <w:spacing w:line="477" w:lineRule="auto" w:before="25"/>
        <w:ind w:left="1133" w:right="0"/>
        <w:jc w:val="left"/>
      </w:pPr>
      <w:r>
        <w:rPr>
          <w:spacing w:val="-2"/>
        </w:rPr>
        <w:t>而不考虑权益工具公允价值的减少；如果修改减少了授予的权益工具的数量，公司将减少部分作为已授予的权益工具的取消</w:t>
      </w:r>
      <w:r>
        <w:rPr>
          <w:spacing w:val="-64"/>
        </w:rPr>
        <w:t> </w:t>
      </w:r>
      <w:r>
        <w:rPr>
          <w:spacing w:val="-64"/>
        </w:rPr>
      </w:r>
      <w:r>
        <w:rPr/>
        <w:t>来进行处理；如果以不利于职工的方式修改了可行权条件，在处理可行权条件时，不考虑修改后的可行权条件。</w:t>
      </w:r>
    </w:p>
    <w:p>
      <w:pPr>
        <w:pStyle w:val="BodyText"/>
        <w:spacing w:line="477" w:lineRule="auto" w:before="94"/>
        <w:ind w:left="1133" w:right="1133" w:firstLine="360"/>
        <w:jc w:val="both"/>
      </w:pPr>
      <w:r>
        <w:rPr>
          <w:spacing w:val="-2"/>
        </w:rPr>
        <w:t>如果公司在等待期内取消了所授予的权益工具或结算了所授予的权益工具（因未满足可行权条件而被取消的除外），则</w:t>
      </w:r>
      <w:r>
        <w:rPr/>
        <w:t> 将取消或结算作为加速可行权处理，立即确认原本在剩余等待期内确认的金额。</w:t>
      </w:r>
    </w:p>
    <w:p>
      <w:pPr>
        <w:spacing w:line="240" w:lineRule="auto" w:before="0"/>
        <w:rPr>
          <w:rFonts w:ascii="宋体" w:hAnsi="宋体" w:cs="宋体" w:eastAsia="宋体" w:hint="default"/>
          <w:sz w:val="25"/>
          <w:szCs w:val="25"/>
        </w:rPr>
      </w:pPr>
    </w:p>
    <w:p>
      <w:pPr>
        <w:pStyle w:val="Heading3"/>
        <w:spacing w:line="240" w:lineRule="auto"/>
        <w:ind w:left="1133" w:right="0"/>
        <w:jc w:val="left"/>
        <w:rPr>
          <w:b w:val="0"/>
          <w:bCs w:val="0"/>
        </w:rPr>
      </w:pPr>
      <w:bookmarkStart w:name="27、优先股、永续债等其他金融工具" w:id="206"/>
      <w:bookmarkEnd w:id="206"/>
      <w:r>
        <w:rPr>
          <w:b w:val="0"/>
          <w:bCs w:val="0"/>
        </w:rPr>
      </w:r>
      <w:r>
        <w:rPr>
          <w:rFonts w:ascii="Times New Roman" w:hAnsi="Times New Roman" w:cs="Times New Roman" w:eastAsia="Times New Roman" w:hint="default"/>
        </w:rPr>
        <w:t>27</w:t>
      </w:r>
      <w:r>
        <w:rPr/>
        <w:t>、优先股、永续债等其他金融工具</w:t>
      </w:r>
      <w:r>
        <w:rPr>
          <w:b w:val="0"/>
          <w:bCs w:val="0"/>
        </w:rPr>
      </w:r>
    </w:p>
    <w:p>
      <w:pPr>
        <w:spacing w:line="240" w:lineRule="auto" w:before="0"/>
        <w:rPr>
          <w:rFonts w:ascii="宋体" w:hAnsi="宋体" w:cs="宋体" w:eastAsia="宋体" w:hint="default"/>
          <w:b/>
          <w:bCs/>
          <w:sz w:val="22"/>
          <w:szCs w:val="22"/>
        </w:rPr>
      </w:pPr>
    </w:p>
    <w:p>
      <w:pPr>
        <w:spacing w:line="240" w:lineRule="auto" w:before="5"/>
        <w:rPr>
          <w:rFonts w:ascii="宋体" w:hAnsi="宋体" w:cs="宋体" w:eastAsia="宋体" w:hint="default"/>
          <w:b/>
          <w:bCs/>
          <w:sz w:val="16"/>
          <w:szCs w:val="16"/>
        </w:rPr>
      </w:pPr>
    </w:p>
    <w:p>
      <w:pPr>
        <w:pStyle w:val="BodyText"/>
        <w:spacing w:line="240" w:lineRule="auto"/>
        <w:ind w:left="1133" w:right="0"/>
        <w:jc w:val="left"/>
      </w:pPr>
      <w:r>
        <w:rPr/>
        <w:t>无</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0"/>
          <w:szCs w:val="20"/>
        </w:rPr>
      </w:pPr>
    </w:p>
    <w:p>
      <w:pPr>
        <w:pStyle w:val="Heading3"/>
        <w:spacing w:line="240" w:lineRule="auto"/>
        <w:ind w:right="0"/>
        <w:jc w:val="left"/>
        <w:rPr>
          <w:b w:val="0"/>
          <w:bCs w:val="0"/>
        </w:rPr>
      </w:pPr>
      <w:bookmarkStart w:name="28、收入" w:id="207"/>
      <w:bookmarkEnd w:id="207"/>
      <w:r>
        <w:rPr>
          <w:b w:val="0"/>
          <w:bCs w:val="0"/>
        </w:rPr>
      </w:r>
      <w:r>
        <w:rPr>
          <w:rFonts w:ascii="Times New Roman" w:hAnsi="Times New Roman" w:cs="Times New Roman" w:eastAsia="Times New Roman" w:hint="default"/>
        </w:rPr>
        <w:t>28</w:t>
      </w:r>
      <w:r>
        <w:rPr/>
        <w:t>、收入</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pStyle w:val="BodyText"/>
        <w:spacing w:line="516" w:lineRule="auto"/>
        <w:ind w:right="7692"/>
        <w:jc w:val="left"/>
      </w:pPr>
      <w:r>
        <w:rPr/>
        <w:t>公司是否需要遵守特殊行业的披露要求 否</w:t>
      </w:r>
    </w:p>
    <w:p>
      <w:pPr>
        <w:pStyle w:val="BodyText"/>
        <w:spacing w:line="240" w:lineRule="auto" w:before="65"/>
        <w:ind w:right="0"/>
        <w:jc w:val="left"/>
      </w:pPr>
      <w:r>
        <w:rPr/>
        <w:t>（</w:t>
      </w:r>
      <w:r>
        <w:rPr>
          <w:rFonts w:ascii="Times New Roman" w:hAnsi="Times New Roman" w:cs="Times New Roman" w:eastAsia="Times New Roman" w:hint="default"/>
        </w:rPr>
        <w:t>1</w:t>
      </w:r>
      <w:r>
        <w:rPr/>
        <w:t>）收入确认原则</w:t>
      </w:r>
    </w:p>
    <w:p>
      <w:pPr>
        <w:spacing w:line="240" w:lineRule="auto" w:before="11"/>
        <w:rPr>
          <w:rFonts w:ascii="宋体" w:hAnsi="宋体" w:cs="宋体" w:eastAsia="宋体" w:hint="default"/>
          <w:sz w:val="19"/>
          <w:szCs w:val="19"/>
        </w:rPr>
      </w:pPr>
    </w:p>
    <w:p>
      <w:pPr>
        <w:pStyle w:val="BodyText"/>
        <w:spacing w:line="240" w:lineRule="auto"/>
        <w:ind w:left="1494" w:right="0"/>
        <w:jc w:val="left"/>
      </w:pPr>
      <w:r>
        <w:rPr/>
        <w:t>①销售商品</w:t>
      </w:r>
    </w:p>
    <w:p>
      <w:pPr>
        <w:spacing w:line="240" w:lineRule="auto" w:before="9"/>
        <w:rPr>
          <w:rFonts w:ascii="宋体" w:hAnsi="宋体" w:cs="宋体" w:eastAsia="宋体" w:hint="default"/>
          <w:sz w:val="20"/>
          <w:szCs w:val="20"/>
        </w:rPr>
      </w:pPr>
    </w:p>
    <w:p>
      <w:pPr>
        <w:pStyle w:val="BodyText"/>
        <w:spacing w:line="451" w:lineRule="auto"/>
        <w:ind w:left="1133" w:right="1130" w:firstLine="360"/>
        <w:jc w:val="both"/>
      </w:pPr>
      <w:r>
        <w:rPr/>
        <w:t>销售商品收入在同时满足下列条件时予以确认：</w:t>
      </w:r>
      <w:r>
        <w:rPr>
          <w:rFonts w:ascii="Times New Roman" w:hAnsi="Times New Roman" w:cs="Times New Roman" w:eastAsia="Times New Roman" w:hint="default"/>
        </w:rPr>
        <w:t>1) </w:t>
      </w:r>
      <w:r>
        <w:rPr/>
        <w:t>将商品所有权上的主要风险和报酬转移给购货方；</w:t>
      </w:r>
      <w:r>
        <w:rPr>
          <w:rFonts w:ascii="Times New Roman" w:hAnsi="Times New Roman" w:cs="Times New Roman" w:eastAsia="Times New Roman" w:hint="default"/>
        </w:rPr>
        <w:t>2)</w:t>
      </w:r>
      <w:r>
        <w:rPr>
          <w:rFonts w:ascii="Times New Roman" w:hAnsi="Times New Roman" w:cs="Times New Roman" w:eastAsia="Times New Roman" w:hint="default"/>
          <w:spacing w:val="24"/>
        </w:rPr>
        <w:t> </w:t>
      </w:r>
      <w:r>
        <w:rPr/>
        <w:t>公司不再保留 通常与所有权相联系的继续管理权，也不再对已售出的商品实施有效控制；</w:t>
      </w:r>
      <w:r>
        <w:rPr>
          <w:rFonts w:ascii="Times New Roman" w:hAnsi="Times New Roman" w:cs="Times New Roman" w:eastAsia="Times New Roman" w:hint="default"/>
        </w:rPr>
        <w:t>3) </w:t>
      </w:r>
      <w:r>
        <w:rPr/>
        <w:t>收入的金额能够可靠地计量；</w:t>
      </w:r>
      <w:r>
        <w:rPr>
          <w:rFonts w:ascii="Times New Roman" w:hAnsi="Times New Roman" w:cs="Times New Roman" w:eastAsia="Times New Roman" w:hint="default"/>
        </w:rPr>
        <w:t>4)</w:t>
      </w:r>
      <w:r>
        <w:rPr>
          <w:rFonts w:ascii="Times New Roman" w:hAnsi="Times New Roman" w:cs="Times New Roman" w:eastAsia="Times New Roman" w:hint="default"/>
          <w:spacing w:val="23"/>
        </w:rPr>
        <w:t> </w:t>
      </w:r>
      <w:r>
        <w:rPr/>
        <w:t>相关的经济 利益很可能流入；</w:t>
      </w:r>
      <w:r>
        <w:rPr>
          <w:rFonts w:ascii="Times New Roman" w:hAnsi="Times New Roman" w:cs="Times New Roman" w:eastAsia="Times New Roman" w:hint="default"/>
        </w:rPr>
        <w:t>5)  </w:t>
      </w:r>
      <w:r>
        <w:rPr/>
        <w:t>相关的已发生或将发生的成本能够可靠地计量。</w:t>
      </w:r>
    </w:p>
    <w:p>
      <w:pPr>
        <w:pStyle w:val="BodyText"/>
        <w:spacing w:line="516" w:lineRule="auto" w:before="83"/>
        <w:ind w:left="1494" w:right="1033" w:firstLine="90"/>
        <w:jc w:val="left"/>
      </w:pPr>
      <w:r>
        <w:rPr/>
        <w:t>②提供劳务 </w:t>
      </w:r>
      <w:r>
        <w:rPr>
          <w:spacing w:val="-4"/>
        </w:rPr>
        <w:t>提供劳务交易的结果在资产负债表日能够可靠估计的（同时满足收入的金额能够可靠地计量、相关经济利益很可能流入、</w:t>
      </w:r>
    </w:p>
    <w:p>
      <w:pPr>
        <w:pStyle w:val="BodyText"/>
        <w:spacing w:line="477" w:lineRule="auto" w:before="25"/>
        <w:ind w:right="0"/>
        <w:jc w:val="left"/>
      </w:pPr>
      <w:r>
        <w:rPr>
          <w:spacing w:val="-4"/>
        </w:rPr>
        <w:t>交易的完工进度能够可靠地确定、交易中已发生和将发生的成本能够可靠地计量），采用完工百分比法确认提供劳务的收入，</w:t>
      </w:r>
      <w:r>
        <w:rPr>
          <w:spacing w:val="-42"/>
        </w:rPr>
        <w:t> </w:t>
      </w:r>
      <w:r>
        <w:rPr>
          <w:spacing w:val="-42"/>
        </w:rPr>
      </w:r>
      <w:r>
        <w:rPr>
          <w:spacing w:val="-2"/>
        </w:rPr>
        <w:t>并按已经发生的成本占估计总成本的比例确定提供劳务交易的完工进度。提供劳务交易的结果在资产负债表日不能够可靠估</w:t>
      </w:r>
      <w:r>
        <w:rPr>
          <w:spacing w:val="-64"/>
        </w:rPr>
        <w:t> </w:t>
      </w:r>
      <w:r>
        <w:rPr>
          <w:spacing w:val="-64"/>
        </w:rPr>
      </w:r>
      <w:r>
        <w:rPr>
          <w:spacing w:val="-2"/>
        </w:rPr>
        <w:t>计的，若已经发生的劳务成本预计能够得到补偿，按已经发生的劳务成本金额确认提供劳务收入，并按相同金额结转劳务成</w:t>
      </w:r>
      <w:r>
        <w:rPr>
          <w:spacing w:val="-66"/>
        </w:rPr>
        <w:t> </w:t>
      </w:r>
      <w:r>
        <w:rPr>
          <w:spacing w:val="-66"/>
        </w:rPr>
      </w:r>
      <w:r>
        <w:rPr/>
        <w:t>本；若已经发生的劳务成本预计不能够得到补偿，将已经发生的劳务成本计入当期损益，不确认劳务收入。</w:t>
      </w:r>
    </w:p>
    <w:p>
      <w:pPr>
        <w:pStyle w:val="BodyText"/>
        <w:spacing w:line="487" w:lineRule="auto" w:before="94"/>
        <w:ind w:left="1404" w:right="1122" w:hanging="270"/>
        <w:jc w:val="left"/>
      </w:pPr>
      <w:r>
        <w:rPr/>
        <w:t>（</w:t>
      </w:r>
      <w:r>
        <w:rPr>
          <w:rFonts w:ascii="Times New Roman" w:hAnsi="Times New Roman" w:cs="Times New Roman" w:eastAsia="Times New Roman" w:hint="default"/>
        </w:rPr>
        <w:t>2</w:t>
      </w:r>
      <w:r>
        <w:rPr/>
        <w:t>）收入确认的具体方法 公司的主营业务为安防业务，包括金融安防系统、安防设备销售、防盗报警工程、闭路电视监控系统等集成系统以及公</w:t>
      </w:r>
    </w:p>
    <w:p>
      <w:pPr>
        <w:pStyle w:val="BodyText"/>
        <w:spacing w:line="240" w:lineRule="auto" w:before="48"/>
        <w:ind w:right="0"/>
        <w:jc w:val="left"/>
      </w:pPr>
      <w:r>
        <w:rPr/>
        <w:t>共安全大数据的处理服务。</w:t>
      </w:r>
    </w:p>
    <w:p>
      <w:pPr>
        <w:spacing w:line="240" w:lineRule="auto" w:before="10"/>
        <w:rPr>
          <w:rFonts w:ascii="宋体" w:hAnsi="宋体" w:cs="宋体" w:eastAsia="宋体" w:hint="default"/>
          <w:sz w:val="20"/>
          <w:szCs w:val="20"/>
        </w:rPr>
      </w:pPr>
    </w:p>
    <w:p>
      <w:pPr>
        <w:pStyle w:val="BodyText"/>
        <w:spacing w:line="240" w:lineRule="auto"/>
        <w:ind w:left="1404" w:right="0"/>
        <w:jc w:val="left"/>
      </w:pPr>
      <w:r>
        <w:rPr/>
        <w:t>①本公司安防系统业务主要系为金融企业提供安防综合管理系统、出入口控制系统、自助银行智能安防系统、营业网点</w:t>
      </w:r>
    </w:p>
    <w:p>
      <w:pPr>
        <w:spacing w:after="0" w:line="240" w:lineRule="auto"/>
        <w:jc w:val="left"/>
        <w:sectPr>
          <w:pgSz w:w="11910" w:h="16840"/>
          <w:pgMar w:header="787" w:footer="640" w:top="1100" w:bottom="840" w:left="0" w:right="0"/>
        </w:sectPr>
      </w:pPr>
    </w:p>
    <w:p>
      <w:pPr>
        <w:spacing w:line="240" w:lineRule="auto" w:before="10"/>
        <w:rPr>
          <w:rFonts w:ascii="宋体" w:hAnsi="宋体" w:cs="宋体" w:eastAsia="宋体" w:hint="default"/>
          <w:sz w:val="28"/>
          <w:szCs w:val="28"/>
        </w:rPr>
      </w:pPr>
    </w:p>
    <w:p>
      <w:pPr>
        <w:pStyle w:val="BodyText"/>
        <w:spacing w:line="477" w:lineRule="auto" w:before="44"/>
        <w:ind w:right="1131"/>
        <w:jc w:val="both"/>
      </w:pPr>
      <w:r>
        <w:rPr>
          <w:spacing w:val="-2"/>
        </w:rPr>
        <w:t>视音频系统的安防系统服务和维护收入服务，其实施阶段通常包括设备进场、实施工程、系统调试、客户确认安装设备清单</w:t>
      </w:r>
      <w:r>
        <w:rPr>
          <w:spacing w:val="-65"/>
        </w:rPr>
        <w:t> </w:t>
      </w:r>
      <w:r>
        <w:rPr>
          <w:spacing w:val="-65"/>
        </w:rPr>
      </w:r>
      <w:r>
        <w:rPr>
          <w:spacing w:val="-2"/>
        </w:rPr>
        <w:t>和工程验收。本公司在系统安装调试完毕且通过客户验收确认后，相关的收入已经收到或取得收款的证据，与安防系统有关</w:t>
      </w:r>
      <w:r>
        <w:rPr>
          <w:spacing w:val="-66"/>
        </w:rPr>
        <w:t> </w:t>
      </w:r>
      <w:r>
        <w:rPr>
          <w:spacing w:val="-66"/>
        </w:rPr>
      </w:r>
      <w:r>
        <w:rPr/>
        <w:t>的成本能够可靠计量时，确认安防系统收入的实现。</w:t>
      </w:r>
    </w:p>
    <w:p>
      <w:pPr>
        <w:pStyle w:val="BodyText"/>
        <w:spacing w:line="477" w:lineRule="auto" w:before="93"/>
        <w:ind w:right="1122" w:firstLine="270"/>
        <w:jc w:val="left"/>
      </w:pPr>
      <w:r>
        <w:rPr/>
        <w:t>②安防设备销售业务是指公司通过参加金融企业的集中采购，为金融企业或其指定的工程商提供产品。设备销售业务的 收入确认原则为产品交付并获得客户签收确认时确认收入。</w:t>
      </w:r>
    </w:p>
    <w:p>
      <w:pPr>
        <w:pStyle w:val="BodyText"/>
        <w:spacing w:line="477" w:lineRule="auto" w:before="94"/>
        <w:ind w:right="1032" w:firstLine="270"/>
        <w:jc w:val="left"/>
      </w:pPr>
      <w:r>
        <w:rPr/>
        <w:t>③公司的子公司深圳市润安科技发展有限公司主营业务为防盗报警工程、闭路电视监控系统等集成系统的安装与实施， 以及安全定位产品的销售。对于集成系统的收入，按照工程完工验收之日确认合同收入和合同费用；对于定位产品的销售， 按照产品交付并获得客户签收确认时确认收入。</w:t>
      </w:r>
    </w:p>
    <w:p>
      <w:pPr>
        <w:pStyle w:val="BodyText"/>
        <w:spacing w:line="477" w:lineRule="auto" w:before="92"/>
        <w:ind w:right="0" w:firstLine="360"/>
        <w:jc w:val="left"/>
      </w:pPr>
      <w:r>
        <w:rPr>
          <w:spacing w:val="-2"/>
        </w:rPr>
        <w:t>④公共安全大数据的处理服务是指公司通过参加政府的集中采购，为政府或其指定的部门提供公共安全服务。本公司对</w:t>
      </w:r>
      <w:r>
        <w:rPr/>
        <w:t> 于公共安全服务按月收取服务费，收入按月与客户对账确认相关服务费时确认。</w:t>
      </w:r>
    </w:p>
    <w:p>
      <w:pPr>
        <w:spacing w:line="240" w:lineRule="auto" w:before="0"/>
        <w:rPr>
          <w:rFonts w:ascii="宋体" w:hAnsi="宋体" w:cs="宋体" w:eastAsia="宋体" w:hint="default"/>
          <w:sz w:val="25"/>
          <w:szCs w:val="25"/>
        </w:rPr>
      </w:pPr>
    </w:p>
    <w:p>
      <w:pPr>
        <w:pStyle w:val="Heading3"/>
        <w:spacing w:line="240" w:lineRule="auto"/>
        <w:ind w:left="1133" w:right="0"/>
        <w:jc w:val="both"/>
        <w:rPr>
          <w:b w:val="0"/>
          <w:bCs w:val="0"/>
        </w:rPr>
      </w:pPr>
      <w:bookmarkStart w:name="29、政府补助" w:id="208"/>
      <w:bookmarkEnd w:id="208"/>
      <w:r>
        <w:rPr>
          <w:b w:val="0"/>
          <w:bCs w:val="0"/>
        </w:rPr>
      </w:r>
      <w:r>
        <w:rPr>
          <w:rFonts w:ascii="Times New Roman" w:hAnsi="Times New Roman" w:cs="Times New Roman" w:eastAsia="Times New Roman" w:hint="default"/>
        </w:rPr>
        <w:t>29</w:t>
      </w:r>
      <w:r>
        <w:rPr/>
        <w:t>、政府补助</w:t>
      </w:r>
      <w:r>
        <w:rPr>
          <w:b w:val="0"/>
          <w:bCs w:val="0"/>
        </w:rPr>
      </w:r>
    </w:p>
    <w:p>
      <w:pPr>
        <w:spacing w:line="240" w:lineRule="auto" w:before="0"/>
        <w:rPr>
          <w:rFonts w:ascii="宋体" w:hAnsi="宋体" w:cs="宋体" w:eastAsia="宋体" w:hint="default"/>
          <w:b/>
          <w:bCs/>
          <w:sz w:val="22"/>
          <w:szCs w:val="22"/>
        </w:rPr>
      </w:pPr>
    </w:p>
    <w:p>
      <w:pPr>
        <w:pStyle w:val="Heading3"/>
        <w:spacing w:line="240" w:lineRule="auto" w:before="189"/>
        <w:ind w:right="0"/>
        <w:jc w:val="both"/>
        <w:rPr>
          <w:b w:val="0"/>
          <w:bCs w:val="0"/>
        </w:rPr>
      </w:pPr>
      <w:bookmarkStart w:name="（1）与资产相关的政府补助判断依据及会计处理方法" w:id="209"/>
      <w:bookmarkEnd w:id="209"/>
      <w:r>
        <w:rPr>
          <w:b w:val="0"/>
          <w:bCs w:val="0"/>
        </w:rPr>
      </w:r>
      <w:r>
        <w:rPr/>
        <w:t>（</w:t>
      </w:r>
      <w:r>
        <w:rPr>
          <w:rFonts w:ascii="Times New Roman" w:hAnsi="Times New Roman" w:cs="Times New Roman" w:eastAsia="Times New Roman" w:hint="default"/>
        </w:rPr>
        <w:t>1</w:t>
      </w:r>
      <w:r>
        <w:rPr/>
        <w:t>）与资产相关的政府补助判断依据及会计处理方法</w:t>
      </w:r>
      <w:r>
        <w:rPr>
          <w:b w:val="0"/>
          <w:bCs w:val="0"/>
        </w:rPr>
      </w:r>
    </w:p>
    <w:p>
      <w:pPr>
        <w:spacing w:line="240" w:lineRule="auto" w:before="0"/>
        <w:rPr>
          <w:rFonts w:ascii="宋体" w:hAnsi="宋体" w:cs="宋体" w:eastAsia="宋体" w:hint="default"/>
          <w:b/>
          <w:bCs/>
          <w:sz w:val="22"/>
          <w:szCs w:val="22"/>
        </w:rPr>
      </w:pPr>
    </w:p>
    <w:p>
      <w:pPr>
        <w:spacing w:line="240" w:lineRule="auto" w:before="5"/>
        <w:rPr>
          <w:rFonts w:ascii="宋体" w:hAnsi="宋体" w:cs="宋体" w:eastAsia="宋体" w:hint="default"/>
          <w:b/>
          <w:bCs/>
          <w:sz w:val="16"/>
          <w:szCs w:val="16"/>
        </w:rPr>
      </w:pPr>
    </w:p>
    <w:p>
      <w:pPr>
        <w:pStyle w:val="BodyText"/>
        <w:spacing w:line="477" w:lineRule="auto"/>
        <w:ind w:right="1132"/>
        <w:jc w:val="both"/>
      </w:pPr>
      <w:r>
        <w:rPr>
          <w:spacing w:val="-2"/>
        </w:rPr>
        <w:t>公司取得的、用于购建或以其他方式形成长期资产的政府补助划分为与资产相关的政府补助。与资产相关的政府补助，冲减</w:t>
      </w:r>
      <w:r>
        <w:rPr>
          <w:spacing w:val="-66"/>
        </w:rPr>
        <w:t> </w:t>
      </w:r>
      <w:r>
        <w:rPr>
          <w:spacing w:val="-66"/>
        </w:rPr>
      </w:r>
      <w:r>
        <w:rPr>
          <w:spacing w:val="-2"/>
        </w:rPr>
        <w:t>相关资产的账面价值或确认为递延收益。与资产相关补助确认为递延收益的，在相关资产使用寿命内按照合理、系统的方法</w:t>
      </w:r>
      <w:r>
        <w:rPr>
          <w:spacing w:val="-66"/>
        </w:rPr>
        <w:t> </w:t>
      </w:r>
      <w:r>
        <w:rPr>
          <w:spacing w:val="-66"/>
        </w:rPr>
      </w:r>
      <w:r>
        <w:rPr>
          <w:spacing w:val="-2"/>
        </w:rPr>
        <w:t>分期计入损益。按照名义金额计量的政府补助，直接计入当期损益。相关资产在使用寿命结束前被出售、转让、报废或发生</w:t>
      </w:r>
      <w:r>
        <w:rPr>
          <w:spacing w:val="-66"/>
        </w:rPr>
        <w:t> </w:t>
      </w:r>
      <w:r>
        <w:rPr>
          <w:spacing w:val="-66"/>
        </w:rPr>
      </w:r>
      <w:r>
        <w:rPr/>
        <w:t>毁损的，将尚未分配的相关递延收益余额转入资产处置当期的损益。</w:t>
      </w:r>
    </w:p>
    <w:p>
      <w:pPr>
        <w:spacing w:line="240" w:lineRule="auto" w:before="0"/>
        <w:rPr>
          <w:rFonts w:ascii="宋体" w:hAnsi="宋体" w:cs="宋体" w:eastAsia="宋体" w:hint="default"/>
          <w:sz w:val="25"/>
          <w:szCs w:val="25"/>
        </w:rPr>
      </w:pPr>
    </w:p>
    <w:p>
      <w:pPr>
        <w:pStyle w:val="Heading3"/>
        <w:spacing w:line="240" w:lineRule="auto"/>
        <w:ind w:left="1133" w:right="0"/>
        <w:jc w:val="both"/>
        <w:rPr>
          <w:b w:val="0"/>
          <w:bCs w:val="0"/>
        </w:rPr>
      </w:pPr>
      <w:bookmarkStart w:name="（2）与收益相关的政府补助判断依据及会计处理方法" w:id="210"/>
      <w:bookmarkEnd w:id="210"/>
      <w:r>
        <w:rPr>
          <w:b w:val="0"/>
          <w:bCs w:val="0"/>
        </w:rPr>
      </w:r>
      <w:r>
        <w:rPr/>
        <w:t>（</w:t>
      </w:r>
      <w:r>
        <w:rPr>
          <w:rFonts w:ascii="Times New Roman" w:hAnsi="Times New Roman" w:cs="Times New Roman" w:eastAsia="Times New Roman" w:hint="default"/>
        </w:rPr>
        <w:t>2</w:t>
      </w:r>
      <w:r>
        <w:rPr/>
        <w:t>）与收益相关的政府补助判断依据及会计处理方法</w:t>
      </w:r>
      <w:r>
        <w:rPr>
          <w:b w:val="0"/>
          <w:bCs w:val="0"/>
        </w:rPr>
      </w:r>
    </w:p>
    <w:p>
      <w:pPr>
        <w:spacing w:line="240" w:lineRule="auto" w:before="0"/>
        <w:rPr>
          <w:rFonts w:ascii="宋体" w:hAnsi="宋体" w:cs="宋体" w:eastAsia="宋体" w:hint="default"/>
          <w:b/>
          <w:bCs/>
          <w:sz w:val="22"/>
          <w:szCs w:val="22"/>
        </w:rPr>
      </w:pPr>
    </w:p>
    <w:p>
      <w:pPr>
        <w:spacing w:line="240" w:lineRule="auto" w:before="5"/>
        <w:rPr>
          <w:rFonts w:ascii="宋体" w:hAnsi="宋体" w:cs="宋体" w:eastAsia="宋体" w:hint="default"/>
          <w:b/>
          <w:bCs/>
          <w:sz w:val="16"/>
          <w:szCs w:val="16"/>
        </w:rPr>
      </w:pPr>
    </w:p>
    <w:p>
      <w:pPr>
        <w:pStyle w:val="BodyText"/>
        <w:spacing w:line="477" w:lineRule="auto"/>
        <w:ind w:right="1131"/>
        <w:jc w:val="both"/>
      </w:pPr>
      <w:r>
        <w:rPr>
          <w:spacing w:val="-2"/>
        </w:rPr>
        <w:t>除与资产相关的政府补助之外的政府补助划分为与收益相关的政府补助。对于同时包含与资产相关部分和与收益相关部分的</w:t>
      </w:r>
      <w:r>
        <w:rPr>
          <w:spacing w:val="-64"/>
        </w:rPr>
        <w:t> </w:t>
      </w:r>
      <w:r>
        <w:rPr>
          <w:spacing w:val="-64"/>
        </w:rPr>
      </w:r>
      <w:r>
        <w:rPr>
          <w:spacing w:val="-2"/>
        </w:rPr>
        <w:t>政府补助，难以区分与资产相关或与收益相关的，整体归类为与收益相关的政府补助。与收益相关的政府补助，用于补偿以</w:t>
      </w:r>
      <w:r>
        <w:rPr>
          <w:spacing w:val="-66"/>
        </w:rPr>
        <w:t> </w:t>
      </w:r>
      <w:r>
        <w:rPr>
          <w:spacing w:val="-66"/>
        </w:rPr>
      </w:r>
      <w:r>
        <w:rPr>
          <w:spacing w:val="-2"/>
        </w:rPr>
        <w:t>后期间的相关成本费用或损失的，确认为递延收益，在确认相关成本费用或损失的期间，计入当期损益或冲减相关成本；用</w:t>
      </w:r>
      <w:r>
        <w:rPr>
          <w:spacing w:val="-66"/>
        </w:rPr>
        <w:t> </w:t>
      </w:r>
      <w:r>
        <w:rPr>
          <w:spacing w:val="-66"/>
        </w:rPr>
      </w:r>
      <w:r>
        <w:rPr/>
        <w:t>于补偿已发生的相关成本费用或损失的，直接计入当期损益或冲减相关成本。</w:t>
      </w:r>
    </w:p>
    <w:p>
      <w:pPr>
        <w:spacing w:after="0" w:line="477" w:lineRule="auto"/>
        <w:jc w:val="both"/>
        <w:sectPr>
          <w:pgSz w:w="11910" w:h="16840"/>
          <w:pgMar w:header="787" w:footer="640" w:top="1100" w:bottom="840" w:left="0" w:right="0"/>
        </w:sectPr>
      </w:pPr>
    </w:p>
    <w:p>
      <w:pPr>
        <w:spacing w:line="240" w:lineRule="auto" w:before="7"/>
        <w:rPr>
          <w:rFonts w:ascii="宋体" w:hAnsi="宋体" w:cs="宋体" w:eastAsia="宋体" w:hint="default"/>
          <w:sz w:val="27"/>
          <w:szCs w:val="27"/>
        </w:rPr>
      </w:pPr>
    </w:p>
    <w:p>
      <w:pPr>
        <w:pStyle w:val="Heading3"/>
        <w:spacing w:line="386" w:lineRule="auto" w:before="35"/>
        <w:ind w:right="0"/>
        <w:jc w:val="left"/>
        <w:rPr>
          <w:b w:val="0"/>
          <w:bCs w:val="0"/>
        </w:rPr>
      </w:pPr>
      <w:bookmarkStart w:name="（3）与公司日常经营活动相关的政府补助，按照经济业务实质，计入其他收益或冲减相关" w:id="211"/>
      <w:bookmarkEnd w:id="211"/>
      <w:r>
        <w:rPr>
          <w:b w:val="0"/>
          <w:bCs w:val="0"/>
        </w:rPr>
      </w:r>
      <w:r>
        <w:rPr/>
        <w:t>（</w:t>
      </w:r>
      <w:r>
        <w:rPr>
          <w:rFonts w:ascii="Times New Roman" w:hAnsi="Times New Roman" w:cs="Times New Roman" w:eastAsia="Times New Roman" w:hint="default"/>
        </w:rPr>
        <w:t>3</w:t>
      </w:r>
      <w:r>
        <w:rPr/>
        <w:t>）与公司日常经营活动相关的政府补助，按照经济业务实质，计入其他收益或冲减相关成本费用。与</w:t>
      </w:r>
      <w:r>
        <w:rPr>
          <w:spacing w:val="-74"/>
        </w:rPr>
        <w:t> </w:t>
      </w:r>
      <w:r>
        <w:rPr>
          <w:spacing w:val="-74"/>
        </w:rPr>
      </w:r>
      <w:r>
        <w:rPr/>
        <w:t>公司日常活动无关的政府补助，计入营业外收支。</w:t>
      </w:r>
      <w:r>
        <w:rPr>
          <w:b w:val="0"/>
          <w:bCs w:val="0"/>
        </w:rPr>
      </w:r>
    </w:p>
    <w:p>
      <w:pPr>
        <w:spacing w:line="240" w:lineRule="auto" w:before="12"/>
        <w:rPr>
          <w:rFonts w:ascii="宋体" w:hAnsi="宋体" w:cs="宋体" w:eastAsia="宋体" w:hint="default"/>
          <w:b/>
          <w:bCs/>
          <w:sz w:val="27"/>
          <w:szCs w:val="27"/>
        </w:rPr>
      </w:pPr>
    </w:p>
    <w:p>
      <w:pPr>
        <w:pStyle w:val="Heading3"/>
        <w:spacing w:line="240" w:lineRule="auto"/>
        <w:ind w:left="1133" w:right="0"/>
        <w:jc w:val="both"/>
        <w:rPr>
          <w:b w:val="0"/>
          <w:bCs w:val="0"/>
        </w:rPr>
      </w:pPr>
      <w:bookmarkStart w:name="30、递延所得税资产/递延所得税负债" w:id="212"/>
      <w:bookmarkEnd w:id="212"/>
      <w:r>
        <w:rPr>
          <w:b w:val="0"/>
          <w:bCs w:val="0"/>
        </w:rPr>
      </w:r>
      <w:r>
        <w:rPr>
          <w:rFonts w:ascii="Times New Roman" w:hAnsi="Times New Roman" w:cs="Times New Roman" w:eastAsia="Times New Roman" w:hint="default"/>
        </w:rPr>
        <w:t>30</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0"/>
        <w:rPr>
          <w:rFonts w:ascii="宋体" w:hAnsi="宋体" w:cs="宋体" w:eastAsia="宋体" w:hint="default"/>
          <w:b/>
          <w:bCs/>
          <w:sz w:val="22"/>
          <w:szCs w:val="22"/>
        </w:rPr>
      </w:pPr>
    </w:p>
    <w:p>
      <w:pPr>
        <w:spacing w:line="240" w:lineRule="auto" w:before="5"/>
        <w:rPr>
          <w:rFonts w:ascii="宋体" w:hAnsi="宋体" w:cs="宋体" w:eastAsia="宋体" w:hint="default"/>
          <w:b/>
          <w:bCs/>
          <w:sz w:val="16"/>
          <w:szCs w:val="16"/>
        </w:rPr>
      </w:pPr>
    </w:p>
    <w:p>
      <w:pPr>
        <w:pStyle w:val="BodyText"/>
        <w:spacing w:line="465" w:lineRule="auto"/>
        <w:ind w:right="1132"/>
        <w:jc w:val="both"/>
      </w:pPr>
      <w:r>
        <w:rPr/>
        <w:t>（</w:t>
      </w:r>
      <w:r>
        <w:rPr>
          <w:rFonts w:ascii="Times New Roman" w:hAnsi="Times New Roman" w:cs="Times New Roman" w:eastAsia="Times New Roman" w:hint="default"/>
        </w:rPr>
        <w:t>1</w:t>
      </w:r>
      <w:r>
        <w:rPr/>
        <w:t>）根据资产、负债的账面价值与其计税基础之间的差额（未作为资产和负债确认的项目按照税法规定可以确定其计税基 </w:t>
      </w:r>
      <w:r>
        <w:rPr>
          <w:spacing w:val="-2"/>
        </w:rPr>
        <w:t>础的，该计税基础与其账面数之间的差额），按照预期收回该资产或清偿该负债期间的适用税率计算确认递延所得税资产或</w:t>
      </w:r>
      <w:r>
        <w:rPr>
          <w:spacing w:val="-66"/>
        </w:rPr>
        <w:t> </w:t>
      </w:r>
      <w:r>
        <w:rPr>
          <w:spacing w:val="-66"/>
        </w:rPr>
      </w:r>
      <w:r>
        <w:rPr/>
        <w:t>递延所得税负债。</w:t>
      </w:r>
    </w:p>
    <w:p>
      <w:pPr>
        <w:pStyle w:val="BodyText"/>
        <w:spacing w:line="451" w:lineRule="auto" w:before="101"/>
        <w:ind w:right="0" w:firstLine="73"/>
        <w:jc w:val="left"/>
      </w:pPr>
      <w:r>
        <w:rPr>
          <w:spacing w:val="-2"/>
        </w:rPr>
        <w:t>（</w:t>
      </w:r>
      <w:r>
        <w:rPr>
          <w:rFonts w:ascii="Times New Roman" w:hAnsi="Times New Roman" w:cs="Times New Roman" w:eastAsia="Times New Roman" w:hint="default"/>
          <w:spacing w:val="-2"/>
        </w:rPr>
        <w:t>2</w:t>
      </w:r>
      <w:r>
        <w:rPr>
          <w:spacing w:val="-2"/>
        </w:rPr>
        <w:t>）确认递延所得税资产以很可能取得用来抵扣可抵扣暂时性差异的应纳税所得额为限。资产负债表日，有确凿证据表明</w:t>
      </w:r>
      <w:r>
        <w:rPr/>
        <w:t> 未来期间很可能获得足够的应纳税所得额用来抵扣可抵扣暂时性差异的，确认以前会计期间未确认的递延所得税资产。</w:t>
      </w:r>
    </w:p>
    <w:p>
      <w:pPr>
        <w:pStyle w:val="BodyText"/>
        <w:spacing w:line="451" w:lineRule="auto" w:before="113"/>
        <w:ind w:right="0" w:firstLine="73"/>
        <w:jc w:val="left"/>
      </w:pPr>
      <w:r>
        <w:rPr>
          <w:spacing w:val="-2"/>
        </w:rPr>
        <w:t>（</w:t>
      </w:r>
      <w:r>
        <w:rPr>
          <w:rFonts w:ascii="Times New Roman" w:hAnsi="Times New Roman" w:cs="Times New Roman" w:eastAsia="Times New Roman" w:hint="default"/>
          <w:spacing w:val="-2"/>
        </w:rPr>
        <w:t>3</w:t>
      </w:r>
      <w:r>
        <w:rPr>
          <w:spacing w:val="-2"/>
        </w:rPr>
        <w:t>）资产负债表日，对递延所得税资产的账面价值进行复核，如果未来期间很可能无法获得足够的应纳税所得额用以抵扣</w:t>
      </w:r>
      <w:r>
        <w:rPr/>
        <w:t> 递延所得税资产的利益，则减记递延所得税资产的账面价值。在很可能获得足够的应纳税所得额时，转回减记的金额。</w:t>
      </w:r>
    </w:p>
    <w:p>
      <w:pPr>
        <w:pStyle w:val="BodyText"/>
        <w:spacing w:line="240" w:lineRule="auto" w:before="112"/>
        <w:ind w:left="1207" w:right="0"/>
        <w:jc w:val="both"/>
      </w:pPr>
      <w:r>
        <w:rPr/>
        <w:t>（</w:t>
      </w:r>
      <w:r>
        <w:rPr>
          <w:rFonts w:ascii="Times New Roman" w:hAnsi="Times New Roman" w:cs="Times New Roman" w:eastAsia="Times New Roman" w:hint="default"/>
        </w:rPr>
        <w:t>4</w:t>
      </w:r>
      <w:r>
        <w:rPr/>
        <w:t>）公司当期所得税和递延所得税作为所得税费用或收益计入当期损益，但不包括下列情况产生的所得税：①企业合并；</w:t>
      </w:r>
    </w:p>
    <w:p>
      <w:pPr>
        <w:spacing w:line="240" w:lineRule="auto" w:before="11"/>
        <w:rPr>
          <w:rFonts w:ascii="宋体" w:hAnsi="宋体" w:cs="宋体" w:eastAsia="宋体" w:hint="default"/>
          <w:sz w:val="16"/>
          <w:szCs w:val="16"/>
        </w:rPr>
      </w:pPr>
    </w:p>
    <w:p>
      <w:pPr>
        <w:pStyle w:val="BodyText"/>
        <w:spacing w:line="240" w:lineRule="auto"/>
        <w:ind w:right="0"/>
        <w:jc w:val="both"/>
      </w:pPr>
      <w:r>
        <w:rPr/>
        <w:t>②</w:t>
      </w:r>
      <w:r>
        <w:rPr>
          <w:spacing w:val="-19"/>
        </w:rPr>
        <w:t> </w:t>
      </w:r>
      <w:r>
        <w:rPr/>
        <w:t>直接在所有者权益中确认的交易或者事项。</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0"/>
          <w:szCs w:val="20"/>
        </w:rPr>
      </w:pPr>
    </w:p>
    <w:p>
      <w:pPr>
        <w:pStyle w:val="Heading3"/>
        <w:spacing w:line="240" w:lineRule="auto"/>
        <w:ind w:left="1133" w:right="0"/>
        <w:jc w:val="both"/>
        <w:rPr>
          <w:b w:val="0"/>
          <w:bCs w:val="0"/>
        </w:rPr>
      </w:pPr>
      <w:bookmarkStart w:name="31、租赁" w:id="213"/>
      <w:bookmarkEnd w:id="213"/>
      <w:r>
        <w:rPr>
          <w:b w:val="0"/>
          <w:bCs w:val="0"/>
        </w:rPr>
      </w:r>
      <w:r>
        <w:rPr>
          <w:rFonts w:ascii="Times New Roman" w:hAnsi="Times New Roman" w:cs="Times New Roman" w:eastAsia="Times New Roman" w:hint="default"/>
        </w:rPr>
        <w:t>31</w:t>
      </w:r>
      <w:r>
        <w:rPr/>
        <w:t>、租赁</w:t>
      </w:r>
      <w:r>
        <w:rPr>
          <w:b w:val="0"/>
          <w:bCs w:val="0"/>
        </w:rPr>
      </w:r>
    </w:p>
    <w:p>
      <w:pPr>
        <w:spacing w:line="240" w:lineRule="auto" w:before="0"/>
        <w:rPr>
          <w:rFonts w:ascii="宋体" w:hAnsi="宋体" w:cs="宋体" w:eastAsia="宋体" w:hint="default"/>
          <w:b/>
          <w:bCs/>
          <w:sz w:val="22"/>
          <w:szCs w:val="22"/>
        </w:rPr>
      </w:pPr>
    </w:p>
    <w:p>
      <w:pPr>
        <w:pStyle w:val="Heading3"/>
        <w:spacing w:line="240" w:lineRule="auto" w:before="190"/>
        <w:ind w:right="0"/>
        <w:jc w:val="both"/>
        <w:rPr>
          <w:b w:val="0"/>
          <w:bCs w:val="0"/>
        </w:rPr>
      </w:pPr>
      <w:bookmarkStart w:name="（1）经营租赁的会计处理方法" w:id="214"/>
      <w:bookmarkEnd w:id="214"/>
      <w:r>
        <w:rPr>
          <w:b w:val="0"/>
          <w:bCs w:val="0"/>
        </w:rPr>
      </w:r>
      <w:r>
        <w:rPr/>
        <w:t>（</w:t>
      </w:r>
      <w:r>
        <w:rPr>
          <w:rFonts w:ascii="Times New Roman" w:hAnsi="Times New Roman" w:cs="Times New Roman" w:eastAsia="Times New Roman" w:hint="default"/>
        </w:rPr>
        <w:t>1</w:t>
      </w:r>
      <w:r>
        <w:rPr/>
        <w:t>）经营租赁的会计处理方法</w:t>
      </w:r>
      <w:r>
        <w:rPr>
          <w:b w:val="0"/>
          <w:bCs w:val="0"/>
        </w:rPr>
      </w:r>
    </w:p>
    <w:p>
      <w:pPr>
        <w:spacing w:line="240" w:lineRule="auto" w:before="0"/>
        <w:rPr>
          <w:rFonts w:ascii="宋体" w:hAnsi="宋体" w:cs="宋体" w:eastAsia="宋体" w:hint="default"/>
          <w:b/>
          <w:bCs/>
          <w:sz w:val="22"/>
          <w:szCs w:val="22"/>
        </w:rPr>
      </w:pPr>
    </w:p>
    <w:p>
      <w:pPr>
        <w:spacing w:line="240" w:lineRule="auto" w:before="5"/>
        <w:rPr>
          <w:rFonts w:ascii="宋体" w:hAnsi="宋体" w:cs="宋体" w:eastAsia="宋体" w:hint="default"/>
          <w:b/>
          <w:bCs/>
          <w:sz w:val="16"/>
          <w:szCs w:val="16"/>
        </w:rPr>
      </w:pPr>
    </w:p>
    <w:p>
      <w:pPr>
        <w:pStyle w:val="BodyText"/>
        <w:spacing w:line="477" w:lineRule="auto"/>
        <w:ind w:left="1133" w:right="1068" w:firstLine="325"/>
        <w:jc w:val="left"/>
      </w:pPr>
      <w:r>
        <w:rPr/>
        <w:t>公司为承租人时，在租赁期内各个期间按照直线法将租金计入相关资产成本或确认为当期损益，发生的初始直接费用， 直接计入当期损益。或有租金在实际发生时计入当期损益。</w:t>
      </w:r>
    </w:p>
    <w:p>
      <w:pPr>
        <w:pStyle w:val="BodyText"/>
        <w:spacing w:line="477" w:lineRule="auto" w:before="92"/>
        <w:ind w:right="0" w:firstLine="307"/>
        <w:jc w:val="left"/>
      </w:pPr>
      <w:r>
        <w:rPr>
          <w:spacing w:val="-1"/>
        </w:rPr>
        <w:t>公司为出租人时，在租赁期内各个期间按照直线法将租金确认为当期损益，发生的初始直接费用，除金额较大的予以资</w:t>
      </w:r>
      <w:r>
        <w:rPr/>
        <w:t> 本化并分期计入损益外，均直接计入当期损益。或有租金在实际发生时计入当期损益。</w:t>
      </w:r>
    </w:p>
    <w:p>
      <w:pPr>
        <w:spacing w:line="240" w:lineRule="auto" w:before="2"/>
        <w:rPr>
          <w:rFonts w:ascii="宋体" w:hAnsi="宋体" w:cs="宋体" w:eastAsia="宋体" w:hint="default"/>
          <w:sz w:val="25"/>
          <w:szCs w:val="25"/>
        </w:rPr>
      </w:pPr>
    </w:p>
    <w:p>
      <w:pPr>
        <w:pStyle w:val="Heading3"/>
        <w:spacing w:line="240" w:lineRule="auto"/>
        <w:ind w:left="1133" w:right="0"/>
        <w:jc w:val="both"/>
        <w:rPr>
          <w:b w:val="0"/>
          <w:bCs w:val="0"/>
        </w:rPr>
      </w:pPr>
      <w:bookmarkStart w:name="（2）融资租赁的会计处理方法" w:id="215"/>
      <w:bookmarkEnd w:id="215"/>
      <w:r>
        <w:rPr>
          <w:b w:val="0"/>
          <w:bCs w:val="0"/>
        </w:rPr>
      </w:r>
      <w:r>
        <w:rPr/>
        <w:t>（</w:t>
      </w:r>
      <w:r>
        <w:rPr>
          <w:rFonts w:ascii="Times New Roman" w:hAnsi="Times New Roman" w:cs="Times New Roman" w:eastAsia="Times New Roman" w:hint="default"/>
        </w:rPr>
        <w:t>2</w:t>
      </w:r>
      <w:r>
        <w:rPr/>
        <w:t>）融资租赁的会计处理方法</w:t>
      </w:r>
      <w:r>
        <w:rPr>
          <w:b w:val="0"/>
          <w:bCs w:val="0"/>
        </w:rPr>
      </w:r>
    </w:p>
    <w:p>
      <w:pPr>
        <w:spacing w:line="240" w:lineRule="auto" w:before="0"/>
        <w:rPr>
          <w:rFonts w:ascii="宋体" w:hAnsi="宋体" w:cs="宋体" w:eastAsia="宋体" w:hint="default"/>
          <w:b/>
          <w:bCs/>
          <w:sz w:val="22"/>
          <w:szCs w:val="22"/>
        </w:rPr>
      </w:pPr>
    </w:p>
    <w:p>
      <w:pPr>
        <w:spacing w:line="240" w:lineRule="auto" w:before="4"/>
        <w:rPr>
          <w:rFonts w:ascii="宋体" w:hAnsi="宋体" w:cs="宋体" w:eastAsia="宋体" w:hint="default"/>
          <w:b/>
          <w:bCs/>
          <w:sz w:val="16"/>
          <w:szCs w:val="16"/>
        </w:rPr>
      </w:pPr>
    </w:p>
    <w:p>
      <w:pPr>
        <w:pStyle w:val="BodyText"/>
        <w:spacing w:line="240" w:lineRule="auto"/>
        <w:ind w:left="1133" w:right="0"/>
        <w:jc w:val="both"/>
      </w:pPr>
      <w:r>
        <w:rPr/>
        <w:t>无</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0"/>
          <w:szCs w:val="20"/>
        </w:rPr>
      </w:pPr>
    </w:p>
    <w:p>
      <w:pPr>
        <w:pStyle w:val="Heading3"/>
        <w:spacing w:line="240" w:lineRule="auto"/>
        <w:ind w:right="0"/>
        <w:jc w:val="both"/>
        <w:rPr>
          <w:b w:val="0"/>
          <w:bCs w:val="0"/>
        </w:rPr>
      </w:pPr>
      <w:bookmarkStart w:name="32、其他重要的会计政策和会计估计" w:id="216"/>
      <w:bookmarkEnd w:id="216"/>
      <w:r>
        <w:rPr>
          <w:b w:val="0"/>
          <w:bCs w:val="0"/>
        </w:rPr>
      </w:r>
      <w:r>
        <w:rPr>
          <w:rFonts w:ascii="Times New Roman" w:hAnsi="Times New Roman" w:cs="Times New Roman" w:eastAsia="Times New Roman" w:hint="default"/>
        </w:rPr>
        <w:t>32</w:t>
      </w:r>
      <w:r>
        <w:rPr/>
        <w:t>、其他重要的会计政策和会计估计</w:t>
      </w:r>
      <w:r>
        <w:rPr>
          <w:b w:val="0"/>
          <w:bCs w:val="0"/>
        </w:rPr>
      </w:r>
    </w:p>
    <w:p>
      <w:pPr>
        <w:spacing w:line="240" w:lineRule="auto" w:before="0"/>
        <w:rPr>
          <w:rFonts w:ascii="宋体" w:hAnsi="宋体" w:cs="宋体" w:eastAsia="宋体" w:hint="default"/>
          <w:b/>
          <w:bCs/>
          <w:sz w:val="22"/>
          <w:szCs w:val="22"/>
        </w:rPr>
      </w:pPr>
    </w:p>
    <w:p>
      <w:pPr>
        <w:spacing w:line="240" w:lineRule="auto" w:before="5"/>
        <w:rPr>
          <w:rFonts w:ascii="宋体" w:hAnsi="宋体" w:cs="宋体" w:eastAsia="宋体" w:hint="default"/>
          <w:b/>
          <w:bCs/>
          <w:sz w:val="16"/>
          <w:szCs w:val="16"/>
        </w:rPr>
      </w:pPr>
    </w:p>
    <w:p>
      <w:pPr>
        <w:pStyle w:val="BodyText"/>
        <w:spacing w:line="516" w:lineRule="auto"/>
        <w:ind w:left="1133" w:right="1213"/>
        <w:jc w:val="left"/>
      </w:pPr>
      <w:r>
        <w:rPr/>
        <w:t>与回购公司股份相关的会计处理方法 因减少注册资本或奖励职工等原因收购本公司股份的，按实际支付的金额作为库存股处理，同时进行备查登记。如果将回</w:t>
      </w:r>
    </w:p>
    <w:p>
      <w:pPr>
        <w:spacing w:after="0" w:line="516" w:lineRule="auto"/>
        <w:jc w:val="left"/>
        <w:sectPr>
          <w:pgSz w:w="11910" w:h="16840"/>
          <w:pgMar w:header="787" w:footer="640" w:top="1100" w:bottom="840" w:left="0" w:right="0"/>
        </w:sectPr>
      </w:pPr>
    </w:p>
    <w:p>
      <w:pPr>
        <w:spacing w:line="240" w:lineRule="auto" w:before="7"/>
        <w:rPr>
          <w:rFonts w:ascii="宋体" w:hAnsi="宋体" w:cs="宋体" w:eastAsia="宋体" w:hint="default"/>
          <w:sz w:val="28"/>
          <w:szCs w:val="28"/>
        </w:rPr>
      </w:pPr>
      <w:r>
        <w:rPr/>
        <w:pict>
          <v:shape style="position:absolute;margin-left:165.297012pt;margin-top:706.440002pt;width:210.2pt;height:31.2pt;mso-position-horizontal-relative:page;mso-position-vertical-relative:page;z-index:-1169728" type="#_x0000_t202" filled="false" stroked="false">
            <v:textbox inset="0,0,0,0">
              <w:txbxContent>
                <w:p>
                  <w:pPr>
                    <w:pStyle w:val="BodyText"/>
                    <w:spacing w:line="207" w:lineRule="exact"/>
                    <w:ind w:left="0" w:right="0"/>
                    <w:jc w:val="left"/>
                  </w:pPr>
                  <w:r>
                    <w:rPr/>
                    <w:t>和终止经营，</w:t>
                  </w:r>
                </w:p>
              </w:txbxContent>
            </v:textbox>
            <w10:wrap type="none"/>
          </v:shape>
        </w:pict>
      </w:r>
      <w:r>
        <w:rPr/>
        <w:pict>
          <v:group style="position:absolute;margin-left:216.5pt;margin-top:706.440002pt;width:159pt;height:31.2pt;mso-position-horizontal-relative:page;mso-position-vertical-relative:page;z-index:-1169704" coordorigin="4330,14129" coordsize="3180,624">
            <v:shape style="position:absolute;left:4330;top:14129;width:3180;height:624" coordorigin="4330,14129" coordsize="3180,624" path="m4330,14753l7509,14753,7509,14129,4330,14129,4330,14753xe" filled="true" fillcolor="#ffffff" stroked="false">
              <v:path arrowok="t"/>
              <v:fill type="solid"/>
            </v:shape>
            <w10:wrap type="none"/>
          </v:group>
        </w:pict>
      </w:r>
    </w:p>
    <w:p>
      <w:pPr>
        <w:pStyle w:val="BodyText"/>
        <w:spacing w:line="477" w:lineRule="auto" w:before="44"/>
        <w:ind w:right="1229"/>
        <w:jc w:val="both"/>
      </w:pPr>
      <w:r>
        <w:rPr/>
        <w:t>购的股份注销，则将按注销股票面值和注销股数计算的股票面值总额与实际回购所支付的金额之间的差额冲减资本公积， 资本公积不足冲减的，冲减留存收益；如果将回购的股份奖励给本公司职工属于以权益结算的股份支付，于职工行权购买 本公司股份收到价款时，转销交付职工的库存股成本和等待期内资本公积（其他资本公积）累计金额，同时，按照其差额 调整资本公积（股本溢价）。</w:t>
      </w:r>
    </w:p>
    <w:p>
      <w:pPr>
        <w:spacing w:line="240" w:lineRule="auto" w:before="3"/>
        <w:rPr>
          <w:rFonts w:ascii="宋体" w:hAnsi="宋体" w:cs="宋体" w:eastAsia="宋体" w:hint="default"/>
          <w:sz w:val="25"/>
          <w:szCs w:val="25"/>
        </w:rPr>
      </w:pPr>
    </w:p>
    <w:p>
      <w:pPr>
        <w:pStyle w:val="Heading3"/>
        <w:spacing w:line="240" w:lineRule="auto"/>
        <w:ind w:right="0"/>
        <w:jc w:val="both"/>
        <w:rPr>
          <w:b w:val="0"/>
          <w:bCs w:val="0"/>
        </w:rPr>
      </w:pPr>
      <w:bookmarkStart w:name="33、重要会计政策和会计估计变更" w:id="217"/>
      <w:bookmarkEnd w:id="217"/>
      <w:r>
        <w:rPr>
          <w:b w:val="0"/>
          <w:bCs w:val="0"/>
        </w:rPr>
      </w:r>
      <w:r>
        <w:rPr>
          <w:rFonts w:ascii="Times New Roman" w:hAnsi="Times New Roman" w:cs="Times New Roman" w:eastAsia="Times New Roman" w:hint="default"/>
        </w:rPr>
        <w:t>33</w:t>
      </w:r>
      <w:r>
        <w:rPr/>
        <w:t>、重要会计政策和会计估计变更</w:t>
      </w:r>
      <w:r>
        <w:rPr>
          <w:b w:val="0"/>
          <w:bCs w:val="0"/>
        </w:rPr>
      </w:r>
    </w:p>
    <w:p>
      <w:pPr>
        <w:spacing w:line="240" w:lineRule="auto" w:before="0"/>
        <w:rPr>
          <w:rFonts w:ascii="宋体" w:hAnsi="宋体" w:cs="宋体" w:eastAsia="宋体" w:hint="default"/>
          <w:b/>
          <w:bCs/>
          <w:sz w:val="22"/>
          <w:szCs w:val="22"/>
        </w:rPr>
      </w:pPr>
    </w:p>
    <w:p>
      <w:pPr>
        <w:pStyle w:val="Heading3"/>
        <w:spacing w:line="240" w:lineRule="auto" w:before="189"/>
        <w:ind w:left="1133" w:right="0"/>
        <w:jc w:val="both"/>
        <w:rPr>
          <w:b w:val="0"/>
          <w:bCs w:val="0"/>
        </w:rPr>
      </w:pPr>
      <w:bookmarkStart w:name="（1）重要会计政策变更" w:id="218"/>
      <w:bookmarkEnd w:id="218"/>
      <w:r>
        <w:rPr>
          <w:b w:val="0"/>
          <w:bCs w:val="0"/>
        </w:rPr>
      </w:r>
      <w:r>
        <w:rPr/>
        <w:t>（</w:t>
      </w:r>
      <w:r>
        <w:rPr>
          <w:rFonts w:ascii="Times New Roman" w:hAnsi="Times New Roman" w:cs="Times New Roman" w:eastAsia="Times New Roman" w:hint="default"/>
        </w:rPr>
        <w:t>1</w:t>
      </w:r>
      <w:r>
        <w:rPr/>
        <w:t>）重要会计政策变更</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pStyle w:val="BodyText"/>
        <w:spacing w:line="240" w:lineRule="auto"/>
        <w:ind w:left="1133"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3191"/>
        <w:gridCol w:w="3190"/>
        <w:gridCol w:w="3189"/>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审批程序</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2898"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为进一步规范增值税会计处理，财政部</w:t>
            </w:r>
          </w:p>
          <w:p>
            <w:pPr>
              <w:pStyle w:val="TableParagraph"/>
              <w:spacing w:line="240" w:lineRule="auto" w:before="7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日发布了财会</w:t>
            </w:r>
            <w:r>
              <w:rPr>
                <w:rFonts w:ascii="Times New Roman" w:hAnsi="Times New Roman" w:cs="Times New Roman" w:eastAsia="Times New Roman" w:hint="default"/>
                <w:sz w:val="18"/>
                <w:szCs w:val="18"/>
              </w:rPr>
              <w:t>[2016]22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号</w:t>
            </w:r>
          </w:p>
          <w:p>
            <w:pPr>
              <w:pStyle w:val="TableParagraph"/>
              <w:spacing w:line="312" w:lineRule="auto" w:before="63"/>
              <w:ind w:left="22" w:right="21"/>
              <w:jc w:val="left"/>
              <w:rPr>
                <w:rFonts w:ascii="宋体" w:hAnsi="宋体" w:cs="宋体" w:eastAsia="宋体" w:hint="default"/>
                <w:sz w:val="18"/>
                <w:szCs w:val="18"/>
              </w:rPr>
            </w:pPr>
            <w:r>
              <w:rPr>
                <w:rFonts w:ascii="宋体" w:hAnsi="宋体" w:cs="宋体" w:eastAsia="宋体" w:hint="default"/>
                <w:sz w:val="18"/>
                <w:szCs w:val="18"/>
              </w:rPr>
              <w:t>《增值税会计处理规定》的通知，该规 定自发布之日起实施，原《营业税改征 </w:t>
            </w:r>
            <w:r>
              <w:rPr>
                <w:rFonts w:ascii="宋体" w:hAnsi="宋体" w:cs="宋体" w:eastAsia="宋体" w:hint="default"/>
                <w:spacing w:val="-6"/>
                <w:sz w:val="18"/>
                <w:szCs w:val="18"/>
              </w:rPr>
              <w:t>增值税试点有关企业会计处理规定》（财</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会〔</w:t>
            </w:r>
            <w:r>
              <w:rPr>
                <w:rFonts w:ascii="Times New Roman" w:hAnsi="Times New Roman" w:cs="Times New Roman" w:eastAsia="Times New Roman" w:hint="default"/>
                <w:sz w:val="18"/>
                <w:szCs w:val="18"/>
              </w:rPr>
              <w:t>2012</w:t>
            </w:r>
            <w:r>
              <w:rPr>
                <w:rFonts w:ascii="宋体" w:hAnsi="宋体" w:cs="宋体" w:eastAsia="宋体" w:hint="default"/>
                <w:sz w:val="18"/>
                <w:szCs w:val="18"/>
              </w:rPr>
              <w:t>〕</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号）及《关于小微企业免 </w:t>
            </w:r>
            <w:r>
              <w:rPr>
                <w:rFonts w:ascii="宋体" w:hAnsi="宋体" w:cs="宋体" w:eastAsia="宋体" w:hint="default"/>
                <w:spacing w:val="-6"/>
                <w:sz w:val="18"/>
                <w:szCs w:val="18"/>
              </w:rPr>
              <w:t>征增值税和营业税的会计处理规定》（财</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会〔</w:t>
            </w:r>
            <w:r>
              <w:rPr>
                <w:rFonts w:ascii="Times New Roman" w:hAnsi="Times New Roman" w:cs="Times New Roman" w:eastAsia="Times New Roman" w:hint="default"/>
                <w:sz w:val="18"/>
                <w:szCs w:val="18"/>
              </w:rPr>
              <w:t>2013</w:t>
            </w:r>
            <w:r>
              <w:rPr>
                <w:rFonts w:ascii="宋体" w:hAnsi="宋体" w:cs="宋体" w:eastAsia="宋体" w:hint="default"/>
                <w:sz w:val="18"/>
                <w:szCs w:val="18"/>
              </w:rPr>
              <w:t>〕</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号）等有关增值税会计处 理的规定同时废止。</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2" w:right="95"/>
              <w:jc w:val="left"/>
              <w:rPr>
                <w:rFonts w:ascii="宋体" w:hAnsi="宋体" w:cs="宋体" w:eastAsia="宋体" w:hint="default"/>
                <w:sz w:val="18"/>
                <w:szCs w:val="18"/>
              </w:rPr>
            </w:pPr>
            <w:r>
              <w:rPr>
                <w:rFonts w:ascii="宋体" w:hAnsi="宋体" w:cs="宋体" w:eastAsia="宋体" w:hint="default"/>
                <w:sz w:val="18"/>
                <w:szCs w:val="18"/>
              </w:rPr>
              <w:t>本次变更经公司第二届董事会第三十七 次会议通过。</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根据最新规定的要求，公司将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p>
          <w:p>
            <w:pPr>
              <w:pStyle w:val="TableParagraph"/>
              <w:spacing w:line="300" w:lineRule="auto" w:before="61"/>
              <w:ind w:left="22" w:right="23"/>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日起企业经营活动发生的房产税、 </w:t>
            </w:r>
            <w:r>
              <w:rPr>
                <w:rFonts w:ascii="宋体" w:hAnsi="宋体" w:cs="宋体" w:eastAsia="宋体" w:hint="default"/>
                <w:spacing w:val="-1"/>
                <w:sz w:val="18"/>
                <w:szCs w:val="18"/>
              </w:rPr>
              <w:t>土地使用税、车船使用税、印花税从</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管</w:t>
            </w:r>
            <w:r>
              <w:rPr>
                <w:rFonts w:ascii="宋体" w:hAnsi="宋体" w:cs="宋体" w:eastAsia="宋体" w:hint="default"/>
                <w:spacing w:val="-81"/>
                <w:sz w:val="18"/>
                <w:szCs w:val="18"/>
              </w:rPr>
              <w:t> </w:t>
            </w:r>
            <w:r>
              <w:rPr>
                <w:rFonts w:ascii="宋体" w:hAnsi="宋体" w:cs="宋体" w:eastAsia="宋体" w:hint="default"/>
                <w:sz w:val="18"/>
                <w:szCs w:val="18"/>
              </w:rPr>
              <w:t>理费用</w:t>
            </w:r>
            <w:r>
              <w:rPr>
                <w:rFonts w:ascii="Times New Roman" w:hAnsi="Times New Roman" w:cs="Times New Roman" w:eastAsia="Times New Roman" w:hint="default"/>
                <w:sz w:val="18"/>
                <w:szCs w:val="18"/>
              </w:rPr>
              <w:t>”</w:t>
            </w:r>
            <w:r>
              <w:rPr>
                <w:rFonts w:ascii="宋体" w:hAnsi="宋体" w:cs="宋体" w:eastAsia="宋体" w:hint="default"/>
                <w:sz w:val="18"/>
                <w:szCs w:val="18"/>
              </w:rPr>
              <w:t>项目重分类至</w:t>
            </w:r>
            <w:r>
              <w:rPr>
                <w:rFonts w:ascii="Times New Roman" w:hAnsi="Times New Roman" w:cs="Times New Roman" w:eastAsia="Times New Roman" w:hint="default"/>
                <w:sz w:val="18"/>
                <w:szCs w:val="18"/>
              </w:rPr>
              <w:t>“</w:t>
            </w:r>
            <w:r>
              <w:rPr>
                <w:rFonts w:ascii="宋体" w:hAnsi="宋体" w:cs="宋体" w:eastAsia="宋体" w:hint="default"/>
                <w:sz w:val="18"/>
                <w:szCs w:val="18"/>
              </w:rPr>
              <w:t>税金及附加</w:t>
            </w:r>
            <w:r>
              <w:rPr>
                <w:rFonts w:ascii="Times New Roman" w:hAnsi="Times New Roman" w:cs="Times New Roman" w:eastAsia="Times New Roman" w:hint="default"/>
                <w:sz w:val="18"/>
                <w:szCs w:val="18"/>
              </w:rPr>
              <w:t>”</w:t>
            </w:r>
            <w:r>
              <w:rPr>
                <w:rFonts w:ascii="宋体" w:hAnsi="宋体" w:cs="宋体" w:eastAsia="宋体" w:hint="default"/>
                <w:sz w:val="18"/>
                <w:szCs w:val="18"/>
              </w:rPr>
              <w:t>项 目，</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日前发生的税费不予 调整。</w:t>
            </w:r>
          </w:p>
        </w:tc>
      </w:tr>
      <w:tr>
        <w:trPr>
          <w:trHeight w:val="383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日，财政部颁布了财会</w:t>
            </w:r>
          </w:p>
          <w:p>
            <w:pPr>
              <w:pStyle w:val="TableParagraph"/>
              <w:spacing w:line="240" w:lineRule="auto" w:before="61"/>
              <w:ind w:left="22" w:right="0"/>
              <w:jc w:val="left"/>
              <w:rPr>
                <w:rFonts w:ascii="宋体" w:hAnsi="宋体" w:cs="宋体" w:eastAsia="宋体" w:hint="default"/>
                <w:sz w:val="18"/>
                <w:szCs w:val="18"/>
              </w:rPr>
            </w:pPr>
            <w:r>
              <w:rPr>
                <w:rFonts w:ascii="Times New Roman" w:hAnsi="Times New Roman" w:cs="Times New Roman" w:eastAsia="Times New Roman" w:hint="default"/>
                <w:w w:val="99"/>
                <w:sz w:val="18"/>
                <w:szCs w:val="18"/>
              </w:rPr>
              <w:t>[2017</w:t>
            </w:r>
            <w:r>
              <w:rPr>
                <w:rFonts w:ascii="Times New Roman" w:hAnsi="Times New Roman" w:cs="Times New Roman" w:eastAsia="Times New Roman" w:hint="default"/>
                <w:spacing w:val="-2"/>
                <w:w w:val="99"/>
                <w:sz w:val="18"/>
                <w:szCs w:val="18"/>
              </w:rPr>
              <w:t>]</w:t>
            </w:r>
            <w:r>
              <w:rPr>
                <w:rFonts w:ascii="Times New Roman" w:hAnsi="Times New Roman" w:cs="Times New Roman" w:eastAsia="Times New Roman" w:hint="default"/>
                <w:w w:val="99"/>
                <w:sz w:val="18"/>
                <w:szCs w:val="18"/>
              </w:rPr>
              <w:t>15</w:t>
            </w:r>
            <w:r>
              <w:rPr>
                <w:rFonts w:ascii="Times New Roman" w:hAnsi="Times New Roman" w:cs="Times New Roman" w:eastAsia="Times New Roman" w:hint="default"/>
                <w:spacing w:val="-1"/>
                <w:w w:val="99"/>
                <w:sz w:val="18"/>
                <w:szCs w:val="18"/>
              </w:rPr>
              <w:t> </w:t>
            </w:r>
            <w:r>
              <w:rPr>
                <w:rFonts w:ascii="宋体" w:hAnsi="宋体" w:cs="宋体" w:eastAsia="宋体" w:hint="default"/>
                <w:w w:val="99"/>
                <w:sz w:val="18"/>
                <w:szCs w:val="18"/>
              </w:rPr>
              <w:t>号</w:t>
            </w:r>
            <w:r>
              <w:rPr>
                <w:rFonts w:ascii="宋体" w:hAnsi="宋体" w:cs="宋体" w:eastAsia="宋体" w:hint="default"/>
                <w:spacing w:val="1"/>
                <w:w w:val="99"/>
                <w:sz w:val="18"/>
                <w:szCs w:val="18"/>
              </w:rPr>
              <w:t>关</w:t>
            </w:r>
            <w:r>
              <w:rPr>
                <w:rFonts w:ascii="宋体" w:hAnsi="宋体" w:cs="宋体" w:eastAsia="宋体" w:hint="default"/>
                <w:w w:val="99"/>
                <w:sz w:val="18"/>
                <w:szCs w:val="18"/>
              </w:rPr>
              <w:t>于印发修</w:t>
            </w:r>
            <w:r>
              <w:rPr>
                <w:rFonts w:ascii="宋体" w:hAnsi="宋体" w:cs="宋体" w:eastAsia="宋体" w:hint="default"/>
                <w:spacing w:val="-90"/>
                <w:w w:val="99"/>
                <w:sz w:val="18"/>
                <w:szCs w:val="18"/>
              </w:rPr>
              <w:t>订</w:t>
            </w:r>
            <w:r>
              <w:rPr>
                <w:rFonts w:ascii="宋体" w:hAnsi="宋体" w:cs="宋体" w:eastAsia="宋体" w:hint="default"/>
                <w:w w:val="99"/>
                <w:sz w:val="18"/>
                <w:szCs w:val="18"/>
              </w:rPr>
              <w:t>《企业会计准则</w:t>
            </w:r>
            <w:r>
              <w:rPr>
                <w:rFonts w:ascii="宋体" w:hAnsi="宋体" w:cs="宋体" w:eastAsia="宋体" w:hint="default"/>
                <w:sz w:val="18"/>
                <w:szCs w:val="18"/>
              </w:rPr>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政府补助》的通知，自</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p>
          <w:p>
            <w:pPr>
              <w:pStyle w:val="TableParagraph"/>
              <w:spacing w:line="307" w:lineRule="auto" w:before="63"/>
              <w:ind w:left="22" w:right="23"/>
              <w:jc w:val="both"/>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日起施行，</w:t>
            </w: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 财政部印发的《财政部关于印发〈企业 会计准则第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存货〉等</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38 </w:t>
            </w:r>
            <w:r>
              <w:rPr>
                <w:rFonts w:ascii="宋体" w:hAnsi="宋体" w:cs="宋体" w:eastAsia="宋体" w:hint="default"/>
                <w:sz w:val="18"/>
                <w:szCs w:val="18"/>
              </w:rPr>
              <w:t>项具体 </w:t>
            </w:r>
            <w:r>
              <w:rPr>
                <w:rFonts w:ascii="宋体" w:hAnsi="宋体" w:cs="宋体" w:eastAsia="宋体" w:hint="default"/>
                <w:spacing w:val="-6"/>
                <w:sz w:val="18"/>
                <w:szCs w:val="18"/>
              </w:rPr>
              <w:t>准则的通知》（财会〔</w:t>
            </w:r>
            <w:r>
              <w:rPr>
                <w:rFonts w:ascii="Times New Roman" w:hAnsi="Times New Roman" w:cs="Times New Roman" w:eastAsia="Times New Roman" w:hint="default"/>
                <w:spacing w:val="-6"/>
                <w:sz w:val="18"/>
                <w:szCs w:val="18"/>
              </w:rPr>
              <w:t>2006</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号）中的</w:t>
            </w:r>
          </w:p>
          <w:p>
            <w:pPr>
              <w:pStyle w:val="TableParagraph"/>
              <w:spacing w:line="314" w:lineRule="auto" w:before="7"/>
              <w:ind w:left="22" w:right="6"/>
              <w:jc w:val="left"/>
              <w:rPr>
                <w:rFonts w:ascii="宋体" w:hAnsi="宋体" w:cs="宋体" w:eastAsia="宋体" w:hint="default"/>
                <w:sz w:val="18"/>
                <w:szCs w:val="18"/>
              </w:rPr>
            </w:pPr>
            <w:r>
              <w:rPr>
                <w:rFonts w:ascii="宋体" w:hAnsi="宋体" w:cs="宋体" w:eastAsia="宋体" w:hint="default"/>
                <w:sz w:val="18"/>
                <w:szCs w:val="18"/>
              </w:rPr>
              <w:t>《企业会计准则第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政府补助》 同时废止。根据上述会计准则的修订， 公司需对原会计政策进行相应变更，并 按以上文件规定的起始日开始执行上述 会计准则。</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316" w:lineRule="auto"/>
              <w:ind w:left="22" w:right="95"/>
              <w:jc w:val="left"/>
              <w:rPr>
                <w:rFonts w:ascii="宋体" w:hAnsi="宋体" w:cs="宋体" w:eastAsia="宋体" w:hint="default"/>
                <w:sz w:val="18"/>
                <w:szCs w:val="18"/>
              </w:rPr>
            </w:pPr>
            <w:r>
              <w:rPr>
                <w:rFonts w:ascii="宋体" w:hAnsi="宋体" w:cs="宋体" w:eastAsia="宋体" w:hint="default"/>
                <w:sz w:val="18"/>
                <w:szCs w:val="18"/>
              </w:rPr>
              <w:t>本次变更经公司第二届董事会第三十七 次会议通过。</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2" w:lineRule="auto"/>
              <w:ind w:left="22" w:right="20"/>
              <w:jc w:val="left"/>
              <w:rPr>
                <w:rFonts w:ascii="宋体" w:hAnsi="宋体" w:cs="宋体" w:eastAsia="宋体" w:hint="default"/>
                <w:sz w:val="18"/>
                <w:szCs w:val="18"/>
              </w:rPr>
            </w:pPr>
            <w:r>
              <w:rPr>
                <w:rFonts w:ascii="宋体" w:hAnsi="宋体" w:cs="宋体" w:eastAsia="宋体" w:hint="default"/>
                <w:spacing w:val="-9"/>
                <w:sz w:val="18"/>
                <w:szCs w:val="18"/>
              </w:rPr>
              <w:t>根据最新规定要求，自</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 起，与企业日常活动有关的政府补助计 </w:t>
            </w:r>
            <w:r>
              <w:rPr>
                <w:rFonts w:ascii="宋体" w:hAnsi="宋体" w:cs="宋体" w:eastAsia="宋体" w:hint="default"/>
                <w:spacing w:val="-5"/>
                <w:w w:val="100"/>
                <w:sz w:val="18"/>
                <w:szCs w:val="18"/>
              </w:rPr>
              <w:t>入</w:t>
            </w:r>
            <w:r>
              <w:rPr>
                <w:rFonts w:ascii="Times New Roman" w:hAnsi="Times New Roman" w:cs="Times New Roman" w:eastAsia="Times New Roman" w:hint="default"/>
                <w:spacing w:val="-5"/>
                <w:w w:val="100"/>
                <w:sz w:val="18"/>
                <w:szCs w:val="18"/>
              </w:rPr>
              <w:t>“</w:t>
            </w:r>
            <w:r>
              <w:rPr>
                <w:rFonts w:ascii="宋体" w:hAnsi="宋体" w:cs="宋体" w:eastAsia="宋体" w:hint="default"/>
                <w:spacing w:val="-5"/>
                <w:w w:val="100"/>
                <w:sz w:val="18"/>
                <w:szCs w:val="18"/>
              </w:rPr>
              <w:t>其他收益</w:t>
            </w:r>
            <w:r>
              <w:rPr>
                <w:rFonts w:ascii="Times New Roman" w:hAnsi="Times New Roman" w:cs="Times New Roman" w:eastAsia="Times New Roman" w:hint="default"/>
                <w:spacing w:val="-5"/>
                <w:w w:val="100"/>
                <w:sz w:val="18"/>
                <w:szCs w:val="18"/>
              </w:rPr>
              <w:t>”</w:t>
            </w:r>
            <w:r>
              <w:rPr>
                <w:rFonts w:ascii="宋体" w:hAnsi="宋体" w:cs="宋体" w:eastAsia="宋体" w:hint="default"/>
                <w:spacing w:val="-5"/>
                <w:w w:val="100"/>
                <w:sz w:val="18"/>
                <w:szCs w:val="18"/>
              </w:rPr>
              <w:t>或冲减相关成本费用，与企</w:t>
            </w:r>
            <w:r>
              <w:rPr>
                <w:rFonts w:ascii="宋体" w:hAnsi="宋体" w:cs="宋体" w:eastAsia="宋体" w:hint="default"/>
                <w:spacing w:val="-84"/>
                <w:w w:val="100"/>
                <w:sz w:val="18"/>
                <w:szCs w:val="18"/>
              </w:rPr>
              <w:t> </w:t>
            </w:r>
            <w:r>
              <w:rPr>
                <w:rFonts w:ascii="宋体" w:hAnsi="宋体" w:cs="宋体" w:eastAsia="宋体" w:hint="default"/>
                <w:spacing w:val="-84"/>
                <w:w w:val="100"/>
                <w:sz w:val="18"/>
                <w:szCs w:val="18"/>
              </w:rPr>
            </w:r>
            <w:r>
              <w:rPr>
                <w:rFonts w:ascii="宋体" w:hAnsi="宋体" w:cs="宋体" w:eastAsia="宋体" w:hint="default"/>
                <w:sz w:val="18"/>
                <w:szCs w:val="18"/>
              </w:rPr>
              <w:t>业日常活动无关的政府计入营业外收 入。本期公司将与企业日常活动有关的 政府补助计入其他收益。</w:t>
            </w:r>
          </w:p>
        </w:tc>
      </w:tr>
      <w:tr>
        <w:trPr>
          <w:trHeight w:val="1962"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pacing w:val="-6"/>
                <w:sz w:val="18"/>
                <w:szCs w:val="18"/>
              </w:rPr>
              <w:t>日，财政部发布了《企业</w:t>
            </w:r>
          </w:p>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会计准则第</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42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持有待售的非流动</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资产</w:t>
            </w:r>
            <w:r>
              <w:rPr>
                <w:rFonts w:ascii="宋体" w:hAnsi="宋体" w:cs="宋体" w:eastAsia="宋体" w:hint="default"/>
                <w:spacing w:val="-31"/>
                <w:sz w:val="18"/>
                <w:szCs w:val="18"/>
              </w:rPr>
              <w:t>、</w:t>
            </w:r>
            <w:r>
              <w:rPr>
                <w:rFonts w:ascii="宋体" w:hAnsi="宋体" w:cs="宋体" w:eastAsia="宋体" w:hint="default"/>
                <w:sz w:val="18"/>
                <w:szCs w:val="18"/>
              </w:rPr>
              <w:t>处置组和终止经营</w:t>
            </w:r>
            <w:r>
              <w:rPr>
                <w:rFonts w:ascii="宋体" w:hAnsi="宋体" w:cs="宋体" w:eastAsia="宋体" w:hint="default"/>
                <w:spacing w:val="-90"/>
                <w:sz w:val="18"/>
                <w:szCs w:val="18"/>
              </w:rPr>
              <w:t>》</w:t>
            </w:r>
            <w:r>
              <w:rPr>
                <w:rFonts w:ascii="宋体" w:hAnsi="宋体" w:cs="宋体" w:eastAsia="宋体" w:hint="default"/>
                <w:spacing w:val="-31"/>
                <w:sz w:val="18"/>
                <w:szCs w:val="18"/>
              </w:rPr>
              <w:t>，</w:t>
            </w:r>
            <w:r>
              <w:rPr>
                <w:rFonts w:ascii="宋体" w:hAnsi="宋体" w:cs="宋体" w:eastAsia="宋体" w:hint="default"/>
                <w:sz w:val="18"/>
                <w:szCs w:val="18"/>
              </w:rPr>
              <w:t>自</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p>
          <w:p>
            <w:pPr>
              <w:pStyle w:val="TableParagraph"/>
              <w:spacing w:line="309" w:lineRule="auto" w:before="63"/>
              <w:ind w:left="22" w:right="22"/>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日起施行，对于施行日存在的持有 待售的非流动资产、处置组 要求采用未来适用法处理。</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2" w:right="95"/>
              <w:jc w:val="left"/>
              <w:rPr>
                <w:rFonts w:ascii="宋体" w:hAnsi="宋体" w:cs="宋体" w:eastAsia="宋体" w:hint="default"/>
                <w:sz w:val="18"/>
                <w:szCs w:val="18"/>
              </w:rPr>
            </w:pPr>
            <w:r>
              <w:rPr>
                <w:rFonts w:ascii="宋体" w:hAnsi="宋体" w:cs="宋体" w:eastAsia="宋体" w:hint="default"/>
                <w:sz w:val="18"/>
                <w:szCs w:val="18"/>
              </w:rPr>
              <w:t>本次变更经公司第三届董事会第五次会 议通过。</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公司自</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日起执行财政部</w:t>
            </w:r>
          </w:p>
          <w:p>
            <w:pPr>
              <w:pStyle w:val="TableParagraph"/>
              <w:spacing w:line="309" w:lineRule="auto" w:before="61"/>
              <w:ind w:left="22" w:right="20"/>
              <w:jc w:val="left"/>
              <w:rPr>
                <w:rFonts w:ascii="宋体" w:hAnsi="宋体" w:cs="宋体" w:eastAsia="宋体" w:hint="default"/>
                <w:sz w:val="18"/>
                <w:szCs w:val="18"/>
              </w:rPr>
            </w:pPr>
            <w:r>
              <w:rPr>
                <w:rFonts w:ascii="宋体" w:hAnsi="宋体" w:cs="宋体" w:eastAsia="宋体" w:hint="default"/>
                <w:sz w:val="18"/>
                <w:szCs w:val="18"/>
              </w:rPr>
              <w:t>制定的《企业会计准则第</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42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持有 待售的非流动资产、处置组和终止经 </w:t>
            </w:r>
            <w:r>
              <w:rPr>
                <w:rFonts w:ascii="宋体" w:hAnsi="宋体" w:cs="宋体" w:eastAsia="宋体" w:hint="default"/>
                <w:spacing w:val="-30"/>
                <w:sz w:val="18"/>
                <w:szCs w:val="18"/>
              </w:rPr>
              <w:t>营》。</w:t>
            </w:r>
          </w:p>
        </w:tc>
      </w:tr>
      <w:tr>
        <w:trPr>
          <w:trHeight w:val="362"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日，财政部发布了《关</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72"/>
              <w:jc w:val="center"/>
              <w:rPr>
                <w:rFonts w:ascii="宋体" w:hAnsi="宋体" w:cs="宋体" w:eastAsia="宋体" w:hint="default"/>
                <w:sz w:val="18"/>
                <w:szCs w:val="18"/>
              </w:rPr>
            </w:pPr>
            <w:r>
              <w:rPr>
                <w:rFonts w:ascii="宋体" w:hAnsi="宋体" w:cs="宋体" w:eastAsia="宋体" w:hint="default"/>
                <w:sz w:val="18"/>
                <w:szCs w:val="18"/>
              </w:rPr>
              <w:t>本次变更经公司第三届董事会第五次会</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公司编制</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年度报表执行《财政部关</w:t>
            </w:r>
          </w:p>
        </w:tc>
      </w:tr>
    </w:tbl>
    <w:p>
      <w:pPr>
        <w:spacing w:after="0" w:line="240" w:lineRule="auto"/>
        <w:jc w:val="center"/>
        <w:rPr>
          <w:rFonts w:ascii="宋体" w:hAnsi="宋体" w:cs="宋体" w:eastAsia="宋体" w:hint="default"/>
          <w:sz w:val="18"/>
          <w:szCs w:val="18"/>
        </w:rPr>
        <w:sectPr>
          <w:footerReference w:type="default" r:id="rId53"/>
          <w:pgSz w:w="11910" w:h="16840"/>
          <w:pgMar w:footer="640" w:header="787" w:top="1100" w:bottom="84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8"/>
          <w:szCs w:val="18"/>
        </w:rPr>
      </w:pPr>
    </w:p>
    <w:p>
      <w:pPr>
        <w:pStyle w:val="BodyText"/>
        <w:spacing w:line="240" w:lineRule="auto" w:before="44"/>
        <w:ind w:left="0" w:right="1140"/>
        <w:jc w:val="right"/>
      </w:pPr>
      <w:r>
        <w:rPr/>
        <w:pict>
          <v:shape style="position:absolute;margin-left:56.459999pt;margin-top:-61.228302pt;width:479.25pt;height:143.450pt;mso-position-horizontal-relative:page;mso-position-vertical-relative:paragraph;z-index:287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91"/>
                    <w:gridCol w:w="3190"/>
                    <w:gridCol w:w="3189"/>
                  </w:tblGrid>
                  <w:tr>
                    <w:trPr>
                      <w:trHeight w:val="2859"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10"/>
                          <w:ind w:left="22" w:right="23"/>
                          <w:jc w:val="left"/>
                          <w:rPr>
                            <w:rFonts w:ascii="宋体" w:hAnsi="宋体" w:cs="宋体" w:eastAsia="宋体" w:hint="default"/>
                            <w:sz w:val="18"/>
                            <w:szCs w:val="18"/>
                          </w:rPr>
                        </w:pPr>
                        <w:r>
                          <w:rPr>
                            <w:rFonts w:ascii="宋体" w:hAnsi="宋体" w:cs="宋体" w:eastAsia="宋体" w:hint="default"/>
                            <w:sz w:val="18"/>
                            <w:szCs w:val="18"/>
                          </w:rPr>
                          <w:t>于修订印发一般企业财务报表格式的通 </w:t>
                        </w:r>
                        <w:r>
                          <w:rPr>
                            <w:rFonts w:ascii="宋体" w:hAnsi="宋体" w:cs="宋体" w:eastAsia="宋体" w:hint="default"/>
                            <w:spacing w:val="-6"/>
                            <w:sz w:val="18"/>
                            <w:szCs w:val="18"/>
                          </w:rPr>
                          <w:t>知》，对一般企业财务报表格式进行了修</w:t>
                        </w:r>
                        <w:r>
                          <w:rPr>
                            <w:rFonts w:ascii="宋体" w:hAnsi="宋体" w:cs="宋体" w:eastAsia="宋体" w:hint="default"/>
                            <w:sz w:val="18"/>
                            <w:szCs w:val="18"/>
                          </w:rPr>
                          <w:t> </w:t>
                        </w:r>
                        <w:r>
                          <w:rPr>
                            <w:rFonts w:ascii="宋体" w:hAnsi="宋体" w:cs="宋体" w:eastAsia="宋体" w:hint="default"/>
                            <w:spacing w:val="-3"/>
                            <w:sz w:val="18"/>
                            <w:szCs w:val="18"/>
                          </w:rPr>
                          <w:t>订，适用于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年度及以后期间的财务 报表。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议通过。</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10"/>
                          <w:ind w:left="22" w:right="23"/>
                          <w:jc w:val="left"/>
                          <w:rPr>
                            <w:rFonts w:ascii="宋体" w:hAnsi="宋体" w:cs="宋体" w:eastAsia="宋体" w:hint="default"/>
                            <w:sz w:val="18"/>
                            <w:szCs w:val="18"/>
                          </w:rPr>
                        </w:pPr>
                        <w:r>
                          <w:rPr>
                            <w:rFonts w:ascii="宋体" w:hAnsi="宋体" w:cs="宋体" w:eastAsia="宋体" w:hint="default"/>
                            <w:sz w:val="18"/>
                            <w:szCs w:val="18"/>
                          </w:rPr>
                          <w:t>于修订印发一般企业财务报表格式的通 </w:t>
                        </w:r>
                        <w:r>
                          <w:rPr>
                            <w:rFonts w:ascii="宋体" w:hAnsi="宋体" w:cs="宋体" w:eastAsia="宋体" w:hint="default"/>
                            <w:spacing w:val="-21"/>
                            <w:sz w:val="18"/>
                            <w:szCs w:val="18"/>
                          </w:rPr>
                          <w:t>知》（财会〔</w:t>
                        </w:r>
                        <w:r>
                          <w:rPr>
                            <w:rFonts w:ascii="Times New Roman" w:hAnsi="Times New Roman" w:cs="Times New Roman" w:eastAsia="Times New Roman" w:hint="default"/>
                            <w:spacing w:val="-21"/>
                            <w:sz w:val="18"/>
                            <w:szCs w:val="18"/>
                          </w:rPr>
                          <w:t>2017</w:t>
                        </w:r>
                        <w:r>
                          <w:rPr>
                            <w:rFonts w:ascii="宋体" w:hAnsi="宋体" w:cs="宋体" w:eastAsia="宋体" w:hint="default"/>
                            <w:spacing w:val="-21"/>
                            <w:sz w:val="18"/>
                            <w:szCs w:val="18"/>
                          </w:rPr>
                          <w:t>〕</w:t>
                        </w:r>
                        <w:r>
                          <w:rPr>
                            <w:rFonts w:ascii="Times New Roman" w:hAnsi="Times New Roman" w:cs="Times New Roman" w:eastAsia="Times New Roman" w:hint="default"/>
                            <w:spacing w:val="-21"/>
                            <w:sz w:val="18"/>
                            <w:szCs w:val="18"/>
                          </w:rPr>
                          <w:t>30</w:t>
                        </w:r>
                        <w:r>
                          <w:rPr>
                            <w:rFonts w:ascii="Times New Roman" w:hAnsi="Times New Roman" w:cs="Times New Roman" w:eastAsia="Times New Roman" w:hint="default"/>
                            <w:spacing w:val="5"/>
                            <w:sz w:val="18"/>
                            <w:szCs w:val="18"/>
                          </w:rPr>
                          <w:t> </w:t>
                        </w:r>
                        <w:r>
                          <w:rPr>
                            <w:rFonts w:ascii="宋体" w:hAnsi="宋体" w:cs="宋体" w:eastAsia="宋体" w:hint="default"/>
                            <w:spacing w:val="-15"/>
                            <w:w w:val="100"/>
                            <w:sz w:val="18"/>
                            <w:szCs w:val="18"/>
                          </w:rPr>
                          <w:t>号），将原列报于</w:t>
                        </w:r>
                        <w:r>
                          <w:rPr>
                            <w:rFonts w:ascii="Times New Roman" w:hAnsi="Times New Roman" w:cs="Times New Roman" w:eastAsia="Times New Roman" w:hint="default"/>
                            <w:spacing w:val="-15"/>
                            <w:w w:val="100"/>
                            <w:sz w:val="18"/>
                            <w:szCs w:val="18"/>
                          </w:rPr>
                          <w:t>“</w:t>
                        </w:r>
                        <w:r>
                          <w:rPr>
                            <w:rFonts w:ascii="宋体" w:hAnsi="宋体" w:cs="宋体" w:eastAsia="宋体" w:hint="default"/>
                            <w:spacing w:val="-15"/>
                            <w:w w:val="100"/>
                            <w:sz w:val="18"/>
                            <w:szCs w:val="18"/>
                          </w:rPr>
                          <w:t>营</w:t>
                        </w:r>
                        <w:r>
                          <w:rPr>
                            <w:rFonts w:ascii="宋体" w:hAnsi="宋体" w:cs="宋体" w:eastAsia="宋体" w:hint="default"/>
                            <w:spacing w:val="-88"/>
                            <w:w w:val="100"/>
                            <w:sz w:val="18"/>
                            <w:szCs w:val="18"/>
                          </w:rPr>
                          <w:t> </w:t>
                        </w:r>
                        <w:r>
                          <w:rPr>
                            <w:rFonts w:ascii="宋体" w:hAnsi="宋体" w:cs="宋体" w:eastAsia="宋体" w:hint="default"/>
                            <w:sz w:val="18"/>
                            <w:szCs w:val="18"/>
                          </w:rPr>
                          <w:t>业外收入</w:t>
                        </w:r>
                        <w:r>
                          <w:rPr>
                            <w:rFonts w:ascii="Times New Roman" w:hAnsi="Times New Roman" w:cs="Times New Roman" w:eastAsia="Times New Roman" w:hint="default"/>
                            <w:sz w:val="18"/>
                            <w:szCs w:val="18"/>
                          </w:rPr>
                          <w:t>”</w:t>
                        </w:r>
                        <w:r>
                          <w:rPr>
                            <w:rFonts w:ascii="宋体" w:hAnsi="宋体" w:cs="宋体" w:eastAsia="宋体" w:hint="default"/>
                            <w:sz w:val="18"/>
                            <w:szCs w:val="18"/>
                          </w:rPr>
                          <w:t>和</w:t>
                        </w:r>
                        <w:r>
                          <w:rPr>
                            <w:rFonts w:ascii="Times New Roman" w:hAnsi="Times New Roman" w:cs="Times New Roman" w:eastAsia="Times New Roman" w:hint="default"/>
                            <w:sz w:val="18"/>
                            <w:szCs w:val="18"/>
                          </w:rPr>
                          <w:t>“</w:t>
                        </w:r>
                        <w:r>
                          <w:rPr>
                            <w:rFonts w:ascii="宋体" w:hAnsi="宋体" w:cs="宋体" w:eastAsia="宋体" w:hint="default"/>
                            <w:sz w:val="18"/>
                            <w:szCs w:val="18"/>
                          </w:rPr>
                          <w:t>营业外支出</w:t>
                        </w:r>
                        <w:r>
                          <w:rPr>
                            <w:rFonts w:ascii="Times New Roman" w:hAnsi="Times New Roman" w:cs="Times New Roman" w:eastAsia="Times New Roman" w:hint="default"/>
                            <w:sz w:val="18"/>
                            <w:szCs w:val="18"/>
                          </w:rPr>
                          <w:t>”</w:t>
                        </w:r>
                        <w:r>
                          <w:rPr>
                            <w:rFonts w:ascii="宋体" w:hAnsi="宋体" w:cs="宋体" w:eastAsia="宋体" w:hint="default"/>
                            <w:sz w:val="18"/>
                            <w:szCs w:val="18"/>
                          </w:rPr>
                          <w:t>的非流动资产 处置利得和损失和非货币性资产交换利 得和损失变更为列报于</w:t>
                        </w:r>
                        <w:r>
                          <w:rPr>
                            <w:rFonts w:ascii="Times New Roman" w:hAnsi="Times New Roman" w:cs="Times New Roman" w:eastAsia="Times New Roman" w:hint="default"/>
                            <w:sz w:val="18"/>
                            <w:szCs w:val="18"/>
                          </w:rPr>
                          <w:t>“</w:t>
                        </w:r>
                        <w:r>
                          <w:rPr>
                            <w:rFonts w:ascii="宋体" w:hAnsi="宋体" w:cs="宋体" w:eastAsia="宋体" w:hint="default"/>
                            <w:sz w:val="18"/>
                            <w:szCs w:val="18"/>
                          </w:rPr>
                          <w:t>资产处置收益</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此项会计政策变更采用追溯调整法，由 于上期不存在该项会计政策变更所涉及 的交易事项，故本次变更对</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年度财 务报表的可比数据无影响。</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9"/>
          <w:szCs w:val="29"/>
        </w:rPr>
      </w:pPr>
    </w:p>
    <w:p>
      <w:pPr>
        <w:pStyle w:val="Heading3"/>
        <w:spacing w:line="240" w:lineRule="auto" w:before="35"/>
        <w:ind w:right="0"/>
        <w:jc w:val="left"/>
        <w:rPr>
          <w:b w:val="0"/>
          <w:bCs w:val="0"/>
        </w:rPr>
      </w:pPr>
      <w:bookmarkStart w:name="（2）重要会计估计变更" w:id="219"/>
      <w:bookmarkEnd w:id="219"/>
      <w:r>
        <w:rPr>
          <w:b w:val="0"/>
          <w:bCs w:val="0"/>
        </w:rPr>
      </w:r>
      <w:r>
        <w:rPr/>
        <w:t>（</w:t>
      </w:r>
      <w:r>
        <w:rPr>
          <w:rFonts w:ascii="Times New Roman" w:hAnsi="Times New Roman" w:cs="Times New Roman" w:eastAsia="Times New Roman" w:hint="default"/>
        </w:rPr>
        <w:t>2</w:t>
      </w:r>
      <w:r>
        <w:rPr/>
        <w:t>）重要会计估计变更</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397"/>
        <w:gridCol w:w="2388"/>
        <w:gridCol w:w="2392"/>
        <w:gridCol w:w="2392"/>
      </w:tblGrid>
      <w:tr>
        <w:trPr>
          <w:trHeight w:val="401" w:hRule="exact"/>
        </w:trPr>
        <w:tc>
          <w:tcPr>
            <w:tcW w:w="23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2" w:right="0"/>
              <w:jc w:val="left"/>
              <w:rPr>
                <w:rFonts w:ascii="宋体" w:hAnsi="宋体" w:cs="宋体" w:eastAsia="宋体" w:hint="default"/>
                <w:sz w:val="18"/>
                <w:szCs w:val="18"/>
              </w:rPr>
            </w:pPr>
            <w:r>
              <w:rPr>
                <w:rFonts w:ascii="宋体" w:hAnsi="宋体" w:cs="宋体" w:eastAsia="宋体" w:hint="default"/>
                <w:sz w:val="18"/>
                <w:szCs w:val="18"/>
              </w:rPr>
              <w:t>会计估计变更的内容和原因</w:t>
            </w:r>
          </w:p>
        </w:tc>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审批程序</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0" w:right="0"/>
              <w:jc w:val="left"/>
              <w:rPr>
                <w:rFonts w:ascii="宋体" w:hAnsi="宋体" w:cs="宋体" w:eastAsia="宋体" w:hint="default"/>
                <w:sz w:val="18"/>
                <w:szCs w:val="18"/>
              </w:rPr>
            </w:pPr>
            <w:r>
              <w:rPr>
                <w:rFonts w:ascii="宋体" w:hAnsi="宋体" w:cs="宋体" w:eastAsia="宋体" w:hint="default"/>
                <w:sz w:val="18"/>
                <w:szCs w:val="18"/>
              </w:rPr>
              <w:t>开始适用的时点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2274" w:hRule="exact"/>
        </w:trPr>
        <w:tc>
          <w:tcPr>
            <w:tcW w:w="2397"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2"/>
              <w:ind w:left="22" w:right="23"/>
              <w:jc w:val="left"/>
              <w:rPr>
                <w:rFonts w:ascii="宋体" w:hAnsi="宋体" w:cs="宋体" w:eastAsia="宋体" w:hint="default"/>
                <w:sz w:val="18"/>
                <w:szCs w:val="18"/>
              </w:rPr>
            </w:pPr>
            <w:r>
              <w:rPr>
                <w:rFonts w:ascii="宋体" w:hAnsi="宋体" w:cs="宋体" w:eastAsia="宋体" w:hint="default"/>
                <w:sz w:val="18"/>
                <w:szCs w:val="18"/>
              </w:rPr>
              <w:t>本公司原对固定资产中的房屋 建筑物以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年的折旧年限进 行折旧核算，为了更加合理地 估计固定资产折旧，公允反映 公司财务状况和经营成果，改 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20-40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年的折旧年限进行核 算。</w:t>
            </w:r>
          </w:p>
        </w:tc>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2" w:right="195"/>
              <w:jc w:val="left"/>
              <w:rPr>
                <w:rFonts w:ascii="宋体" w:hAnsi="宋体" w:cs="宋体" w:eastAsia="宋体" w:hint="default"/>
                <w:sz w:val="18"/>
                <w:szCs w:val="18"/>
              </w:rPr>
            </w:pPr>
            <w:r>
              <w:rPr>
                <w:rFonts w:ascii="宋体" w:hAnsi="宋体" w:cs="宋体" w:eastAsia="宋体" w:hint="default"/>
                <w:sz w:val="18"/>
                <w:szCs w:val="18"/>
              </w:rPr>
              <w:t>本次变更经公司第二届第三 十五次董事会审议通过。</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2899" w:hRule="exact"/>
        </w:trPr>
        <w:tc>
          <w:tcPr>
            <w:tcW w:w="2397"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2"/>
              <w:ind w:left="22" w:right="23"/>
              <w:jc w:val="both"/>
              <w:rPr>
                <w:rFonts w:ascii="Times New Roman" w:hAnsi="Times New Roman" w:cs="Times New Roman" w:eastAsia="Times New Roman" w:hint="default"/>
                <w:sz w:val="18"/>
                <w:szCs w:val="18"/>
              </w:rPr>
            </w:pPr>
            <w:r>
              <w:rPr>
                <w:rFonts w:ascii="宋体" w:hAnsi="宋体" w:cs="宋体" w:eastAsia="宋体" w:hint="default"/>
                <w:sz w:val="18"/>
                <w:szCs w:val="18"/>
              </w:rPr>
              <w:t>公司原对应收款项的坏账准备 计提比例为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1-2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7"/>
                <w:sz w:val="18"/>
                <w:szCs w:val="18"/>
              </w:rPr>
              <w:t>10%</w:t>
            </w:r>
            <w:r>
              <w:rPr>
                <w:rFonts w:ascii="宋体" w:hAnsi="宋体" w:cs="宋体" w:eastAsia="宋体" w:hint="default"/>
                <w:spacing w:val="-7"/>
                <w:sz w:val="18"/>
                <w:szCs w:val="18"/>
              </w:rPr>
              <w:t>、</w:t>
            </w:r>
            <w:r>
              <w:rPr>
                <w:rFonts w:ascii="Times New Roman" w:hAnsi="Times New Roman" w:cs="Times New Roman" w:eastAsia="Times New Roman" w:hint="default"/>
                <w:spacing w:val="-7"/>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9"/>
                <w:sz w:val="18"/>
                <w:szCs w:val="18"/>
              </w:rPr>
              <w:t>30%</w:t>
            </w:r>
            <w:r>
              <w:rPr>
                <w:rFonts w:ascii="宋体" w:hAnsi="宋体" w:cs="宋体" w:eastAsia="宋体" w:hint="default"/>
                <w:spacing w:val="-9"/>
                <w:sz w:val="18"/>
                <w:szCs w:val="18"/>
              </w:rPr>
              <w:t>、</w:t>
            </w:r>
            <w:r>
              <w:rPr>
                <w:rFonts w:ascii="Times New Roman" w:hAnsi="Times New Roman" w:cs="Times New Roman" w:eastAsia="Times New Roman" w:hint="default"/>
                <w:spacing w:val="-9"/>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 </w:t>
            </w:r>
            <w:r>
              <w:rPr>
                <w:rFonts w:ascii="Times New Roman" w:hAnsi="Times New Roman" w:cs="Times New Roman" w:eastAsia="Times New Roman" w:hint="default"/>
                <w:spacing w:val="-4"/>
                <w:sz w:val="18"/>
                <w:szCs w:val="18"/>
              </w:rPr>
              <w:t>100%</w:t>
            </w:r>
            <w:r>
              <w:rPr>
                <w:rFonts w:ascii="宋体" w:hAnsi="宋体" w:cs="宋体" w:eastAsia="宋体" w:hint="default"/>
                <w:spacing w:val="-4"/>
                <w:sz w:val="18"/>
                <w:szCs w:val="18"/>
              </w:rPr>
              <w:t>，为了使公司的应收债权</w:t>
            </w:r>
            <w:r>
              <w:rPr>
                <w:rFonts w:ascii="宋体" w:hAnsi="宋体" w:cs="宋体" w:eastAsia="宋体" w:hint="default"/>
                <w:sz w:val="18"/>
                <w:szCs w:val="18"/>
              </w:rPr>
              <w:t> 更符合行业特点和公司风险状 </w:t>
            </w:r>
            <w:r>
              <w:rPr>
                <w:rFonts w:ascii="宋体" w:hAnsi="宋体" w:cs="宋体" w:eastAsia="宋体" w:hint="default"/>
                <w:spacing w:val="-4"/>
                <w:sz w:val="18"/>
                <w:szCs w:val="18"/>
              </w:rPr>
              <w:t>况，改按</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r>
              <w:rPr>
                <w:rFonts w:ascii="宋体" w:hAnsi="宋体" w:cs="宋体" w:eastAsia="宋体" w:hint="default"/>
                <w:spacing w:val="-45"/>
                <w:sz w:val="18"/>
                <w:szCs w:val="18"/>
              </w:rPr>
              <w:t> </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1-2</w:t>
            </w:r>
            <w:r>
              <w:rPr>
                <w:rFonts w:ascii="Times New Roman" w:hAnsi="Times New Roman" w:cs="Times New Roman" w:eastAsia="Times New Roman" w:hint="default"/>
                <w:sz w:val="18"/>
                <w:szCs w:val="18"/>
              </w:rPr>
              <w:t> </w:t>
            </w:r>
            <w:r>
              <w:rPr>
                <w:rFonts w:ascii="宋体" w:hAnsi="宋体" w:cs="宋体" w:eastAsia="宋体" w:hint="default"/>
                <w:sz w:val="18"/>
                <w:szCs w:val="18"/>
              </w:rPr>
              <w:t>年 </w:t>
            </w:r>
            <w:r>
              <w:rPr>
                <w:rFonts w:ascii="Times New Roman" w:hAnsi="Times New Roman" w:cs="Times New Roman" w:eastAsia="Times New Roman" w:hint="default"/>
                <w:spacing w:val="-9"/>
                <w:sz w:val="18"/>
                <w:szCs w:val="18"/>
              </w:rPr>
              <w:t>10%</w:t>
            </w:r>
            <w:r>
              <w:rPr>
                <w:rFonts w:ascii="宋体" w:hAnsi="宋体" w:cs="宋体" w:eastAsia="宋体" w:hint="default"/>
                <w:spacing w:val="-9"/>
                <w:sz w:val="18"/>
                <w:szCs w:val="18"/>
              </w:rPr>
              <w:t>、</w:t>
            </w:r>
            <w:r>
              <w:rPr>
                <w:rFonts w:ascii="Times New Roman" w:hAnsi="Times New Roman" w:cs="Times New Roman" w:eastAsia="Times New Roman" w:hint="default"/>
                <w:spacing w:val="-9"/>
                <w:sz w:val="18"/>
                <w:szCs w:val="18"/>
              </w:rPr>
              <w:t>2-3 </w:t>
            </w:r>
            <w:r>
              <w:rPr>
                <w:rFonts w:ascii="宋体" w:hAnsi="宋体" w:cs="宋体" w:eastAsia="宋体" w:hint="default"/>
                <w:sz w:val="18"/>
                <w:szCs w:val="18"/>
              </w:rPr>
              <w:t>年 </w:t>
            </w:r>
            <w:r>
              <w:rPr>
                <w:rFonts w:ascii="Times New Roman" w:hAnsi="Times New Roman" w:cs="Times New Roman" w:eastAsia="Times New Roman" w:hint="default"/>
                <w:spacing w:val="-9"/>
                <w:sz w:val="18"/>
                <w:szCs w:val="18"/>
              </w:rPr>
              <w:t>20%</w:t>
            </w:r>
            <w:r>
              <w:rPr>
                <w:rFonts w:ascii="宋体" w:hAnsi="宋体" w:cs="宋体" w:eastAsia="宋体" w:hint="default"/>
                <w:spacing w:val="-9"/>
                <w:sz w:val="18"/>
                <w:szCs w:val="18"/>
              </w:rPr>
              <w:t>、</w:t>
            </w:r>
            <w:r>
              <w:rPr>
                <w:rFonts w:ascii="Times New Roman" w:hAnsi="Times New Roman" w:cs="Times New Roman" w:eastAsia="Times New Roman" w:hint="default"/>
                <w:spacing w:val="-9"/>
                <w:sz w:val="18"/>
                <w:szCs w:val="18"/>
              </w:rPr>
              <w:t>3-4 </w:t>
            </w:r>
            <w:r>
              <w:rPr>
                <w:rFonts w:ascii="宋体" w:hAnsi="宋体" w:cs="宋体" w:eastAsia="宋体" w:hint="default"/>
                <w:sz w:val="18"/>
                <w:szCs w:val="18"/>
              </w:rPr>
              <w:t>年</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50%</w:t>
            </w:r>
          </w:p>
          <w:p>
            <w:pPr>
              <w:pStyle w:val="TableParagraph"/>
              <w:spacing w:line="302" w:lineRule="auto" w:before="7"/>
              <w:ind w:left="22" w:right="22"/>
              <w:jc w:val="both"/>
              <w:rPr>
                <w:rFonts w:ascii="宋体" w:hAnsi="宋体" w:cs="宋体" w:eastAsia="宋体" w:hint="default"/>
                <w:sz w:val="18"/>
                <w:szCs w:val="18"/>
              </w:rPr>
            </w:pPr>
            <w:r>
              <w:rPr>
                <w:rFonts w:ascii="Times New Roman" w:hAnsi="Times New Roman" w:cs="Times New Roman" w:eastAsia="Times New Roman" w:hint="default"/>
                <w:sz w:val="18"/>
                <w:szCs w:val="18"/>
              </w:rPr>
              <w:t>4-5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w:t>
            </w:r>
            <w:r>
              <w:rPr>
                <w:rFonts w:ascii="Times New Roman" w:hAnsi="Times New Roman" w:cs="Times New Roman" w:eastAsia="Times New Roman" w:hint="default"/>
                <w:sz w:val="18"/>
                <w:szCs w:val="18"/>
              </w:rPr>
              <w:t>5 </w:t>
            </w:r>
            <w:r>
              <w:rPr>
                <w:rFonts w:ascii="宋体" w:hAnsi="宋体" w:cs="宋体" w:eastAsia="宋体" w:hint="default"/>
                <w:sz w:val="18"/>
                <w:szCs w:val="18"/>
              </w:rPr>
              <w:t>年以上</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的 计提比例进行坏账准备核算。</w:t>
            </w:r>
          </w:p>
        </w:tc>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2" w:right="195"/>
              <w:jc w:val="left"/>
              <w:rPr>
                <w:rFonts w:ascii="宋体" w:hAnsi="宋体" w:cs="宋体" w:eastAsia="宋体" w:hint="default"/>
                <w:sz w:val="18"/>
                <w:szCs w:val="18"/>
              </w:rPr>
            </w:pPr>
            <w:r>
              <w:rPr>
                <w:rFonts w:ascii="宋体" w:hAnsi="宋体" w:cs="宋体" w:eastAsia="宋体" w:hint="default"/>
                <w:sz w:val="18"/>
                <w:szCs w:val="18"/>
              </w:rPr>
              <w:t>本次变更经公司第二届第三 十五次董事会审议通过。</w:t>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7"/>
                <w:szCs w:val="17"/>
              </w:rPr>
            </w:pPr>
          </w:p>
          <w:p>
            <w:pPr>
              <w:pStyle w:val="TableParagraph"/>
              <w:spacing w:line="1092" w:lineRule="exact"/>
              <w:ind w:right="-50"/>
              <w:jc w:val="left"/>
              <w:rPr>
                <w:rFonts w:ascii="宋体" w:hAnsi="宋体" w:cs="宋体" w:eastAsia="宋体" w:hint="default"/>
                <w:sz w:val="20"/>
                <w:szCs w:val="20"/>
              </w:rPr>
            </w:pPr>
            <w:r>
              <w:rPr>
                <w:rFonts w:ascii="宋体" w:hAnsi="宋体" w:cs="宋体" w:eastAsia="宋体" w:hint="default"/>
                <w:position w:val="-21"/>
                <w:sz w:val="20"/>
                <w:szCs w:val="20"/>
              </w:rPr>
              <w:pict>
                <v:group style="width:118.9pt;height:54.6pt;mso-position-horizontal-relative:char;mso-position-vertical-relative:line" coordorigin="0,0" coordsize="2378,1092">
                  <v:group style="position:absolute;left:0;top:0;width:2378;height:1092" coordorigin="0,0" coordsize="2378,1092">
                    <v:shape style="position:absolute;left:0;top:0;width:2378;height:1092" coordorigin="0,0" coordsize="2378,1092" path="m0,1092l2378,1092,2378,0,0,0,0,1092xe" filled="true" fillcolor="#ffffff" stroked="false">
                      <v:path arrowok="t"/>
                      <v:fill type="solid"/>
                    </v:shape>
                  </v:group>
                </v:group>
              </w:pict>
            </w:r>
            <w:r>
              <w:rPr>
                <w:rFonts w:ascii="宋体" w:hAnsi="宋体" w:cs="宋体" w:eastAsia="宋体" w:hint="default"/>
                <w:position w:val="-21"/>
                <w:sz w:val="20"/>
                <w:szCs w:val="20"/>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2"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88"/>
        <w:ind w:right="0"/>
        <w:jc w:val="left"/>
      </w:pPr>
      <w:r>
        <w:rPr/>
        <w:pict>
          <v:shape style="position:absolute;margin-left:170.539993pt;margin-top:-55.168278pt;width:125.15pt;height:54.6pt;mso-position-horizontal-relative:page;mso-position-vertical-relative:paragraph;z-index:-1169656" type="#_x0000_t202" filled="false" stroked="false">
            <v:textbox inset="0,0,0,0">
              <w:txbxContent>
                <w:p>
                  <w:pPr>
                    <w:pStyle w:val="BodyText"/>
                    <w:spacing w:line="240" w:lineRule="auto" w:before="127"/>
                    <w:ind w:left="0" w:right="0"/>
                    <w:jc w:val="left"/>
                  </w:pPr>
                  <w:r>
                    <w:rPr/>
                    <w:t>、</w:t>
                  </w:r>
                </w:p>
              </w:txbxContent>
            </v:textbox>
            <w10:wrap type="none"/>
          </v:shape>
        </w:pict>
      </w:r>
      <w:r>
        <w:rPr/>
        <w:t>受重要影响的报表项目和金额 ：</w:t>
      </w:r>
    </w:p>
    <w:p>
      <w:pPr>
        <w:spacing w:line="240" w:lineRule="auto" w:before="13"/>
        <w:rPr>
          <w:rFonts w:ascii="宋体" w:hAnsi="宋体" w:cs="宋体" w:eastAsia="宋体" w:hint="default"/>
          <w:sz w:val="10"/>
          <w:szCs w:val="10"/>
        </w:rPr>
      </w:pPr>
    </w:p>
    <w:tbl>
      <w:tblPr>
        <w:tblW w:w="0" w:type="auto"/>
        <w:jc w:val="left"/>
        <w:tblInd w:w="1021" w:type="dxa"/>
        <w:tblLayout w:type="fixed"/>
        <w:tblCellMar>
          <w:top w:w="0" w:type="dxa"/>
          <w:left w:w="0" w:type="dxa"/>
          <w:bottom w:w="0" w:type="dxa"/>
          <w:right w:w="0" w:type="dxa"/>
        </w:tblCellMar>
        <w:tblLook w:val="01E0"/>
      </w:tblPr>
      <w:tblGrid>
        <w:gridCol w:w="6019"/>
        <w:gridCol w:w="2666"/>
        <w:gridCol w:w="1171"/>
      </w:tblGrid>
      <w:tr>
        <w:trPr>
          <w:trHeight w:val="474" w:hRule="exact"/>
        </w:trPr>
        <w:tc>
          <w:tcPr>
            <w:tcW w:w="60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受重要影响的报表项目</w:t>
            </w:r>
          </w:p>
        </w:tc>
        <w:tc>
          <w:tcPr>
            <w:tcW w:w="26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影响金额</w:t>
            </w:r>
          </w:p>
        </w:tc>
        <w:tc>
          <w:tcPr>
            <w:tcW w:w="1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91" w:hRule="exact"/>
        </w:trPr>
        <w:tc>
          <w:tcPr>
            <w:tcW w:w="6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日资产负债表项目</w:t>
            </w:r>
          </w:p>
        </w:tc>
        <w:tc>
          <w:tcPr>
            <w:tcW w:w="2666"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6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10,050,015.99</w:t>
            </w:r>
          </w:p>
        </w:tc>
        <w:tc>
          <w:tcPr>
            <w:tcW w:w="117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6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654,266.78</w:t>
            </w:r>
          </w:p>
        </w:tc>
        <w:tc>
          <w:tcPr>
            <w:tcW w:w="1171"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6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1,706,513.68</w:t>
            </w:r>
          </w:p>
        </w:tc>
        <w:tc>
          <w:tcPr>
            <w:tcW w:w="117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6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2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91,149.70</w:t>
            </w:r>
          </w:p>
        </w:tc>
        <w:tc>
          <w:tcPr>
            <w:tcW w:w="1171"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6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年度利润表项目</w:t>
            </w:r>
          </w:p>
        </w:tc>
        <w:tc>
          <w:tcPr>
            <w:tcW w:w="2666"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6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2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-1,706,513.68</w:t>
            </w:r>
          </w:p>
        </w:tc>
        <w:tc>
          <w:tcPr>
            <w:tcW w:w="1171"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6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其他业务成本</w:t>
            </w:r>
          </w:p>
        </w:tc>
        <w:tc>
          <w:tcPr>
            <w:tcW w:w="2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w w:val="95"/>
                <w:sz w:val="18"/>
              </w:rPr>
              <w:t>-91,149.70</w:t>
            </w:r>
            <w:r>
              <w:rPr>
                <w:rFonts w:ascii="Times New Roman"/>
                <w:sz w:val="18"/>
              </w:rPr>
            </w:r>
          </w:p>
        </w:tc>
        <w:tc>
          <w:tcPr>
            <w:tcW w:w="117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87" w:footer="640" w:top="1100" w:bottom="840" w:left="0" w:right="0"/>
        </w:sectPr>
      </w:pPr>
    </w:p>
    <w:p>
      <w:pPr>
        <w:spacing w:line="240" w:lineRule="auto" w:before="5"/>
        <w:rPr>
          <w:rFonts w:ascii="宋体" w:hAnsi="宋体" w:cs="宋体" w:eastAsia="宋体" w:hint="default"/>
          <w:sz w:val="25"/>
          <w:szCs w:val="25"/>
        </w:rPr>
      </w:pPr>
    </w:p>
    <w:tbl>
      <w:tblPr>
        <w:tblW w:w="0" w:type="auto"/>
        <w:jc w:val="left"/>
        <w:tblInd w:w="1021" w:type="dxa"/>
        <w:tblLayout w:type="fixed"/>
        <w:tblCellMar>
          <w:top w:w="0" w:type="dxa"/>
          <w:left w:w="0" w:type="dxa"/>
          <w:bottom w:w="0" w:type="dxa"/>
          <w:right w:w="0" w:type="dxa"/>
        </w:tblCellMar>
        <w:tblLook w:val="01E0"/>
      </w:tblPr>
      <w:tblGrid>
        <w:gridCol w:w="6019"/>
        <w:gridCol w:w="2666"/>
        <w:gridCol w:w="1171"/>
      </w:tblGrid>
      <w:tr>
        <w:trPr>
          <w:trHeight w:val="323" w:hRule="exact"/>
        </w:trPr>
        <w:tc>
          <w:tcPr>
            <w:tcW w:w="6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2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458" w:right="0"/>
              <w:jc w:val="left"/>
              <w:rPr>
                <w:rFonts w:ascii="Times New Roman" w:hAnsi="Times New Roman" w:cs="Times New Roman" w:eastAsia="Times New Roman" w:hint="default"/>
                <w:sz w:val="18"/>
                <w:szCs w:val="18"/>
              </w:rPr>
            </w:pPr>
            <w:r>
              <w:rPr>
                <w:rFonts w:ascii="Times New Roman"/>
                <w:sz w:val="18"/>
              </w:rPr>
              <w:t>-10,704,282.77</w:t>
            </w:r>
          </w:p>
        </w:tc>
        <w:tc>
          <w:tcPr>
            <w:tcW w:w="117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
        <w:rPr>
          <w:rFonts w:ascii="宋体" w:hAnsi="宋体" w:cs="宋体" w:eastAsia="宋体" w:hint="default"/>
          <w:sz w:val="25"/>
          <w:szCs w:val="25"/>
        </w:rPr>
      </w:pPr>
    </w:p>
    <w:p>
      <w:pPr>
        <w:pStyle w:val="Heading3"/>
        <w:spacing w:line="240" w:lineRule="auto" w:before="35"/>
        <w:ind w:right="0"/>
        <w:jc w:val="left"/>
        <w:rPr>
          <w:b w:val="0"/>
          <w:bCs w:val="0"/>
        </w:rPr>
      </w:pPr>
      <w:bookmarkStart w:name="34、其他" w:id="220"/>
      <w:bookmarkEnd w:id="220"/>
      <w:r>
        <w:rPr>
          <w:b w:val="0"/>
          <w:bCs w:val="0"/>
        </w:rPr>
      </w:r>
      <w:r>
        <w:rPr>
          <w:rFonts w:ascii="Times New Roman" w:hAnsi="Times New Roman" w:cs="Times New Roman" w:eastAsia="Times New Roman" w:hint="default"/>
        </w:rPr>
        <w:t>34</w:t>
      </w:r>
      <w:r>
        <w:rPr/>
        <w:t>、其他</w:t>
      </w:r>
      <w:r>
        <w:rPr>
          <w:b w:val="0"/>
          <w:bCs w:val="0"/>
        </w:rPr>
      </w:r>
    </w:p>
    <w:p>
      <w:pPr>
        <w:spacing w:line="240" w:lineRule="auto" w:before="0"/>
        <w:rPr>
          <w:rFonts w:ascii="宋体" w:hAnsi="宋体" w:cs="宋体" w:eastAsia="宋体" w:hint="default"/>
          <w:b/>
          <w:bCs/>
          <w:sz w:val="22"/>
          <w:szCs w:val="22"/>
        </w:rPr>
      </w:pPr>
    </w:p>
    <w:p>
      <w:pPr>
        <w:spacing w:line="240" w:lineRule="auto" w:before="6"/>
        <w:rPr>
          <w:rFonts w:ascii="宋体" w:hAnsi="宋体" w:cs="宋体" w:eastAsia="宋体" w:hint="default"/>
          <w:b/>
          <w:bCs/>
          <w:sz w:val="16"/>
          <w:szCs w:val="1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18"/>
          <w:szCs w:val="18"/>
        </w:rPr>
      </w:pPr>
    </w:p>
    <w:p>
      <w:pPr>
        <w:pStyle w:val="Heading2"/>
        <w:spacing w:line="240" w:lineRule="auto"/>
        <w:ind w:left="1134" w:right="0"/>
        <w:jc w:val="left"/>
        <w:rPr>
          <w:b w:val="0"/>
          <w:bCs w:val="0"/>
        </w:rPr>
      </w:pPr>
      <w:bookmarkStart w:name="六、税项" w:id="221"/>
      <w:bookmarkEnd w:id="221"/>
      <w:r>
        <w:rPr>
          <w:b w:val="0"/>
          <w:bCs w:val="0"/>
        </w:rPr>
      </w:r>
      <w:r>
        <w:rPr/>
        <w:t>六、税项</w:t>
      </w:r>
      <w:r>
        <w:rPr>
          <w:b w:val="0"/>
          <w:bCs w:val="0"/>
        </w:rPr>
      </w:r>
    </w:p>
    <w:p>
      <w:pPr>
        <w:spacing w:line="240" w:lineRule="auto" w:before="0"/>
        <w:rPr>
          <w:rFonts w:ascii="宋体" w:hAnsi="宋体" w:cs="宋体" w:eastAsia="宋体" w:hint="default"/>
          <w:b/>
          <w:bCs/>
          <w:sz w:val="24"/>
          <w:szCs w:val="24"/>
        </w:rPr>
      </w:pPr>
    </w:p>
    <w:p>
      <w:pPr>
        <w:pStyle w:val="Heading3"/>
        <w:spacing w:line="240" w:lineRule="auto" w:before="163"/>
        <w:ind w:right="0"/>
        <w:jc w:val="left"/>
        <w:rPr>
          <w:b w:val="0"/>
          <w:bCs w:val="0"/>
        </w:rPr>
      </w:pPr>
      <w:bookmarkStart w:name="1、主要税种及税率" w:id="222"/>
      <w:bookmarkEnd w:id="222"/>
      <w:r>
        <w:rPr>
          <w:b w:val="0"/>
          <w:bCs w:val="0"/>
        </w:rPr>
      </w:r>
      <w:r>
        <w:rPr>
          <w:rFonts w:ascii="Times New Roman" w:hAnsi="Times New Roman" w:cs="Times New Roman" w:eastAsia="Times New Roman" w:hint="default"/>
        </w:rPr>
        <w:t>1</w:t>
      </w:r>
      <w:r>
        <w:rPr/>
        <w:t>、主要税种及税率</w:t>
      </w:r>
      <w:r>
        <w:rPr>
          <w:b w:val="0"/>
          <w:bCs w:val="0"/>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1"/>
          <w:szCs w:val="11"/>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税种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销售货物或提供应税劳务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17%</w:t>
            </w:r>
            <w:r>
              <w:rPr>
                <w:rFonts w:ascii="宋体" w:hAnsi="宋体" w:cs="宋体" w:eastAsia="宋体" w:hint="default"/>
                <w:sz w:val="18"/>
                <w:szCs w:val="18"/>
              </w:rPr>
              <w:t>，</w:t>
            </w:r>
            <w:r>
              <w:rPr>
                <w:rFonts w:ascii="Times New Roman" w:hAnsi="Times New Roman" w:cs="Times New Roman" w:eastAsia="Times New Roman" w:hint="default"/>
                <w:sz w:val="18"/>
                <w:szCs w:val="18"/>
              </w:rPr>
              <w:t>11%</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w:t>
            </w:r>
            <w:r>
              <w:rPr>
                <w:rFonts w:ascii="Times New Roman" w:hAnsi="Times New Roman" w:cs="Times New Roman" w:eastAsia="Times New Roman" w:hint="default"/>
                <w:sz w:val="18"/>
                <w:szCs w:val="18"/>
              </w:rPr>
              <w:t>5%,3%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应缴流转税税额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15%</w:t>
            </w:r>
            <w:r>
              <w:rPr>
                <w:rFonts w:ascii="宋体" w:hAnsi="宋体" w:cs="宋体" w:eastAsia="宋体" w:hint="default"/>
                <w:sz w:val="18"/>
                <w:szCs w:val="18"/>
              </w:rPr>
              <w:t>、</w:t>
            </w:r>
            <w:r>
              <w:rPr>
                <w:rFonts w:ascii="Times New Roman" w:hAnsi="Times New Roman" w:cs="Times New Roman" w:eastAsia="Times New Roman" w:hint="default"/>
                <w:sz w:val="18"/>
                <w:szCs w:val="18"/>
              </w:rPr>
              <w:t>25%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应纳税营业额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p>
        </w:tc>
      </w:tr>
      <w:tr>
        <w:trPr>
          <w:trHeight w:val="1026"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35"/>
              <w:jc w:val="both"/>
              <w:rPr>
                <w:rFonts w:ascii="宋体" w:hAnsi="宋体" w:cs="宋体" w:eastAsia="宋体" w:hint="default"/>
                <w:sz w:val="18"/>
                <w:szCs w:val="18"/>
              </w:rPr>
            </w:pPr>
            <w:r>
              <w:rPr>
                <w:rFonts w:ascii="宋体" w:hAnsi="宋体" w:cs="宋体" w:eastAsia="宋体" w:hint="default"/>
                <w:sz w:val="18"/>
                <w:szCs w:val="18"/>
              </w:rPr>
              <w:t>从价计征的，按房产原值一次减除</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后余值的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宋体" w:hAnsi="宋体" w:cs="宋体" w:eastAsia="宋体" w:hint="default"/>
                <w:sz w:val="18"/>
                <w:szCs w:val="18"/>
              </w:rPr>
              <w:t>计缴；从租计征的，按租 金收入的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宋体" w:hAnsi="宋体" w:cs="宋体" w:eastAsia="宋体" w:hint="default"/>
                <w:sz w:val="18"/>
                <w:szCs w:val="18"/>
              </w:rPr>
              <w:t>计缴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w:t>
            </w:r>
            <w:r>
              <w:rPr>
                <w:rFonts w:ascii="Times New Roman" w:hAnsi="Times New Roman" w:cs="Times New Roman" w:eastAsia="Times New Roman" w:hint="default"/>
                <w:sz w:val="18"/>
                <w:szCs w:val="18"/>
              </w:rPr>
              <w:t>12%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应缴流转税税额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地方教育附加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应缴流转税税额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w:t>
            </w:r>
          </w:p>
        </w:tc>
      </w:tr>
    </w:tbl>
    <w:p>
      <w:pPr>
        <w:spacing w:line="240" w:lineRule="auto" w:before="6"/>
        <w:rPr>
          <w:rFonts w:ascii="宋体" w:hAnsi="宋体" w:cs="宋体" w:eastAsia="宋体" w:hint="default"/>
          <w:b/>
          <w:bCs/>
          <w:sz w:val="6"/>
          <w:szCs w:val="6"/>
        </w:rPr>
      </w:pPr>
    </w:p>
    <w:p>
      <w:pPr>
        <w:pStyle w:val="BodyText"/>
        <w:spacing w:line="240" w:lineRule="auto" w:before="44"/>
        <w:ind w:right="0"/>
        <w:jc w:val="left"/>
      </w:pPr>
      <w:r>
        <w:rPr/>
        <w:t>存在不同企业所得税税率纳税主体的，披露情况说明</w:t>
      </w:r>
    </w:p>
    <w:p>
      <w:pPr>
        <w:spacing w:line="240" w:lineRule="auto" w:before="0"/>
        <w:rPr>
          <w:rFonts w:ascii="宋体" w:hAnsi="宋体" w:cs="宋体" w:eastAsia="宋体" w:hint="default"/>
          <w:sz w:val="14"/>
          <w:szCs w:val="14"/>
        </w:rPr>
      </w:pPr>
    </w:p>
    <w:tbl>
      <w:tblPr>
        <w:tblW w:w="0" w:type="auto"/>
        <w:jc w:val="left"/>
        <w:tblInd w:w="112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浩云科技股份有限公司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广州市苏瑞计算机科技有限公司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广州市浩云安防设备有限公司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重庆浩云公共安全物联网技术有限公司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深圳市润安科技发展有限公司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广州浩昀宏信息技术有限公司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广州市浩耘元鸿信息技术有限公司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西藏浩云创业投资有限公司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武汉浩立威保安服务有限公司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bl>
    <w:p>
      <w:pPr>
        <w:spacing w:line="240" w:lineRule="auto" w:before="1"/>
        <w:rPr>
          <w:rFonts w:ascii="宋体" w:hAnsi="宋体" w:cs="宋体" w:eastAsia="宋体" w:hint="default"/>
          <w:sz w:val="25"/>
          <w:szCs w:val="25"/>
        </w:rPr>
      </w:pPr>
    </w:p>
    <w:p>
      <w:pPr>
        <w:pStyle w:val="Heading3"/>
        <w:spacing w:line="240" w:lineRule="auto" w:before="35"/>
        <w:ind w:right="0"/>
        <w:jc w:val="left"/>
        <w:rPr>
          <w:b w:val="0"/>
          <w:bCs w:val="0"/>
        </w:rPr>
      </w:pPr>
      <w:bookmarkStart w:name="2、税收优惠" w:id="223"/>
      <w:bookmarkEnd w:id="223"/>
      <w:r>
        <w:rPr>
          <w:b w:val="0"/>
          <w:bCs w:val="0"/>
        </w:rPr>
      </w:r>
      <w:r>
        <w:rPr>
          <w:rFonts w:ascii="Times New Roman" w:hAnsi="Times New Roman" w:cs="Times New Roman" w:eastAsia="Times New Roman" w:hint="default"/>
        </w:rPr>
        <w:t>2</w:t>
      </w:r>
      <w:r>
        <w:rPr/>
        <w:t>、税收优惠</w:t>
      </w:r>
      <w:r>
        <w:rPr>
          <w:b w:val="0"/>
          <w:bCs w:val="0"/>
        </w:rPr>
      </w:r>
    </w:p>
    <w:p>
      <w:pPr>
        <w:spacing w:line="240" w:lineRule="auto" w:before="0"/>
        <w:rPr>
          <w:rFonts w:ascii="宋体" w:hAnsi="宋体" w:cs="宋体" w:eastAsia="宋体" w:hint="default"/>
          <w:b/>
          <w:bCs/>
          <w:sz w:val="22"/>
          <w:szCs w:val="22"/>
        </w:rPr>
      </w:pPr>
    </w:p>
    <w:p>
      <w:pPr>
        <w:spacing w:line="240" w:lineRule="auto" w:before="5"/>
        <w:rPr>
          <w:rFonts w:ascii="宋体" w:hAnsi="宋体" w:cs="宋体" w:eastAsia="宋体" w:hint="default"/>
          <w:b/>
          <w:bCs/>
          <w:sz w:val="16"/>
          <w:szCs w:val="16"/>
        </w:rPr>
      </w:pPr>
    </w:p>
    <w:p>
      <w:pPr>
        <w:pStyle w:val="BodyText"/>
        <w:spacing w:line="240" w:lineRule="auto"/>
        <w:ind w:right="0"/>
        <w:jc w:val="left"/>
      </w:pPr>
      <w:r>
        <w:rPr/>
        <w:t>（</w:t>
      </w:r>
      <w:r>
        <w:rPr>
          <w:spacing w:val="-69"/>
        </w:rPr>
        <w:t> </w:t>
      </w:r>
      <w:r>
        <w:rPr>
          <w:rFonts w:ascii="Times New Roman" w:hAnsi="Times New Roman" w:cs="Times New Roman" w:eastAsia="Times New Roman" w:hint="default"/>
          <w:spacing w:val="7"/>
        </w:rPr>
        <w:t>1</w:t>
      </w:r>
      <w:r>
        <w:rPr>
          <w:spacing w:val="7"/>
        </w:rPr>
        <w:t>）</w:t>
      </w:r>
      <w:r>
        <w:rPr>
          <w:spacing w:val="-67"/>
        </w:rPr>
        <w:t> </w:t>
      </w:r>
      <w:r>
        <w:rPr>
          <w:rFonts w:ascii="Times New Roman" w:hAnsi="Times New Roman" w:cs="Times New Roman" w:eastAsia="Times New Roman" w:hint="default"/>
          <w:spacing w:val="6"/>
        </w:rPr>
        <w:t>2017</w:t>
      </w:r>
      <w:r>
        <w:rPr>
          <w:spacing w:val="6"/>
        </w:rPr>
        <w:t>年</w:t>
      </w:r>
      <w:r>
        <w:rPr>
          <w:rFonts w:ascii="Times New Roman" w:hAnsi="Times New Roman" w:cs="Times New Roman" w:eastAsia="Times New Roman" w:hint="default"/>
          <w:spacing w:val="6"/>
        </w:rPr>
        <w:t>12</w:t>
      </w:r>
      <w:r>
        <w:rPr>
          <w:spacing w:val="6"/>
        </w:rPr>
        <w:t>月</w:t>
      </w:r>
      <w:r>
        <w:rPr>
          <w:rFonts w:ascii="Times New Roman" w:hAnsi="Times New Roman" w:cs="Times New Roman" w:eastAsia="Times New Roman" w:hint="default"/>
          <w:spacing w:val="6"/>
        </w:rPr>
        <w:t>11</w:t>
      </w:r>
      <w:r>
        <w:rPr>
          <w:spacing w:val="6"/>
        </w:rPr>
        <w:t>日，</w:t>
      </w:r>
      <w:r>
        <w:rPr>
          <w:spacing w:val="-69"/>
        </w:rPr>
        <w:t> </w:t>
      </w:r>
      <w:r>
        <w:rPr>
          <w:spacing w:val="13"/>
        </w:rPr>
        <w:t>公司获得广东省科学技术厅、广东省财政厅、</w:t>
      </w:r>
      <w:r>
        <w:rPr>
          <w:spacing w:val="-69"/>
        </w:rPr>
        <w:t> </w:t>
      </w:r>
      <w:r>
        <w:rPr>
          <w:spacing w:val="14"/>
        </w:rPr>
        <w:t>广东省国税局和广东省地税局颁发的编号为</w:t>
      </w:r>
    </w:p>
    <w:p>
      <w:pPr>
        <w:spacing w:after="0" w:line="240" w:lineRule="auto"/>
        <w:jc w:val="left"/>
        <w:sectPr>
          <w:pgSz w:w="11910" w:h="16840"/>
          <w:pgMar w:header="787" w:footer="640" w:top="1100" w:bottom="840" w:left="0" w:right="0"/>
        </w:sectPr>
      </w:pPr>
    </w:p>
    <w:p>
      <w:pPr>
        <w:spacing w:line="240" w:lineRule="auto" w:before="10"/>
        <w:rPr>
          <w:rFonts w:ascii="宋体" w:hAnsi="宋体" w:cs="宋体" w:eastAsia="宋体" w:hint="default"/>
          <w:sz w:val="28"/>
          <w:szCs w:val="28"/>
        </w:rPr>
      </w:pPr>
    </w:p>
    <w:p>
      <w:pPr>
        <w:pStyle w:val="BodyText"/>
        <w:spacing w:line="240" w:lineRule="auto" w:before="44"/>
        <w:ind w:right="0"/>
        <w:jc w:val="both"/>
      </w:pPr>
      <w:r>
        <w:rPr>
          <w:rFonts w:ascii="Times New Roman" w:hAnsi="Times New Roman" w:cs="Times New Roman" w:eastAsia="Times New Roman" w:hint="default"/>
          <w:w w:val="99"/>
        </w:rPr>
        <w:t>GR2017440</w:t>
      </w:r>
      <w:r>
        <w:rPr>
          <w:rFonts w:ascii="Times New Roman" w:hAnsi="Times New Roman" w:cs="Times New Roman" w:eastAsia="Times New Roman" w:hint="default"/>
          <w:spacing w:val="-8"/>
          <w:w w:val="99"/>
        </w:rPr>
        <w:t>1</w:t>
      </w:r>
      <w:r>
        <w:rPr>
          <w:rFonts w:ascii="Times New Roman" w:hAnsi="Times New Roman" w:cs="Times New Roman" w:eastAsia="Times New Roman" w:hint="default"/>
          <w:w w:val="99"/>
        </w:rPr>
        <w:t>1</w:t>
      </w:r>
      <w:r>
        <w:rPr>
          <w:rFonts w:ascii="Times New Roman" w:hAnsi="Times New Roman" w:cs="Times New Roman" w:eastAsia="Times New Roman" w:hint="default"/>
          <w:spacing w:val="1"/>
          <w:w w:val="99"/>
        </w:rPr>
        <w:t>6</w:t>
      </w:r>
      <w:r>
        <w:rPr>
          <w:rFonts w:ascii="Times New Roman" w:hAnsi="Times New Roman" w:cs="Times New Roman" w:eastAsia="Times New Roman" w:hint="default"/>
          <w:w w:val="99"/>
        </w:rPr>
        <w:t>38</w:t>
      </w:r>
      <w:r>
        <w:rPr>
          <w:w w:val="99"/>
        </w:rPr>
        <w:t>的《高新技术企业证书</w:t>
      </w:r>
      <w:r>
        <w:rPr>
          <w:spacing w:val="-90"/>
          <w:w w:val="99"/>
        </w:rPr>
        <w:t>》</w:t>
      </w:r>
      <w:r>
        <w:rPr>
          <w:w w:val="99"/>
        </w:rPr>
        <w:t>，</w:t>
      </w:r>
      <w:r>
        <w:rPr>
          <w:rFonts w:ascii="Times New Roman" w:hAnsi="Times New Roman" w:cs="Times New Roman" w:eastAsia="Times New Roman" w:hint="default"/>
          <w:w w:val="99"/>
        </w:rPr>
        <w:t>2017-2019</w:t>
      </w:r>
      <w:r>
        <w:rPr>
          <w:w w:val="99"/>
        </w:rPr>
        <w:t>年度减按</w:t>
      </w:r>
      <w:r>
        <w:rPr>
          <w:rFonts w:ascii="Times New Roman" w:hAnsi="Times New Roman" w:cs="Times New Roman" w:eastAsia="Times New Roman" w:hint="default"/>
          <w:w w:val="99"/>
        </w:rPr>
        <w:t>15%</w:t>
      </w:r>
      <w:r>
        <w:rPr>
          <w:w w:val="99"/>
        </w:rPr>
        <w:t>的税率计缴企业所得税。</w:t>
      </w:r>
      <w:r>
        <w:rPr/>
      </w:r>
    </w:p>
    <w:p>
      <w:pPr>
        <w:spacing w:line="240" w:lineRule="auto" w:before="9"/>
        <w:rPr>
          <w:rFonts w:ascii="宋体" w:hAnsi="宋体" w:cs="宋体" w:eastAsia="宋体" w:hint="default"/>
          <w:sz w:val="16"/>
          <w:szCs w:val="16"/>
        </w:rPr>
      </w:pPr>
    </w:p>
    <w:p>
      <w:pPr>
        <w:pStyle w:val="BodyText"/>
        <w:spacing w:line="456" w:lineRule="auto"/>
        <w:ind w:left="1133" w:right="0"/>
        <w:jc w:val="left"/>
      </w:pPr>
      <w:r>
        <w:rPr>
          <w:spacing w:val="-1"/>
        </w:rPr>
        <w:t>（</w:t>
      </w:r>
      <w:r>
        <w:rPr>
          <w:rFonts w:ascii="Times New Roman" w:hAnsi="Times New Roman" w:cs="Times New Roman" w:eastAsia="Times New Roman" w:hint="default"/>
          <w:spacing w:val="-1"/>
        </w:rPr>
        <w:t>2</w:t>
      </w:r>
      <w:r>
        <w:rPr>
          <w:spacing w:val="-1"/>
        </w:rPr>
        <w:t>）本公司子公司广州市苏瑞计算机科技有限公司于</w:t>
      </w:r>
      <w:r>
        <w:rPr>
          <w:rFonts w:ascii="Times New Roman" w:hAnsi="Times New Roman" w:cs="Times New Roman" w:eastAsia="Times New Roman" w:hint="default"/>
          <w:spacing w:val="-1"/>
        </w:rPr>
        <w:t>2013</w:t>
      </w:r>
      <w:r>
        <w:rPr>
          <w:spacing w:val="-1"/>
        </w:rPr>
        <w:t>年</w:t>
      </w:r>
      <w:r>
        <w:rPr>
          <w:rFonts w:ascii="Times New Roman" w:hAnsi="Times New Roman" w:cs="Times New Roman" w:eastAsia="Times New Roman" w:hint="default"/>
          <w:spacing w:val="-1"/>
        </w:rPr>
        <w:t>11</w:t>
      </w:r>
      <w:r>
        <w:rPr>
          <w:spacing w:val="-1"/>
        </w:rPr>
        <w:t>月</w:t>
      </w:r>
      <w:r>
        <w:rPr>
          <w:rFonts w:ascii="Times New Roman" w:hAnsi="Times New Roman" w:cs="Times New Roman" w:eastAsia="Times New Roman" w:hint="default"/>
          <w:spacing w:val="-1"/>
        </w:rPr>
        <w:t>29</w:t>
      </w:r>
      <w:r>
        <w:rPr>
          <w:spacing w:val="-1"/>
        </w:rPr>
        <w:t>日取得软件企业认定证书，证书编号：粤</w:t>
      </w:r>
      <w:r>
        <w:rPr>
          <w:rFonts w:ascii="Times New Roman" w:hAnsi="Times New Roman" w:cs="Times New Roman" w:eastAsia="Times New Roman" w:hint="default"/>
          <w:spacing w:val="-1"/>
        </w:rPr>
        <w:t>R-2013-0500</w:t>
      </w:r>
      <w:r>
        <w:rPr>
          <w:spacing w:val="-1"/>
        </w:rPr>
        <w:t>。</w:t>
      </w:r>
      <w:r>
        <w:rPr>
          <w:spacing w:val="-34"/>
        </w:rPr>
        <w:t> </w:t>
      </w:r>
      <w:r>
        <w:rPr>
          <w:spacing w:val="-2"/>
        </w:rPr>
        <w:t>自开始获利年度起，第一年和第二年免征企业所得税，第三年至第五年减半征收企业所得税。本年为第四个获利年度，减半</w:t>
      </w:r>
      <w:r>
        <w:rPr>
          <w:spacing w:val="-66"/>
        </w:rPr>
        <w:t> </w:t>
      </w:r>
      <w:r>
        <w:rPr>
          <w:spacing w:val="-66"/>
        </w:rPr>
      </w:r>
      <w:r>
        <w:rPr/>
        <w:t>征收企业所得税，按</w:t>
      </w:r>
      <w:r>
        <w:rPr>
          <w:rFonts w:ascii="Times New Roman" w:hAnsi="Times New Roman" w:cs="Times New Roman" w:eastAsia="Times New Roman" w:hint="default"/>
        </w:rPr>
        <w:t>12.5%</w:t>
      </w:r>
      <w:r>
        <w:rPr/>
        <w:t>计缴企业所得税。广州市苏瑞计算机科技有限公司销售其自行开发生产的软件产品，按</w:t>
      </w:r>
      <w:r>
        <w:rPr>
          <w:rFonts w:ascii="Times New Roman" w:hAnsi="Times New Roman" w:cs="Times New Roman" w:eastAsia="Times New Roman" w:hint="default"/>
        </w:rPr>
        <w:t>17%</w:t>
      </w:r>
      <w:r>
        <w:rPr/>
        <w:t>税率</w:t>
      </w:r>
      <w:r>
        <w:rPr>
          <w:spacing w:val="-71"/>
        </w:rPr>
        <w:t> </w:t>
      </w:r>
      <w:r>
        <w:rPr/>
        <w:t>征收增值税后，对其增值税实际税负超过</w:t>
      </w:r>
      <w:r>
        <w:rPr>
          <w:rFonts w:ascii="Times New Roman" w:hAnsi="Times New Roman" w:cs="Times New Roman" w:eastAsia="Times New Roman" w:hint="default"/>
        </w:rPr>
        <w:t>3%</w:t>
      </w:r>
      <w:r>
        <w:rPr/>
        <w:t>的部分实行即征即退政策。 广州市苏瑞计算机科技有限公司于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9</w:t>
      </w:r>
      <w:r>
        <w:rPr/>
        <w:t>日取得广东省科技技术厅、广东省财政厅、广东省国家税务局、广东省地方</w:t>
      </w:r>
      <w:r>
        <w:rPr>
          <w:spacing w:val="-83"/>
        </w:rPr>
        <w:t> </w:t>
      </w:r>
      <w:r>
        <w:rPr>
          <w:spacing w:val="-83"/>
        </w:rPr>
      </w:r>
      <w:r>
        <w:rPr/>
        <w:t>税务局联合颁发的高新技术企业证书，证书编号为</w:t>
      </w:r>
      <w:r>
        <w:rPr>
          <w:rFonts w:ascii="Times New Roman" w:hAnsi="Times New Roman" w:cs="Times New Roman" w:eastAsia="Times New Roman" w:hint="default"/>
        </w:rPr>
        <w:t>GR201644006258</w:t>
      </w:r>
      <w:r>
        <w:rPr/>
        <w:t>，有效期为三年，企业所得税从取得高新技术企业证书</w:t>
      </w:r>
      <w:r>
        <w:rPr>
          <w:spacing w:val="-66"/>
        </w:rPr>
        <w:t> </w:t>
      </w:r>
      <w:r>
        <w:rPr>
          <w:spacing w:val="-66"/>
        </w:rPr>
      </w:r>
      <w:r>
        <w:rPr/>
        <w:t>起减按</w:t>
      </w:r>
      <w:r>
        <w:rPr>
          <w:rFonts w:ascii="Times New Roman" w:hAnsi="Times New Roman" w:cs="Times New Roman" w:eastAsia="Times New Roman" w:hint="default"/>
        </w:rPr>
        <w:t>15%</w:t>
      </w:r>
      <w:r>
        <w:rPr/>
        <w:t>的税率缴纳。</w:t>
      </w:r>
    </w:p>
    <w:p>
      <w:pPr>
        <w:pStyle w:val="BodyText"/>
        <w:spacing w:line="451" w:lineRule="auto" w:before="39"/>
        <w:ind w:left="1133" w:right="1132"/>
        <w:jc w:val="both"/>
      </w:pPr>
      <w:r>
        <w:rPr/>
        <w:t>（</w:t>
      </w:r>
      <w:r>
        <w:rPr>
          <w:rFonts w:ascii="Times New Roman" w:hAnsi="Times New Roman" w:cs="Times New Roman" w:eastAsia="Times New Roman" w:hint="default"/>
        </w:rPr>
        <w:t>3</w:t>
      </w:r>
      <w:r>
        <w:rPr/>
        <w:t>）本公司子公司深圳市润安科技发展有限公司于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15</w:t>
      </w:r>
      <w:r>
        <w:rPr/>
        <w:t>日取得深圳市科技创新委员会、深圳市财政委员会、深圳</w:t>
      </w:r>
      <w:r>
        <w:rPr>
          <w:spacing w:val="-87"/>
        </w:rPr>
        <w:t> </w:t>
      </w:r>
      <w:r>
        <w:rPr>
          <w:spacing w:val="-87"/>
        </w:rPr>
      </w:r>
      <w:r>
        <w:rPr>
          <w:spacing w:val="-1"/>
        </w:rPr>
        <w:t>市国家税务局、深圳市地方税务局联合颁发的高新技术企业证书，证书编号为</w:t>
      </w:r>
      <w:r>
        <w:rPr>
          <w:rFonts w:ascii="Times New Roman" w:hAnsi="Times New Roman" w:cs="Times New Roman" w:eastAsia="Times New Roman" w:hint="default"/>
          <w:spacing w:val="-1"/>
        </w:rPr>
        <w:t>GR201644200185</w:t>
      </w:r>
      <w:r>
        <w:rPr>
          <w:spacing w:val="-1"/>
        </w:rPr>
        <w:t>，有效期为三年，</w:t>
      </w:r>
      <w:r>
        <w:rPr>
          <w:rFonts w:ascii="Times New Roman" w:hAnsi="Times New Roman" w:cs="Times New Roman" w:eastAsia="Times New Roman" w:hint="default"/>
          <w:spacing w:val="-1"/>
        </w:rPr>
        <w:t>2016-2018</w:t>
      </w:r>
      <w:r>
        <w:rPr>
          <w:rFonts w:ascii="Times New Roman" w:hAnsi="Times New Roman" w:cs="Times New Roman" w:eastAsia="Times New Roman" w:hint="default"/>
          <w:spacing w:val="-15"/>
        </w:rPr>
        <w:t> </w:t>
      </w:r>
      <w:r>
        <w:rPr>
          <w:rFonts w:ascii="Times New Roman" w:hAnsi="Times New Roman" w:cs="Times New Roman" w:eastAsia="Times New Roman" w:hint="default"/>
          <w:spacing w:val="-15"/>
        </w:rPr>
      </w:r>
      <w:r>
        <w:rPr/>
        <w:t>年度减按</w:t>
      </w:r>
      <w:r>
        <w:rPr>
          <w:rFonts w:ascii="Times New Roman" w:hAnsi="Times New Roman" w:cs="Times New Roman" w:eastAsia="Times New Roman" w:hint="default"/>
        </w:rPr>
        <w:t>15%</w:t>
      </w:r>
      <w:r>
        <w:rPr/>
        <w:t>的税率计缴企业所得税，该项税收优惠已按规定报主管税务机关备案。</w:t>
      </w:r>
    </w:p>
    <w:p>
      <w:pPr>
        <w:pStyle w:val="BodyText"/>
        <w:spacing w:line="451" w:lineRule="auto" w:before="43"/>
        <w:ind w:left="1133" w:right="1115"/>
        <w:jc w:val="both"/>
      </w:pPr>
      <w:r>
        <w:rPr>
          <w:spacing w:val="-2"/>
        </w:rPr>
        <w:t>（</w:t>
      </w:r>
      <w:r>
        <w:rPr>
          <w:rFonts w:ascii="Times New Roman" w:hAnsi="Times New Roman" w:cs="Times New Roman" w:eastAsia="Times New Roman" w:hint="default"/>
          <w:spacing w:val="-2"/>
        </w:rPr>
        <w:t>4</w:t>
      </w:r>
      <w:r>
        <w:rPr>
          <w:spacing w:val="-2"/>
        </w:rPr>
        <w:t>）根据财政部、海关总署、国家税务总局《关于深入实施西部大开发战略有关税收政策问题的通知》（财税</w:t>
      </w:r>
      <w:r>
        <w:rPr>
          <w:rFonts w:ascii="Times New Roman" w:hAnsi="Times New Roman" w:cs="Times New Roman" w:eastAsia="Times New Roman" w:hint="default"/>
          <w:spacing w:val="-2"/>
        </w:rPr>
        <w:t>[2011]58</w:t>
      </w:r>
      <w:r>
        <w:rPr>
          <w:spacing w:val="-2"/>
        </w:rPr>
        <w:t>号）</w:t>
      </w:r>
      <w:r>
        <w:rPr>
          <w:spacing w:val="-69"/>
        </w:rPr>
        <w:t> </w:t>
      </w:r>
      <w:r>
        <w:rPr>
          <w:spacing w:val="-1"/>
        </w:rPr>
        <w:t>的规定，对设在西部地区国家鼓励类产业的内资企业，在</w:t>
      </w:r>
      <w:r>
        <w:rPr>
          <w:rFonts w:ascii="Times New Roman" w:hAnsi="Times New Roman" w:cs="Times New Roman" w:eastAsia="Times New Roman" w:hint="default"/>
          <w:spacing w:val="-1"/>
        </w:rPr>
        <w:t>2011</w:t>
      </w:r>
      <w:r>
        <w:rPr>
          <w:spacing w:val="-1"/>
        </w:rPr>
        <w:t>年</w:t>
      </w:r>
      <w:r>
        <w:rPr>
          <w:rFonts w:ascii="Times New Roman" w:hAnsi="Times New Roman" w:cs="Times New Roman" w:eastAsia="Times New Roman" w:hint="default"/>
          <w:spacing w:val="-1"/>
        </w:rPr>
        <w:t>1</w:t>
      </w:r>
      <w:r>
        <w:rPr>
          <w:spacing w:val="-1"/>
        </w:rPr>
        <w:t>月</w:t>
      </w:r>
      <w:r>
        <w:rPr>
          <w:rFonts w:ascii="Times New Roman" w:hAnsi="Times New Roman" w:cs="Times New Roman" w:eastAsia="Times New Roman" w:hint="default"/>
          <w:spacing w:val="-1"/>
        </w:rPr>
        <w:t>1</w:t>
      </w:r>
      <w:r>
        <w:rPr>
          <w:spacing w:val="-1"/>
        </w:rPr>
        <w:t>日至</w:t>
      </w:r>
      <w:r>
        <w:rPr>
          <w:rFonts w:ascii="Times New Roman" w:hAnsi="Times New Roman" w:cs="Times New Roman" w:eastAsia="Times New Roman" w:hint="default"/>
          <w:spacing w:val="-1"/>
        </w:rPr>
        <w:t>2020</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日期间，减按</w:t>
      </w:r>
      <w:r>
        <w:rPr>
          <w:rFonts w:ascii="Times New Roman" w:hAnsi="Times New Roman" w:cs="Times New Roman" w:eastAsia="Times New Roman" w:hint="default"/>
          <w:spacing w:val="-1"/>
        </w:rPr>
        <w:t>15%</w:t>
      </w:r>
      <w:r>
        <w:rPr>
          <w:spacing w:val="-1"/>
        </w:rPr>
        <w:t>的税率征收企业所</w:t>
      </w:r>
      <w:r>
        <w:rPr>
          <w:spacing w:val="-83"/>
        </w:rPr>
        <w:t> </w:t>
      </w:r>
      <w:r>
        <w:rPr>
          <w:spacing w:val="-83"/>
        </w:rPr>
      </w:r>
      <w:r>
        <w:rPr/>
        <w:t>得税。本公司子公司重庆浩云公共安全物联网技术有限公司享受此项优惠，按</w:t>
      </w:r>
      <w:r>
        <w:rPr>
          <w:rFonts w:ascii="Times New Roman" w:hAnsi="Times New Roman" w:cs="Times New Roman" w:eastAsia="Times New Roman" w:hint="default"/>
        </w:rPr>
        <w:t>15%</w:t>
      </w:r>
      <w:r>
        <w:rPr/>
        <w:t>的税率缴纳企业所得税。</w:t>
      </w:r>
    </w:p>
    <w:p>
      <w:pPr>
        <w:pStyle w:val="BodyText"/>
        <w:spacing w:line="451" w:lineRule="auto" w:before="43"/>
        <w:ind w:right="1130"/>
        <w:jc w:val="both"/>
      </w:pPr>
      <w:r>
        <w:rPr>
          <w:spacing w:val="-3"/>
        </w:rPr>
        <w:t>（</w:t>
      </w:r>
      <w:r>
        <w:rPr>
          <w:rFonts w:ascii="Times New Roman" w:hAnsi="Times New Roman" w:cs="Times New Roman" w:eastAsia="Times New Roman" w:hint="default"/>
          <w:spacing w:val="-3"/>
        </w:rPr>
        <w:t>5</w:t>
      </w:r>
      <w:r>
        <w:rPr>
          <w:spacing w:val="-3"/>
        </w:rPr>
        <w:t>）根据《西藏自治区人民政府关于企业所得税政策实施办法》（藏政发〔</w:t>
      </w:r>
      <w:r>
        <w:rPr>
          <w:rFonts w:ascii="Times New Roman" w:hAnsi="Times New Roman" w:cs="Times New Roman" w:eastAsia="Times New Roman" w:hint="default"/>
          <w:spacing w:val="-3"/>
        </w:rPr>
        <w:t>2014</w:t>
      </w:r>
      <w:r>
        <w:rPr>
          <w:spacing w:val="-3"/>
        </w:rPr>
        <w:t>〕</w:t>
      </w:r>
      <w:r>
        <w:rPr>
          <w:rFonts w:ascii="Times New Roman" w:hAnsi="Times New Roman" w:cs="Times New Roman" w:eastAsia="Times New Roman" w:hint="default"/>
          <w:spacing w:val="-3"/>
        </w:rPr>
        <w:t>51</w:t>
      </w:r>
      <w:r>
        <w:rPr>
          <w:spacing w:val="-3"/>
        </w:rPr>
        <w:t>号），西藏自治区的企业统一执行西部</w:t>
      </w:r>
      <w:r>
        <w:rPr>
          <w:spacing w:val="-88"/>
        </w:rPr>
        <w:t> </w:t>
      </w:r>
      <w:r>
        <w:rPr>
          <w:spacing w:val="-88"/>
        </w:rPr>
      </w:r>
      <w:r>
        <w:rPr>
          <w:spacing w:val="-1"/>
        </w:rPr>
        <w:t>大开发战略中企业所得税</w:t>
      </w:r>
      <w:r>
        <w:rPr>
          <w:rFonts w:ascii="Times New Roman" w:hAnsi="Times New Roman" w:cs="Times New Roman" w:eastAsia="Times New Roman" w:hint="default"/>
          <w:spacing w:val="-1"/>
        </w:rPr>
        <w:t>15%</w:t>
      </w:r>
      <w:r>
        <w:rPr>
          <w:spacing w:val="-1"/>
        </w:rPr>
        <w:t>的税率。本公司子公司西藏浩云创业投资有限公司享受此项优惠，按</w:t>
      </w:r>
      <w:r>
        <w:rPr>
          <w:rFonts w:ascii="Times New Roman" w:hAnsi="Times New Roman" w:cs="Times New Roman" w:eastAsia="Times New Roman" w:hint="default"/>
          <w:spacing w:val="-1"/>
        </w:rPr>
        <w:t>15%</w:t>
      </w:r>
      <w:r>
        <w:rPr>
          <w:spacing w:val="-1"/>
        </w:rPr>
        <w:t>的税率缴纳企业所得</w:t>
      </w:r>
      <w:r>
        <w:rPr>
          <w:spacing w:val="-56"/>
        </w:rPr>
        <w:t> </w:t>
      </w:r>
      <w:r>
        <w:rPr/>
        <w:t>税。</w:t>
      </w:r>
    </w:p>
    <w:p>
      <w:pPr>
        <w:spacing w:line="240" w:lineRule="auto" w:before="8"/>
        <w:rPr>
          <w:rFonts w:ascii="宋体" w:hAnsi="宋体" w:cs="宋体" w:eastAsia="宋体" w:hint="default"/>
          <w:sz w:val="26"/>
          <w:szCs w:val="26"/>
        </w:rPr>
      </w:pPr>
    </w:p>
    <w:p>
      <w:pPr>
        <w:pStyle w:val="Heading3"/>
        <w:spacing w:line="552" w:lineRule="auto"/>
        <w:ind w:left="1133" w:right="8223"/>
        <w:jc w:val="left"/>
        <w:rPr>
          <w:b w:val="0"/>
          <w:bCs w:val="0"/>
        </w:rPr>
      </w:pPr>
      <w:bookmarkStart w:name="3、其他" w:id="224"/>
      <w:bookmarkEnd w:id="224"/>
      <w:r>
        <w:rPr>
          <w:b w:val="0"/>
          <w:bCs w:val="0"/>
        </w:rPr>
      </w:r>
      <w:r>
        <w:rPr>
          <w:rFonts w:ascii="Times New Roman" w:hAnsi="Times New Roman" w:cs="Times New Roman" w:eastAsia="Times New Roman" w:hint="default"/>
        </w:rPr>
        <w:t>3</w:t>
      </w:r>
      <w:r>
        <w:rPr/>
        <w:t>、其他</w:t>
      </w:r>
      <w:r>
        <w:rPr>
          <w:spacing w:val="1"/>
          <w:w w:val="99"/>
        </w:rPr>
        <w:t> </w:t>
      </w:r>
      <w:bookmarkStart w:name="七、合并财务报表项目注释" w:id="225"/>
      <w:bookmarkEnd w:id="225"/>
      <w:r>
        <w:rPr/>
        <w:t>七</w:t>
      </w:r>
      <w:r>
        <w:rPr/>
        <w:t>、合并财务报表项目注释</w:t>
      </w:r>
      <w:r>
        <w:rPr>
          <w:w w:val="99"/>
        </w:rPr>
        <w:t> </w:t>
      </w:r>
      <w:bookmarkStart w:name="1、货币资金" w:id="226"/>
      <w:bookmarkEnd w:id="226"/>
      <w:r>
        <w:rPr>
          <w:w w:val="99"/>
        </w:rPr>
      </w:r>
      <w:r>
        <w:rPr>
          <w:rFonts w:ascii="Times New Roman" w:hAnsi="Times New Roman" w:cs="Times New Roman" w:eastAsia="Times New Roman" w:hint="default"/>
        </w:rPr>
        <w:t>1</w:t>
      </w:r>
      <w:r>
        <w:rPr/>
        <w:t>、货币资金</w:t>
      </w:r>
      <w:r>
        <w:rPr>
          <w:b w:val="0"/>
          <w:bCs w:val="0"/>
        </w:rPr>
      </w:r>
    </w:p>
    <w:p>
      <w:pPr>
        <w:pStyle w:val="BodyText"/>
        <w:spacing w:line="240" w:lineRule="auto" w:before="45"/>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216,083.63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456,950.49</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406,185,337.11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261,573,311.25</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1,138,543.88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4,469,464.64</w:t>
            </w:r>
          </w:p>
        </w:tc>
      </w:tr>
      <w:tr>
        <w:trPr>
          <w:trHeight w:val="404"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407,539,964.62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266,499,726.38</w:t>
            </w:r>
          </w:p>
        </w:tc>
      </w:tr>
    </w:tbl>
    <w:p>
      <w:pPr>
        <w:spacing w:line="240" w:lineRule="auto" w:before="6"/>
        <w:rPr>
          <w:rFonts w:ascii="宋体" w:hAnsi="宋体" w:cs="宋体" w:eastAsia="宋体" w:hint="default"/>
          <w:sz w:val="6"/>
          <w:szCs w:val="6"/>
        </w:rPr>
      </w:pPr>
    </w:p>
    <w:p>
      <w:pPr>
        <w:pStyle w:val="BodyText"/>
        <w:spacing w:line="240" w:lineRule="auto" w:before="44"/>
        <w:ind w:right="0"/>
        <w:jc w:val="left"/>
      </w:pPr>
      <w:r>
        <w:rPr/>
        <w:t>其他说明</w:t>
      </w:r>
    </w:p>
    <w:p>
      <w:pPr>
        <w:spacing w:line="240" w:lineRule="auto" w:before="10"/>
        <w:rPr>
          <w:rFonts w:ascii="宋体" w:hAnsi="宋体" w:cs="宋体" w:eastAsia="宋体" w:hint="default"/>
          <w:sz w:val="20"/>
          <w:szCs w:val="20"/>
        </w:rPr>
      </w:pPr>
    </w:p>
    <w:p>
      <w:pPr>
        <w:pStyle w:val="BodyText"/>
        <w:spacing w:line="240" w:lineRule="auto"/>
        <w:ind w:left="1133" w:right="0"/>
        <w:jc w:val="left"/>
      </w:pPr>
      <w:r>
        <w:rPr/>
        <w:t>期末其他货币资金中使用受到限制的有保函保证金</w:t>
      </w:r>
      <w:r>
        <w:rPr>
          <w:spacing w:val="-45"/>
        </w:rPr>
        <w:t> </w:t>
      </w:r>
      <w:r>
        <w:rPr>
          <w:rFonts w:ascii="Times New Roman" w:hAnsi="Times New Roman" w:cs="Times New Roman" w:eastAsia="Times New Roman" w:hint="default"/>
        </w:rPr>
        <w:t>836,633.52</w:t>
      </w:r>
      <w:r>
        <w:rPr>
          <w:rFonts w:ascii="Times New Roman" w:hAnsi="Times New Roman" w:cs="Times New Roman" w:eastAsia="Times New Roman" w:hint="default"/>
          <w:spacing w:val="-1"/>
        </w:rPr>
        <w:t> </w:t>
      </w:r>
      <w:r>
        <w:rPr/>
        <w:t>元、住宅专项维修资金</w:t>
      </w:r>
      <w:r>
        <w:rPr>
          <w:spacing w:val="-46"/>
        </w:rPr>
        <w:t> </w:t>
      </w:r>
      <w:r>
        <w:rPr>
          <w:rFonts w:ascii="Times New Roman" w:hAnsi="Times New Roman" w:cs="Times New Roman" w:eastAsia="Times New Roman" w:hint="default"/>
        </w:rPr>
        <w:t>301,910.36 </w:t>
      </w:r>
      <w:r>
        <w:rPr/>
        <w:t>元。</w:t>
      </w:r>
    </w:p>
    <w:p>
      <w:pPr>
        <w:spacing w:after="0" w:line="240" w:lineRule="auto"/>
        <w:jc w:val="left"/>
        <w:sectPr>
          <w:pgSz w:w="11910" w:h="16840"/>
          <w:pgMar w:header="787" w:footer="640" w:top="1100" w:bottom="840" w:left="0" w:right="0"/>
        </w:sectPr>
      </w:pPr>
    </w:p>
    <w:p>
      <w:pPr>
        <w:spacing w:line="240" w:lineRule="auto" w:before="7"/>
        <w:rPr>
          <w:rFonts w:ascii="宋体" w:hAnsi="宋体" w:cs="宋体" w:eastAsia="宋体" w:hint="default"/>
          <w:sz w:val="27"/>
          <w:szCs w:val="27"/>
        </w:rPr>
      </w:pPr>
    </w:p>
    <w:p>
      <w:pPr>
        <w:pStyle w:val="Heading3"/>
        <w:spacing w:line="240" w:lineRule="auto" w:before="35"/>
        <w:ind w:right="0"/>
        <w:jc w:val="left"/>
        <w:rPr>
          <w:b w:val="0"/>
          <w:bCs w:val="0"/>
        </w:rPr>
      </w:pPr>
      <w:bookmarkStart w:name="2、以公允价值计量且其变动计入当期损益的金融资产" w:id="227"/>
      <w:bookmarkEnd w:id="227"/>
      <w:r>
        <w:rPr>
          <w:b w:val="0"/>
          <w:bCs w:val="0"/>
        </w:rPr>
      </w:r>
      <w:r>
        <w:rPr>
          <w:rFonts w:ascii="Times New Roman" w:hAnsi="Times New Roman" w:cs="Times New Roman" w:eastAsia="Times New Roman" w:hint="default"/>
        </w:rPr>
        <w:t>2</w:t>
      </w:r>
      <w:r>
        <w:rPr/>
        <w:t>、以公允价值计量且其变动计入当期损益的金融资产</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pStyle w:val="BodyText"/>
        <w:spacing w:line="240" w:lineRule="auto"/>
        <w:ind w:right="0"/>
        <w:jc w:val="left"/>
      </w:pPr>
      <w:r>
        <w:rPr/>
        <w:t>不适用</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0"/>
          <w:szCs w:val="20"/>
        </w:rPr>
      </w:pPr>
    </w:p>
    <w:p>
      <w:pPr>
        <w:pStyle w:val="Heading3"/>
        <w:spacing w:line="240" w:lineRule="auto"/>
        <w:ind w:right="0"/>
        <w:jc w:val="left"/>
        <w:rPr>
          <w:b w:val="0"/>
          <w:bCs w:val="0"/>
        </w:rPr>
      </w:pPr>
      <w:bookmarkStart w:name="3、衍生金融资产" w:id="228"/>
      <w:bookmarkEnd w:id="228"/>
      <w:r>
        <w:rPr>
          <w:b w:val="0"/>
          <w:bCs w:val="0"/>
        </w:rPr>
      </w:r>
      <w:r>
        <w:rPr>
          <w:rFonts w:ascii="Times New Roman" w:hAnsi="Times New Roman" w:cs="Times New Roman" w:eastAsia="Times New Roman" w:hint="default"/>
        </w:rPr>
        <w:t>3</w:t>
      </w:r>
      <w:r>
        <w:rPr/>
        <w:t>、衍生金融资产</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9"/>
          <w:szCs w:val="19"/>
        </w:rPr>
      </w:pPr>
    </w:p>
    <w:p>
      <w:pPr>
        <w:pStyle w:val="Heading3"/>
        <w:spacing w:line="240" w:lineRule="auto"/>
        <w:ind w:left="1133" w:right="0"/>
        <w:jc w:val="left"/>
        <w:rPr>
          <w:b w:val="0"/>
          <w:bCs w:val="0"/>
        </w:rPr>
      </w:pPr>
      <w:bookmarkStart w:name="4、应收票据" w:id="229"/>
      <w:bookmarkEnd w:id="229"/>
      <w:r>
        <w:rPr>
          <w:b w:val="0"/>
          <w:bCs w:val="0"/>
        </w:rPr>
      </w:r>
      <w:r>
        <w:rPr>
          <w:rFonts w:ascii="Times New Roman" w:hAnsi="Times New Roman" w:cs="Times New Roman" w:eastAsia="Times New Roman" w:hint="default"/>
        </w:rPr>
        <w:t>4</w:t>
      </w:r>
      <w:r>
        <w:rPr/>
        <w:t>、应收票据</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pStyle w:val="BodyText"/>
        <w:spacing w:line="240" w:lineRule="auto"/>
        <w:ind w:left="1133" w:right="0"/>
        <w:jc w:val="left"/>
      </w:pPr>
      <w:r>
        <w:rPr/>
        <w:t>不适用</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0"/>
          <w:szCs w:val="20"/>
        </w:rPr>
      </w:pPr>
    </w:p>
    <w:p>
      <w:pPr>
        <w:pStyle w:val="Heading3"/>
        <w:spacing w:line="240" w:lineRule="auto"/>
        <w:ind w:right="0"/>
        <w:jc w:val="left"/>
        <w:rPr>
          <w:b w:val="0"/>
          <w:bCs w:val="0"/>
        </w:rPr>
      </w:pPr>
      <w:bookmarkStart w:name="5、应收账款" w:id="230"/>
      <w:bookmarkEnd w:id="230"/>
      <w:r>
        <w:rPr>
          <w:b w:val="0"/>
          <w:bCs w:val="0"/>
        </w:rPr>
      </w:r>
      <w:r>
        <w:rPr>
          <w:rFonts w:ascii="Times New Roman" w:hAnsi="Times New Roman" w:cs="Times New Roman" w:eastAsia="Times New Roman" w:hint="default"/>
        </w:rPr>
        <w:t>5</w:t>
      </w:r>
      <w:r>
        <w:rPr/>
        <w:t>、应收账款</w:t>
      </w:r>
      <w:r>
        <w:rPr>
          <w:b w:val="0"/>
          <w:bCs w:val="0"/>
        </w:rPr>
      </w:r>
    </w:p>
    <w:p>
      <w:pPr>
        <w:spacing w:line="240" w:lineRule="auto" w:before="0"/>
        <w:rPr>
          <w:rFonts w:ascii="宋体" w:hAnsi="宋体" w:cs="宋体" w:eastAsia="宋体" w:hint="default"/>
          <w:b/>
          <w:bCs/>
          <w:sz w:val="22"/>
          <w:szCs w:val="22"/>
        </w:rPr>
      </w:pPr>
    </w:p>
    <w:p>
      <w:pPr>
        <w:pStyle w:val="Heading3"/>
        <w:spacing w:line="240" w:lineRule="auto" w:before="189"/>
        <w:ind w:right="0"/>
        <w:jc w:val="left"/>
        <w:rPr>
          <w:b w:val="0"/>
          <w:bCs w:val="0"/>
        </w:rPr>
      </w:pPr>
      <w:bookmarkStart w:name="（1）应收账款分类披露" w:id="231"/>
      <w:bookmarkEnd w:id="231"/>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5"/>
          <w:szCs w:val="15"/>
        </w:rPr>
      </w:pPr>
    </w:p>
    <w:p>
      <w:pPr>
        <w:pStyle w:val="BodyText"/>
        <w:spacing w:line="240" w:lineRule="auto" w:before="44"/>
        <w:ind w:left="0" w:right="1130"/>
        <w:jc w:val="right"/>
      </w:pPr>
      <w:r>
        <w:rPr/>
        <w:t>单位： 元</w:t>
      </w:r>
    </w:p>
    <w:p>
      <w:pPr>
        <w:spacing w:line="240" w:lineRule="auto" w:before="12"/>
        <w:rPr>
          <w:rFonts w:ascii="宋体" w:hAnsi="宋体" w:cs="宋体" w:eastAsia="宋体" w:hint="default"/>
          <w:sz w:val="13"/>
          <w:szCs w:val="13"/>
        </w:rPr>
      </w:pPr>
    </w:p>
    <w:tbl>
      <w:tblPr>
        <w:tblW w:w="0" w:type="auto"/>
        <w:jc w:val="left"/>
        <w:tblInd w:w="1140" w:type="dxa"/>
        <w:tblLayout w:type="fixed"/>
        <w:tblCellMar>
          <w:top w:w="0" w:type="dxa"/>
          <w:left w:w="0" w:type="dxa"/>
          <w:bottom w:w="0" w:type="dxa"/>
          <w:right w:w="0" w:type="dxa"/>
        </w:tblCellMar>
        <w:tblLook w:val="01E0"/>
      </w:tblPr>
      <w:tblGrid>
        <w:gridCol w:w="1623"/>
        <w:gridCol w:w="763"/>
        <w:gridCol w:w="762"/>
        <w:gridCol w:w="762"/>
        <w:gridCol w:w="762"/>
        <w:gridCol w:w="790"/>
        <w:gridCol w:w="654"/>
        <w:gridCol w:w="762"/>
        <w:gridCol w:w="813"/>
        <w:gridCol w:w="932"/>
        <w:gridCol w:w="932"/>
      </w:tblGrid>
      <w:tr>
        <w:trPr>
          <w:trHeight w:val="403" w:hRule="exact"/>
        </w:trPr>
        <w:tc>
          <w:tcPr>
            <w:tcW w:w="1623"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1" w:hRule="exact"/>
        </w:trPr>
        <w:tc>
          <w:tcPr>
            <w:tcW w:w="1623"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9" w:hRule="exact"/>
        </w:trPr>
        <w:tc>
          <w:tcPr>
            <w:tcW w:w="1623"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4" w:hRule="exact"/>
        </w:trPr>
        <w:tc>
          <w:tcPr>
            <w:tcW w:w="1623"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1623"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23"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260,810,</w:t>
            </w:r>
          </w:p>
          <w:p>
            <w:pPr>
              <w:pStyle w:val="TableParagraph"/>
              <w:spacing w:line="240" w:lineRule="auto" w:before="105"/>
              <w:ind w:left="200" w:right="0"/>
              <w:jc w:val="center"/>
              <w:rPr>
                <w:rFonts w:ascii="Times New Roman" w:hAnsi="Times New Roman" w:cs="Times New Roman" w:eastAsia="Times New Roman" w:hint="default"/>
                <w:sz w:val="18"/>
                <w:szCs w:val="18"/>
              </w:rPr>
            </w:pPr>
            <w:r>
              <w:rPr>
                <w:rFonts w:ascii="Times New Roman"/>
                <w:sz w:val="18"/>
              </w:rPr>
              <w:t>155.44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20,636,2</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42.92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7.91%</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240,173,9</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12.52</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234,505</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,899.75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20,466,60</w:t>
            </w:r>
          </w:p>
          <w:p>
            <w:pPr>
              <w:pStyle w:val="TableParagraph"/>
              <w:spacing w:line="240" w:lineRule="auto" w:before="105"/>
              <w:ind w:left="466" w:right="0"/>
              <w:jc w:val="left"/>
              <w:rPr>
                <w:rFonts w:ascii="Times New Roman" w:hAnsi="Times New Roman" w:cs="Times New Roman" w:eastAsia="Times New Roman" w:hint="default"/>
                <w:sz w:val="18"/>
                <w:szCs w:val="18"/>
              </w:rPr>
            </w:pPr>
            <w:r>
              <w:rPr>
                <w:rFonts w:ascii="Times New Roman"/>
                <w:sz w:val="18"/>
              </w:rPr>
              <w:t>3.30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8.73%</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214,039,29</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6.45</w:t>
            </w:r>
          </w:p>
        </w:tc>
      </w:tr>
      <w:tr>
        <w:trPr>
          <w:trHeight w:val="162" w:hRule="exact"/>
        </w:trPr>
        <w:tc>
          <w:tcPr>
            <w:tcW w:w="1623"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9" w:space="0" w:color="D2D2D2"/>
              <w:right w:val="single" w:sz="4" w:space="0" w:color="000000"/>
            </w:tcBorders>
          </w:tcPr>
          <w:p>
            <w:pPr>
              <w:pStyle w:val="TableParagraph"/>
              <w:spacing w:line="240" w:lineRule="auto" w:before="92"/>
              <w:ind w:left="69" w:right="0"/>
              <w:jc w:val="center"/>
              <w:rPr>
                <w:rFonts w:ascii="Times New Roman" w:hAnsi="Times New Roman" w:cs="Times New Roman" w:eastAsia="Times New Roman" w:hint="default"/>
                <w:sz w:val="18"/>
                <w:szCs w:val="18"/>
              </w:rPr>
            </w:pPr>
            <w:r>
              <w:rPr>
                <w:rFonts w:ascii="Times New Roman"/>
                <w:sz w:val="18"/>
              </w:rPr>
              <w:t>260,810,</w:t>
            </w:r>
          </w:p>
          <w:p>
            <w:pPr>
              <w:pStyle w:val="TableParagraph"/>
              <w:spacing w:line="240" w:lineRule="auto" w:before="105"/>
              <w:ind w:left="205" w:right="0"/>
              <w:jc w:val="center"/>
              <w:rPr>
                <w:rFonts w:ascii="Times New Roman" w:hAnsi="Times New Roman" w:cs="Times New Roman" w:eastAsia="Times New Roman" w:hint="default"/>
                <w:sz w:val="18"/>
                <w:szCs w:val="18"/>
              </w:rPr>
            </w:pPr>
            <w:r>
              <w:rPr>
                <w:rFonts w:ascii="Times New Roman"/>
                <w:sz w:val="18"/>
              </w:rPr>
              <w:t>155.44</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2"/>
              <w:ind w:left="98" w:right="0"/>
              <w:jc w:val="left"/>
              <w:rPr>
                <w:rFonts w:ascii="Times New Roman" w:hAnsi="Times New Roman" w:cs="Times New Roman" w:eastAsia="Times New Roman" w:hint="default"/>
                <w:sz w:val="18"/>
                <w:szCs w:val="18"/>
              </w:rPr>
            </w:pPr>
            <w:r>
              <w:rPr>
                <w:rFonts w:ascii="Times New Roman"/>
                <w:sz w:val="18"/>
              </w:rPr>
              <w:t>20,636,2</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42.92</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7.91%</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2"/>
              <w:ind w:left="37" w:right="0"/>
              <w:jc w:val="left"/>
              <w:rPr>
                <w:rFonts w:ascii="Times New Roman" w:hAnsi="Times New Roman" w:cs="Times New Roman" w:eastAsia="Times New Roman" w:hint="default"/>
                <w:sz w:val="18"/>
                <w:szCs w:val="18"/>
              </w:rPr>
            </w:pPr>
            <w:r>
              <w:rPr>
                <w:rFonts w:ascii="Times New Roman"/>
                <w:sz w:val="18"/>
              </w:rPr>
              <w:t>240,173,9</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12.52</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2"/>
              <w:ind w:left="35" w:right="0"/>
              <w:jc w:val="left"/>
              <w:rPr>
                <w:rFonts w:ascii="Times New Roman" w:hAnsi="Times New Roman" w:cs="Times New Roman" w:eastAsia="Times New Roman" w:hint="default"/>
                <w:sz w:val="18"/>
                <w:szCs w:val="18"/>
              </w:rPr>
            </w:pPr>
            <w:r>
              <w:rPr>
                <w:rFonts w:ascii="Times New Roman"/>
                <w:sz w:val="18"/>
              </w:rPr>
              <w:t>234,505</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,899.75</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2"/>
              <w:ind w:left="60" w:right="0"/>
              <w:jc w:val="left"/>
              <w:rPr>
                <w:rFonts w:ascii="Times New Roman" w:hAnsi="Times New Roman" w:cs="Times New Roman" w:eastAsia="Times New Roman" w:hint="default"/>
                <w:sz w:val="18"/>
                <w:szCs w:val="18"/>
              </w:rPr>
            </w:pPr>
            <w:r>
              <w:rPr>
                <w:rFonts w:ascii="Times New Roman"/>
                <w:sz w:val="18"/>
              </w:rPr>
              <w:t>20,466,60</w:t>
            </w:r>
          </w:p>
          <w:p>
            <w:pPr>
              <w:pStyle w:val="TableParagraph"/>
              <w:spacing w:line="240" w:lineRule="auto" w:before="105"/>
              <w:ind w:left="466" w:right="0"/>
              <w:jc w:val="left"/>
              <w:rPr>
                <w:rFonts w:ascii="Times New Roman" w:hAnsi="Times New Roman" w:cs="Times New Roman" w:eastAsia="Times New Roman" w:hint="default"/>
                <w:sz w:val="18"/>
                <w:szCs w:val="18"/>
              </w:rPr>
            </w:pPr>
            <w:r>
              <w:rPr>
                <w:rFonts w:ascii="Times New Roman"/>
                <w:sz w:val="18"/>
              </w:rPr>
              <w:t>3.30</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8.73%</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2"/>
              <w:ind w:left="88" w:right="0"/>
              <w:jc w:val="left"/>
              <w:rPr>
                <w:rFonts w:ascii="Times New Roman" w:hAnsi="Times New Roman" w:cs="Times New Roman" w:eastAsia="Times New Roman" w:hint="default"/>
                <w:sz w:val="18"/>
                <w:szCs w:val="18"/>
              </w:rPr>
            </w:pPr>
            <w:r>
              <w:rPr>
                <w:rFonts w:ascii="Times New Roman"/>
                <w:sz w:val="18"/>
              </w:rPr>
              <w:t>214,039,29</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6.45</w:t>
            </w:r>
          </w:p>
        </w:tc>
      </w:tr>
      <w:tr>
        <w:trPr>
          <w:trHeight w:val="391" w:hRule="exact"/>
        </w:trPr>
        <w:tc>
          <w:tcPr>
            <w:tcW w:w="16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2" w:hRule="exact"/>
        </w:trPr>
        <w:tc>
          <w:tcPr>
            <w:tcW w:w="162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line="240" w:lineRule="auto" w:before="6"/>
        <w:rPr>
          <w:rFonts w:ascii="宋体" w:hAnsi="宋体" w:cs="宋体" w:eastAsia="宋体" w:hint="default"/>
          <w:sz w:val="6"/>
          <w:szCs w:val="6"/>
        </w:rPr>
      </w:pPr>
    </w:p>
    <w:p>
      <w:pPr>
        <w:pStyle w:val="BodyText"/>
        <w:spacing w:line="240" w:lineRule="auto" w:before="44"/>
        <w:ind w:right="0"/>
        <w:jc w:val="left"/>
      </w:pPr>
      <w:r>
        <w:rPr/>
        <w:t>期末单项金额重大并单项计提坏账准备的应收账款：</w:t>
      </w:r>
    </w:p>
    <w:p>
      <w:pPr>
        <w:spacing w:line="240" w:lineRule="auto" w:before="10"/>
        <w:rPr>
          <w:rFonts w:ascii="宋体" w:hAnsi="宋体" w:cs="宋体" w:eastAsia="宋体" w:hint="default"/>
          <w:sz w:val="20"/>
          <w:szCs w:val="20"/>
        </w:rPr>
      </w:pPr>
    </w:p>
    <w:p>
      <w:pPr>
        <w:pStyle w:val="BodyText"/>
        <w:spacing w:line="489" w:lineRule="auto"/>
        <w:ind w:left="1133"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组合中，按账龄分析法计提坏账准备的应收账款：</w:t>
      </w:r>
    </w:p>
    <w:p>
      <w:pPr>
        <w:pStyle w:val="BodyText"/>
        <w:spacing w:line="240" w:lineRule="auto" w:before="85"/>
        <w:ind w:left="113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5"/>
        <w:rPr>
          <w:rFonts w:ascii="宋体" w:hAnsi="宋体" w:cs="宋体" w:eastAsia="宋体" w:hint="default"/>
          <w:sz w:val="16"/>
          <w:szCs w:val="16"/>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14"/>
          <w:szCs w:val="14"/>
        </w:rPr>
      </w:pPr>
    </w:p>
    <w:tbl>
      <w:tblPr>
        <w:tblW w:w="0" w:type="auto"/>
        <w:jc w:val="left"/>
        <w:tblInd w:w="112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7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bl>
    <w:p>
      <w:pPr>
        <w:spacing w:after="0" w:line="240" w:lineRule="auto"/>
        <w:jc w:val="left"/>
        <w:rPr>
          <w:rFonts w:ascii="宋体" w:hAnsi="宋体" w:cs="宋体" w:eastAsia="宋体" w:hint="default"/>
          <w:sz w:val="18"/>
          <w:szCs w:val="18"/>
        </w:rPr>
        <w:sectPr>
          <w:pgSz w:w="11910" w:h="16840"/>
          <w:pgMar w:header="787" w:footer="640" w:top="1100" w:bottom="840" w:left="0" w:right="0"/>
        </w:sectPr>
      </w:pPr>
    </w:p>
    <w:p>
      <w:pPr>
        <w:spacing w:line="240" w:lineRule="auto" w:before="5"/>
        <w:rPr>
          <w:rFonts w:ascii="宋体" w:hAnsi="宋体" w:cs="宋体" w:eastAsia="宋体" w:hint="default"/>
          <w:sz w:val="25"/>
          <w:szCs w:val="25"/>
        </w:rPr>
      </w:pPr>
    </w:p>
    <w:tbl>
      <w:tblPr>
        <w:tblW w:w="0" w:type="auto"/>
        <w:jc w:val="left"/>
        <w:tblInd w:w="112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179,189,644.47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5,375,689.34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42,687,307.99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4,268,730.80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30,678,795.85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6,135,759.17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5,203,723.06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2,601,861.53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1,592,963.98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796,481.99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1,457,720.09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1,457,720.09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260,810,155.44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20,636,242.92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7.91%</w:t>
            </w:r>
          </w:p>
        </w:tc>
      </w:tr>
    </w:tbl>
    <w:p>
      <w:pPr>
        <w:spacing w:line="240" w:lineRule="auto" w:before="6"/>
        <w:rPr>
          <w:rFonts w:ascii="宋体" w:hAnsi="宋体" w:cs="宋体" w:eastAsia="宋体" w:hint="default"/>
          <w:sz w:val="6"/>
          <w:szCs w:val="6"/>
        </w:rPr>
      </w:pPr>
    </w:p>
    <w:p>
      <w:pPr>
        <w:pStyle w:val="BodyText"/>
        <w:spacing w:line="518" w:lineRule="auto" w:before="44"/>
        <w:ind w:right="6432"/>
        <w:jc w:val="left"/>
      </w:pPr>
      <w:r>
        <w:rPr/>
        <w:t>确定该组合依据的说明： 组合中，采用余额百分比法计提坏账准备的应收账款：</w:t>
      </w:r>
    </w:p>
    <w:p>
      <w:pPr>
        <w:pStyle w:val="BodyText"/>
        <w:spacing w:line="489" w:lineRule="auto" w:before="63"/>
        <w:ind w:left="1133"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组合中，采用其他方法计提坏账准备的应收账款：</w:t>
      </w:r>
    </w:p>
    <w:p>
      <w:pPr>
        <w:spacing w:line="240" w:lineRule="auto" w:before="5"/>
        <w:rPr>
          <w:rFonts w:ascii="宋体" w:hAnsi="宋体" w:cs="宋体" w:eastAsia="宋体" w:hint="default"/>
          <w:sz w:val="24"/>
          <w:szCs w:val="24"/>
        </w:rPr>
      </w:pPr>
    </w:p>
    <w:p>
      <w:pPr>
        <w:pStyle w:val="Heading3"/>
        <w:spacing w:line="240" w:lineRule="auto"/>
        <w:ind w:left="1133" w:right="0"/>
        <w:jc w:val="left"/>
        <w:rPr>
          <w:b w:val="0"/>
          <w:bCs w:val="0"/>
        </w:rPr>
      </w:pPr>
      <w:bookmarkStart w:name="（2）本期计提、收回或转回的坏账准备情况" w:id="232"/>
      <w:bookmarkEnd w:id="232"/>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pStyle w:val="BodyText"/>
        <w:spacing w:line="240" w:lineRule="auto"/>
        <w:ind w:right="0"/>
        <w:jc w:val="left"/>
      </w:pPr>
      <w:r>
        <w:rPr/>
        <w:t>本期计提坏账准备金额</w:t>
      </w:r>
      <w:r>
        <w:rPr>
          <w:spacing w:val="-46"/>
        </w:rPr>
        <w:t> </w:t>
      </w:r>
      <w:r>
        <w:rPr>
          <w:rFonts w:ascii="Times New Roman" w:hAnsi="Times New Roman" w:cs="Times New Roman" w:eastAsia="Times New Roman" w:hint="default"/>
        </w:rPr>
        <w:t>169,639.62</w:t>
      </w:r>
      <w:r>
        <w:rPr>
          <w:rFonts w:ascii="Times New Roman" w:hAnsi="Times New Roman" w:cs="Times New Roman" w:eastAsia="Times New Roman" w:hint="default"/>
          <w:spacing w:val="-1"/>
        </w:rPr>
        <w:t> </w:t>
      </w:r>
      <w:r>
        <w:rPr/>
        <w:t>元；本期收回或转回坏账准备金额</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9"/>
        </w:rPr>
        <w:t> </w:t>
      </w:r>
      <w:r>
        <w:rPr/>
        <w:t>元。</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3"/>
          <w:szCs w:val="13"/>
        </w:rPr>
      </w:pPr>
    </w:p>
    <w:p>
      <w:pPr>
        <w:pStyle w:val="Heading3"/>
        <w:spacing w:line="240" w:lineRule="auto"/>
        <w:ind w:right="0"/>
        <w:jc w:val="left"/>
        <w:rPr>
          <w:b w:val="0"/>
          <w:bCs w:val="0"/>
        </w:rPr>
      </w:pPr>
      <w:bookmarkStart w:name="（3）本期实际核销的应收账款情况" w:id="233"/>
      <w:bookmarkEnd w:id="233"/>
      <w:r>
        <w:rPr>
          <w:b w:val="0"/>
          <w:bCs w:val="0"/>
        </w:rPr>
      </w: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9"/>
        <w:rPr>
          <w:rFonts w:ascii="宋体" w:hAnsi="宋体" w:cs="宋体" w:eastAsia="宋体" w:hint="default"/>
          <w:b/>
          <w:bCs/>
          <w:sz w:val="32"/>
          <w:szCs w:val="32"/>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9"/>
          <w:szCs w:val="19"/>
        </w:rPr>
      </w:pPr>
    </w:p>
    <w:p>
      <w:pPr>
        <w:pStyle w:val="Heading3"/>
        <w:spacing w:line="240" w:lineRule="auto"/>
        <w:ind w:left="1133" w:right="0"/>
        <w:jc w:val="left"/>
        <w:rPr>
          <w:b w:val="0"/>
          <w:bCs w:val="0"/>
        </w:rPr>
      </w:pPr>
      <w:bookmarkStart w:name="（4）按欠款方归集的期末余额前五名的应收账款情况" w:id="234"/>
      <w:bookmarkEnd w:id="234"/>
      <w:r>
        <w:rPr>
          <w:b w:val="0"/>
          <w:bCs w:val="0"/>
        </w:rPr>
      </w: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pStyle w:val="BodyText"/>
        <w:spacing w:line="516" w:lineRule="auto"/>
        <w:ind w:left="1133" w:right="7693"/>
        <w:jc w:val="left"/>
      </w:pPr>
      <w:r>
        <w:rPr/>
        <w:t>公司是否需要遵守特殊行业的披露要求 否</w:t>
      </w:r>
    </w:p>
    <w:p>
      <w:pPr>
        <w:pStyle w:val="BodyText"/>
        <w:spacing w:line="240" w:lineRule="auto" w:before="64"/>
        <w:ind w:left="0" w:right="1949"/>
        <w:jc w:val="right"/>
      </w:pPr>
      <w:r>
        <w:rPr/>
        <w:t>单位：元</w:t>
      </w:r>
    </w:p>
    <w:p>
      <w:pPr>
        <w:spacing w:line="240" w:lineRule="auto" w:before="1"/>
        <w:rPr>
          <w:rFonts w:ascii="宋体" w:hAnsi="宋体" w:cs="宋体" w:eastAsia="宋体" w:hint="default"/>
          <w:sz w:val="11"/>
          <w:szCs w:val="11"/>
        </w:rPr>
      </w:pPr>
    </w:p>
    <w:tbl>
      <w:tblPr>
        <w:tblW w:w="0" w:type="auto"/>
        <w:jc w:val="left"/>
        <w:tblInd w:w="1113" w:type="dxa"/>
        <w:tblLayout w:type="fixed"/>
        <w:tblCellMar>
          <w:top w:w="0" w:type="dxa"/>
          <w:left w:w="0" w:type="dxa"/>
          <w:bottom w:w="0" w:type="dxa"/>
          <w:right w:w="0" w:type="dxa"/>
        </w:tblCellMar>
        <w:tblLook w:val="01E0"/>
      </w:tblPr>
      <w:tblGrid>
        <w:gridCol w:w="1481"/>
        <w:gridCol w:w="1520"/>
        <w:gridCol w:w="3540"/>
        <w:gridCol w:w="2480"/>
      </w:tblGrid>
      <w:tr>
        <w:trPr>
          <w:trHeight w:val="322" w:hRule="exact"/>
        </w:trPr>
        <w:tc>
          <w:tcPr>
            <w:tcW w:w="14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9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3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638" w:right="0"/>
              <w:jc w:val="left"/>
              <w:rPr>
                <w:rFonts w:ascii="宋体" w:hAnsi="宋体" w:cs="宋体" w:eastAsia="宋体" w:hint="default"/>
                <w:sz w:val="18"/>
                <w:szCs w:val="18"/>
              </w:rPr>
            </w:pPr>
            <w:r>
              <w:rPr>
                <w:rFonts w:ascii="宋体" w:hAnsi="宋体" w:cs="宋体" w:eastAsia="宋体" w:hint="default"/>
                <w:sz w:val="18"/>
                <w:szCs w:val="18"/>
              </w:rPr>
              <w:t>占应收账款余额的比例（</w:t>
            </w:r>
            <w:r>
              <w:rPr>
                <w:rFonts w:ascii="宋体" w:hAnsi="宋体" w:cs="宋体" w:eastAsia="宋体" w:hint="default"/>
                <w:sz w:val="18"/>
                <w:szCs w:val="18"/>
              </w:rPr>
              <w:t>%</w:t>
            </w:r>
            <w:r>
              <w:rPr>
                <w:rFonts w:ascii="宋体" w:hAnsi="宋体" w:cs="宋体" w:eastAsia="宋体" w:hint="default"/>
                <w:sz w:val="18"/>
                <w:szCs w:val="18"/>
              </w:rPr>
              <w:t>）</w:t>
            </w:r>
          </w:p>
        </w:tc>
        <w:tc>
          <w:tcPr>
            <w:tcW w:w="24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r>
      <w:tr>
        <w:trPr>
          <w:trHeight w:val="322" w:hRule="exact"/>
        </w:trPr>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单位一</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30,242,085.69</w:t>
            </w:r>
          </w:p>
        </w:tc>
        <w:tc>
          <w:tcPr>
            <w:tcW w:w="3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11.60</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2,535,517.32</w:t>
            </w:r>
          </w:p>
        </w:tc>
      </w:tr>
      <w:tr>
        <w:trPr>
          <w:trHeight w:val="322" w:hRule="exact"/>
        </w:trPr>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单位二</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25,451,121.45</w:t>
            </w:r>
          </w:p>
        </w:tc>
        <w:tc>
          <w:tcPr>
            <w:tcW w:w="3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9.76</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2,520,681.57</w:t>
            </w:r>
          </w:p>
        </w:tc>
      </w:tr>
      <w:tr>
        <w:trPr>
          <w:trHeight w:val="323" w:hRule="exact"/>
        </w:trPr>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单位三</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21,087,513.62</w:t>
            </w:r>
          </w:p>
        </w:tc>
        <w:tc>
          <w:tcPr>
            <w:tcW w:w="3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z w:val="18"/>
              </w:rPr>
              <w:t>8.09</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1,540,725.39</w:t>
            </w:r>
          </w:p>
        </w:tc>
      </w:tr>
      <w:tr>
        <w:trPr>
          <w:trHeight w:val="322" w:hRule="exact"/>
        </w:trPr>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单位四</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13,551,308.69</w:t>
            </w:r>
          </w:p>
        </w:tc>
        <w:tc>
          <w:tcPr>
            <w:tcW w:w="3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5.20</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2,696,207.70</w:t>
            </w:r>
          </w:p>
        </w:tc>
      </w:tr>
      <w:tr>
        <w:trPr>
          <w:trHeight w:val="322" w:hRule="exact"/>
        </w:trPr>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单位五</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7,265,935.17</w:t>
            </w:r>
          </w:p>
        </w:tc>
        <w:tc>
          <w:tcPr>
            <w:tcW w:w="3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2.79</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217,978.06</w:t>
            </w:r>
          </w:p>
        </w:tc>
      </w:tr>
      <w:tr>
        <w:trPr>
          <w:trHeight w:val="323" w:hRule="exact"/>
        </w:trPr>
        <w:tc>
          <w:tcPr>
            <w:tcW w:w="14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小计</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97,597,964.62</w:t>
            </w:r>
          </w:p>
        </w:tc>
        <w:tc>
          <w:tcPr>
            <w:tcW w:w="3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z w:val="18"/>
              </w:rPr>
              <w:t>37.44</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9,511,110.04</w:t>
            </w:r>
          </w:p>
        </w:tc>
      </w:tr>
    </w:tbl>
    <w:p>
      <w:pPr>
        <w:spacing w:after="0" w:line="240" w:lineRule="auto"/>
        <w:jc w:val="right"/>
        <w:rPr>
          <w:rFonts w:ascii="Times New Roman" w:hAnsi="Times New Roman" w:cs="Times New Roman" w:eastAsia="Times New Roman" w:hint="default"/>
          <w:sz w:val="18"/>
          <w:szCs w:val="18"/>
        </w:rPr>
        <w:sectPr>
          <w:footerReference w:type="default" r:id="rId54"/>
          <w:pgSz w:w="11910" w:h="16840"/>
          <w:pgMar w:footer="640" w:header="787" w:top="1100" w:bottom="840" w:left="0" w:right="0"/>
        </w:sectPr>
      </w:pPr>
    </w:p>
    <w:p>
      <w:pPr>
        <w:spacing w:line="240" w:lineRule="auto" w:before="7"/>
        <w:rPr>
          <w:rFonts w:ascii="宋体" w:hAnsi="宋体" w:cs="宋体" w:eastAsia="宋体" w:hint="default"/>
          <w:sz w:val="27"/>
          <w:szCs w:val="27"/>
        </w:rPr>
      </w:pPr>
    </w:p>
    <w:p>
      <w:pPr>
        <w:pStyle w:val="Heading3"/>
        <w:spacing w:line="240" w:lineRule="auto" w:before="35"/>
        <w:ind w:right="0"/>
        <w:jc w:val="left"/>
        <w:rPr>
          <w:b w:val="0"/>
          <w:bCs w:val="0"/>
        </w:rPr>
      </w:pPr>
      <w:bookmarkStart w:name="（5）因金融资产转移而终止确认的应收账款" w:id="235"/>
      <w:bookmarkEnd w:id="235"/>
      <w:r>
        <w:rPr>
          <w:b w:val="0"/>
          <w:bCs w:val="0"/>
        </w:rPr>
      </w:r>
      <w:r>
        <w:rPr/>
        <w:t>（</w:t>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9"/>
          <w:szCs w:val="19"/>
        </w:rPr>
      </w:pPr>
    </w:p>
    <w:p>
      <w:pPr>
        <w:pStyle w:val="Heading3"/>
        <w:spacing w:line="240" w:lineRule="auto"/>
        <w:ind w:left="1133" w:right="0"/>
        <w:jc w:val="left"/>
        <w:rPr>
          <w:b w:val="0"/>
          <w:bCs w:val="0"/>
        </w:rPr>
      </w:pPr>
      <w:bookmarkStart w:name="（6）转移应收账款且继续涉入形成的资产、负债金额" w:id="236"/>
      <w:bookmarkEnd w:id="236"/>
      <w:r>
        <w:rPr>
          <w:b w:val="0"/>
          <w:bCs w:val="0"/>
        </w:rPr>
      </w:r>
      <w:r>
        <w:rPr/>
        <w:t>（</w:t>
      </w:r>
      <w:r>
        <w:rPr>
          <w:rFonts w:ascii="Times New Roman" w:hAnsi="Times New Roman" w:cs="Times New Roman" w:eastAsia="Times New Roman" w:hint="default"/>
        </w:rPr>
        <w:t>6</w:t>
      </w:r>
      <w:r>
        <w:rPr/>
        <w:t>）转移应收账款且继续涉入形成的资产、负债金额</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9"/>
          <w:szCs w:val="19"/>
        </w:rPr>
      </w:pPr>
    </w:p>
    <w:p>
      <w:pPr>
        <w:pStyle w:val="Heading3"/>
        <w:spacing w:line="240" w:lineRule="auto"/>
        <w:ind w:left="1133" w:right="0"/>
        <w:jc w:val="left"/>
        <w:rPr>
          <w:b w:val="0"/>
          <w:bCs w:val="0"/>
        </w:rPr>
      </w:pPr>
      <w:bookmarkStart w:name="6、预付款项" w:id="237"/>
      <w:bookmarkEnd w:id="237"/>
      <w:r>
        <w:rPr>
          <w:b w:val="0"/>
          <w:bCs w:val="0"/>
        </w:rPr>
      </w:r>
      <w:r>
        <w:rPr>
          <w:rFonts w:ascii="Times New Roman" w:hAnsi="Times New Roman" w:cs="Times New Roman" w:eastAsia="Times New Roman" w:hint="default"/>
        </w:rPr>
        <w:t>6</w:t>
      </w:r>
      <w:r>
        <w:rPr/>
        <w:t>、预付款项</w:t>
      </w:r>
      <w:r>
        <w:rPr>
          <w:b w:val="0"/>
          <w:bCs w:val="0"/>
        </w:rPr>
      </w:r>
    </w:p>
    <w:p>
      <w:pPr>
        <w:spacing w:line="240" w:lineRule="auto" w:before="0"/>
        <w:rPr>
          <w:rFonts w:ascii="宋体" w:hAnsi="宋体" w:cs="宋体" w:eastAsia="宋体" w:hint="default"/>
          <w:b/>
          <w:bCs/>
          <w:sz w:val="22"/>
          <w:szCs w:val="22"/>
        </w:rPr>
      </w:pPr>
    </w:p>
    <w:p>
      <w:pPr>
        <w:pStyle w:val="Heading3"/>
        <w:spacing w:line="240" w:lineRule="auto" w:before="189"/>
        <w:ind w:left="1133" w:right="0"/>
        <w:jc w:val="left"/>
        <w:rPr>
          <w:b w:val="0"/>
          <w:bCs w:val="0"/>
        </w:rPr>
      </w:pPr>
      <w:bookmarkStart w:name="（1）预付款项按账龄列示" w:id="238"/>
      <w:bookmarkEnd w:id="238"/>
      <w:r>
        <w:rPr>
          <w:b w:val="0"/>
          <w:bCs w:val="0"/>
        </w:rPr>
      </w:r>
      <w:r>
        <w:rPr/>
        <w:t>（</w:t>
      </w:r>
      <w:r>
        <w:rPr>
          <w:rFonts w:ascii="Times New Roman" w:hAnsi="Times New Roman" w:cs="Times New Roman" w:eastAsia="Times New Roman" w:hint="default"/>
        </w:rPr>
        <w:t>1</w:t>
      </w:r>
      <w:r>
        <w:rPr/>
        <w:t>）预付款项按账龄列示</w:t>
      </w:r>
      <w:r>
        <w:rPr>
          <w:b w:val="0"/>
          <w:bCs w:val="0"/>
        </w:rPr>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5"/>
          <w:szCs w:val="15"/>
        </w:rPr>
      </w:pPr>
    </w:p>
    <w:p>
      <w:pPr>
        <w:pStyle w:val="BodyText"/>
        <w:spacing w:line="240" w:lineRule="auto" w:before="44"/>
        <w:ind w:left="0" w:right="1130"/>
        <w:jc w:val="right"/>
      </w:pPr>
      <w:r>
        <w:rPr/>
        <w:t>单位： 元</w:t>
      </w:r>
    </w:p>
    <w:p>
      <w:pPr>
        <w:spacing w:line="240" w:lineRule="auto" w:before="12"/>
        <w:rPr>
          <w:rFonts w:ascii="宋体" w:hAnsi="宋体" w:cs="宋体" w:eastAsia="宋体" w:hint="default"/>
          <w:sz w:val="13"/>
          <w:szCs w:val="13"/>
        </w:rPr>
      </w:pPr>
    </w:p>
    <w:tbl>
      <w:tblPr>
        <w:tblW w:w="0" w:type="auto"/>
        <w:jc w:val="left"/>
        <w:tblInd w:w="1140" w:type="dxa"/>
        <w:tblLayout w:type="fixed"/>
        <w:tblCellMar>
          <w:top w:w="0" w:type="dxa"/>
          <w:left w:w="0" w:type="dxa"/>
          <w:bottom w:w="0" w:type="dxa"/>
          <w:right w:w="0" w:type="dxa"/>
        </w:tblCellMar>
        <w:tblLook w:val="01E0"/>
      </w:tblPr>
      <w:tblGrid>
        <w:gridCol w:w="1889"/>
        <w:gridCol w:w="1927"/>
        <w:gridCol w:w="1914"/>
        <w:gridCol w:w="1914"/>
        <w:gridCol w:w="1915"/>
      </w:tblGrid>
      <w:tr>
        <w:trPr>
          <w:trHeight w:val="206" w:hRule="exact"/>
        </w:trPr>
        <w:tc>
          <w:tcPr>
            <w:tcW w:w="18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84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8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841" w:type="dxa"/>
            <w:gridSpan w:val="2"/>
            <w:vMerge/>
            <w:tcBorders>
              <w:left w:val="single" w:sz="4" w:space="0" w:color="000000"/>
              <w:bottom w:val="single" w:sz="4" w:space="0" w:color="000000"/>
              <w:right w:val="single" w:sz="4" w:space="0" w:color="000000"/>
            </w:tcBorders>
            <w:shd w:val="clear" w:color="auto" w:fill="D2D2D2"/>
          </w:tcPr>
          <w:p>
            <w:pPr/>
          </w:p>
        </w:tc>
        <w:tc>
          <w:tcPr>
            <w:tcW w:w="3830"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889" w:type="dxa"/>
            <w:vMerge/>
            <w:tcBorders>
              <w:left w:val="single" w:sz="4" w:space="0" w:color="000000"/>
              <w:bottom w:val="nil" w:sz="6" w:space="0" w:color="auto"/>
              <w:right w:val="single" w:sz="4" w:space="0" w:color="000000"/>
            </w:tcBorders>
            <w:shd w:val="clear" w:color="auto" w:fill="D2D2D2"/>
          </w:tcPr>
          <w:p>
            <w:pPr/>
          </w:p>
        </w:tc>
        <w:tc>
          <w:tcPr>
            <w:tcW w:w="192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205" w:hRule="exact"/>
        </w:trPr>
        <w:tc>
          <w:tcPr>
            <w:tcW w:w="18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25,029,969.81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97.09%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12,894,846.88</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99.14%</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710,032.65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2.75%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106,511.00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0.82%</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42,350.00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0.16%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5,590.00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0.04%</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7"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2"/>
              <w:ind w:right="9"/>
              <w:jc w:val="right"/>
              <w:rPr>
                <w:rFonts w:ascii="Times New Roman" w:hAnsi="Times New Roman" w:cs="Times New Roman" w:eastAsia="Times New Roman" w:hint="default"/>
                <w:sz w:val="18"/>
                <w:szCs w:val="18"/>
              </w:rPr>
            </w:pPr>
            <w:r>
              <w:rPr>
                <w:rFonts w:ascii="Times New Roman"/>
                <w:spacing w:val="-1"/>
                <w:sz w:val="18"/>
              </w:rPr>
              <w:t>25,782,352.46</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13,006,947.88</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1"/>
        <w:rPr>
          <w:rFonts w:ascii="宋体" w:hAnsi="宋体" w:cs="宋体" w:eastAsia="宋体" w:hint="default"/>
          <w:sz w:val="25"/>
          <w:szCs w:val="25"/>
        </w:rPr>
      </w:pPr>
    </w:p>
    <w:p>
      <w:pPr>
        <w:pStyle w:val="Heading3"/>
        <w:spacing w:line="240" w:lineRule="auto" w:before="35"/>
        <w:ind w:right="0"/>
        <w:jc w:val="left"/>
        <w:rPr>
          <w:b w:val="0"/>
          <w:bCs w:val="0"/>
        </w:rPr>
      </w:pPr>
      <w:bookmarkStart w:name="（2）按预付对象归集的期末余额前五名的预付款情况" w:id="239"/>
      <w:bookmarkEnd w:id="239"/>
      <w:r>
        <w:rPr>
          <w:b w:val="0"/>
          <w:bCs w:val="0"/>
        </w:rPr>
      </w: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5"/>
          <w:szCs w:val="15"/>
        </w:rPr>
      </w:pPr>
    </w:p>
    <w:p>
      <w:pPr>
        <w:pStyle w:val="BodyText"/>
        <w:spacing w:line="240" w:lineRule="auto" w:before="44"/>
        <w:ind w:left="0" w:right="1319"/>
        <w:jc w:val="right"/>
      </w:pPr>
      <w:r>
        <w:rPr/>
        <w:t>单元：元</w:t>
      </w:r>
    </w:p>
    <w:p>
      <w:pPr>
        <w:spacing w:line="240" w:lineRule="auto" w:before="12"/>
        <w:rPr>
          <w:rFonts w:ascii="宋体" w:hAnsi="宋体" w:cs="宋体" w:eastAsia="宋体" w:hint="default"/>
          <w:sz w:val="13"/>
          <w:szCs w:val="13"/>
        </w:rPr>
      </w:pPr>
    </w:p>
    <w:tbl>
      <w:tblPr>
        <w:tblW w:w="0" w:type="auto"/>
        <w:jc w:val="left"/>
        <w:tblInd w:w="1021" w:type="dxa"/>
        <w:tblLayout w:type="fixed"/>
        <w:tblCellMar>
          <w:top w:w="0" w:type="dxa"/>
          <w:left w:w="0" w:type="dxa"/>
          <w:bottom w:w="0" w:type="dxa"/>
          <w:right w:w="0" w:type="dxa"/>
        </w:tblCellMar>
        <w:tblLook w:val="01E0"/>
      </w:tblPr>
      <w:tblGrid>
        <w:gridCol w:w="2230"/>
        <w:gridCol w:w="2290"/>
        <w:gridCol w:w="5336"/>
      </w:tblGrid>
      <w:tr>
        <w:trPr>
          <w:trHeight w:val="322" w:hRule="exact"/>
        </w:trPr>
        <w:tc>
          <w:tcPr>
            <w:tcW w:w="2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2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5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537" w:right="0"/>
              <w:jc w:val="left"/>
              <w:rPr>
                <w:rFonts w:ascii="宋体" w:hAnsi="宋体" w:cs="宋体" w:eastAsia="宋体" w:hint="default"/>
                <w:sz w:val="18"/>
                <w:szCs w:val="18"/>
              </w:rPr>
            </w:pPr>
            <w:r>
              <w:rPr>
                <w:rFonts w:ascii="宋体" w:hAnsi="宋体" w:cs="宋体" w:eastAsia="宋体" w:hint="default"/>
                <w:sz w:val="18"/>
                <w:szCs w:val="18"/>
              </w:rPr>
              <w:t>占预付款项余额的比例（</w:t>
            </w:r>
            <w:r>
              <w:rPr>
                <w:rFonts w:ascii="宋体" w:hAnsi="宋体" w:cs="宋体" w:eastAsia="宋体" w:hint="default"/>
                <w:sz w:val="18"/>
                <w:szCs w:val="18"/>
              </w:rPr>
              <w:t>%</w:t>
            </w:r>
            <w:r>
              <w:rPr>
                <w:rFonts w:ascii="宋体" w:hAnsi="宋体" w:cs="宋体" w:eastAsia="宋体" w:hint="default"/>
                <w:sz w:val="18"/>
                <w:szCs w:val="18"/>
              </w:rPr>
              <w:t>）</w:t>
            </w:r>
          </w:p>
        </w:tc>
      </w:tr>
      <w:tr>
        <w:trPr>
          <w:trHeight w:val="323" w:hRule="exact"/>
        </w:trPr>
        <w:tc>
          <w:tcPr>
            <w:tcW w:w="2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单位一</w:t>
            </w:r>
          </w:p>
        </w:tc>
        <w:tc>
          <w:tcPr>
            <w:tcW w:w="2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Times New Roman" w:hAnsi="Times New Roman" w:cs="Times New Roman" w:eastAsia="Times New Roman" w:hint="default"/>
                <w:sz w:val="18"/>
                <w:szCs w:val="18"/>
              </w:rPr>
            </w:pPr>
            <w:r>
              <w:rPr>
                <w:rFonts w:ascii="Times New Roman"/>
                <w:spacing w:val="-1"/>
                <w:sz w:val="18"/>
              </w:rPr>
              <w:t>5,500,000.00</w:t>
            </w:r>
          </w:p>
        </w:tc>
        <w:tc>
          <w:tcPr>
            <w:tcW w:w="5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21.33</w:t>
            </w:r>
          </w:p>
        </w:tc>
      </w:tr>
      <w:tr>
        <w:trPr>
          <w:trHeight w:val="322" w:hRule="exact"/>
        </w:trPr>
        <w:tc>
          <w:tcPr>
            <w:tcW w:w="2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单位二</w:t>
            </w:r>
          </w:p>
        </w:tc>
        <w:tc>
          <w:tcPr>
            <w:tcW w:w="2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sz w:val="18"/>
              </w:rPr>
              <w:t>1,566,350.00</w:t>
            </w:r>
          </w:p>
        </w:tc>
        <w:tc>
          <w:tcPr>
            <w:tcW w:w="5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6.08</w:t>
            </w:r>
          </w:p>
        </w:tc>
      </w:tr>
      <w:tr>
        <w:trPr>
          <w:trHeight w:val="322" w:hRule="exact"/>
        </w:trPr>
        <w:tc>
          <w:tcPr>
            <w:tcW w:w="2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单位三</w:t>
            </w:r>
          </w:p>
        </w:tc>
        <w:tc>
          <w:tcPr>
            <w:tcW w:w="2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sz w:val="18"/>
              </w:rPr>
              <w:t>1,270,658.97</w:t>
            </w:r>
          </w:p>
        </w:tc>
        <w:tc>
          <w:tcPr>
            <w:tcW w:w="5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4.93</w:t>
            </w:r>
          </w:p>
        </w:tc>
      </w:tr>
      <w:tr>
        <w:trPr>
          <w:trHeight w:val="323" w:hRule="exact"/>
        </w:trPr>
        <w:tc>
          <w:tcPr>
            <w:tcW w:w="2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单位四</w:t>
            </w:r>
          </w:p>
        </w:tc>
        <w:tc>
          <w:tcPr>
            <w:tcW w:w="2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Times New Roman" w:hAnsi="Times New Roman" w:cs="Times New Roman" w:eastAsia="Times New Roman" w:hint="default"/>
                <w:sz w:val="18"/>
                <w:szCs w:val="18"/>
              </w:rPr>
            </w:pPr>
            <w:r>
              <w:rPr>
                <w:rFonts w:ascii="Times New Roman"/>
                <w:sz w:val="18"/>
              </w:rPr>
              <w:t>910,429.00</w:t>
            </w:r>
          </w:p>
        </w:tc>
        <w:tc>
          <w:tcPr>
            <w:tcW w:w="5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3.53</w:t>
            </w:r>
          </w:p>
        </w:tc>
      </w:tr>
      <w:tr>
        <w:trPr>
          <w:trHeight w:val="322" w:hRule="exact"/>
        </w:trPr>
        <w:tc>
          <w:tcPr>
            <w:tcW w:w="2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单位五</w:t>
            </w:r>
          </w:p>
        </w:tc>
        <w:tc>
          <w:tcPr>
            <w:tcW w:w="2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z w:val="18"/>
              </w:rPr>
              <w:t>745,793.92</w:t>
            </w:r>
          </w:p>
        </w:tc>
        <w:tc>
          <w:tcPr>
            <w:tcW w:w="5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2.89</w:t>
            </w:r>
          </w:p>
        </w:tc>
      </w:tr>
      <w:tr>
        <w:trPr>
          <w:trHeight w:val="323" w:hRule="exact"/>
        </w:trPr>
        <w:tc>
          <w:tcPr>
            <w:tcW w:w="2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小计</w:t>
            </w:r>
          </w:p>
        </w:tc>
        <w:tc>
          <w:tcPr>
            <w:tcW w:w="2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sz w:val="18"/>
              </w:rPr>
              <w:t>9,993,231.89</w:t>
            </w:r>
          </w:p>
        </w:tc>
        <w:tc>
          <w:tcPr>
            <w:tcW w:w="5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38.76</w:t>
            </w:r>
          </w:p>
        </w:tc>
      </w:tr>
    </w:tbl>
    <w:p>
      <w:pPr>
        <w:spacing w:line="240" w:lineRule="auto" w:before="1"/>
        <w:rPr>
          <w:rFonts w:ascii="宋体" w:hAnsi="宋体" w:cs="宋体" w:eastAsia="宋体" w:hint="default"/>
          <w:sz w:val="25"/>
          <w:szCs w:val="25"/>
        </w:rPr>
      </w:pPr>
    </w:p>
    <w:p>
      <w:pPr>
        <w:pStyle w:val="Heading3"/>
        <w:spacing w:line="240" w:lineRule="auto" w:before="35"/>
        <w:ind w:right="0"/>
        <w:jc w:val="left"/>
        <w:rPr>
          <w:b w:val="0"/>
          <w:bCs w:val="0"/>
        </w:rPr>
      </w:pPr>
      <w:bookmarkStart w:name="7、应收利息" w:id="240"/>
      <w:bookmarkEnd w:id="240"/>
      <w:r>
        <w:rPr>
          <w:b w:val="0"/>
          <w:bCs w:val="0"/>
        </w:rPr>
      </w:r>
      <w:r>
        <w:rPr>
          <w:rFonts w:ascii="Times New Roman" w:hAnsi="Times New Roman" w:cs="Times New Roman" w:eastAsia="Times New Roman" w:hint="default"/>
        </w:rPr>
        <w:t>7</w:t>
      </w:r>
      <w:r>
        <w:rPr/>
        <w:t>、应收利息</w:t>
      </w:r>
      <w:r>
        <w:rPr>
          <w:b w:val="0"/>
          <w:bCs w:val="0"/>
        </w:rPr>
      </w:r>
    </w:p>
    <w:p>
      <w:pPr>
        <w:spacing w:line="240" w:lineRule="auto" w:before="0"/>
        <w:rPr>
          <w:rFonts w:ascii="宋体" w:hAnsi="宋体" w:cs="宋体" w:eastAsia="宋体" w:hint="default"/>
          <w:b/>
          <w:bCs/>
          <w:sz w:val="22"/>
          <w:szCs w:val="22"/>
        </w:rPr>
      </w:pPr>
    </w:p>
    <w:p>
      <w:pPr>
        <w:pStyle w:val="Heading3"/>
        <w:spacing w:line="240" w:lineRule="auto" w:before="190"/>
        <w:ind w:right="0"/>
        <w:jc w:val="left"/>
        <w:rPr>
          <w:b w:val="0"/>
          <w:bCs w:val="0"/>
        </w:rPr>
      </w:pPr>
      <w:bookmarkStart w:name="（1）应收利息分类" w:id="241"/>
      <w:bookmarkEnd w:id="241"/>
      <w:r>
        <w:rPr>
          <w:b w:val="0"/>
          <w:bCs w:val="0"/>
        </w:rPr>
      </w:r>
      <w:r>
        <w:rPr/>
        <w:t>（</w:t>
      </w:r>
      <w:r>
        <w:rPr>
          <w:rFonts w:ascii="Times New Roman" w:hAnsi="Times New Roman" w:cs="Times New Roman" w:eastAsia="Times New Roman" w:hint="default"/>
        </w:rPr>
        <w:t>1</w:t>
      </w:r>
      <w:r>
        <w:rPr/>
        <w:t>）应收利息分类</w:t>
      </w:r>
      <w:r>
        <w:rPr>
          <w:b w:val="0"/>
          <w:bCs w:val="0"/>
        </w:rPr>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5"/>
          <w:szCs w:val="15"/>
        </w:rPr>
      </w:pPr>
    </w:p>
    <w:p>
      <w:pPr>
        <w:pStyle w:val="BodyText"/>
        <w:spacing w:line="240" w:lineRule="auto" w:before="44"/>
        <w:ind w:left="0" w:right="1130"/>
        <w:jc w:val="right"/>
      </w:pPr>
      <w:r>
        <w:rPr/>
        <w:t>单位： 元</w:t>
      </w:r>
    </w:p>
    <w:p>
      <w:pPr>
        <w:spacing w:after="0" w:line="240" w:lineRule="auto"/>
        <w:jc w:val="right"/>
        <w:sectPr>
          <w:pgSz w:w="11910" w:h="16840"/>
          <w:pgMar w:header="787" w:footer="640" w:top="1100" w:bottom="840" w:left="0" w:right="0"/>
        </w:sectPr>
      </w:pPr>
    </w:p>
    <w:p>
      <w:pPr>
        <w:spacing w:line="240" w:lineRule="auto" w:before="5"/>
        <w:rPr>
          <w:rFonts w:ascii="宋体" w:hAnsi="宋体" w:cs="宋体" w:eastAsia="宋体" w:hint="default"/>
          <w:sz w:val="25"/>
          <w:szCs w:val="25"/>
        </w:rPr>
      </w:pPr>
    </w:p>
    <w:tbl>
      <w:tblPr>
        <w:tblW w:w="0" w:type="auto"/>
        <w:jc w:val="left"/>
        <w:tblInd w:w="1129" w:type="dxa"/>
        <w:tblLayout w:type="fixed"/>
        <w:tblCellMar>
          <w:top w:w="0" w:type="dxa"/>
          <w:left w:w="0" w:type="dxa"/>
          <w:bottom w:w="0" w:type="dxa"/>
          <w:right w:w="0" w:type="dxa"/>
        </w:tblCellMar>
        <w:tblLook w:val="01E0"/>
      </w:tblPr>
      <w:tblGrid>
        <w:gridCol w:w="3190"/>
        <w:gridCol w:w="3191"/>
        <w:gridCol w:w="318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705,143.84</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705,143.84</w:t>
            </w:r>
          </w:p>
        </w:tc>
        <w:tc>
          <w:tcPr>
            <w:tcW w:w="318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
        <w:rPr>
          <w:rFonts w:ascii="宋体" w:hAnsi="宋体" w:cs="宋体" w:eastAsia="宋体" w:hint="default"/>
          <w:sz w:val="25"/>
          <w:szCs w:val="25"/>
        </w:rPr>
      </w:pPr>
    </w:p>
    <w:p>
      <w:pPr>
        <w:pStyle w:val="Heading3"/>
        <w:spacing w:line="240" w:lineRule="auto" w:before="35"/>
        <w:ind w:right="0"/>
        <w:jc w:val="left"/>
        <w:rPr>
          <w:b w:val="0"/>
          <w:bCs w:val="0"/>
        </w:rPr>
      </w:pPr>
      <w:bookmarkStart w:name="（2）重要逾期利息" w:id="242"/>
      <w:bookmarkEnd w:id="242"/>
      <w:r>
        <w:rPr>
          <w:b w:val="0"/>
          <w:bCs w:val="0"/>
        </w:rPr>
      </w:r>
      <w:r>
        <w:rPr/>
        <w:t>（</w:t>
      </w:r>
      <w:r>
        <w:rPr>
          <w:rFonts w:ascii="Times New Roman" w:hAnsi="Times New Roman" w:cs="Times New Roman" w:eastAsia="Times New Roman" w:hint="default"/>
        </w:rPr>
        <w:t>2</w:t>
      </w:r>
      <w:r>
        <w:rPr/>
        <w:t>）重要逾期利息</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9"/>
          <w:szCs w:val="19"/>
        </w:rPr>
      </w:pPr>
    </w:p>
    <w:p>
      <w:pPr>
        <w:pStyle w:val="Heading3"/>
        <w:spacing w:line="240" w:lineRule="auto"/>
        <w:ind w:left="1133" w:right="0"/>
        <w:jc w:val="left"/>
        <w:rPr>
          <w:b w:val="0"/>
          <w:bCs w:val="0"/>
        </w:rPr>
      </w:pPr>
      <w:bookmarkStart w:name="8、应收股利" w:id="243"/>
      <w:bookmarkEnd w:id="243"/>
      <w:r>
        <w:rPr>
          <w:b w:val="0"/>
          <w:bCs w:val="0"/>
        </w:rPr>
      </w:r>
      <w:r>
        <w:rPr>
          <w:rFonts w:ascii="Times New Roman" w:hAnsi="Times New Roman" w:cs="Times New Roman" w:eastAsia="Times New Roman" w:hint="default"/>
        </w:rPr>
        <w:t>8</w:t>
      </w:r>
      <w:r>
        <w:rPr/>
        <w:t>、应收股利</w:t>
      </w:r>
      <w:r>
        <w:rPr>
          <w:b w:val="0"/>
          <w:bCs w:val="0"/>
        </w:rPr>
      </w:r>
    </w:p>
    <w:p>
      <w:pPr>
        <w:spacing w:line="240" w:lineRule="auto" w:before="0"/>
        <w:rPr>
          <w:rFonts w:ascii="宋体" w:hAnsi="宋体" w:cs="宋体" w:eastAsia="宋体" w:hint="default"/>
          <w:b/>
          <w:bCs/>
          <w:sz w:val="22"/>
          <w:szCs w:val="22"/>
        </w:rPr>
      </w:pPr>
    </w:p>
    <w:p>
      <w:pPr>
        <w:spacing w:line="240" w:lineRule="auto" w:before="5"/>
        <w:rPr>
          <w:rFonts w:ascii="宋体" w:hAnsi="宋体" w:cs="宋体" w:eastAsia="宋体" w:hint="default"/>
          <w:b/>
          <w:bCs/>
          <w:sz w:val="16"/>
          <w:szCs w:val="16"/>
        </w:rPr>
      </w:pPr>
    </w:p>
    <w:p>
      <w:pPr>
        <w:pStyle w:val="BodyText"/>
        <w:spacing w:line="240" w:lineRule="auto"/>
        <w:ind w:left="113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9"/>
          <w:szCs w:val="19"/>
        </w:rPr>
      </w:pPr>
    </w:p>
    <w:p>
      <w:pPr>
        <w:pStyle w:val="Heading3"/>
        <w:spacing w:line="240" w:lineRule="auto"/>
        <w:ind w:left="1133" w:right="0"/>
        <w:jc w:val="left"/>
        <w:rPr>
          <w:b w:val="0"/>
          <w:bCs w:val="0"/>
        </w:rPr>
      </w:pPr>
      <w:bookmarkStart w:name="9、其他应收款" w:id="244"/>
      <w:bookmarkEnd w:id="244"/>
      <w:r>
        <w:rPr>
          <w:b w:val="0"/>
          <w:bCs w:val="0"/>
        </w:rPr>
      </w:r>
      <w:r>
        <w:rPr>
          <w:rFonts w:ascii="Times New Roman" w:hAnsi="Times New Roman" w:cs="Times New Roman" w:eastAsia="Times New Roman" w:hint="default"/>
        </w:rPr>
        <w:t>9</w:t>
      </w:r>
      <w:r>
        <w:rPr/>
        <w:t>、其他应收款</w:t>
      </w:r>
      <w:r>
        <w:rPr>
          <w:b w:val="0"/>
          <w:bCs w:val="0"/>
        </w:rPr>
      </w:r>
    </w:p>
    <w:p>
      <w:pPr>
        <w:spacing w:line="240" w:lineRule="auto" w:before="0"/>
        <w:rPr>
          <w:rFonts w:ascii="宋体" w:hAnsi="宋体" w:cs="宋体" w:eastAsia="宋体" w:hint="default"/>
          <w:b/>
          <w:bCs/>
          <w:sz w:val="22"/>
          <w:szCs w:val="22"/>
        </w:rPr>
      </w:pPr>
    </w:p>
    <w:p>
      <w:pPr>
        <w:pStyle w:val="Heading3"/>
        <w:spacing w:line="240" w:lineRule="auto" w:before="188"/>
        <w:ind w:left="1133" w:right="0"/>
        <w:jc w:val="left"/>
        <w:rPr>
          <w:b w:val="0"/>
          <w:bCs w:val="0"/>
        </w:rPr>
      </w:pPr>
      <w:bookmarkStart w:name="（1）其他应收款分类披露" w:id="245"/>
      <w:bookmarkEnd w:id="245"/>
      <w:r>
        <w:rPr>
          <w:b w:val="0"/>
          <w:bCs w:val="0"/>
        </w:rPr>
      </w:r>
      <w:r>
        <w:rPr/>
        <w:t>（</w:t>
      </w:r>
      <w:r>
        <w:rPr>
          <w:rFonts w:ascii="Times New Roman" w:hAnsi="Times New Roman" w:cs="Times New Roman" w:eastAsia="Times New Roman" w:hint="default"/>
        </w:rPr>
        <w:t>1</w:t>
      </w:r>
      <w:r>
        <w:rPr/>
        <w:t>）其他应收款分类披露</w:t>
      </w:r>
      <w:r>
        <w:rPr>
          <w:b w:val="0"/>
          <w:bCs w:val="0"/>
        </w:rPr>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5"/>
          <w:szCs w:val="15"/>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14"/>
          <w:szCs w:val="14"/>
        </w:rPr>
      </w:pPr>
    </w:p>
    <w:tbl>
      <w:tblPr>
        <w:tblW w:w="0" w:type="auto"/>
        <w:jc w:val="left"/>
        <w:tblInd w:w="1140" w:type="dxa"/>
        <w:tblLayout w:type="fixed"/>
        <w:tblCellMar>
          <w:top w:w="0" w:type="dxa"/>
          <w:left w:w="0" w:type="dxa"/>
          <w:bottom w:w="0" w:type="dxa"/>
          <w:right w:w="0" w:type="dxa"/>
        </w:tblCellMar>
        <w:tblLook w:val="01E0"/>
      </w:tblPr>
      <w:tblGrid>
        <w:gridCol w:w="1623"/>
        <w:gridCol w:w="763"/>
        <w:gridCol w:w="762"/>
        <w:gridCol w:w="762"/>
        <w:gridCol w:w="762"/>
        <w:gridCol w:w="790"/>
        <w:gridCol w:w="654"/>
        <w:gridCol w:w="762"/>
        <w:gridCol w:w="813"/>
        <w:gridCol w:w="932"/>
        <w:gridCol w:w="932"/>
      </w:tblGrid>
      <w:tr>
        <w:trPr>
          <w:trHeight w:val="398" w:hRule="exact"/>
        </w:trPr>
        <w:tc>
          <w:tcPr>
            <w:tcW w:w="1623"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23"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23"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23"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23"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23"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7" w:right="0"/>
              <w:jc w:val="left"/>
              <w:rPr>
                <w:rFonts w:ascii="Times New Roman" w:hAnsi="Times New Roman" w:cs="Times New Roman" w:eastAsia="Times New Roman" w:hint="default"/>
                <w:sz w:val="18"/>
                <w:szCs w:val="18"/>
              </w:rPr>
            </w:pPr>
            <w:r>
              <w:rPr>
                <w:rFonts w:ascii="Times New Roman"/>
                <w:sz w:val="18"/>
              </w:rPr>
              <w:t>17,759,4</w:t>
            </w:r>
          </w:p>
          <w:p>
            <w:pPr>
              <w:pStyle w:val="TableParagraph"/>
              <w:spacing w:line="240" w:lineRule="auto" w:before="105"/>
              <w:ind w:left="313" w:right="0"/>
              <w:jc w:val="left"/>
              <w:rPr>
                <w:rFonts w:ascii="Times New Roman" w:hAnsi="Times New Roman" w:cs="Times New Roman" w:eastAsia="Times New Roman" w:hint="default"/>
                <w:sz w:val="18"/>
                <w:szCs w:val="18"/>
              </w:rPr>
            </w:pPr>
            <w:r>
              <w:rPr>
                <w:rFonts w:ascii="Times New Roman"/>
                <w:sz w:val="18"/>
              </w:rPr>
              <w:t>54.18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1,353,42</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6.96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7.62%</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16,406,02</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7.22</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13,492,</w:t>
            </w:r>
          </w:p>
          <w:p>
            <w:pPr>
              <w:pStyle w:val="TableParagraph"/>
              <w:spacing w:line="240" w:lineRule="auto" w:before="105"/>
              <w:ind w:left="125" w:right="0"/>
              <w:jc w:val="left"/>
              <w:rPr>
                <w:rFonts w:ascii="Times New Roman" w:hAnsi="Times New Roman" w:cs="Times New Roman" w:eastAsia="Times New Roman" w:hint="default"/>
                <w:sz w:val="18"/>
                <w:szCs w:val="18"/>
              </w:rPr>
            </w:pPr>
            <w:r>
              <w:rPr>
                <w:rFonts w:ascii="Times New Roman"/>
                <w:sz w:val="18"/>
              </w:rPr>
              <w:t>462.18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1,970,474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.77</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14.60%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11,521,987.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41</w:t>
            </w:r>
          </w:p>
        </w:tc>
      </w:tr>
      <w:tr>
        <w:trPr>
          <w:trHeight w:val="161" w:hRule="exact"/>
        </w:trPr>
        <w:tc>
          <w:tcPr>
            <w:tcW w:w="1623"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9" w:space="0" w:color="D2D2D2"/>
              <w:right w:val="single" w:sz="4" w:space="0" w:color="000000"/>
            </w:tcBorders>
          </w:tcPr>
          <w:p>
            <w:pPr>
              <w:pStyle w:val="TableParagraph"/>
              <w:spacing w:line="240" w:lineRule="auto" w:before="91"/>
              <w:ind w:left="93" w:right="0"/>
              <w:jc w:val="left"/>
              <w:rPr>
                <w:rFonts w:ascii="Times New Roman" w:hAnsi="Times New Roman" w:cs="Times New Roman" w:eastAsia="Times New Roman" w:hint="default"/>
                <w:sz w:val="18"/>
                <w:szCs w:val="18"/>
              </w:rPr>
            </w:pPr>
            <w:r>
              <w:rPr>
                <w:rFonts w:ascii="Times New Roman"/>
                <w:sz w:val="18"/>
              </w:rPr>
              <w:t>17,759,4</w:t>
            </w:r>
          </w:p>
          <w:p>
            <w:pPr>
              <w:pStyle w:val="TableParagraph"/>
              <w:spacing w:line="240" w:lineRule="auto" w:before="105"/>
              <w:ind w:left="318" w:right="0"/>
              <w:jc w:val="left"/>
              <w:rPr>
                <w:rFonts w:ascii="Times New Roman" w:hAnsi="Times New Roman" w:cs="Times New Roman" w:eastAsia="Times New Roman" w:hint="default"/>
                <w:sz w:val="18"/>
                <w:szCs w:val="18"/>
              </w:rPr>
            </w:pPr>
            <w:r>
              <w:rPr>
                <w:rFonts w:ascii="Times New Roman"/>
                <w:sz w:val="18"/>
              </w:rPr>
              <w:t>54.18</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1,353,42</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6.96</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7.62%</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16,406,02</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7.22</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80" w:right="0"/>
              <w:jc w:val="left"/>
              <w:rPr>
                <w:rFonts w:ascii="Times New Roman" w:hAnsi="Times New Roman" w:cs="Times New Roman" w:eastAsia="Times New Roman" w:hint="default"/>
                <w:sz w:val="18"/>
                <w:szCs w:val="18"/>
              </w:rPr>
            </w:pPr>
            <w:r>
              <w:rPr>
                <w:rFonts w:ascii="Times New Roman"/>
                <w:sz w:val="18"/>
              </w:rPr>
              <w:t>13,492,</w:t>
            </w:r>
          </w:p>
          <w:p>
            <w:pPr>
              <w:pStyle w:val="TableParagraph"/>
              <w:spacing w:line="240" w:lineRule="auto" w:before="105"/>
              <w:ind w:left="125" w:right="0"/>
              <w:jc w:val="left"/>
              <w:rPr>
                <w:rFonts w:ascii="Times New Roman" w:hAnsi="Times New Roman" w:cs="Times New Roman" w:eastAsia="Times New Roman" w:hint="default"/>
                <w:sz w:val="18"/>
                <w:szCs w:val="18"/>
              </w:rPr>
            </w:pPr>
            <w:r>
              <w:rPr>
                <w:rFonts w:ascii="Times New Roman"/>
                <w:sz w:val="18"/>
              </w:rPr>
              <w:t>462.18</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1,970,474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.77</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14.60%</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11,521,987.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41</w:t>
            </w:r>
          </w:p>
        </w:tc>
      </w:tr>
      <w:tr>
        <w:trPr>
          <w:trHeight w:val="392" w:hRule="exact"/>
        </w:trPr>
        <w:tc>
          <w:tcPr>
            <w:tcW w:w="16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2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line="240" w:lineRule="auto" w:before="6"/>
        <w:rPr>
          <w:rFonts w:ascii="宋体" w:hAnsi="宋体" w:cs="宋体" w:eastAsia="宋体" w:hint="default"/>
          <w:sz w:val="6"/>
          <w:szCs w:val="6"/>
        </w:rPr>
      </w:pPr>
    </w:p>
    <w:p>
      <w:pPr>
        <w:pStyle w:val="BodyText"/>
        <w:spacing w:line="240" w:lineRule="auto" w:before="44"/>
        <w:ind w:right="0"/>
        <w:jc w:val="left"/>
      </w:pPr>
      <w:r>
        <w:rPr/>
        <w:t>期末单项金额重大并单项计提坏账准备的其他应收款：</w:t>
      </w:r>
    </w:p>
    <w:p>
      <w:pPr>
        <w:spacing w:line="240" w:lineRule="auto" w:before="12"/>
        <w:rPr>
          <w:rFonts w:ascii="宋体" w:hAnsi="宋体" w:cs="宋体" w:eastAsia="宋体" w:hint="default"/>
          <w:sz w:val="20"/>
          <w:szCs w:val="20"/>
        </w:rPr>
      </w:pPr>
    </w:p>
    <w:p>
      <w:pPr>
        <w:pStyle w:val="BodyText"/>
        <w:spacing w:line="489" w:lineRule="auto"/>
        <w:ind w:left="1133" w:right="66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组合中，按账龄分析法计提坏账准备的其他应收款：</w:t>
      </w:r>
    </w:p>
    <w:p>
      <w:pPr>
        <w:pStyle w:val="BodyText"/>
        <w:spacing w:line="240" w:lineRule="auto" w:before="85"/>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6"/>
        <w:rPr>
          <w:rFonts w:ascii="宋体" w:hAnsi="宋体" w:cs="宋体" w:eastAsia="宋体" w:hint="default"/>
          <w:sz w:val="10"/>
          <w:szCs w:val="10"/>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2380"/>
        <w:gridCol w:w="2393"/>
        <w:gridCol w:w="2392"/>
        <w:gridCol w:w="2380"/>
      </w:tblGrid>
      <w:tr>
        <w:trPr>
          <w:trHeight w:val="206" w:hRule="exact"/>
        </w:trPr>
        <w:tc>
          <w:tcPr>
            <w:tcW w:w="2380" w:type="dxa"/>
            <w:tcBorders>
              <w:top w:val="single" w:sz="4" w:space="0" w:color="000000"/>
              <w:left w:val="single" w:sz="4" w:space="0" w:color="000000"/>
              <w:bottom w:val="nil" w:sz="6" w:space="0" w:color="auto"/>
              <w:right w:val="single" w:sz="4" w:space="0" w:color="000000"/>
            </w:tcBorders>
            <w:shd w:val="clear" w:color="auto" w:fill="D2D2D2"/>
          </w:tcPr>
          <w:p>
            <w:pPr/>
          </w:p>
        </w:tc>
        <w:tc>
          <w:tcPr>
            <w:tcW w:w="7166"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1" w:hRule="exact"/>
        </w:trPr>
        <w:tc>
          <w:tcPr>
            <w:tcW w:w="238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9"/>
              <w:jc w:val="center"/>
              <w:rPr>
                <w:rFonts w:ascii="宋体" w:hAnsi="宋体" w:cs="宋体" w:eastAsia="宋体" w:hint="default"/>
                <w:sz w:val="18"/>
                <w:szCs w:val="18"/>
              </w:rPr>
            </w:pPr>
            <w:r>
              <w:rPr>
                <w:rFonts w:ascii="宋体" w:hAnsi="宋体" w:cs="宋体" w:eastAsia="宋体" w:hint="default"/>
                <w:sz w:val="18"/>
                <w:szCs w:val="18"/>
              </w:rPr>
              <w:t>账龄</w:t>
            </w:r>
          </w:p>
        </w:tc>
        <w:tc>
          <w:tcPr>
            <w:tcW w:w="7166"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380" w:type="dxa"/>
            <w:vMerge/>
            <w:tcBorders>
              <w:left w:val="single" w:sz="4" w:space="0" w:color="000000"/>
              <w:bottom w:val="nil" w:sz="6" w:space="0" w:color="auto"/>
              <w:right w:val="single" w:sz="4" w:space="0" w:color="000000"/>
            </w:tcBorders>
            <w:shd w:val="clear" w:color="auto" w:fill="D2D2D2"/>
          </w:tcPr>
          <w:p>
            <w:pP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74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8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0"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380"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c>
          <w:tcPr>
            <w:tcW w:w="2380" w:type="dxa"/>
            <w:vMerge/>
            <w:tcBorders>
              <w:left w:val="single" w:sz="4" w:space="0" w:color="000000"/>
              <w:bottom w:val="single" w:sz="4" w:space="0" w:color="000000"/>
              <w:right w:val="single" w:sz="4" w:space="0" w:color="000000"/>
            </w:tcBorders>
            <w:shd w:val="clear" w:color="auto" w:fill="D2D2D2"/>
          </w:tcPr>
          <w:p>
            <w:pPr/>
          </w:p>
        </w:tc>
      </w:tr>
      <w:tr>
        <w:trPr>
          <w:trHeight w:val="397" w:hRule="exact"/>
        </w:trPr>
        <w:tc>
          <w:tcPr>
            <w:tcW w:w="954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314" w:right="0"/>
              <w:jc w:val="left"/>
              <w:rPr>
                <w:rFonts w:ascii="Times New Roman" w:hAnsi="Times New Roman" w:cs="Times New Roman" w:eastAsia="Times New Roman" w:hint="default"/>
                <w:sz w:val="18"/>
                <w:szCs w:val="18"/>
              </w:rPr>
            </w:pPr>
            <w:r>
              <w:rPr>
                <w:rFonts w:ascii="Times New Roman"/>
                <w:sz w:val="18"/>
              </w:rPr>
              <w:t>12,530,391.67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56" w:right="0"/>
              <w:jc w:val="left"/>
              <w:rPr>
                <w:rFonts w:ascii="Times New Roman" w:hAnsi="Times New Roman" w:cs="Times New Roman" w:eastAsia="Times New Roman" w:hint="default"/>
                <w:sz w:val="18"/>
                <w:szCs w:val="18"/>
              </w:rPr>
            </w:pPr>
            <w:r>
              <w:rPr>
                <w:rFonts w:ascii="Times New Roman"/>
                <w:sz w:val="18"/>
              </w:rPr>
              <w:t>375,911.73</w:t>
            </w:r>
          </w:p>
        </w:tc>
        <w:tc>
          <w:tcPr>
            <w:tcW w:w="2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3.00%</w:t>
            </w:r>
          </w:p>
        </w:tc>
      </w:tr>
    </w:tbl>
    <w:p>
      <w:pPr>
        <w:spacing w:after="0" w:line="240" w:lineRule="auto"/>
        <w:jc w:val="right"/>
        <w:rPr>
          <w:rFonts w:ascii="Times New Roman" w:hAnsi="Times New Roman" w:cs="Times New Roman" w:eastAsia="Times New Roman" w:hint="default"/>
          <w:sz w:val="18"/>
          <w:szCs w:val="18"/>
        </w:rPr>
        <w:sectPr>
          <w:pgSz w:w="11910" w:h="16840"/>
          <w:pgMar w:header="787" w:footer="640" w:top="1100" w:bottom="840" w:left="0" w:right="0"/>
        </w:sectPr>
      </w:pPr>
    </w:p>
    <w:p>
      <w:pPr>
        <w:spacing w:line="240" w:lineRule="auto" w:before="5"/>
        <w:rPr>
          <w:rFonts w:ascii="宋体" w:hAnsi="宋体" w:cs="宋体" w:eastAsia="宋体" w:hint="default"/>
          <w:sz w:val="25"/>
          <w:szCs w:val="25"/>
        </w:rPr>
      </w:pPr>
    </w:p>
    <w:tbl>
      <w:tblPr>
        <w:tblW w:w="0" w:type="auto"/>
        <w:jc w:val="left"/>
        <w:tblInd w:w="1129" w:type="dxa"/>
        <w:tblLayout w:type="fixed"/>
        <w:tblCellMar>
          <w:top w:w="0" w:type="dxa"/>
          <w:left w:w="0" w:type="dxa"/>
          <w:bottom w:w="0" w:type="dxa"/>
          <w:right w:w="0" w:type="dxa"/>
        </w:tblCellMar>
        <w:tblLook w:val="01E0"/>
      </w:tblPr>
      <w:tblGrid>
        <w:gridCol w:w="2391"/>
        <w:gridCol w:w="2394"/>
        <w:gridCol w:w="2392"/>
        <w:gridCol w:w="2392"/>
      </w:tblGrid>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3,427,972.97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342,797.32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1,089,589.54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217,917.91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291,000.00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145,500.00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298,400.00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149,200.00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122,100.00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122,100.00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17,759,454.18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1,353,426.96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7.62%</w:t>
            </w:r>
          </w:p>
        </w:tc>
      </w:tr>
    </w:tbl>
    <w:p>
      <w:pPr>
        <w:spacing w:line="240" w:lineRule="auto" w:before="6"/>
        <w:rPr>
          <w:rFonts w:ascii="宋体" w:hAnsi="宋体" w:cs="宋体" w:eastAsia="宋体" w:hint="default"/>
          <w:sz w:val="6"/>
          <w:szCs w:val="6"/>
        </w:rPr>
      </w:pPr>
    </w:p>
    <w:p>
      <w:pPr>
        <w:pStyle w:val="BodyText"/>
        <w:spacing w:line="518" w:lineRule="auto" w:before="44"/>
        <w:ind w:right="6252"/>
        <w:jc w:val="left"/>
      </w:pPr>
      <w:r>
        <w:rPr/>
        <w:t>确定该组合依据的说明： 组合中，采用余额百分比法计提坏账准备的其他应收款：</w:t>
      </w:r>
    </w:p>
    <w:p>
      <w:pPr>
        <w:pStyle w:val="BodyText"/>
        <w:spacing w:line="489" w:lineRule="auto" w:before="63"/>
        <w:ind w:left="1133" w:right="66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组合中，采用其他方法计提坏账准备的其他应收款：</w:t>
      </w:r>
    </w:p>
    <w:p>
      <w:pPr>
        <w:pStyle w:val="BodyText"/>
        <w:spacing w:line="240" w:lineRule="auto" w:before="85"/>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9"/>
          <w:szCs w:val="19"/>
        </w:rPr>
      </w:pPr>
    </w:p>
    <w:p>
      <w:pPr>
        <w:pStyle w:val="Heading3"/>
        <w:spacing w:line="240" w:lineRule="auto"/>
        <w:ind w:left="1133" w:right="0"/>
        <w:jc w:val="left"/>
        <w:rPr>
          <w:b w:val="0"/>
          <w:bCs w:val="0"/>
        </w:rPr>
      </w:pPr>
      <w:bookmarkStart w:name="（2）本期计提、收回或转回的坏账准备情况" w:id="246"/>
      <w:bookmarkEnd w:id="246"/>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pStyle w:val="BodyText"/>
        <w:spacing w:line="240" w:lineRule="auto"/>
        <w:ind w:right="0"/>
        <w:jc w:val="left"/>
      </w:pPr>
      <w:r>
        <w:rPr/>
        <w:t>本期计提坏账准备金额</w:t>
      </w:r>
      <w:r>
        <w:rPr>
          <w:rFonts w:ascii="Times New Roman" w:hAnsi="Times New Roman" w:cs="Times New Roman" w:eastAsia="Times New Roman" w:hint="default"/>
        </w:rPr>
        <w:t>-44,850.66</w:t>
      </w:r>
      <w:r>
        <w:rPr>
          <w:rFonts w:ascii="Times New Roman" w:hAnsi="Times New Roman" w:cs="Times New Roman" w:eastAsia="Times New Roman" w:hint="default"/>
          <w:spacing w:val="-1"/>
        </w:rPr>
        <w:t> </w:t>
      </w:r>
      <w:r>
        <w:rPr/>
        <w:t>元；本期收回或转回坏账准备金额</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10"/>
        </w:rPr>
        <w:t> </w:t>
      </w:r>
      <w:r>
        <w:rPr/>
        <w:t>元。</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9"/>
          <w:szCs w:val="19"/>
        </w:rPr>
      </w:pPr>
    </w:p>
    <w:p>
      <w:pPr>
        <w:pStyle w:val="Heading3"/>
        <w:spacing w:line="240" w:lineRule="auto"/>
        <w:ind w:left="1133" w:right="0"/>
        <w:jc w:val="left"/>
        <w:rPr>
          <w:b w:val="0"/>
          <w:bCs w:val="0"/>
        </w:rPr>
      </w:pPr>
      <w:bookmarkStart w:name="（3）本期实际核销的其他应收款情况" w:id="247"/>
      <w:bookmarkEnd w:id="247"/>
      <w:r>
        <w:rPr>
          <w:b w:val="0"/>
          <w:bCs w:val="0"/>
        </w:rPr>
      </w:r>
      <w:r>
        <w:rPr/>
        <w:t>（</w:t>
      </w:r>
      <w:r>
        <w:rPr>
          <w:rFonts w:ascii="Times New Roman" w:hAnsi="Times New Roman" w:cs="Times New Roman" w:eastAsia="Times New Roman" w:hint="default"/>
        </w:rPr>
        <w:t>3</w:t>
      </w:r>
      <w:r>
        <w:rPr/>
        <w:t>）本期实际核销的其他应收款情况</w:t>
      </w:r>
      <w:r>
        <w:rPr>
          <w:b w:val="0"/>
          <w:bCs w:val="0"/>
        </w:rPr>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5"/>
          <w:szCs w:val="15"/>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13"/>
          <w:szCs w:val="13"/>
        </w:rPr>
      </w:pPr>
    </w:p>
    <w:tbl>
      <w:tblPr>
        <w:tblW w:w="0" w:type="auto"/>
        <w:jc w:val="left"/>
        <w:tblInd w:w="1129" w:type="dxa"/>
        <w:tblLayout w:type="fixed"/>
        <w:tblCellMar>
          <w:top w:w="0" w:type="dxa"/>
          <w:left w:w="0" w:type="dxa"/>
          <w:bottom w:w="0" w:type="dxa"/>
          <w:right w:w="0" w:type="dxa"/>
        </w:tblCellMar>
        <w:tblLook w:val="01E0"/>
      </w:tblPr>
      <w:tblGrid>
        <w:gridCol w:w="4780"/>
        <w:gridCol w:w="4788"/>
      </w:tblGrid>
      <w:tr>
        <w:trPr>
          <w:trHeight w:val="401"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3" w:hRule="exact"/>
        </w:trPr>
        <w:tc>
          <w:tcPr>
            <w:tcW w:w="4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本期实际核销</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572,197.15</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4）其他应收款按款项性质分类情况" w:id="248"/>
      <w:bookmarkEnd w:id="248"/>
      <w:r>
        <w:rPr>
          <w:b w:val="0"/>
          <w:bCs w:val="0"/>
        </w:rPr>
      </w:r>
      <w:r>
        <w:rPr/>
        <w:t>（</w:t>
      </w:r>
      <w:r>
        <w:rPr>
          <w:rFonts w:ascii="Times New Roman" w:hAnsi="Times New Roman" w:cs="Times New Roman" w:eastAsia="Times New Roman" w:hint="default"/>
        </w:rPr>
        <w:t>4</w:t>
      </w:r>
      <w:r>
        <w:rPr/>
        <w:t>）其他应收款按款项性质分类情况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14,764,367.72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9,049,684.06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2,995,086.46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4,442,778.12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17,759,454.18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13,492,462.18</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5）按欠款方归集的期末余额前五名的其他应收款情况" w:id="249"/>
      <w:bookmarkEnd w:id="249"/>
      <w:r>
        <w:rPr>
          <w:b w:val="0"/>
          <w:bCs w:val="0"/>
        </w:rPr>
      </w:r>
      <w:r>
        <w:rPr/>
        <w:t>（</w:t>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3" w:right="7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1"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bl>
    <w:p>
      <w:pPr>
        <w:spacing w:after="0" w:line="240" w:lineRule="auto"/>
        <w:jc w:val="left"/>
        <w:rPr>
          <w:rFonts w:ascii="宋体" w:hAnsi="宋体" w:cs="宋体" w:eastAsia="宋体" w:hint="default"/>
          <w:sz w:val="18"/>
          <w:szCs w:val="18"/>
        </w:rPr>
        <w:sectPr>
          <w:pgSz w:w="11910" w:h="16840"/>
          <w:pgMar w:header="787" w:footer="640" w:top="1100" w:bottom="840" w:left="0" w:right="0"/>
        </w:sectPr>
      </w:pPr>
    </w:p>
    <w:p>
      <w:pPr>
        <w:spacing w:line="240" w:lineRule="auto" w:before="5"/>
        <w:rPr>
          <w:rFonts w:ascii="宋体" w:hAnsi="宋体" w:cs="宋体" w:eastAsia="宋体" w:hint="default"/>
          <w:sz w:val="25"/>
          <w:szCs w:val="25"/>
        </w:rPr>
      </w:pPr>
    </w:p>
    <w:tbl>
      <w:tblPr>
        <w:tblW w:w="0" w:type="auto"/>
        <w:jc w:val="left"/>
        <w:tblInd w:w="1129" w:type="dxa"/>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单位一</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3,655,127.49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20.58%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109,653.82</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单位二</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1,467,223.38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8.26%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140,494.52</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单位三</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817,220.00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4.60%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24,516.60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单位四</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3.94%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70,000.00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单位五</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165,500.00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pacing w:val="-1"/>
                <w:sz w:val="18"/>
              </w:rPr>
              <w:t>7,289,570.87</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41.04%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510,164.94</w:t>
            </w:r>
          </w:p>
        </w:tc>
      </w:tr>
    </w:tbl>
    <w:p>
      <w:pPr>
        <w:spacing w:line="240" w:lineRule="auto" w:before="1"/>
        <w:rPr>
          <w:rFonts w:ascii="宋体" w:hAnsi="宋体" w:cs="宋体" w:eastAsia="宋体" w:hint="default"/>
          <w:sz w:val="25"/>
          <w:szCs w:val="25"/>
        </w:rPr>
      </w:pPr>
    </w:p>
    <w:p>
      <w:pPr>
        <w:pStyle w:val="Heading3"/>
        <w:spacing w:line="240" w:lineRule="auto" w:before="35"/>
        <w:ind w:right="0"/>
        <w:jc w:val="left"/>
        <w:rPr>
          <w:b w:val="0"/>
          <w:bCs w:val="0"/>
        </w:rPr>
      </w:pPr>
      <w:bookmarkStart w:name="（6）涉及政府补助的应收款项" w:id="250"/>
      <w:bookmarkEnd w:id="250"/>
      <w:r>
        <w:rPr>
          <w:b w:val="0"/>
          <w:bCs w:val="0"/>
        </w:rPr>
      </w:r>
      <w:r>
        <w:rPr/>
        <w:t>（</w:t>
      </w:r>
      <w:r>
        <w:rPr>
          <w:rFonts w:ascii="Times New Roman" w:hAnsi="Times New Roman" w:cs="Times New Roman" w:eastAsia="Times New Roman" w:hint="default"/>
        </w:rPr>
        <w:t>6</w:t>
      </w:r>
      <w:r>
        <w:rPr/>
        <w:t>）涉及政府补助的应收款项</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pStyle w:val="BodyText"/>
        <w:spacing w:line="240" w:lineRule="auto"/>
        <w:ind w:right="0"/>
        <w:jc w:val="left"/>
      </w:pPr>
      <w:r>
        <w:rPr/>
        <w:t>不适用</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0"/>
          <w:szCs w:val="20"/>
        </w:rPr>
      </w:pPr>
    </w:p>
    <w:p>
      <w:pPr>
        <w:pStyle w:val="Heading3"/>
        <w:spacing w:line="240" w:lineRule="auto"/>
        <w:ind w:right="0"/>
        <w:jc w:val="left"/>
        <w:rPr>
          <w:b w:val="0"/>
          <w:bCs w:val="0"/>
        </w:rPr>
      </w:pPr>
      <w:bookmarkStart w:name="（7）因金融资产转移而终止确认的其他应收款" w:id="251"/>
      <w:bookmarkEnd w:id="251"/>
      <w:r>
        <w:rPr>
          <w:b w:val="0"/>
          <w:bCs w:val="0"/>
        </w:rPr>
      </w:r>
      <w:r>
        <w:rPr/>
        <w:t>（</w:t>
      </w: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0"/>
        <w:rPr>
          <w:rFonts w:ascii="宋体" w:hAnsi="宋体" w:cs="宋体" w:eastAsia="宋体" w:hint="default"/>
          <w:b/>
          <w:bCs/>
          <w:sz w:val="22"/>
          <w:szCs w:val="22"/>
        </w:rPr>
      </w:pPr>
    </w:p>
    <w:p>
      <w:pPr>
        <w:spacing w:line="240" w:lineRule="auto" w:before="5"/>
        <w:rPr>
          <w:rFonts w:ascii="宋体" w:hAnsi="宋体" w:cs="宋体" w:eastAsia="宋体" w:hint="default"/>
          <w:b/>
          <w:bCs/>
          <w:sz w:val="16"/>
          <w:szCs w:val="16"/>
        </w:rPr>
      </w:pPr>
    </w:p>
    <w:p>
      <w:pPr>
        <w:pStyle w:val="BodyText"/>
        <w:spacing w:line="240" w:lineRule="auto"/>
        <w:ind w:right="0"/>
        <w:jc w:val="left"/>
      </w:pPr>
      <w:r>
        <w:rPr/>
        <w:t>不适用</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0"/>
          <w:szCs w:val="20"/>
        </w:rPr>
      </w:pPr>
    </w:p>
    <w:p>
      <w:pPr>
        <w:pStyle w:val="Heading3"/>
        <w:spacing w:line="240" w:lineRule="auto"/>
        <w:ind w:right="0"/>
        <w:jc w:val="left"/>
        <w:rPr>
          <w:b w:val="0"/>
          <w:bCs w:val="0"/>
        </w:rPr>
      </w:pPr>
      <w:bookmarkStart w:name="（8）转移其他应收款且继续涉入形成的资产、负债金额" w:id="252"/>
      <w:bookmarkEnd w:id="252"/>
      <w:r>
        <w:rPr>
          <w:b w:val="0"/>
          <w:bCs w:val="0"/>
        </w:rPr>
      </w:r>
      <w:r>
        <w:rPr/>
        <w:t>（</w:t>
      </w:r>
      <w:r>
        <w:rPr>
          <w:rFonts w:ascii="Times New Roman" w:hAnsi="Times New Roman" w:cs="Times New Roman" w:eastAsia="Times New Roman" w:hint="default"/>
        </w:rPr>
        <w:t>8</w:t>
      </w:r>
      <w:r>
        <w:rPr/>
        <w:t>）转移其他应收款且继续涉入形成的资产、负债金额</w:t>
      </w:r>
      <w:r>
        <w:rPr>
          <w:b w:val="0"/>
          <w:bCs w:val="0"/>
        </w:rPr>
      </w:r>
    </w:p>
    <w:p>
      <w:pPr>
        <w:spacing w:line="240" w:lineRule="auto" w:before="0"/>
        <w:rPr>
          <w:rFonts w:ascii="宋体" w:hAnsi="宋体" w:cs="宋体" w:eastAsia="宋体" w:hint="default"/>
          <w:b/>
          <w:bCs/>
          <w:sz w:val="22"/>
          <w:szCs w:val="22"/>
        </w:rPr>
      </w:pPr>
    </w:p>
    <w:p>
      <w:pPr>
        <w:spacing w:line="240" w:lineRule="auto" w:before="5"/>
        <w:rPr>
          <w:rFonts w:ascii="宋体" w:hAnsi="宋体" w:cs="宋体" w:eastAsia="宋体" w:hint="default"/>
          <w:b/>
          <w:bCs/>
          <w:sz w:val="16"/>
          <w:szCs w:val="16"/>
        </w:rPr>
      </w:pPr>
    </w:p>
    <w:p>
      <w:pPr>
        <w:pStyle w:val="BodyText"/>
        <w:spacing w:line="240" w:lineRule="auto"/>
        <w:ind w:left="1133" w:right="0"/>
        <w:jc w:val="left"/>
      </w:pPr>
      <w:r>
        <w:rPr/>
        <w:t>不适用</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0"/>
          <w:szCs w:val="20"/>
        </w:rPr>
      </w:pPr>
    </w:p>
    <w:p>
      <w:pPr>
        <w:pStyle w:val="Heading3"/>
        <w:spacing w:line="240" w:lineRule="auto"/>
        <w:ind w:left="1133" w:right="0"/>
        <w:jc w:val="left"/>
        <w:rPr>
          <w:b w:val="0"/>
          <w:bCs w:val="0"/>
        </w:rPr>
      </w:pPr>
      <w:bookmarkStart w:name="10、存货" w:id="253"/>
      <w:bookmarkEnd w:id="253"/>
      <w:r>
        <w:rPr>
          <w:b w:val="0"/>
          <w:bCs w:val="0"/>
        </w:rPr>
      </w:r>
      <w:r>
        <w:rPr>
          <w:rFonts w:ascii="Times New Roman" w:hAnsi="Times New Roman" w:cs="Times New Roman" w:eastAsia="Times New Roman" w:hint="default"/>
        </w:rPr>
        <w:t>10</w:t>
      </w:r>
      <w:r>
        <w:rPr/>
        <w:t>、存货</w:t>
      </w:r>
      <w:r>
        <w:rPr>
          <w:b w:val="0"/>
          <w:bCs w:val="0"/>
        </w:rPr>
      </w:r>
    </w:p>
    <w:p>
      <w:pPr>
        <w:spacing w:line="240" w:lineRule="auto" w:before="0"/>
        <w:rPr>
          <w:rFonts w:ascii="宋体" w:hAnsi="宋体" w:cs="宋体" w:eastAsia="宋体" w:hint="default"/>
          <w:b/>
          <w:bCs/>
          <w:sz w:val="22"/>
          <w:szCs w:val="22"/>
        </w:rPr>
      </w:pPr>
    </w:p>
    <w:p>
      <w:pPr>
        <w:spacing w:line="240" w:lineRule="auto" w:before="5"/>
        <w:rPr>
          <w:rFonts w:ascii="宋体" w:hAnsi="宋体" w:cs="宋体" w:eastAsia="宋体" w:hint="default"/>
          <w:b/>
          <w:bCs/>
          <w:sz w:val="16"/>
          <w:szCs w:val="16"/>
        </w:rPr>
      </w:pPr>
    </w:p>
    <w:p>
      <w:pPr>
        <w:pStyle w:val="BodyText"/>
        <w:spacing w:line="518" w:lineRule="auto"/>
        <w:ind w:right="7512"/>
        <w:jc w:val="left"/>
      </w:pPr>
      <w:r>
        <w:rPr/>
        <w:t>公司是否需要遵守房地产行业的披露要求 否</w:t>
      </w:r>
    </w:p>
    <w:p>
      <w:pPr>
        <w:spacing w:line="240" w:lineRule="auto" w:before="10"/>
        <w:rPr>
          <w:rFonts w:ascii="宋体" w:hAnsi="宋体" w:cs="宋体" w:eastAsia="宋体" w:hint="default"/>
          <w:sz w:val="16"/>
          <w:szCs w:val="16"/>
        </w:rPr>
      </w:pPr>
    </w:p>
    <w:p>
      <w:pPr>
        <w:pStyle w:val="Heading3"/>
        <w:spacing w:line="240" w:lineRule="auto"/>
        <w:ind w:right="0"/>
        <w:jc w:val="left"/>
        <w:rPr>
          <w:b w:val="0"/>
          <w:bCs w:val="0"/>
        </w:rPr>
      </w:pPr>
      <w:bookmarkStart w:name="（1）存货分类" w:id="254"/>
      <w:bookmarkEnd w:id="254"/>
      <w:r>
        <w:rPr>
          <w:b w:val="0"/>
          <w:bCs w:val="0"/>
        </w:rPr>
      </w:r>
      <w:r>
        <w:rPr/>
        <w:t>（</w:t>
      </w:r>
      <w:r>
        <w:rPr>
          <w:rFonts w:ascii="Times New Roman" w:hAnsi="Times New Roman" w:cs="Times New Roman" w:eastAsia="Times New Roman" w:hint="default"/>
        </w:rPr>
        <w:t>1</w:t>
      </w:r>
      <w:r>
        <w:rPr/>
        <w:t>）存货分类</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206"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368" w:type="dxa"/>
            <w:vMerge/>
            <w:tcBorders>
              <w:left w:val="single" w:sz="4" w:space="0" w:color="000000"/>
              <w:bottom w:val="nil" w:sz="6" w:space="0" w:color="auto"/>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5"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92,113,014.86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4,180,873.27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87,932,141.59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77,149,998.55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3,696,335.11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73,453,663.44</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1,822,899.74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1,822,899.74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153,978.02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153,978.02</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产成品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15,951,376.90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15,951,376.90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4,777,221.73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4,777,221.73</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14,230,717.01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14,230,717.01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13,821,597.83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13,821,597.83</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工程施工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14,614,656.97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14,614,656.97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3,890,106.98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3,890,106.98</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138,732,665.48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4,180,873.27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134,551,792.21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99,792,903.11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3,696,335.11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96,096,568.00</w:t>
            </w:r>
          </w:p>
        </w:tc>
      </w:tr>
    </w:tbl>
    <w:p>
      <w:pPr>
        <w:spacing w:line="240" w:lineRule="auto" w:before="6"/>
        <w:rPr>
          <w:rFonts w:ascii="宋体" w:hAnsi="宋体" w:cs="宋体" w:eastAsia="宋体" w:hint="default"/>
          <w:sz w:val="6"/>
          <w:szCs w:val="6"/>
        </w:rPr>
      </w:pPr>
    </w:p>
    <w:p>
      <w:pPr>
        <w:pStyle w:val="BodyText"/>
        <w:spacing w:line="240" w:lineRule="auto" w:before="44"/>
        <w:ind w:right="0"/>
        <w:jc w:val="left"/>
      </w:pPr>
      <w:r>
        <w:rPr/>
        <w:t>公司是否需遵守《深圳证券交易所行业信息披露指引第</w:t>
      </w:r>
      <w:r>
        <w:rPr>
          <w:spacing w:val="-45"/>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上市公司从事种业、种植业务》的披露要求</w:t>
      </w:r>
    </w:p>
    <w:p>
      <w:pPr>
        <w:spacing w:after="0" w:line="240" w:lineRule="auto"/>
        <w:jc w:val="left"/>
        <w:sectPr>
          <w:pgSz w:w="11910" w:h="16840"/>
          <w:pgMar w:header="787" w:footer="640" w:top="1100" w:bottom="840" w:left="0" w:right="0"/>
        </w:sectPr>
      </w:pPr>
    </w:p>
    <w:p>
      <w:pPr>
        <w:spacing w:line="240" w:lineRule="auto" w:before="11"/>
        <w:rPr>
          <w:rFonts w:ascii="宋体" w:hAnsi="宋体" w:cs="宋体" w:eastAsia="宋体" w:hint="default"/>
          <w:sz w:val="28"/>
          <w:szCs w:val="28"/>
        </w:rPr>
      </w:pPr>
    </w:p>
    <w:p>
      <w:pPr>
        <w:pStyle w:val="BodyText"/>
        <w:spacing w:line="240" w:lineRule="auto" w:before="44"/>
        <w:ind w:right="0"/>
        <w:jc w:val="left"/>
      </w:pPr>
      <w:r>
        <w:rPr/>
        <w:t>否</w:t>
      </w:r>
    </w:p>
    <w:p>
      <w:pPr>
        <w:spacing w:line="240" w:lineRule="auto" w:before="10"/>
        <w:rPr>
          <w:rFonts w:ascii="宋体" w:hAnsi="宋体" w:cs="宋体" w:eastAsia="宋体" w:hint="default"/>
          <w:sz w:val="20"/>
          <w:szCs w:val="20"/>
        </w:rPr>
      </w:pPr>
    </w:p>
    <w:p>
      <w:pPr>
        <w:pStyle w:val="BodyText"/>
        <w:spacing w:line="489" w:lineRule="auto"/>
        <w:ind w:left="1133" w:right="1574"/>
        <w:jc w:val="left"/>
      </w:pPr>
      <w:r>
        <w:rPr/>
        <w:t>公司是否需遵守《深圳证券交易所创业板行业信息披露指引第</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上市公司从事广播电影电视业务》的披露要求 否</w:t>
      </w:r>
    </w:p>
    <w:p>
      <w:pPr>
        <w:pStyle w:val="BodyText"/>
        <w:spacing w:line="489" w:lineRule="auto" w:before="85"/>
        <w:ind w:left="1133" w:right="1754"/>
        <w:jc w:val="left"/>
      </w:pPr>
      <w:r>
        <w:rPr/>
        <w:t>公司是否需遵守《深圳证券交易所创业板行业信息披露指引第</w:t>
      </w:r>
      <w:r>
        <w:rPr>
          <w:spacing w:val="-45"/>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上市公司从事互联网游戏业务》的披露要求 否</w:t>
      </w:r>
    </w:p>
    <w:p>
      <w:pPr>
        <w:spacing w:line="240" w:lineRule="auto" w:before="6"/>
        <w:rPr>
          <w:rFonts w:ascii="宋体" w:hAnsi="宋体" w:cs="宋体" w:eastAsia="宋体" w:hint="default"/>
          <w:sz w:val="24"/>
          <w:szCs w:val="24"/>
        </w:rPr>
      </w:pPr>
    </w:p>
    <w:p>
      <w:pPr>
        <w:pStyle w:val="Heading3"/>
        <w:spacing w:line="240" w:lineRule="auto"/>
        <w:ind w:right="0"/>
        <w:jc w:val="left"/>
        <w:rPr>
          <w:b w:val="0"/>
          <w:bCs w:val="0"/>
        </w:rPr>
      </w:pPr>
      <w:bookmarkStart w:name="（2）存货跌价准备" w:id="255"/>
      <w:bookmarkEnd w:id="255"/>
      <w:r>
        <w:rPr>
          <w:b w:val="0"/>
          <w:bCs w:val="0"/>
        </w:rPr>
      </w:r>
      <w:r>
        <w:rPr/>
        <w:t>（</w:t>
      </w:r>
      <w:r>
        <w:rPr>
          <w:rFonts w:ascii="Times New Roman" w:hAnsi="Times New Roman" w:cs="Times New Roman" w:eastAsia="Times New Roman" w:hint="default"/>
        </w:rPr>
        <w:t>2</w:t>
      </w:r>
      <w:r>
        <w:rPr/>
        <w:t>）存货跌价准备</w:t>
      </w:r>
      <w:r>
        <w:rPr>
          <w:b w:val="0"/>
          <w:bCs w:val="0"/>
        </w:rPr>
      </w:r>
    </w:p>
    <w:p>
      <w:pPr>
        <w:spacing w:line="240" w:lineRule="auto" w:before="6"/>
        <w:rPr>
          <w:rFonts w:ascii="宋体" w:hAnsi="宋体" w:cs="宋体" w:eastAsia="宋体" w:hint="default"/>
          <w:b/>
          <w:bCs/>
          <w:sz w:val="32"/>
          <w:szCs w:val="32"/>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205"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273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822"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2" w:hRule="exact"/>
        </w:trPr>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vMerge/>
            <w:tcBorders>
              <w:left w:val="single" w:sz="4" w:space="0" w:color="000000"/>
              <w:bottom w:val="single" w:sz="4" w:space="0" w:color="000000"/>
              <w:right w:val="single" w:sz="4" w:space="0" w:color="000000"/>
            </w:tcBorders>
            <w:shd w:val="clear" w:color="auto" w:fill="D2D2D2"/>
          </w:tcPr>
          <w:p>
            <w:pPr/>
          </w:p>
        </w:tc>
        <w:tc>
          <w:tcPr>
            <w:tcW w:w="2735" w:type="dxa"/>
            <w:gridSpan w:val="2"/>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right w:val="single" w:sz="4" w:space="0" w:color="000000"/>
            </w:tcBorders>
            <w:shd w:val="clear" w:color="auto" w:fill="D2D2D2"/>
          </w:tcPr>
          <w:p>
            <w:pPr/>
          </w:p>
        </w:tc>
      </w:tr>
      <w:tr>
        <w:trPr>
          <w:trHeight w:val="200" w:hRule="exact"/>
        </w:trPr>
        <w:tc>
          <w:tcPr>
            <w:tcW w:w="1368" w:type="dxa"/>
            <w:vMerge/>
            <w:tcBorders>
              <w:left w:val="single" w:sz="4" w:space="0" w:color="000000"/>
              <w:bottom w:val="nil" w:sz="6" w:space="0" w:color="auto"/>
              <w:right w:val="single" w:sz="4" w:space="0" w:color="000000"/>
            </w:tcBorders>
            <w:shd w:val="clear" w:color="auto" w:fill="D2D2D2"/>
          </w:tcPr>
          <w:p>
            <w:pPr/>
          </w:p>
        </w:tc>
        <w:tc>
          <w:tcPr>
            <w:tcW w:w="1368" w:type="dxa"/>
            <w:vMerge/>
            <w:tcBorders>
              <w:left w:val="single" w:sz="4" w:space="0" w:color="000000"/>
              <w:bottom w:val="nil" w:sz="6" w:space="0" w:color="auto"/>
              <w:right w:val="single" w:sz="4" w:space="0" w:color="000000"/>
            </w:tcBorders>
            <w:shd w:val="clear" w:color="auto" w:fill="D2D2D2"/>
          </w:tcPr>
          <w:p>
            <w:pP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计提</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29"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tcBorders>
              <w:left w:val="single" w:sz="4" w:space="0" w:color="000000"/>
              <w:right w:val="single" w:sz="4" w:space="0" w:color="000000"/>
            </w:tcBorders>
            <w:shd w:val="clear" w:color="auto" w:fill="D2D2D2"/>
          </w:tcPr>
          <w:p>
            <w:pPr/>
          </w:p>
        </w:tc>
      </w:tr>
      <w:tr>
        <w:trPr>
          <w:trHeight w:val="206"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3,696,335.11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2,151,882.87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1,667,344.71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4,180,873.27</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3,696,335.11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2,151,882.87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1,667,344.71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4,180,873.27</w:t>
            </w:r>
          </w:p>
        </w:tc>
      </w:tr>
    </w:tbl>
    <w:p>
      <w:pPr>
        <w:spacing w:line="240" w:lineRule="auto" w:before="11"/>
        <w:rPr>
          <w:rFonts w:ascii="宋体" w:hAnsi="宋体" w:cs="宋体" w:eastAsia="宋体" w:hint="default"/>
          <w:sz w:val="23"/>
          <w:szCs w:val="23"/>
        </w:rPr>
      </w:pPr>
    </w:p>
    <w:tbl>
      <w:tblPr>
        <w:tblW w:w="0" w:type="auto"/>
        <w:jc w:val="left"/>
        <w:tblInd w:w="1129" w:type="dxa"/>
        <w:tblLayout w:type="fixed"/>
        <w:tblCellMar>
          <w:top w:w="0" w:type="dxa"/>
          <w:left w:w="0" w:type="dxa"/>
          <w:bottom w:w="0" w:type="dxa"/>
          <w:right w:w="0" w:type="dxa"/>
        </w:tblCellMar>
        <w:tblLook w:val="01E0"/>
      </w:tblPr>
      <w:tblGrid>
        <w:gridCol w:w="1508"/>
        <w:gridCol w:w="2464"/>
        <w:gridCol w:w="3065"/>
        <w:gridCol w:w="2604"/>
      </w:tblGrid>
      <w:tr>
        <w:trPr>
          <w:trHeight w:val="634" w:hRule="exact"/>
        </w:trPr>
        <w:tc>
          <w:tcPr>
            <w:tcW w:w="15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计提存货跌价准备的依据</w:t>
            </w:r>
          </w:p>
        </w:tc>
        <w:tc>
          <w:tcPr>
            <w:tcW w:w="3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本期转回存货跌价准备的原因</w:t>
            </w:r>
          </w:p>
        </w:tc>
        <w:tc>
          <w:tcPr>
            <w:tcW w:w="26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
              <w:ind w:left="621" w:right="126" w:hanging="496"/>
              <w:jc w:val="left"/>
              <w:rPr>
                <w:rFonts w:ascii="宋体" w:hAnsi="宋体" w:cs="宋体" w:eastAsia="宋体" w:hint="default"/>
                <w:sz w:val="18"/>
                <w:szCs w:val="18"/>
              </w:rPr>
            </w:pPr>
            <w:r>
              <w:rPr>
                <w:rFonts w:ascii="宋体" w:hAnsi="宋体" w:cs="宋体" w:eastAsia="宋体" w:hint="default"/>
                <w:sz w:val="18"/>
                <w:szCs w:val="18"/>
              </w:rPr>
              <w:t>本期转回金额占该项存货期末 余额的比例（</w:t>
            </w:r>
            <w:r>
              <w:rPr>
                <w:rFonts w:ascii="宋体" w:hAnsi="宋体" w:cs="宋体" w:eastAsia="宋体" w:hint="default"/>
                <w:sz w:val="18"/>
                <w:szCs w:val="18"/>
              </w:rPr>
              <w:t>%</w:t>
            </w:r>
            <w:r>
              <w:rPr>
                <w:rFonts w:ascii="宋体" w:hAnsi="宋体" w:cs="宋体" w:eastAsia="宋体" w:hint="default"/>
                <w:sz w:val="18"/>
                <w:szCs w:val="18"/>
              </w:rPr>
              <w:t>）</w:t>
            </w:r>
          </w:p>
        </w:tc>
      </w:tr>
      <w:tr>
        <w:trPr>
          <w:trHeight w:val="506" w:hRule="exact"/>
        </w:trPr>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宋体" w:hAnsi="宋体" w:cs="宋体" w:eastAsia="宋体" w:hint="default"/>
                <w:sz w:val="18"/>
                <w:szCs w:val="18"/>
              </w:rPr>
            </w:pPr>
            <w:r>
              <w:rPr>
                <w:rFonts w:ascii="宋体" w:hAnsi="宋体" w:cs="宋体" w:eastAsia="宋体" w:hint="default"/>
                <w:sz w:val="18"/>
                <w:szCs w:val="18"/>
              </w:rPr>
              <w:t>原材料</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
              <w:jc w:val="center"/>
              <w:rPr>
                <w:rFonts w:ascii="宋体" w:hAnsi="宋体" w:cs="宋体" w:eastAsia="宋体" w:hint="default"/>
                <w:sz w:val="18"/>
                <w:szCs w:val="18"/>
              </w:rPr>
            </w:pPr>
            <w:r>
              <w:rPr>
                <w:rFonts w:ascii="宋体" w:hAnsi="宋体" w:cs="宋体" w:eastAsia="宋体" w:hint="default"/>
                <w:sz w:val="18"/>
                <w:szCs w:val="18"/>
              </w:rPr>
              <w:t>可变现净值与成本孰低</w:t>
            </w:r>
          </w:p>
        </w:tc>
        <w:tc>
          <w:tcPr>
            <w:tcW w:w="3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宋体" w:hAnsi="宋体" w:cs="宋体" w:eastAsia="宋体" w:hint="default"/>
                <w:sz w:val="18"/>
                <w:szCs w:val="18"/>
              </w:rPr>
            </w:pPr>
            <w:r>
              <w:rPr>
                <w:rFonts w:ascii="宋体" w:hAnsi="宋体" w:cs="宋体" w:eastAsia="宋体" w:hint="default"/>
                <w:sz w:val="18"/>
                <w:szCs w:val="18"/>
              </w:rPr>
              <w:t>工程领用</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
              <w:jc w:val="center"/>
              <w:rPr>
                <w:rFonts w:ascii="Times New Roman" w:hAnsi="Times New Roman" w:cs="Times New Roman" w:eastAsia="Times New Roman" w:hint="default"/>
                <w:sz w:val="18"/>
                <w:szCs w:val="18"/>
              </w:rPr>
            </w:pPr>
            <w:r>
              <w:rPr>
                <w:rFonts w:ascii="Times New Roman"/>
                <w:sz w:val="18"/>
              </w:rPr>
              <w:t>1.90</w:t>
            </w:r>
          </w:p>
        </w:tc>
      </w:tr>
    </w:tbl>
    <w:p>
      <w:pPr>
        <w:spacing w:line="240" w:lineRule="auto" w:before="3"/>
        <w:rPr>
          <w:rFonts w:ascii="宋体" w:hAnsi="宋体" w:cs="宋体" w:eastAsia="宋体" w:hint="default"/>
          <w:sz w:val="27"/>
          <w:szCs w:val="27"/>
        </w:rPr>
      </w:pPr>
    </w:p>
    <w:p>
      <w:pPr>
        <w:pStyle w:val="BodyText"/>
        <w:spacing w:line="240" w:lineRule="auto" w:before="44"/>
        <w:ind w:right="0"/>
        <w:jc w:val="left"/>
      </w:pPr>
      <w:r>
        <w:rPr/>
        <w:t>本期存货跌价准备转销金额</w:t>
      </w:r>
      <w:r>
        <w:rPr>
          <w:rFonts w:ascii="Times New Roman" w:hAnsi="Times New Roman" w:cs="Times New Roman" w:eastAsia="Times New Roman" w:hint="default"/>
        </w:rPr>
        <w:t>1,667,344.71</w:t>
      </w:r>
      <w:r>
        <w:rPr/>
        <w:t>元，系由于对应材料被进行中的工程项目领用。</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9"/>
          <w:szCs w:val="19"/>
        </w:rPr>
      </w:pPr>
    </w:p>
    <w:p>
      <w:pPr>
        <w:pStyle w:val="Heading3"/>
        <w:spacing w:line="240" w:lineRule="auto"/>
        <w:ind w:right="0"/>
        <w:jc w:val="left"/>
        <w:rPr>
          <w:b w:val="0"/>
          <w:bCs w:val="0"/>
        </w:rPr>
      </w:pPr>
      <w:bookmarkStart w:name="（3）存货期末余额含有借款费用资本化金额的说明" w:id="256"/>
      <w:bookmarkEnd w:id="256"/>
      <w:r>
        <w:rPr>
          <w:b w:val="0"/>
          <w:bCs w:val="0"/>
        </w:rPr>
      </w:r>
      <w:r>
        <w:rPr/>
        <w:t>（</w:t>
      </w:r>
      <w:r>
        <w:rPr>
          <w:rFonts w:ascii="Times New Roman" w:hAnsi="Times New Roman" w:cs="Times New Roman" w:eastAsia="Times New Roman" w:hint="default"/>
        </w:rPr>
        <w:t>3</w:t>
      </w:r>
      <w:r>
        <w:rPr/>
        <w:t>）存货期末余额含有借款费用资本化金额的说明</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pStyle w:val="BodyText"/>
        <w:spacing w:line="240" w:lineRule="auto"/>
        <w:ind w:right="0"/>
        <w:jc w:val="left"/>
      </w:pPr>
      <w:r>
        <w:rPr/>
        <w:t>不适用</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0"/>
          <w:szCs w:val="20"/>
        </w:rPr>
      </w:pPr>
    </w:p>
    <w:p>
      <w:pPr>
        <w:pStyle w:val="Heading3"/>
        <w:spacing w:line="240" w:lineRule="auto"/>
        <w:ind w:right="0"/>
        <w:jc w:val="left"/>
        <w:rPr>
          <w:b w:val="0"/>
          <w:bCs w:val="0"/>
        </w:rPr>
      </w:pPr>
      <w:bookmarkStart w:name="（4）期末建造合同形成的已完工未结算资产情况" w:id="257"/>
      <w:bookmarkEnd w:id="257"/>
      <w:r>
        <w:rPr>
          <w:b w:val="0"/>
          <w:bCs w:val="0"/>
        </w:rPr>
      </w:r>
      <w:r>
        <w:rPr/>
        <w:t>（</w:t>
      </w:r>
      <w:r>
        <w:rPr>
          <w:rFonts w:ascii="Times New Roman" w:hAnsi="Times New Roman" w:cs="Times New Roman" w:eastAsia="Times New Roman" w:hint="default"/>
        </w:rPr>
        <w:t>4</w:t>
      </w:r>
      <w:r>
        <w:rPr/>
        <w:t>）期末建造合同形成的已完工未结算资产情况</w:t>
      </w:r>
      <w:r>
        <w:rPr>
          <w:b w:val="0"/>
          <w:bCs w:val="0"/>
        </w:rPr>
      </w:r>
    </w:p>
    <w:p>
      <w:pPr>
        <w:spacing w:line="240" w:lineRule="auto" w:before="0"/>
        <w:rPr>
          <w:rFonts w:ascii="宋体" w:hAnsi="宋体" w:cs="宋体" w:eastAsia="宋体" w:hint="default"/>
          <w:b/>
          <w:bCs/>
          <w:sz w:val="22"/>
          <w:szCs w:val="22"/>
        </w:rPr>
      </w:pPr>
    </w:p>
    <w:p>
      <w:pPr>
        <w:spacing w:line="240" w:lineRule="auto" w:before="5"/>
        <w:rPr>
          <w:rFonts w:ascii="宋体" w:hAnsi="宋体" w:cs="宋体" w:eastAsia="宋体" w:hint="default"/>
          <w:b/>
          <w:bCs/>
          <w:sz w:val="16"/>
          <w:szCs w:val="16"/>
        </w:rPr>
      </w:pPr>
    </w:p>
    <w:p>
      <w:pPr>
        <w:pStyle w:val="BodyText"/>
        <w:spacing w:line="240" w:lineRule="auto"/>
        <w:ind w:right="0"/>
        <w:jc w:val="left"/>
      </w:pPr>
      <w:r>
        <w:rPr/>
        <w:t>不适用</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0"/>
          <w:szCs w:val="20"/>
        </w:rPr>
      </w:pPr>
    </w:p>
    <w:p>
      <w:pPr>
        <w:pStyle w:val="Heading3"/>
        <w:spacing w:line="240" w:lineRule="auto"/>
        <w:ind w:right="0"/>
        <w:jc w:val="left"/>
        <w:rPr>
          <w:b w:val="0"/>
          <w:bCs w:val="0"/>
        </w:rPr>
      </w:pPr>
      <w:bookmarkStart w:name="11、持有待售的资产" w:id="258"/>
      <w:bookmarkEnd w:id="258"/>
      <w:r>
        <w:rPr>
          <w:b w:val="0"/>
          <w:bCs w:val="0"/>
        </w:rPr>
      </w:r>
      <w:r>
        <w:rPr>
          <w:rFonts w:ascii="Times New Roman" w:hAnsi="Times New Roman" w:cs="Times New Roman" w:eastAsia="Times New Roman" w:hint="default"/>
        </w:rPr>
        <w:t>11</w:t>
      </w:r>
      <w:r>
        <w:rPr/>
        <w:t>、持有待售的资产</w:t>
      </w:r>
      <w:r>
        <w:rPr>
          <w:b w:val="0"/>
          <w:bCs w:val="0"/>
        </w:rPr>
      </w:r>
    </w:p>
    <w:p>
      <w:pPr>
        <w:spacing w:line="240" w:lineRule="auto" w:before="0"/>
        <w:rPr>
          <w:rFonts w:ascii="宋体" w:hAnsi="宋体" w:cs="宋体" w:eastAsia="宋体" w:hint="default"/>
          <w:b/>
          <w:bCs/>
          <w:sz w:val="22"/>
          <w:szCs w:val="22"/>
        </w:rPr>
      </w:pPr>
    </w:p>
    <w:p>
      <w:pPr>
        <w:spacing w:line="240" w:lineRule="auto" w:before="5"/>
        <w:rPr>
          <w:rFonts w:ascii="宋体" w:hAnsi="宋体" w:cs="宋体" w:eastAsia="宋体" w:hint="default"/>
          <w:b/>
          <w:bCs/>
          <w:sz w:val="16"/>
          <w:szCs w:val="16"/>
        </w:rPr>
      </w:pPr>
    </w:p>
    <w:p>
      <w:pPr>
        <w:pStyle w:val="BodyText"/>
        <w:spacing w:line="240" w:lineRule="auto"/>
        <w:ind w:left="1133" w:right="0"/>
        <w:jc w:val="left"/>
      </w:pPr>
      <w:r>
        <w:rPr/>
        <w:t>不适用</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0"/>
          <w:szCs w:val="20"/>
        </w:rPr>
      </w:pPr>
    </w:p>
    <w:p>
      <w:pPr>
        <w:pStyle w:val="Heading3"/>
        <w:spacing w:line="240" w:lineRule="auto"/>
        <w:ind w:left="1133" w:right="0"/>
        <w:jc w:val="left"/>
        <w:rPr>
          <w:b w:val="0"/>
          <w:bCs w:val="0"/>
        </w:rPr>
      </w:pPr>
      <w:bookmarkStart w:name="12、一年内到期的非流动资产" w:id="259"/>
      <w:bookmarkEnd w:id="259"/>
      <w:r>
        <w:rPr>
          <w:b w:val="0"/>
          <w:bCs w:val="0"/>
        </w:rPr>
      </w:r>
      <w:r>
        <w:rPr>
          <w:rFonts w:ascii="Times New Roman" w:hAnsi="Times New Roman" w:cs="Times New Roman" w:eastAsia="Times New Roman" w:hint="default"/>
        </w:rPr>
        <w:t>12</w:t>
      </w:r>
      <w:r>
        <w:rPr/>
        <w:t>、一年内到期的非流动资产</w:t>
      </w:r>
      <w:r>
        <w:rPr>
          <w:b w:val="0"/>
          <w:bCs w:val="0"/>
        </w:rPr>
      </w:r>
    </w:p>
    <w:p>
      <w:pPr>
        <w:spacing w:after="0" w:line="240" w:lineRule="auto"/>
        <w:jc w:val="left"/>
        <w:sectPr>
          <w:footerReference w:type="default" r:id="rId55"/>
          <w:pgSz w:w="11910" w:h="16840"/>
          <w:pgMar w:footer="1597" w:header="787" w:top="1100" w:bottom="1780" w:left="0" w:right="0"/>
        </w:sectPr>
      </w:pPr>
    </w:p>
    <w:p>
      <w:pPr>
        <w:spacing w:line="240" w:lineRule="auto" w:before="7"/>
        <w:rPr>
          <w:rFonts w:ascii="宋体" w:hAnsi="宋体" w:cs="宋体" w:eastAsia="宋体" w:hint="default"/>
          <w:b/>
          <w:bCs/>
          <w:sz w:val="27"/>
          <w:szCs w:val="27"/>
        </w:rPr>
      </w:pPr>
    </w:p>
    <w:p>
      <w:pPr>
        <w:pStyle w:val="Heading3"/>
        <w:spacing w:line="240" w:lineRule="auto" w:before="35"/>
        <w:ind w:right="0"/>
        <w:jc w:val="left"/>
        <w:rPr>
          <w:b w:val="0"/>
          <w:bCs w:val="0"/>
        </w:rPr>
      </w:pPr>
      <w:bookmarkStart w:name="13、其他流动资产" w:id="260"/>
      <w:bookmarkEnd w:id="260"/>
      <w:r>
        <w:rPr>
          <w:b w:val="0"/>
          <w:bCs w:val="0"/>
        </w:rPr>
      </w:r>
      <w:r>
        <w:rPr>
          <w:rFonts w:ascii="Times New Roman" w:hAnsi="Times New Roman" w:cs="Times New Roman" w:eastAsia="Times New Roman" w:hint="default"/>
        </w:rPr>
        <w:t>13</w:t>
      </w:r>
      <w:r>
        <w:rPr/>
        <w:t>、其他流动资产</w:t>
      </w:r>
      <w:r>
        <w:rPr>
          <w:b w:val="0"/>
          <w:bCs w:val="0"/>
        </w:rPr>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5"/>
          <w:szCs w:val="15"/>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13"/>
          <w:szCs w:val="13"/>
        </w:rPr>
      </w:pPr>
    </w:p>
    <w:tbl>
      <w:tblPr>
        <w:tblW w:w="0" w:type="auto"/>
        <w:jc w:val="left"/>
        <w:tblInd w:w="112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65,000,000.00</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待摊费用</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1,501,889.42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1,249,491.47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待抵扣增值税</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21,356,507.34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7,745,788.61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87,858,396.76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8,995,280.08</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14、可供出售金融资产" w:id="261"/>
      <w:bookmarkEnd w:id="261"/>
      <w:r>
        <w:rPr>
          <w:b w:val="0"/>
          <w:bCs w:val="0"/>
        </w:rPr>
      </w:r>
      <w:r>
        <w:rPr>
          <w:rFonts w:ascii="Times New Roman" w:hAnsi="Times New Roman" w:cs="Times New Roman" w:eastAsia="Times New Roman" w:hint="default"/>
        </w:rPr>
        <w:t>14</w:t>
      </w:r>
      <w:r>
        <w:rPr/>
        <w:t>、可供出售金融资产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3" w:right="0"/>
        <w:jc w:val="left"/>
        <w:rPr>
          <w:b w:val="0"/>
          <w:bCs w:val="0"/>
        </w:rPr>
      </w:pPr>
      <w:bookmarkStart w:name="（1）可供出售金融资产情况" w:id="262"/>
      <w:bookmarkEnd w:id="262"/>
      <w:r>
        <w:rPr>
          <w:b w:val="0"/>
          <w:bCs w:val="0"/>
        </w:rPr>
      </w:r>
      <w:r>
        <w:rPr/>
        <w:t>（</w:t>
      </w:r>
      <w:r>
        <w:rPr>
          <w:rFonts w:ascii="Times New Roman" w:hAnsi="Times New Roman" w:cs="Times New Roman" w:eastAsia="Times New Roman" w:hint="default"/>
        </w:rPr>
        <w:t>1</w:t>
      </w:r>
      <w:r>
        <w:rPr/>
        <w:t>）可供出售金融资产情况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2001"/>
        <w:gridCol w:w="1195"/>
        <w:gridCol w:w="1196"/>
        <w:gridCol w:w="1196"/>
        <w:gridCol w:w="1248"/>
        <w:gridCol w:w="1367"/>
        <w:gridCol w:w="1367"/>
      </w:tblGrid>
      <w:tr>
        <w:trPr>
          <w:trHeight w:val="206" w:hRule="exact"/>
        </w:trPr>
        <w:tc>
          <w:tcPr>
            <w:tcW w:w="2001" w:type="dxa"/>
            <w:tcBorders>
              <w:top w:val="single" w:sz="4" w:space="0" w:color="000000"/>
              <w:left w:val="single" w:sz="4" w:space="0" w:color="000000"/>
              <w:bottom w:val="nil" w:sz="6" w:space="0" w:color="auto"/>
              <w:right w:val="single" w:sz="4" w:space="0" w:color="000000"/>
            </w:tcBorders>
            <w:shd w:val="clear" w:color="auto" w:fill="D2D2D2"/>
          </w:tcPr>
          <w:p>
            <w:pPr/>
          </w:p>
        </w:tc>
        <w:tc>
          <w:tcPr>
            <w:tcW w:w="358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98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20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87" w:type="dxa"/>
            <w:gridSpan w:val="3"/>
            <w:vMerge/>
            <w:tcBorders>
              <w:left w:val="single" w:sz="4" w:space="0" w:color="000000"/>
              <w:bottom w:val="single" w:sz="4" w:space="0" w:color="000000"/>
              <w:right w:val="single" w:sz="4" w:space="0" w:color="000000"/>
            </w:tcBorders>
            <w:shd w:val="clear" w:color="auto" w:fill="D2D2D2"/>
          </w:tcPr>
          <w:p>
            <w:pPr/>
          </w:p>
        </w:tc>
        <w:tc>
          <w:tcPr>
            <w:tcW w:w="3982"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001" w:type="dxa"/>
            <w:vMerge/>
            <w:tcBorders>
              <w:left w:val="single" w:sz="4" w:space="0" w:color="000000"/>
              <w:bottom w:val="nil" w:sz="6" w:space="0" w:color="auto"/>
              <w:right w:val="single" w:sz="4" w:space="0" w:color="000000"/>
            </w:tcBorders>
            <w:shd w:val="clear" w:color="auto" w:fill="D2D2D2"/>
          </w:tcPr>
          <w:p>
            <w:pP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4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5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5" w:hRule="exact"/>
        </w:trPr>
        <w:tc>
          <w:tcPr>
            <w:tcW w:w="20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24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11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10,000,000.00</w:t>
            </w:r>
          </w:p>
        </w:tc>
        <w:tc>
          <w:tcPr>
            <w:tcW w:w="124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按成本计量的</w:t>
            </w:r>
          </w:p>
        </w:tc>
        <w:tc>
          <w:tcPr>
            <w:tcW w:w="11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10,000,000.00</w:t>
            </w:r>
          </w:p>
        </w:tc>
        <w:tc>
          <w:tcPr>
            <w:tcW w:w="124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10,000,000.00</w:t>
            </w:r>
          </w:p>
        </w:tc>
        <w:tc>
          <w:tcPr>
            <w:tcW w:w="124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期末按公允价值计量的可供出售金融资产" w:id="263"/>
      <w:bookmarkEnd w:id="263"/>
      <w:r>
        <w:rPr>
          <w:b w:val="0"/>
          <w:bCs w:val="0"/>
        </w:rPr>
      </w:r>
      <w:r>
        <w:rPr/>
        <w:t>（</w:t>
      </w:r>
      <w:r>
        <w:rPr>
          <w:rFonts w:ascii="Times New Roman" w:hAnsi="Times New Roman" w:cs="Times New Roman" w:eastAsia="Times New Roman" w:hint="default"/>
        </w:rPr>
        <w:t>2</w:t>
      </w:r>
      <w:r>
        <w:rPr/>
        <w:t>）期末按公允价值计量的可供出售金融资产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不适用</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3）期末按成本计量的可供出售金融资产" w:id="264"/>
      <w:bookmarkEnd w:id="264"/>
      <w:r>
        <w:rPr>
          <w:b w:val="0"/>
          <w:bCs w:val="0"/>
        </w:rPr>
      </w:r>
      <w:r>
        <w:rPr/>
        <w:t>（</w:t>
      </w:r>
      <w:r>
        <w:rPr>
          <w:rFonts w:ascii="Times New Roman" w:hAnsi="Times New Roman" w:cs="Times New Roman" w:eastAsia="Times New Roman" w:hint="default"/>
        </w:rPr>
        <w:t>3</w:t>
      </w:r>
      <w:r>
        <w:rPr/>
        <w:t>）期末按成本计量的可供出售金融资产</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863"/>
        <w:gridCol w:w="870"/>
        <w:gridCol w:w="870"/>
        <w:gridCol w:w="870"/>
        <w:gridCol w:w="870"/>
        <w:gridCol w:w="870"/>
        <w:gridCol w:w="870"/>
        <w:gridCol w:w="870"/>
        <w:gridCol w:w="870"/>
        <w:gridCol w:w="870"/>
        <w:gridCol w:w="870"/>
      </w:tblGrid>
      <w:tr>
        <w:trPr>
          <w:trHeight w:val="402" w:hRule="exact"/>
        </w:trPr>
        <w:tc>
          <w:tcPr>
            <w:tcW w:w="8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335" w:right="65"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87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69" w:right="68"/>
              <w:jc w:val="center"/>
              <w:rPr>
                <w:rFonts w:ascii="宋体" w:hAnsi="宋体" w:cs="宋体" w:eastAsia="宋体" w:hint="default"/>
                <w:sz w:val="18"/>
                <w:szCs w:val="18"/>
              </w:rPr>
            </w:pPr>
            <w:r>
              <w:rPr>
                <w:rFonts w:ascii="宋体" w:hAnsi="宋体" w:cs="宋体" w:eastAsia="宋体" w:hint="default"/>
                <w:sz w:val="18"/>
                <w:szCs w:val="18"/>
              </w:rPr>
              <w:t>在被投资 单位持股 比例</w:t>
            </w:r>
          </w:p>
        </w:tc>
        <w:tc>
          <w:tcPr>
            <w:tcW w:w="8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49" w:right="68" w:hanging="180"/>
              <w:jc w:val="left"/>
              <w:rPr>
                <w:rFonts w:ascii="宋体" w:hAnsi="宋体" w:cs="宋体" w:eastAsia="宋体" w:hint="default"/>
                <w:sz w:val="18"/>
                <w:szCs w:val="18"/>
              </w:rPr>
            </w:pPr>
            <w:r>
              <w:rPr>
                <w:rFonts w:ascii="宋体" w:hAnsi="宋体" w:cs="宋体" w:eastAsia="宋体" w:hint="default"/>
                <w:sz w:val="18"/>
                <w:szCs w:val="18"/>
              </w:rPr>
              <w:t>本期现金 红利</w:t>
            </w:r>
          </w:p>
        </w:tc>
      </w:tr>
      <w:tr>
        <w:trPr>
          <w:trHeight w:val="624" w:hRule="exact"/>
        </w:trPr>
        <w:tc>
          <w:tcPr>
            <w:tcW w:w="863" w:type="dxa"/>
            <w:vMerge/>
            <w:tcBorders>
              <w:left w:val="single" w:sz="4" w:space="0" w:color="000000"/>
              <w:bottom w:val="single" w:sz="4" w:space="0" w:color="000000"/>
              <w:right w:val="single" w:sz="4" w:space="0" w:color="000000"/>
            </w:tcBorders>
            <w:shd w:val="clear" w:color="auto" w:fill="D2D2D2"/>
          </w:tcPr>
          <w:p>
            <w:pP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期末</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50"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70" w:type="dxa"/>
            <w:vMerge/>
            <w:tcBorders>
              <w:left w:val="single" w:sz="4" w:space="0" w:color="000000"/>
              <w:bottom w:val="single" w:sz="4" w:space="0" w:color="000000"/>
              <w:right w:val="single" w:sz="4" w:space="0" w:color="000000"/>
            </w:tcBorders>
            <w:shd w:val="clear" w:color="auto" w:fill="D2D2D2"/>
          </w:tcPr>
          <w:p>
            <w:pPr/>
          </w:p>
        </w:tc>
        <w:tc>
          <w:tcPr>
            <w:tcW w:w="870"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8"/>
              <w:jc w:val="both"/>
              <w:rPr>
                <w:rFonts w:ascii="宋体" w:hAnsi="宋体" w:cs="宋体" w:eastAsia="宋体" w:hint="default"/>
                <w:sz w:val="18"/>
                <w:szCs w:val="18"/>
              </w:rPr>
            </w:pPr>
            <w:r>
              <w:rPr>
                <w:rFonts w:ascii="宋体" w:hAnsi="宋体" w:cs="宋体" w:eastAsia="宋体" w:hint="default"/>
                <w:sz w:val="18"/>
                <w:szCs w:val="18"/>
              </w:rPr>
              <w:t>广州民营 投资股份 有限公司</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0.17%</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48"/>
              <w:jc w:val="both"/>
              <w:rPr>
                <w:rFonts w:ascii="Times New Roman" w:hAnsi="Times New Roman" w:cs="Times New Roman" w:eastAsia="Times New Roman" w:hint="default"/>
                <w:sz w:val="18"/>
                <w:szCs w:val="18"/>
              </w:rPr>
            </w:pPr>
            <w:r>
              <w:rPr>
                <w:rFonts w:ascii="宋体" w:hAnsi="宋体" w:cs="宋体" w:eastAsia="宋体" w:hint="default"/>
                <w:sz w:val="18"/>
                <w:szCs w:val="18"/>
              </w:rPr>
              <w:t>广州云智 科技创业 投资合伙 企业</w:t>
            </w:r>
            <w:r>
              <w:rPr>
                <w:rFonts w:ascii="Times New Roman" w:hAnsi="Times New Roman" w:cs="Times New Roman" w:eastAsia="Times New Roman" w:hint="default"/>
                <w:sz w:val="18"/>
                <w:szCs w:val="18"/>
              </w:rPr>
              <w:t>(</w:t>
            </w:r>
            <w:r>
              <w:rPr>
                <w:rFonts w:ascii="宋体" w:hAnsi="宋体" w:cs="宋体" w:eastAsia="宋体" w:hint="default"/>
                <w:sz w:val="18"/>
                <w:szCs w:val="18"/>
              </w:rPr>
              <w:t>有限 合伙</w:t>
            </w:r>
            <w:r>
              <w:rPr>
                <w:rFonts w:ascii="Times New Roman" w:hAnsi="Times New Roman" w:cs="Times New Roman" w:eastAsia="Times New Roman" w:hint="default"/>
                <w:sz w:val="18"/>
                <w:szCs w:val="18"/>
              </w:rPr>
              <w:t>)</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9,000,000.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9,000,000.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0" w:type="dxa"/>
            <w:tcBorders>
              <w:top w:val="single" w:sz="4" w:space="0" w:color="000000"/>
              <w:left w:val="single" w:sz="13" w:space="0" w:color="D2D2D2"/>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6" w:right="0"/>
              <w:jc w:val="left"/>
              <w:rPr>
                <w:rFonts w:ascii="Times New Roman" w:hAnsi="Times New Roman" w:cs="Times New Roman" w:eastAsia="Times New Roman" w:hint="default"/>
                <w:sz w:val="18"/>
                <w:szCs w:val="18"/>
              </w:rPr>
            </w:pPr>
            <w:r>
              <w:rPr>
                <w:rFonts w:ascii="Times New Roman"/>
                <w:sz w:val="18"/>
              </w:rPr>
              <w:t>10,000,000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 w:right="0"/>
              <w:jc w:val="center"/>
              <w:rPr>
                <w:rFonts w:ascii="Times New Roman" w:hAnsi="Times New Roman" w:cs="Times New Roman" w:eastAsia="Times New Roman" w:hint="default"/>
                <w:sz w:val="18"/>
                <w:szCs w:val="18"/>
              </w:rPr>
            </w:pPr>
            <w:r>
              <w:rPr>
                <w:rFonts w:ascii="Times New Roman"/>
                <w:sz w:val="18"/>
              </w:rPr>
              <w:t>10,000,000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56"/>
          <w:pgSz w:w="11910" w:h="16840"/>
          <w:pgMar w:footer="640" w:header="787" w:top="1100" w:bottom="840" w:left="0" w:right="0"/>
        </w:sectPr>
      </w:pPr>
    </w:p>
    <w:p>
      <w:pPr>
        <w:spacing w:line="240" w:lineRule="auto" w:before="5"/>
        <w:rPr>
          <w:rFonts w:ascii="宋体" w:hAnsi="宋体" w:cs="宋体" w:eastAsia="宋体" w:hint="default"/>
          <w:sz w:val="25"/>
          <w:szCs w:val="25"/>
        </w:rPr>
      </w:pPr>
    </w:p>
    <w:tbl>
      <w:tblPr>
        <w:tblW w:w="0" w:type="auto"/>
        <w:jc w:val="left"/>
        <w:tblInd w:w="1129" w:type="dxa"/>
        <w:tblLayout w:type="fixed"/>
        <w:tblCellMar>
          <w:top w:w="0" w:type="dxa"/>
          <w:left w:w="0" w:type="dxa"/>
          <w:bottom w:w="0" w:type="dxa"/>
          <w:right w:w="0" w:type="dxa"/>
        </w:tblCellMar>
        <w:tblLook w:val="01E0"/>
      </w:tblPr>
      <w:tblGrid>
        <w:gridCol w:w="863"/>
        <w:gridCol w:w="870"/>
        <w:gridCol w:w="870"/>
        <w:gridCol w:w="870"/>
        <w:gridCol w:w="870"/>
        <w:gridCol w:w="870"/>
        <w:gridCol w:w="870"/>
        <w:gridCol w:w="870"/>
        <w:gridCol w:w="870"/>
        <w:gridCol w:w="870"/>
        <w:gridCol w:w="870"/>
      </w:tblGrid>
      <w:tr>
        <w:trPr>
          <w:trHeight w:val="362" w:hRule="exact"/>
        </w:trPr>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7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
        <w:rPr>
          <w:rFonts w:ascii="宋体" w:hAnsi="宋体" w:cs="宋体" w:eastAsia="宋体" w:hint="default"/>
          <w:sz w:val="25"/>
          <w:szCs w:val="25"/>
        </w:rPr>
      </w:pPr>
    </w:p>
    <w:p>
      <w:pPr>
        <w:pStyle w:val="Heading3"/>
        <w:spacing w:line="240" w:lineRule="auto" w:before="35"/>
        <w:ind w:right="0"/>
        <w:jc w:val="left"/>
        <w:rPr>
          <w:b w:val="0"/>
          <w:bCs w:val="0"/>
        </w:rPr>
      </w:pPr>
      <w:bookmarkStart w:name="（4）报告期内可供出售金融资产减值的变动情况" w:id="265"/>
      <w:bookmarkEnd w:id="265"/>
      <w:r>
        <w:rPr>
          <w:b w:val="0"/>
          <w:bCs w:val="0"/>
        </w:rPr>
      </w:r>
      <w:r>
        <w:rPr/>
        <w:t>（</w:t>
      </w:r>
      <w:r>
        <w:rPr>
          <w:rFonts w:ascii="Times New Roman" w:hAnsi="Times New Roman" w:cs="Times New Roman" w:eastAsia="Times New Roman" w:hint="default"/>
        </w:rPr>
        <w:t>4</w:t>
      </w:r>
      <w:r>
        <w:rPr/>
        <w:t>）报告期内可供出售金融资产减值的变动情况</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pStyle w:val="BodyText"/>
        <w:spacing w:line="240" w:lineRule="auto"/>
        <w:ind w:right="0"/>
        <w:jc w:val="left"/>
      </w:pPr>
      <w:r>
        <w:rPr/>
        <w:t>不适用</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0"/>
          <w:szCs w:val="20"/>
        </w:rPr>
      </w:pPr>
    </w:p>
    <w:p>
      <w:pPr>
        <w:pStyle w:val="Heading3"/>
        <w:spacing w:line="240" w:lineRule="auto"/>
        <w:ind w:right="0"/>
        <w:jc w:val="left"/>
        <w:rPr>
          <w:b w:val="0"/>
          <w:bCs w:val="0"/>
        </w:rPr>
      </w:pPr>
      <w:bookmarkStart w:name="（5）可供出售权益工具期末公允价值严重下跌或非暂时性下跌但未计提减值准备的相关说" w:id="266"/>
      <w:bookmarkEnd w:id="266"/>
      <w:r>
        <w:rPr>
          <w:b w:val="0"/>
          <w:bCs w:val="0"/>
        </w:rPr>
      </w:r>
      <w:r>
        <w:rPr/>
        <w:t>（</w:t>
      </w:r>
      <w:r>
        <w:rPr>
          <w:rFonts w:ascii="Times New Roman" w:hAnsi="Times New Roman" w:cs="Times New Roman" w:eastAsia="Times New Roman" w:hint="default"/>
        </w:rPr>
        <w:t>5</w:t>
      </w:r>
      <w:r>
        <w:rPr/>
        <w:t>）可供出售权益工具期末公允价值严重下跌或非暂时性下跌但未计提减值准备的相关说明</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pStyle w:val="BodyText"/>
        <w:spacing w:line="240" w:lineRule="auto"/>
        <w:ind w:right="0"/>
        <w:jc w:val="left"/>
      </w:pPr>
      <w:r>
        <w:rPr/>
        <w:t>不适用</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0"/>
          <w:szCs w:val="20"/>
        </w:rPr>
      </w:pPr>
    </w:p>
    <w:p>
      <w:pPr>
        <w:pStyle w:val="Heading3"/>
        <w:spacing w:line="240" w:lineRule="auto"/>
        <w:ind w:right="0"/>
        <w:jc w:val="left"/>
        <w:rPr>
          <w:b w:val="0"/>
          <w:bCs w:val="0"/>
        </w:rPr>
      </w:pPr>
      <w:bookmarkStart w:name="15、持有至到期投资" w:id="267"/>
      <w:bookmarkEnd w:id="267"/>
      <w:r>
        <w:rPr>
          <w:b w:val="0"/>
          <w:bCs w:val="0"/>
        </w:rPr>
      </w:r>
      <w:r>
        <w:rPr>
          <w:rFonts w:ascii="Times New Roman" w:hAnsi="Times New Roman" w:cs="Times New Roman" w:eastAsia="Times New Roman" w:hint="default"/>
        </w:rPr>
        <w:t>15</w:t>
      </w:r>
      <w:r>
        <w:rPr/>
        <w:t>、持有至到期投资</w:t>
      </w:r>
      <w:r>
        <w:rPr>
          <w:b w:val="0"/>
          <w:bCs w:val="0"/>
        </w:rPr>
      </w:r>
    </w:p>
    <w:p>
      <w:pPr>
        <w:spacing w:line="240" w:lineRule="auto" w:before="0"/>
        <w:rPr>
          <w:rFonts w:ascii="宋体" w:hAnsi="宋体" w:cs="宋体" w:eastAsia="宋体" w:hint="default"/>
          <w:b/>
          <w:bCs/>
          <w:sz w:val="22"/>
          <w:szCs w:val="22"/>
        </w:rPr>
      </w:pPr>
    </w:p>
    <w:p>
      <w:pPr>
        <w:pStyle w:val="Heading3"/>
        <w:spacing w:line="240" w:lineRule="auto" w:before="189"/>
        <w:ind w:left="1133" w:right="0"/>
        <w:jc w:val="left"/>
        <w:rPr>
          <w:b w:val="0"/>
          <w:bCs w:val="0"/>
        </w:rPr>
      </w:pPr>
      <w:bookmarkStart w:name="（1）持有至到期投资情况" w:id="268"/>
      <w:bookmarkEnd w:id="268"/>
      <w:r>
        <w:rPr>
          <w:b w:val="0"/>
          <w:bCs w:val="0"/>
        </w:rPr>
      </w:r>
      <w:r>
        <w:rPr/>
        <w:t>（</w:t>
      </w:r>
      <w:r>
        <w:rPr>
          <w:rFonts w:ascii="Times New Roman" w:hAnsi="Times New Roman" w:cs="Times New Roman" w:eastAsia="Times New Roman" w:hint="default"/>
        </w:rPr>
        <w:t>1</w:t>
      </w:r>
      <w:r>
        <w:rPr/>
        <w:t>）持有至到期投资情况</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pStyle w:val="BodyText"/>
        <w:spacing w:line="240" w:lineRule="auto"/>
        <w:ind w:left="1133" w:right="0"/>
        <w:jc w:val="left"/>
      </w:pPr>
      <w:r>
        <w:rPr/>
        <w:t>不适用</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0"/>
          <w:szCs w:val="20"/>
        </w:rPr>
      </w:pPr>
    </w:p>
    <w:p>
      <w:pPr>
        <w:pStyle w:val="Heading3"/>
        <w:spacing w:line="240" w:lineRule="auto"/>
        <w:ind w:left="1133" w:right="0"/>
        <w:jc w:val="left"/>
        <w:rPr>
          <w:b w:val="0"/>
          <w:bCs w:val="0"/>
        </w:rPr>
      </w:pPr>
      <w:bookmarkStart w:name="（2）期末重要的持有至到期投资" w:id="269"/>
      <w:bookmarkEnd w:id="269"/>
      <w:r>
        <w:rPr>
          <w:b w:val="0"/>
          <w:bCs w:val="0"/>
        </w:rPr>
      </w:r>
      <w:r>
        <w:rPr/>
        <w:t>（</w:t>
      </w:r>
      <w:r>
        <w:rPr>
          <w:rFonts w:ascii="Times New Roman" w:hAnsi="Times New Roman" w:cs="Times New Roman" w:eastAsia="Times New Roman" w:hint="default"/>
        </w:rPr>
        <w:t>2</w:t>
      </w:r>
      <w:r>
        <w:rPr/>
        <w:t>）期末重要的持有至到期投资</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pStyle w:val="BodyText"/>
        <w:spacing w:line="240" w:lineRule="auto"/>
        <w:ind w:left="1133" w:right="0"/>
        <w:jc w:val="left"/>
      </w:pPr>
      <w:r>
        <w:rPr/>
        <w:t>不适用</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0"/>
          <w:szCs w:val="20"/>
        </w:rPr>
      </w:pPr>
    </w:p>
    <w:p>
      <w:pPr>
        <w:pStyle w:val="Heading3"/>
        <w:spacing w:line="240" w:lineRule="auto"/>
        <w:ind w:left="1133" w:right="0"/>
        <w:jc w:val="left"/>
        <w:rPr>
          <w:b w:val="0"/>
          <w:bCs w:val="0"/>
        </w:rPr>
      </w:pPr>
      <w:bookmarkStart w:name="（3）本期重分类的持有至到期投资" w:id="270"/>
      <w:bookmarkEnd w:id="270"/>
      <w:r>
        <w:rPr>
          <w:b w:val="0"/>
          <w:bCs w:val="0"/>
        </w:rPr>
      </w:r>
      <w:r>
        <w:rPr/>
        <w:t>（</w:t>
      </w:r>
      <w:r>
        <w:rPr>
          <w:rFonts w:ascii="Times New Roman" w:hAnsi="Times New Roman" w:cs="Times New Roman" w:eastAsia="Times New Roman" w:hint="default"/>
        </w:rPr>
        <w:t>3</w:t>
      </w:r>
      <w:r>
        <w:rPr/>
        <w:t>）本期重分类的持有至到期投资</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pStyle w:val="BodyText"/>
        <w:spacing w:line="240" w:lineRule="auto"/>
        <w:ind w:left="1133" w:right="0"/>
        <w:jc w:val="left"/>
      </w:pPr>
      <w:r>
        <w:rPr/>
        <w:t>不适用</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0"/>
          <w:szCs w:val="20"/>
        </w:rPr>
      </w:pPr>
    </w:p>
    <w:p>
      <w:pPr>
        <w:pStyle w:val="Heading3"/>
        <w:spacing w:line="240" w:lineRule="auto"/>
        <w:ind w:left="1133" w:right="0"/>
        <w:jc w:val="left"/>
        <w:rPr>
          <w:b w:val="0"/>
          <w:bCs w:val="0"/>
        </w:rPr>
      </w:pPr>
      <w:bookmarkStart w:name="16、长期应收款" w:id="271"/>
      <w:bookmarkEnd w:id="271"/>
      <w:r>
        <w:rPr>
          <w:b w:val="0"/>
          <w:bCs w:val="0"/>
        </w:rPr>
      </w:r>
      <w:r>
        <w:rPr>
          <w:rFonts w:ascii="Times New Roman" w:hAnsi="Times New Roman" w:cs="Times New Roman" w:eastAsia="Times New Roman" w:hint="default"/>
        </w:rPr>
        <w:t>16</w:t>
      </w:r>
      <w:r>
        <w:rPr/>
        <w:t>、长期应收款</w:t>
      </w:r>
      <w:r>
        <w:rPr>
          <w:b w:val="0"/>
          <w:bCs w:val="0"/>
        </w:rPr>
      </w:r>
    </w:p>
    <w:p>
      <w:pPr>
        <w:spacing w:line="240" w:lineRule="auto" w:before="0"/>
        <w:rPr>
          <w:rFonts w:ascii="宋体" w:hAnsi="宋体" w:cs="宋体" w:eastAsia="宋体" w:hint="default"/>
          <w:b/>
          <w:bCs/>
          <w:sz w:val="22"/>
          <w:szCs w:val="22"/>
        </w:rPr>
      </w:pPr>
    </w:p>
    <w:p>
      <w:pPr>
        <w:pStyle w:val="Heading3"/>
        <w:spacing w:line="240" w:lineRule="auto" w:before="189"/>
        <w:ind w:right="0"/>
        <w:jc w:val="left"/>
        <w:rPr>
          <w:b w:val="0"/>
          <w:bCs w:val="0"/>
        </w:rPr>
      </w:pPr>
      <w:bookmarkStart w:name="（1）长期应收款情况" w:id="272"/>
      <w:bookmarkEnd w:id="272"/>
      <w:r>
        <w:rPr>
          <w:b w:val="0"/>
          <w:bCs w:val="0"/>
        </w:rPr>
      </w:r>
      <w:r>
        <w:rPr/>
        <w:t>（</w:t>
      </w:r>
      <w:r>
        <w:rPr>
          <w:rFonts w:ascii="Times New Roman" w:hAnsi="Times New Roman" w:cs="Times New Roman" w:eastAsia="Times New Roman" w:hint="default"/>
        </w:rPr>
        <w:t>1</w:t>
      </w:r>
      <w:r>
        <w:rPr/>
        <w:t>）长期应收款情况</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pStyle w:val="BodyText"/>
        <w:spacing w:line="240" w:lineRule="auto"/>
        <w:ind w:right="0"/>
        <w:jc w:val="left"/>
      </w:pPr>
      <w:r>
        <w:rPr/>
        <w:t>不适用</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0"/>
          <w:szCs w:val="20"/>
        </w:rPr>
      </w:pPr>
    </w:p>
    <w:p>
      <w:pPr>
        <w:pStyle w:val="Heading3"/>
        <w:spacing w:line="240" w:lineRule="auto"/>
        <w:ind w:right="0"/>
        <w:jc w:val="left"/>
        <w:rPr>
          <w:b w:val="0"/>
          <w:bCs w:val="0"/>
        </w:rPr>
      </w:pPr>
      <w:bookmarkStart w:name="（2）因金融资产转移而终止确认的长期应收款" w:id="273"/>
      <w:bookmarkEnd w:id="273"/>
      <w:r>
        <w:rPr>
          <w:b w:val="0"/>
          <w:bCs w:val="0"/>
        </w:rPr>
      </w:r>
      <w:r>
        <w:rPr/>
        <w:t>（</w:t>
      </w:r>
      <w:r>
        <w:rPr>
          <w:rFonts w:ascii="Times New Roman" w:hAnsi="Times New Roman" w:cs="Times New Roman" w:eastAsia="Times New Roman" w:hint="default"/>
        </w:rPr>
        <w:t>2</w:t>
      </w:r>
      <w:r>
        <w:rPr/>
        <w:t>）因金融资产转移而终止确认的长期应收款</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pStyle w:val="BodyText"/>
        <w:spacing w:line="240" w:lineRule="auto"/>
        <w:ind w:right="0"/>
        <w:jc w:val="left"/>
      </w:pPr>
      <w:r>
        <w:rPr/>
        <w:t>不适用</w:t>
      </w:r>
    </w:p>
    <w:p>
      <w:pPr>
        <w:spacing w:after="0" w:line="240" w:lineRule="auto"/>
        <w:jc w:val="left"/>
        <w:sectPr>
          <w:pgSz w:w="11910" w:h="16840"/>
          <w:pgMar w:header="787" w:footer="640" w:top="1100" w:bottom="840" w:left="0" w:right="0"/>
        </w:sectPr>
      </w:pPr>
    </w:p>
    <w:p>
      <w:pPr>
        <w:spacing w:line="240" w:lineRule="auto" w:before="7"/>
        <w:rPr>
          <w:rFonts w:ascii="宋体" w:hAnsi="宋体" w:cs="宋体" w:eastAsia="宋体" w:hint="default"/>
          <w:sz w:val="27"/>
          <w:szCs w:val="27"/>
        </w:rPr>
      </w:pPr>
    </w:p>
    <w:p>
      <w:pPr>
        <w:pStyle w:val="Heading3"/>
        <w:spacing w:line="240" w:lineRule="auto" w:before="35"/>
        <w:ind w:right="0"/>
        <w:jc w:val="left"/>
        <w:rPr>
          <w:b w:val="0"/>
          <w:bCs w:val="0"/>
        </w:rPr>
      </w:pPr>
      <w:bookmarkStart w:name="（3）转移长期应收款且继续涉入形成的资产、负债金额" w:id="274"/>
      <w:bookmarkEnd w:id="274"/>
      <w:r>
        <w:rPr>
          <w:b w:val="0"/>
          <w:bCs w:val="0"/>
        </w:rPr>
      </w:r>
      <w:r>
        <w:rPr/>
        <w:t>（</w:t>
      </w:r>
      <w:r>
        <w:rPr>
          <w:rFonts w:ascii="Times New Roman" w:hAnsi="Times New Roman" w:cs="Times New Roman" w:eastAsia="Times New Roman" w:hint="default"/>
        </w:rPr>
        <w:t>3</w:t>
      </w:r>
      <w:r>
        <w:rPr/>
        <w:t>）转移长期应收款且继续涉入形成的资产、负债金额</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pStyle w:val="BodyText"/>
        <w:spacing w:line="240" w:lineRule="auto"/>
        <w:ind w:left="1133" w:right="0"/>
        <w:jc w:val="left"/>
      </w:pPr>
      <w:r>
        <w:rPr/>
        <w:t>不适用</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0"/>
          <w:szCs w:val="20"/>
        </w:rPr>
      </w:pPr>
    </w:p>
    <w:p>
      <w:pPr>
        <w:pStyle w:val="Heading3"/>
        <w:spacing w:line="240" w:lineRule="auto"/>
        <w:ind w:left="1133" w:right="0"/>
        <w:jc w:val="left"/>
        <w:rPr>
          <w:b w:val="0"/>
          <w:bCs w:val="0"/>
        </w:rPr>
      </w:pPr>
      <w:bookmarkStart w:name="17、长期股权投资" w:id="275"/>
      <w:bookmarkEnd w:id="275"/>
      <w:r>
        <w:rPr>
          <w:b w:val="0"/>
          <w:bCs w:val="0"/>
        </w:rPr>
      </w:r>
      <w:r>
        <w:rPr>
          <w:rFonts w:ascii="Times New Roman" w:hAnsi="Times New Roman" w:cs="Times New Roman" w:eastAsia="Times New Roman" w:hint="default"/>
        </w:rPr>
        <w:t>17</w:t>
      </w:r>
      <w:r>
        <w:rPr/>
        <w:t>、长期股权投资</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pStyle w:val="BodyText"/>
        <w:spacing w:line="240" w:lineRule="auto"/>
        <w:ind w:right="0"/>
        <w:jc w:val="left"/>
      </w:pPr>
      <w:r>
        <w:rPr/>
        <w:t>不适用</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0"/>
          <w:szCs w:val="20"/>
        </w:rPr>
      </w:pPr>
    </w:p>
    <w:p>
      <w:pPr>
        <w:pStyle w:val="Heading3"/>
        <w:spacing w:line="240" w:lineRule="auto"/>
        <w:ind w:right="0"/>
        <w:jc w:val="left"/>
        <w:rPr>
          <w:b w:val="0"/>
          <w:bCs w:val="0"/>
        </w:rPr>
      </w:pPr>
      <w:bookmarkStart w:name="18、投资性房地产" w:id="276"/>
      <w:bookmarkEnd w:id="276"/>
      <w:r>
        <w:rPr>
          <w:b w:val="0"/>
          <w:bCs w:val="0"/>
        </w:rPr>
      </w:r>
      <w:r>
        <w:rPr>
          <w:rFonts w:ascii="Times New Roman" w:hAnsi="Times New Roman" w:cs="Times New Roman" w:eastAsia="Times New Roman" w:hint="default"/>
        </w:rPr>
        <w:t>18</w:t>
      </w:r>
      <w:r>
        <w:rPr/>
        <w:t>、投资性房地产</w:t>
      </w:r>
      <w:r>
        <w:rPr>
          <w:b w:val="0"/>
          <w:bCs w:val="0"/>
        </w:rPr>
      </w:r>
    </w:p>
    <w:p>
      <w:pPr>
        <w:spacing w:line="240" w:lineRule="auto" w:before="0"/>
        <w:rPr>
          <w:rFonts w:ascii="宋体" w:hAnsi="宋体" w:cs="宋体" w:eastAsia="宋体" w:hint="default"/>
          <w:b/>
          <w:bCs/>
          <w:sz w:val="22"/>
          <w:szCs w:val="22"/>
        </w:rPr>
      </w:pPr>
    </w:p>
    <w:p>
      <w:pPr>
        <w:pStyle w:val="Heading3"/>
        <w:spacing w:line="240" w:lineRule="auto" w:before="189"/>
        <w:ind w:right="0"/>
        <w:jc w:val="left"/>
        <w:rPr>
          <w:b w:val="0"/>
          <w:bCs w:val="0"/>
        </w:rPr>
      </w:pPr>
      <w:bookmarkStart w:name="（1）采用成本计量模式的投资性房地产" w:id="277"/>
      <w:bookmarkEnd w:id="277"/>
      <w:r>
        <w:rPr>
          <w:b w:val="0"/>
          <w:bCs w:val="0"/>
        </w:rPr>
      </w:r>
      <w:r>
        <w:rPr/>
        <w:t>（</w:t>
      </w:r>
      <w:r>
        <w:rPr>
          <w:rFonts w:ascii="Times New Roman" w:hAnsi="Times New Roman" w:cs="Times New Roman" w:eastAsia="Times New Roman" w:hint="default"/>
        </w:rPr>
        <w:t>1</w:t>
      </w:r>
      <w:r>
        <w:rPr/>
        <w:t>）采用成本计量模式的投资性房地产</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5"/>
        <w:rPr>
          <w:rFonts w:ascii="宋体" w:hAnsi="宋体" w:cs="宋体" w:eastAsia="宋体" w:hint="default"/>
          <w:sz w:val="16"/>
          <w:szCs w:val="16"/>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14"/>
          <w:szCs w:val="14"/>
        </w:rPr>
      </w:pPr>
    </w:p>
    <w:tbl>
      <w:tblPr>
        <w:tblW w:w="0" w:type="auto"/>
        <w:jc w:val="left"/>
        <w:tblInd w:w="112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13"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917"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7"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40,077,146.52</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40,077,146.52</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）外购</w:t>
            </w:r>
          </w:p>
        </w:tc>
        <w:tc>
          <w:tcPr>
            <w:tcW w:w="1917"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0" w:right="0"/>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）存货</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固定资产</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在建工程转入</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40,077,146.52</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40,077,146.52</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5"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）企业合并增加</w:t>
            </w:r>
          </w:p>
        </w:tc>
        <w:tc>
          <w:tcPr>
            <w:tcW w:w="1917"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40,077,146.52</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40,077,146.52</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二、累计折旧和累计摊 销</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7,039,437.38</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7,039,437.38</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）计提或摊销</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857,728.44</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857,728.44</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5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  </w:t>
            </w:r>
            <w:r>
              <w:rPr>
                <w:rFonts w:ascii="宋体" w:hAnsi="宋体" w:cs="宋体" w:eastAsia="宋体" w:hint="default"/>
                <w:sz w:val="18"/>
                <w:szCs w:val="18"/>
              </w:rPr>
              <w:t>固定资产</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转入</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6,181,708.94</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6,181,708.94</w:t>
            </w:r>
          </w:p>
        </w:tc>
      </w:tr>
    </w:tbl>
    <w:p>
      <w:pPr>
        <w:spacing w:after="0" w:line="240" w:lineRule="auto"/>
        <w:jc w:val="right"/>
        <w:rPr>
          <w:rFonts w:ascii="Times New Roman" w:hAnsi="Times New Roman" w:cs="Times New Roman" w:eastAsia="Times New Roman" w:hint="default"/>
          <w:sz w:val="18"/>
          <w:szCs w:val="18"/>
        </w:rPr>
        <w:sectPr>
          <w:footerReference w:type="default" r:id="rId57"/>
          <w:pgSz w:w="11910" w:h="16840"/>
          <w:pgMar w:footer="640" w:header="787" w:top="1100" w:bottom="840" w:left="0" w:right="0"/>
        </w:sectPr>
      </w:pPr>
    </w:p>
    <w:p>
      <w:pPr>
        <w:spacing w:line="240" w:lineRule="auto" w:before="5"/>
        <w:rPr>
          <w:rFonts w:ascii="宋体" w:hAnsi="宋体" w:cs="宋体" w:eastAsia="宋体" w:hint="default"/>
          <w:sz w:val="25"/>
          <w:szCs w:val="25"/>
        </w:rPr>
      </w:pPr>
    </w:p>
    <w:tbl>
      <w:tblPr>
        <w:tblW w:w="0" w:type="auto"/>
        <w:jc w:val="left"/>
        <w:tblInd w:w="112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7,039,437.38</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7,039,437.38</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33,037,709.14</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33,037,709.14</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
        <w:rPr>
          <w:rFonts w:ascii="宋体" w:hAnsi="宋体" w:cs="宋体" w:eastAsia="宋体" w:hint="default"/>
          <w:sz w:val="25"/>
          <w:szCs w:val="25"/>
        </w:rPr>
      </w:pPr>
    </w:p>
    <w:p>
      <w:pPr>
        <w:pStyle w:val="Heading3"/>
        <w:spacing w:line="240" w:lineRule="auto" w:before="35"/>
        <w:ind w:right="0"/>
        <w:jc w:val="left"/>
        <w:rPr>
          <w:b w:val="0"/>
          <w:bCs w:val="0"/>
        </w:rPr>
      </w:pPr>
      <w:bookmarkStart w:name="（2）采用公允价值计量模式的投资性房地产" w:id="278"/>
      <w:bookmarkEnd w:id="278"/>
      <w:r>
        <w:rPr>
          <w:b w:val="0"/>
          <w:bCs w:val="0"/>
        </w:rPr>
      </w:r>
      <w:r>
        <w:rPr/>
        <w:t>（</w:t>
      </w:r>
      <w:r>
        <w:rPr>
          <w:rFonts w:ascii="Times New Roman" w:hAnsi="Times New Roman" w:cs="Times New Roman" w:eastAsia="Times New Roman" w:hint="default"/>
        </w:rPr>
        <w:t>2</w:t>
      </w:r>
      <w:r>
        <w:rPr/>
        <w:t>）采用公允价值计量模式的投资性房地产</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9"/>
          <w:szCs w:val="19"/>
        </w:rPr>
      </w:pPr>
    </w:p>
    <w:p>
      <w:pPr>
        <w:pStyle w:val="Heading3"/>
        <w:spacing w:line="240" w:lineRule="auto"/>
        <w:ind w:left="1133" w:right="0"/>
        <w:jc w:val="left"/>
        <w:rPr>
          <w:b w:val="0"/>
          <w:bCs w:val="0"/>
        </w:rPr>
      </w:pPr>
      <w:bookmarkStart w:name="（3）未办妥产权证书的投资性房地产情况" w:id="279"/>
      <w:bookmarkEnd w:id="279"/>
      <w:r>
        <w:rPr>
          <w:b w:val="0"/>
          <w:bCs w:val="0"/>
        </w:rPr>
      </w:r>
      <w:r>
        <w:rPr/>
        <w:t>（</w:t>
      </w:r>
      <w:r>
        <w:rPr>
          <w:rFonts w:ascii="Times New Roman" w:hAnsi="Times New Roman" w:cs="Times New Roman" w:eastAsia="Times New Roman" w:hint="default"/>
        </w:rPr>
        <w:t>3</w:t>
      </w:r>
      <w:r>
        <w:rPr/>
        <w:t>）未办妥产权证书的投资性房地产情况</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15"/>
          <w:szCs w:val="15"/>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14"/>
          <w:szCs w:val="14"/>
        </w:rPr>
      </w:pPr>
    </w:p>
    <w:tbl>
      <w:tblPr>
        <w:tblW w:w="0" w:type="auto"/>
        <w:jc w:val="left"/>
        <w:tblInd w:w="112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未办妥产权证书原因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天安总部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号楼地下</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个车位</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680,270.81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未办妥，尚在办理中</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天安总部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号楼</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11,331,346.34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未办妥，尚在办理中</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12,011,617.15</w:t>
            </w:r>
          </w:p>
        </w:tc>
        <w:tc>
          <w:tcPr>
            <w:tcW w:w="319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19、固定资产" w:id="280"/>
      <w:bookmarkEnd w:id="280"/>
      <w:r>
        <w:rPr>
          <w:b w:val="0"/>
          <w:bCs w:val="0"/>
        </w:rPr>
      </w:r>
      <w:r>
        <w:rPr>
          <w:rFonts w:ascii="Times New Roman" w:hAnsi="Times New Roman" w:cs="Times New Roman" w:eastAsia="Times New Roman" w:hint="default"/>
        </w:rPr>
        <w:t>19</w:t>
      </w:r>
      <w:r>
        <w:rPr/>
        <w:t>、固定资产</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固定资产情况" w:id="281"/>
      <w:bookmarkEnd w:id="281"/>
      <w:r>
        <w:rPr>
          <w:b w:val="0"/>
          <w:bCs w:val="0"/>
        </w:rPr>
      </w:r>
      <w:r>
        <w:rPr/>
        <w:t>（</w:t>
      </w:r>
      <w:r>
        <w:rPr>
          <w:rFonts w:ascii="Times New Roman" w:hAnsi="Times New Roman" w:cs="Times New Roman" w:eastAsia="Times New Roman" w:hint="default"/>
        </w:rPr>
        <w:t>1</w:t>
      </w:r>
      <w:r>
        <w:rPr/>
        <w:t>）固定资产情况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after="0" w:line="240" w:lineRule="auto"/>
        <w:jc w:val="right"/>
        <w:sectPr>
          <w:pgSz w:w="11910" w:h="16840"/>
          <w:pgMar w:header="787" w:footer="640" w:top="1100" w:bottom="840" w:left="0" w:right="0"/>
        </w:sectPr>
      </w:pPr>
    </w:p>
    <w:p>
      <w:pPr>
        <w:spacing w:line="240" w:lineRule="auto" w:before="4"/>
        <w:rPr>
          <w:rFonts w:ascii="Times New Roman" w:hAnsi="Times New Roman" w:cs="Times New Roman" w:eastAsia="Times New Roman" w:hint="default"/>
          <w:sz w:val="3"/>
          <w:szCs w:val="3"/>
        </w:rPr>
      </w:pPr>
    </w:p>
    <w:p>
      <w:pPr>
        <w:spacing w:line="20" w:lineRule="exact"/>
        <w:ind w:left="1096"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10"/>
        <w:rPr>
          <w:rFonts w:ascii="Times New Roman" w:hAnsi="Times New Roman" w:cs="Times New Roman" w:eastAsia="Times New Roman" w:hint="default"/>
          <w:sz w:val="23"/>
          <w:szCs w:val="23"/>
        </w:rPr>
      </w:pPr>
    </w:p>
    <w:tbl>
      <w:tblPr>
        <w:tblW w:w="0" w:type="auto"/>
        <w:jc w:val="left"/>
        <w:tblInd w:w="1129" w:type="dxa"/>
        <w:tblLayout w:type="fixed"/>
        <w:tblCellMar>
          <w:top w:w="0" w:type="dxa"/>
          <w:left w:w="0" w:type="dxa"/>
          <w:bottom w:w="0" w:type="dxa"/>
          <w:right w:w="0" w:type="dxa"/>
        </w:tblCellMar>
        <w:tblLook w:val="01E0"/>
      </w:tblPr>
      <w:tblGrid>
        <w:gridCol w:w="1367"/>
        <w:gridCol w:w="1367"/>
        <w:gridCol w:w="1368"/>
        <w:gridCol w:w="1367"/>
        <w:gridCol w:w="1367"/>
        <w:gridCol w:w="1367"/>
        <w:gridCol w:w="1367"/>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37"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36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施工设备</w:t>
            </w:r>
          </w:p>
        </w:tc>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497" w:right="47" w:hanging="450"/>
              <w:jc w:val="left"/>
              <w:rPr>
                <w:rFonts w:ascii="宋体" w:hAnsi="宋体" w:cs="宋体" w:eastAsia="宋体" w:hint="default"/>
                <w:sz w:val="18"/>
                <w:szCs w:val="18"/>
              </w:rPr>
            </w:pPr>
            <w:r>
              <w:rPr>
                <w:rFonts w:ascii="宋体" w:hAnsi="宋体" w:cs="宋体" w:eastAsia="宋体" w:hint="default"/>
                <w:sz w:val="18"/>
                <w:szCs w:val="18"/>
              </w:rPr>
              <w:t>研发及生产检测 设备</w:t>
            </w:r>
          </w:p>
        </w:tc>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50,098,908.34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1,718,412.02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42,136,278.01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23,441,380.04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7,793,734.84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125,188,713.25</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17"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 额</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218,476,682.72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302,449.16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30,897,721.49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4,880,325.49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6,001,373.90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260,558,552.76</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261,863.16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429,991.15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4,880,325.49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5,761,507.07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11,333,686.87</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22" w:firstLine="34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）在建工</w:t>
            </w:r>
            <w:r>
              <w:rPr>
                <w:rFonts w:ascii="宋体" w:hAnsi="宋体" w:cs="宋体" w:eastAsia="宋体" w:hint="default"/>
                <w:sz w:val="18"/>
                <w:szCs w:val="18"/>
              </w:rPr>
              <w:t> 程转入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218,476,682.72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30,451,730.34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248,928,413.06</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22" w:firstLine="34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）企业合</w:t>
            </w:r>
            <w:r>
              <w:rPr>
                <w:rFonts w:ascii="宋体" w:hAnsi="宋体" w:cs="宋体" w:eastAsia="宋体" w:hint="default"/>
                <w:sz w:val="18"/>
                <w:szCs w:val="18"/>
              </w:rPr>
              <w:t> 并增加</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pacing w:val="-9"/>
                <w:sz w:val="18"/>
                <w:szCs w:val="18"/>
              </w:rPr>
              <w:t>（</w:t>
            </w:r>
            <w:r>
              <w:rPr>
                <w:rFonts w:ascii="Times New Roman" w:hAnsi="Times New Roman" w:cs="Times New Roman" w:eastAsia="Times New Roman" w:hint="default"/>
                <w:spacing w:val="-9"/>
                <w:sz w:val="18"/>
                <w:szCs w:val="18"/>
              </w:rPr>
              <w:t>4</w:t>
            </w:r>
            <w:r>
              <w:rPr>
                <w:rFonts w:ascii="宋体" w:hAnsi="宋体" w:cs="宋体" w:eastAsia="宋体" w:hint="default"/>
                <w:spacing w:val="-9"/>
                <w:sz w:val="18"/>
                <w:szCs w:val="18"/>
              </w:rPr>
              <w:t>）类别</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调整</w:t>
            </w:r>
          </w:p>
        </w:tc>
        <w:tc>
          <w:tcPr>
            <w:tcW w:w="1367"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40,586.00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56,586.00</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right="23"/>
              <w:jc w:val="right"/>
              <w:rPr>
                <w:rFonts w:ascii="宋体" w:hAnsi="宋体" w:cs="宋体" w:eastAsia="宋体" w:hint="default"/>
                <w:sz w:val="18"/>
                <w:szCs w:val="18"/>
              </w:rPr>
            </w:pPr>
            <w:r>
              <w:rPr>
                <w:rFonts w:ascii="宋体" w:hAnsi="宋体" w:cs="宋体" w:eastAsia="宋体" w:hint="default"/>
                <w:spacing w:val="-9"/>
                <w:sz w:val="18"/>
                <w:szCs w:val="18"/>
              </w:rPr>
              <w:t>（</w:t>
            </w:r>
            <w:r>
              <w:rPr>
                <w:rFonts w:ascii="Times New Roman" w:hAnsi="Times New Roman" w:cs="Times New Roman" w:eastAsia="Times New Roman" w:hint="default"/>
                <w:spacing w:val="-9"/>
                <w:sz w:val="18"/>
                <w:szCs w:val="18"/>
              </w:rPr>
              <w:t>5</w:t>
            </w:r>
            <w:r>
              <w:rPr>
                <w:rFonts w:ascii="宋体" w:hAnsi="宋体" w:cs="宋体" w:eastAsia="宋体" w:hint="default"/>
                <w:spacing w:val="-9"/>
                <w:sz w:val="18"/>
                <w:szCs w:val="18"/>
              </w:rPr>
              <w:t>）其他</w:t>
            </w:r>
          </w:p>
        </w:tc>
        <w:tc>
          <w:tcPr>
            <w:tcW w:w="1367"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239,866.83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239,866.83</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17"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 额</w:t>
            </w:r>
          </w:p>
        </w:tc>
        <w:tc>
          <w:tcPr>
            <w:tcW w:w="136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28,563,500.79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124,000.00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239,866.83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528,274.00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29,471,641.62</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22" w:firstLine="34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）处置或</w:t>
            </w:r>
            <w:r>
              <w:rPr>
                <w:rFonts w:ascii="宋体" w:hAnsi="宋体" w:cs="宋体" w:eastAsia="宋体" w:hint="default"/>
                <w:sz w:val="18"/>
                <w:szCs w:val="18"/>
              </w:rPr>
              <w:t> 报废</w:t>
            </w:r>
          </w:p>
        </w:tc>
        <w:tc>
          <w:tcPr>
            <w:tcW w:w="1367"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124,000.00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487,688.00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611,688.00</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02" w:lineRule="auto" w:before="51"/>
              <w:ind w:left="22" w:right="23" w:firstLine="540"/>
              <w:jc w:val="left"/>
              <w:rPr>
                <w:rFonts w:ascii="宋体" w:hAnsi="宋体" w:cs="宋体" w:eastAsia="宋体" w:hint="default"/>
                <w:sz w:val="18"/>
                <w:szCs w:val="18"/>
              </w:rPr>
            </w:pPr>
            <w:r>
              <w:rPr>
                <w:rFonts w:ascii="宋体" w:hAnsi="宋体" w:cs="宋体" w:eastAsia="宋体" w:hint="default"/>
                <w:spacing w:val="-9"/>
                <w:sz w:val="18"/>
                <w:szCs w:val="18"/>
              </w:rPr>
              <w:t>（</w:t>
            </w:r>
            <w:r>
              <w:rPr>
                <w:rFonts w:ascii="Times New Roman" w:hAnsi="Times New Roman" w:cs="Times New Roman" w:eastAsia="Times New Roman" w:hint="default"/>
                <w:spacing w:val="-9"/>
                <w:sz w:val="18"/>
                <w:szCs w:val="18"/>
              </w:rPr>
              <w:t>2</w:t>
            </w:r>
            <w:r>
              <w:rPr>
                <w:rFonts w:ascii="宋体" w:hAnsi="宋体" w:cs="宋体" w:eastAsia="宋体" w:hint="default"/>
                <w:spacing w:val="-9"/>
                <w:sz w:val="18"/>
                <w:szCs w:val="18"/>
              </w:rPr>
              <w:t>）转入</w:t>
            </w:r>
            <w:r>
              <w:rPr>
                <w:rFonts w:ascii="宋体" w:hAnsi="宋体" w:cs="宋体" w:eastAsia="宋体" w:hint="default"/>
                <w:sz w:val="18"/>
                <w:szCs w:val="18"/>
              </w:rPr>
              <w:t> 到投资性房地产</w:t>
            </w:r>
          </w:p>
        </w:tc>
        <w:tc>
          <w:tcPr>
            <w:tcW w:w="1367"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28,563,500.79</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28,563,500.79</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pacing w:val="-9"/>
                <w:sz w:val="18"/>
                <w:szCs w:val="18"/>
              </w:rPr>
              <w:t>（</w:t>
            </w:r>
            <w:r>
              <w:rPr>
                <w:rFonts w:ascii="Times New Roman" w:hAnsi="Times New Roman" w:cs="Times New Roman" w:eastAsia="Times New Roman" w:hint="default"/>
                <w:spacing w:val="-9"/>
                <w:sz w:val="18"/>
                <w:szCs w:val="18"/>
              </w:rPr>
              <w:t>3</w:t>
            </w:r>
            <w:r>
              <w:rPr>
                <w:rFonts w:ascii="宋体" w:hAnsi="宋体" w:cs="宋体" w:eastAsia="宋体" w:hint="default"/>
                <w:spacing w:val="-9"/>
                <w:sz w:val="18"/>
                <w:szCs w:val="18"/>
              </w:rPr>
              <w:t>）类别</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调整</w:t>
            </w:r>
          </w:p>
        </w:tc>
        <w:tc>
          <w:tcPr>
            <w:tcW w:w="1367"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40,586.00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56,586.00</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right="23"/>
              <w:jc w:val="right"/>
              <w:rPr>
                <w:rFonts w:ascii="宋体" w:hAnsi="宋体" w:cs="宋体" w:eastAsia="宋体" w:hint="default"/>
                <w:sz w:val="18"/>
                <w:szCs w:val="18"/>
              </w:rPr>
            </w:pPr>
            <w:r>
              <w:rPr>
                <w:rFonts w:ascii="宋体" w:hAnsi="宋体" w:cs="宋体" w:eastAsia="宋体" w:hint="default"/>
                <w:spacing w:val="-9"/>
                <w:sz w:val="18"/>
                <w:szCs w:val="18"/>
              </w:rPr>
              <w:t>（</w:t>
            </w:r>
            <w:r>
              <w:rPr>
                <w:rFonts w:ascii="Times New Roman" w:hAnsi="Times New Roman" w:cs="Times New Roman" w:eastAsia="Times New Roman" w:hint="default"/>
                <w:spacing w:val="-9"/>
                <w:sz w:val="18"/>
                <w:szCs w:val="18"/>
              </w:rPr>
              <w:t>4</w:t>
            </w:r>
            <w:r>
              <w:rPr>
                <w:rFonts w:ascii="宋体" w:hAnsi="宋体" w:cs="宋体" w:eastAsia="宋体" w:hint="default"/>
                <w:spacing w:val="-9"/>
                <w:sz w:val="18"/>
                <w:szCs w:val="18"/>
              </w:rPr>
              <w:t>）其他</w:t>
            </w:r>
          </w:p>
        </w:tc>
        <w:tc>
          <w:tcPr>
            <w:tcW w:w="1367"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239,866.83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239,866.83</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6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240,012,090.27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1,896,861.18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72,794,132.67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27,793,431.53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13,779,108.74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356,275,624.39</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367"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6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11,744,509.13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756,833.94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5,498,679.87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13,829,779.98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4,191,664.27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36,021,467.19</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17"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 额</w:t>
            </w:r>
          </w:p>
        </w:tc>
        <w:tc>
          <w:tcPr>
            <w:tcW w:w="136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5,126,864.15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297,793.03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12,940,371.52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3,463,468.51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1,788,497.83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23,616,995.04</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36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5,126,864.15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292,787.55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12,927,705.38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3,463,468.51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1,788,497.83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23,599,323.42</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pacing w:val="-9"/>
                <w:sz w:val="18"/>
                <w:szCs w:val="18"/>
              </w:rPr>
              <w:t>（</w:t>
            </w:r>
            <w:r>
              <w:rPr>
                <w:rFonts w:ascii="Times New Roman" w:hAnsi="Times New Roman" w:cs="Times New Roman" w:eastAsia="Times New Roman" w:hint="default"/>
                <w:spacing w:val="-9"/>
                <w:sz w:val="18"/>
                <w:szCs w:val="18"/>
              </w:rPr>
              <w:t>2</w:t>
            </w:r>
            <w:r>
              <w:rPr>
                <w:rFonts w:ascii="宋体" w:hAnsi="宋体" w:cs="宋体" w:eastAsia="宋体" w:hint="default"/>
                <w:spacing w:val="-9"/>
                <w:sz w:val="18"/>
                <w:szCs w:val="18"/>
              </w:rPr>
              <w:t>）类别</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调整</w:t>
            </w:r>
          </w:p>
        </w:tc>
        <w:tc>
          <w:tcPr>
            <w:tcW w:w="1367"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5,005.48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12,666.14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17,671.62</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17"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 额</w:t>
            </w:r>
          </w:p>
        </w:tc>
        <w:tc>
          <w:tcPr>
            <w:tcW w:w="136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6,181,708.94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117,800.00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444,237.81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12,665.44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6,756,412.19</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22" w:firstLine="34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）处置或</w:t>
            </w:r>
            <w:r>
              <w:rPr>
                <w:rFonts w:ascii="宋体" w:hAnsi="宋体" w:cs="宋体" w:eastAsia="宋体" w:hint="default"/>
                <w:sz w:val="18"/>
                <w:szCs w:val="18"/>
              </w:rPr>
              <w:t> 报废</w:t>
            </w:r>
          </w:p>
        </w:tc>
        <w:tc>
          <w:tcPr>
            <w:tcW w:w="1367"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117,800.00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439,231.63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557,031.63</w:t>
            </w:r>
          </w:p>
        </w:tc>
      </w:tr>
      <w:tr>
        <w:trPr>
          <w:trHeight w:val="1026" w:hRule="exact"/>
        </w:trPr>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09" w:lineRule="auto" w:before="51"/>
              <w:ind w:left="22" w:right="72" w:firstLine="63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）转 入到投资性房地 产</w:t>
            </w:r>
          </w:p>
        </w:tc>
        <w:tc>
          <w:tcPr>
            <w:tcW w:w="1367"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6,181,708.94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6,181,708.94</w:t>
            </w:r>
          </w:p>
        </w:tc>
      </w:tr>
    </w:tbl>
    <w:p>
      <w:pPr>
        <w:spacing w:after="0" w:line="240" w:lineRule="auto"/>
        <w:jc w:val="right"/>
        <w:rPr>
          <w:rFonts w:ascii="Times New Roman" w:hAnsi="Times New Roman" w:cs="Times New Roman" w:eastAsia="Times New Roman" w:hint="default"/>
          <w:sz w:val="18"/>
          <w:szCs w:val="18"/>
        </w:rPr>
        <w:sectPr>
          <w:footerReference w:type="default" r:id="rId58"/>
          <w:pgSz w:w="11910" w:h="16840"/>
          <w:pgMar w:footer="640" w:header="787" w:top="1100" w:bottom="840" w:left="0" w:right="0"/>
        </w:sectPr>
      </w:pPr>
    </w:p>
    <w:p>
      <w:pPr>
        <w:spacing w:line="240" w:lineRule="auto" w:before="4"/>
        <w:rPr>
          <w:rFonts w:ascii="Times New Roman" w:hAnsi="Times New Roman" w:cs="Times New Roman" w:eastAsia="Times New Roman" w:hint="default"/>
          <w:sz w:val="3"/>
          <w:szCs w:val="3"/>
        </w:rPr>
      </w:pPr>
    </w:p>
    <w:p>
      <w:pPr>
        <w:spacing w:line="20" w:lineRule="exact"/>
        <w:ind w:left="1096"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10"/>
        <w:rPr>
          <w:rFonts w:ascii="Times New Roman" w:hAnsi="Times New Roman" w:cs="Times New Roman" w:eastAsia="Times New Roman" w:hint="default"/>
          <w:sz w:val="23"/>
          <w:szCs w:val="23"/>
        </w:rPr>
      </w:pPr>
    </w:p>
    <w:tbl>
      <w:tblPr>
        <w:tblW w:w="0" w:type="auto"/>
        <w:jc w:val="left"/>
        <w:tblInd w:w="1129" w:type="dxa"/>
        <w:tblLayout w:type="fixed"/>
        <w:tblCellMar>
          <w:top w:w="0" w:type="dxa"/>
          <w:left w:w="0" w:type="dxa"/>
          <w:bottom w:w="0" w:type="dxa"/>
          <w:right w:w="0" w:type="dxa"/>
        </w:tblCellMar>
        <w:tblLook w:val="01E0"/>
      </w:tblPr>
      <w:tblGrid>
        <w:gridCol w:w="1356"/>
        <w:gridCol w:w="1378"/>
        <w:gridCol w:w="1368"/>
        <w:gridCol w:w="1367"/>
        <w:gridCol w:w="1367"/>
        <w:gridCol w:w="1367"/>
        <w:gridCol w:w="1367"/>
      </w:tblGrid>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65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）类</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别调整</w:t>
            </w: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5,006.18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12,665.44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17,671.62</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10,689,664.34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936,826.97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18,439,051.39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16,849,010.68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5,967,496.66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52,882,050.04</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 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 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 w:firstLine="34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）处置或</w:t>
            </w:r>
            <w:r>
              <w:rPr>
                <w:rFonts w:ascii="宋体" w:hAnsi="宋体" w:cs="宋体" w:eastAsia="宋体" w:hint="default"/>
                <w:sz w:val="18"/>
                <w:szCs w:val="18"/>
              </w:rPr>
              <w:t> 报废</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 值</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229,322,425.93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960,034.21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54,355,081.28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10,944,420.85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7,811,612.08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303,393,574.35</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 值</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38,354,399.21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961,578.08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36,637,598.14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9,611,600.06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3,602,070.57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89,167,246.06</w:t>
            </w:r>
          </w:p>
        </w:tc>
      </w:tr>
    </w:tbl>
    <w:p>
      <w:pPr>
        <w:spacing w:line="240" w:lineRule="auto" w:before="6"/>
        <w:rPr>
          <w:rFonts w:ascii="Times New Roman" w:hAnsi="Times New Roman" w:cs="Times New Roman" w:eastAsia="Times New Roman" w:hint="default"/>
          <w:sz w:val="28"/>
          <w:szCs w:val="28"/>
        </w:rPr>
      </w:pPr>
    </w:p>
    <w:p>
      <w:pPr>
        <w:pStyle w:val="Heading3"/>
        <w:spacing w:line="240" w:lineRule="auto" w:before="35"/>
        <w:ind w:right="0"/>
        <w:jc w:val="left"/>
        <w:rPr>
          <w:b w:val="0"/>
          <w:bCs w:val="0"/>
        </w:rPr>
      </w:pPr>
      <w:bookmarkStart w:name="（2）暂时闲置的固定资产情况" w:id="282"/>
      <w:bookmarkEnd w:id="282"/>
      <w:r>
        <w:rPr>
          <w:b w:val="0"/>
          <w:bCs w:val="0"/>
        </w:rPr>
      </w:r>
      <w:r>
        <w:rPr/>
        <w:t>（</w:t>
      </w:r>
      <w:r>
        <w:rPr>
          <w:rFonts w:ascii="Times New Roman" w:hAnsi="Times New Roman" w:cs="Times New Roman" w:eastAsia="Times New Roman" w:hint="default"/>
        </w:rPr>
        <w:t>2</w:t>
      </w:r>
      <w:r>
        <w:rPr/>
        <w:t>）暂时闲置的固定资产情况</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pStyle w:val="BodyText"/>
        <w:spacing w:line="240" w:lineRule="auto"/>
        <w:ind w:right="0"/>
        <w:jc w:val="left"/>
      </w:pPr>
      <w:r>
        <w:rPr/>
        <w:t>不适用</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0"/>
          <w:szCs w:val="20"/>
        </w:rPr>
      </w:pPr>
    </w:p>
    <w:p>
      <w:pPr>
        <w:pStyle w:val="Heading3"/>
        <w:spacing w:line="240" w:lineRule="auto"/>
        <w:ind w:right="0"/>
        <w:jc w:val="left"/>
        <w:rPr>
          <w:b w:val="0"/>
          <w:bCs w:val="0"/>
        </w:rPr>
      </w:pPr>
      <w:bookmarkStart w:name="（3）通过融资租赁租入的固定资产情况" w:id="283"/>
      <w:bookmarkEnd w:id="283"/>
      <w:r>
        <w:rPr>
          <w:b w:val="0"/>
          <w:bCs w:val="0"/>
        </w:rPr>
      </w:r>
      <w:r>
        <w:rPr/>
        <w:t>（</w:t>
      </w:r>
      <w:r>
        <w:rPr>
          <w:rFonts w:ascii="Times New Roman" w:hAnsi="Times New Roman" w:cs="Times New Roman" w:eastAsia="Times New Roman" w:hint="default"/>
        </w:rPr>
        <w:t>3</w:t>
      </w:r>
      <w:r>
        <w:rPr/>
        <w:t>）通过融资租赁租入的固定资产情况</w:t>
      </w:r>
      <w:r>
        <w:rPr>
          <w:b w:val="0"/>
          <w:bCs w:val="0"/>
        </w:rPr>
      </w:r>
    </w:p>
    <w:p>
      <w:pPr>
        <w:spacing w:line="240" w:lineRule="auto" w:before="0"/>
        <w:rPr>
          <w:rFonts w:ascii="宋体" w:hAnsi="宋体" w:cs="宋体" w:eastAsia="宋体" w:hint="default"/>
          <w:b/>
          <w:bCs/>
          <w:sz w:val="22"/>
          <w:szCs w:val="22"/>
        </w:rPr>
      </w:pPr>
    </w:p>
    <w:p>
      <w:pPr>
        <w:spacing w:line="240" w:lineRule="auto" w:before="5"/>
        <w:rPr>
          <w:rFonts w:ascii="宋体" w:hAnsi="宋体" w:cs="宋体" w:eastAsia="宋体" w:hint="default"/>
          <w:b/>
          <w:bCs/>
          <w:sz w:val="16"/>
          <w:szCs w:val="16"/>
        </w:rPr>
      </w:pPr>
    </w:p>
    <w:p>
      <w:pPr>
        <w:pStyle w:val="BodyText"/>
        <w:spacing w:line="240" w:lineRule="auto"/>
        <w:ind w:right="0"/>
        <w:jc w:val="left"/>
      </w:pPr>
      <w:r>
        <w:rPr/>
        <w:t>不适用</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0"/>
          <w:szCs w:val="20"/>
        </w:rPr>
      </w:pPr>
    </w:p>
    <w:p>
      <w:pPr>
        <w:pStyle w:val="Heading3"/>
        <w:spacing w:line="240" w:lineRule="auto"/>
        <w:ind w:right="0"/>
        <w:jc w:val="left"/>
        <w:rPr>
          <w:b w:val="0"/>
          <w:bCs w:val="0"/>
        </w:rPr>
      </w:pPr>
      <w:bookmarkStart w:name="（4）通过经营租赁租出的固定资产" w:id="284"/>
      <w:bookmarkEnd w:id="284"/>
      <w:r>
        <w:rPr>
          <w:b w:val="0"/>
          <w:bCs w:val="0"/>
        </w:rPr>
      </w:r>
      <w:r>
        <w:rPr/>
        <w:t>（</w:t>
      </w:r>
      <w:r>
        <w:rPr>
          <w:rFonts w:ascii="Times New Roman" w:hAnsi="Times New Roman" w:cs="Times New Roman" w:eastAsia="Times New Roman" w:hint="default"/>
        </w:rPr>
        <w:t>4</w:t>
      </w:r>
      <w:r>
        <w:rPr/>
        <w:t>）通过经营租赁租出的固定资产</w:t>
      </w:r>
      <w:r>
        <w:rPr>
          <w:b w:val="0"/>
          <w:bCs w:val="0"/>
        </w:rPr>
      </w:r>
    </w:p>
    <w:p>
      <w:pPr>
        <w:spacing w:line="240" w:lineRule="auto" w:before="0"/>
        <w:rPr>
          <w:rFonts w:ascii="宋体" w:hAnsi="宋体" w:cs="宋体" w:eastAsia="宋体" w:hint="default"/>
          <w:b/>
          <w:bCs/>
          <w:sz w:val="22"/>
          <w:szCs w:val="22"/>
        </w:rPr>
      </w:pPr>
    </w:p>
    <w:p>
      <w:pPr>
        <w:spacing w:line="240" w:lineRule="auto" w:before="5"/>
        <w:rPr>
          <w:rFonts w:ascii="宋体" w:hAnsi="宋体" w:cs="宋体" w:eastAsia="宋体" w:hint="default"/>
          <w:b/>
          <w:bCs/>
          <w:sz w:val="16"/>
          <w:szCs w:val="16"/>
        </w:rPr>
      </w:pPr>
    </w:p>
    <w:p>
      <w:pPr>
        <w:pStyle w:val="BodyText"/>
        <w:spacing w:line="240" w:lineRule="auto"/>
        <w:ind w:right="0"/>
        <w:jc w:val="left"/>
      </w:pPr>
      <w:r>
        <w:rPr/>
        <w:t>不适用</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0"/>
          <w:szCs w:val="20"/>
        </w:rPr>
      </w:pPr>
    </w:p>
    <w:p>
      <w:pPr>
        <w:pStyle w:val="Heading3"/>
        <w:spacing w:line="240" w:lineRule="auto"/>
        <w:ind w:right="0"/>
        <w:jc w:val="left"/>
        <w:rPr>
          <w:b w:val="0"/>
          <w:bCs w:val="0"/>
        </w:rPr>
      </w:pPr>
      <w:bookmarkStart w:name="（5）未办妥产权证书的固定资产情况" w:id="285"/>
      <w:bookmarkEnd w:id="285"/>
      <w:r>
        <w:rPr>
          <w:b w:val="0"/>
          <w:bCs w:val="0"/>
        </w:rPr>
      </w:r>
      <w:r>
        <w:rPr/>
        <w:t>（</w:t>
      </w:r>
      <w:r>
        <w:rPr>
          <w:rFonts w:ascii="Times New Roman" w:hAnsi="Times New Roman" w:cs="Times New Roman" w:eastAsia="Times New Roman" w:hint="default"/>
        </w:rPr>
        <w:t>5</w:t>
      </w:r>
      <w:r>
        <w:rPr/>
        <w:t>）未办妥产权证书的固定资产情况</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15"/>
          <w:szCs w:val="15"/>
        </w:rPr>
      </w:pPr>
    </w:p>
    <w:p>
      <w:pPr>
        <w:pStyle w:val="BodyText"/>
        <w:spacing w:line="240" w:lineRule="auto" w:before="44"/>
        <w:ind w:left="0" w:right="1130"/>
        <w:jc w:val="right"/>
      </w:pPr>
      <w:r>
        <w:rPr/>
        <w:t>单位： 元</w:t>
      </w:r>
    </w:p>
    <w:p>
      <w:pPr>
        <w:spacing w:after="0" w:line="240" w:lineRule="auto"/>
        <w:jc w:val="right"/>
        <w:sectPr>
          <w:pgSz w:w="11910" w:h="16840"/>
          <w:pgMar w:header="787" w:footer="640" w:top="1100" w:bottom="840" w:left="0" w:right="0"/>
        </w:sectPr>
      </w:pPr>
    </w:p>
    <w:p>
      <w:pPr>
        <w:spacing w:line="240" w:lineRule="auto" w:before="5"/>
        <w:rPr>
          <w:rFonts w:ascii="宋体" w:hAnsi="宋体" w:cs="宋体" w:eastAsia="宋体" w:hint="default"/>
          <w:sz w:val="25"/>
          <w:szCs w:val="25"/>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9"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天安总部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号楼</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209,275,719.27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未办妥，尚在办理中</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209,275,719.27</w:t>
            </w:r>
          </w:p>
        </w:tc>
        <w:tc>
          <w:tcPr>
            <w:tcW w:w="318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20、在建工程" w:id="286"/>
      <w:bookmarkEnd w:id="286"/>
      <w:r>
        <w:rPr>
          <w:b w:val="0"/>
          <w:bCs w:val="0"/>
        </w:rPr>
      </w:r>
      <w:r>
        <w:rPr>
          <w:rFonts w:ascii="Times New Roman" w:hAnsi="Times New Roman" w:cs="Times New Roman" w:eastAsia="Times New Roman" w:hint="default"/>
        </w:rPr>
        <w:t>20</w:t>
      </w:r>
      <w:r>
        <w:rPr/>
        <w:t>、在建工程</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在建工程情况" w:id="287"/>
      <w:bookmarkEnd w:id="287"/>
      <w:r>
        <w:rPr>
          <w:b w:val="0"/>
          <w:bCs w:val="0"/>
        </w:rPr>
      </w:r>
      <w:r>
        <w:rPr/>
        <w:t>（</w:t>
      </w:r>
      <w:r>
        <w:rPr>
          <w:rFonts w:ascii="Times New Roman" w:hAnsi="Times New Roman" w:cs="Times New Roman" w:eastAsia="Times New Roman" w:hint="default"/>
        </w:rPr>
        <w:t>1</w:t>
      </w:r>
      <w:r>
        <w:rPr/>
        <w:t>）在建工程情况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107"/>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智慧天网</w:t>
            </w:r>
            <w:r>
              <w:rPr>
                <w:rFonts w:ascii="Times New Roman" w:hAnsi="Times New Roman" w:cs="Times New Roman" w:eastAsia="Times New Roman" w:hint="default"/>
                <w:sz w:val="18"/>
                <w:szCs w:val="18"/>
              </w:rPr>
              <w:t>"</w:t>
            </w:r>
            <w:r>
              <w:rPr>
                <w:rFonts w:ascii="宋体" w:hAnsi="宋体" w:cs="宋体" w:eastAsia="宋体" w:hint="default"/>
                <w:sz w:val="18"/>
                <w:szCs w:val="18"/>
              </w:rPr>
              <w:t>监控 平台</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327,042.66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327,042.66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22,107,771.44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22,107,771.44</w:t>
            </w:r>
          </w:p>
        </w:tc>
      </w:tr>
      <w:tr>
        <w:trPr>
          <w:trHeight w:val="1026"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5"/>
              <w:jc w:val="both"/>
              <w:rPr>
                <w:rFonts w:ascii="宋体" w:hAnsi="宋体" w:cs="宋体" w:eastAsia="宋体" w:hint="default"/>
                <w:sz w:val="18"/>
                <w:szCs w:val="18"/>
              </w:rPr>
            </w:pPr>
            <w:r>
              <w:rPr>
                <w:rFonts w:ascii="宋体" w:hAnsi="宋体" w:cs="宋体" w:eastAsia="宋体" w:hint="default"/>
                <w:sz w:val="18"/>
                <w:szCs w:val="18"/>
              </w:rPr>
              <w:t>佛山市南海区桂 城街东二村东约 拾亩新区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5,032,800.00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5,032,800.00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2"/>
              <w:jc w:val="both"/>
              <w:rPr>
                <w:rFonts w:ascii="宋体" w:hAnsi="宋体" w:cs="宋体" w:eastAsia="宋体" w:hint="default"/>
                <w:sz w:val="18"/>
                <w:szCs w:val="18"/>
              </w:rPr>
            </w:pPr>
            <w:r>
              <w:rPr>
                <w:rFonts w:ascii="宋体" w:hAnsi="宋体" w:cs="宋体" w:eastAsia="宋体" w:hint="default"/>
                <w:sz w:val="18"/>
                <w:szCs w:val="18"/>
              </w:rPr>
              <w:t>西安市碑林区长 安北路</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89</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号中信 大厦十九层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6,221,300.00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6,221,300.00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天安总部</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号楼</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99,534,203.07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99,534,203.07</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其它零星工程</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747,033.24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747,033.24</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11,581,142.66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11,581,142.66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122,389,007.75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122,389,007.75</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重要在建工程项目本期变动情况" w:id="288"/>
      <w:bookmarkEnd w:id="288"/>
      <w:r>
        <w:rPr>
          <w:b w:val="0"/>
          <w:bCs w:val="0"/>
        </w:rPr>
      </w:r>
      <w:r>
        <w:rPr/>
        <w:t>（</w:t>
      </w:r>
      <w:r>
        <w:rPr>
          <w:rFonts w:ascii="Times New Roman" w:hAnsi="Times New Roman" w:cs="Times New Roman" w:eastAsia="Times New Roman" w:hint="default"/>
        </w:rPr>
        <w:t>2</w:t>
      </w:r>
      <w:r>
        <w:rPr/>
        <w:t>）重要在建工程项目本期变动情况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732"/>
        <w:gridCol w:w="736"/>
        <w:gridCol w:w="737"/>
        <w:gridCol w:w="736"/>
        <w:gridCol w:w="736"/>
        <w:gridCol w:w="737"/>
        <w:gridCol w:w="736"/>
        <w:gridCol w:w="736"/>
        <w:gridCol w:w="737"/>
        <w:gridCol w:w="736"/>
        <w:gridCol w:w="736"/>
        <w:gridCol w:w="737"/>
        <w:gridCol w:w="736"/>
      </w:tblGrid>
      <w:tr>
        <w:trPr>
          <w:trHeight w:val="1338"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0" w:right="90" w:hanging="180"/>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92"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3" w:right="91"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92" w:right="91"/>
              <w:jc w:val="left"/>
              <w:rPr>
                <w:rFonts w:ascii="宋体" w:hAnsi="宋体" w:cs="宋体" w:eastAsia="宋体" w:hint="default"/>
                <w:sz w:val="18"/>
                <w:szCs w:val="18"/>
              </w:rPr>
            </w:pPr>
            <w:r>
              <w:rPr>
                <w:rFonts w:ascii="宋体" w:hAnsi="宋体" w:cs="宋体" w:eastAsia="宋体" w:hint="default"/>
                <w:sz w:val="18"/>
                <w:szCs w:val="18"/>
              </w:rPr>
              <w:t>本期增 加金额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92" w:right="91"/>
              <w:jc w:val="center"/>
              <w:rPr>
                <w:rFonts w:ascii="宋体" w:hAnsi="宋体" w:cs="宋体" w:eastAsia="宋体" w:hint="default"/>
                <w:sz w:val="18"/>
                <w:szCs w:val="18"/>
              </w:rPr>
            </w:pPr>
            <w:r>
              <w:rPr>
                <w:rFonts w:ascii="宋体" w:hAnsi="宋体" w:cs="宋体" w:eastAsia="宋体" w:hint="default"/>
                <w:sz w:val="18"/>
                <w:szCs w:val="18"/>
              </w:rPr>
              <w:t>本期转 入固定 资产金 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本期其 他减少 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2" w:right="91" w:hanging="180"/>
              <w:jc w:val="left"/>
              <w:rPr>
                <w:rFonts w:ascii="宋体" w:hAnsi="宋体" w:cs="宋体" w:eastAsia="宋体" w:hint="default"/>
                <w:sz w:val="18"/>
                <w:szCs w:val="18"/>
              </w:rPr>
            </w:pPr>
            <w:r>
              <w:rPr>
                <w:rFonts w:ascii="宋体" w:hAnsi="宋体" w:cs="宋体" w:eastAsia="宋体" w:hint="default"/>
                <w:sz w:val="18"/>
                <w:szCs w:val="18"/>
              </w:rPr>
              <w:t>期末余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92" w:right="91"/>
              <w:jc w:val="both"/>
              <w:rPr>
                <w:rFonts w:ascii="宋体" w:hAnsi="宋体" w:cs="宋体" w:eastAsia="宋体" w:hint="default"/>
                <w:sz w:val="18"/>
                <w:szCs w:val="18"/>
              </w:rPr>
            </w:pPr>
            <w:r>
              <w:rPr>
                <w:rFonts w:ascii="宋体" w:hAnsi="宋体" w:cs="宋体" w:eastAsia="宋体" w:hint="default"/>
                <w:sz w:val="18"/>
                <w:szCs w:val="18"/>
              </w:rPr>
              <w:t>工程累 计投入 占预算 比例</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3" w:right="91"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92" w:right="93"/>
              <w:jc w:val="both"/>
              <w:rPr>
                <w:rFonts w:ascii="宋体" w:hAnsi="宋体" w:cs="宋体" w:eastAsia="宋体" w:hint="default"/>
                <w:sz w:val="18"/>
                <w:szCs w:val="18"/>
              </w:rPr>
            </w:pPr>
            <w:r>
              <w:rPr>
                <w:rFonts w:ascii="宋体" w:hAnsi="宋体" w:cs="宋体" w:eastAsia="宋体" w:hint="default"/>
                <w:sz w:val="18"/>
                <w:szCs w:val="18"/>
              </w:rPr>
              <w:t>利息资 本化累 计金额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0"/>
              <w:jc w:val="center"/>
              <w:rPr>
                <w:rFonts w:ascii="宋体" w:hAnsi="宋体" w:cs="宋体" w:eastAsia="宋体" w:hint="default"/>
                <w:sz w:val="18"/>
                <w:szCs w:val="18"/>
              </w:rPr>
            </w:pPr>
            <w:r>
              <w:rPr>
                <w:rFonts w:ascii="宋体" w:hAnsi="宋体" w:cs="宋体" w:eastAsia="宋体" w:hint="default"/>
                <w:spacing w:val="-10"/>
                <w:sz w:val="18"/>
                <w:szCs w:val="18"/>
              </w:rPr>
              <w:t>其中：本</w:t>
            </w:r>
            <w:r>
              <w:rPr>
                <w:rFonts w:ascii="宋体" w:hAnsi="宋体" w:cs="宋体" w:eastAsia="宋体" w:hint="default"/>
                <w:sz w:val="18"/>
                <w:szCs w:val="18"/>
              </w:rPr>
              <w:t> 期利息 资本化 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本期利 息资本 化率</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2" w:right="91" w:hanging="180"/>
              <w:jc w:val="left"/>
              <w:rPr>
                <w:rFonts w:ascii="宋体" w:hAnsi="宋体" w:cs="宋体" w:eastAsia="宋体" w:hint="default"/>
                <w:sz w:val="18"/>
                <w:szCs w:val="18"/>
              </w:rPr>
            </w:pPr>
            <w:r>
              <w:rPr>
                <w:rFonts w:ascii="宋体" w:hAnsi="宋体" w:cs="宋体" w:eastAsia="宋体" w:hint="default"/>
                <w:sz w:val="18"/>
                <w:szCs w:val="18"/>
              </w:rPr>
              <w:t>资金来 源</w:t>
            </w:r>
          </w:p>
        </w:tc>
      </w:tr>
      <w:tr>
        <w:trPr>
          <w:trHeight w:val="1026"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84"/>
              <w:jc w:val="both"/>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智慧天 网</w:t>
            </w:r>
            <w:r>
              <w:rPr>
                <w:rFonts w:ascii="Times New Roman" w:hAnsi="Times New Roman" w:cs="Times New Roman" w:eastAsia="Times New Roman" w:hint="default"/>
                <w:sz w:val="18"/>
                <w:szCs w:val="18"/>
              </w:rPr>
              <w:t>"</w:t>
            </w:r>
            <w:r>
              <w:rPr>
                <w:rFonts w:ascii="宋体" w:hAnsi="宋体" w:cs="宋体" w:eastAsia="宋体" w:hint="default"/>
                <w:sz w:val="18"/>
                <w:szCs w:val="18"/>
              </w:rPr>
              <w:t>监控 平台</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71,579,4</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95.46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22,107,7</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71.44</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8,671,00</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1.56</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30,451,7</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30.34</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327,042.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66</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27" w:right="0"/>
              <w:jc w:val="center"/>
              <w:rPr>
                <w:rFonts w:ascii="Times New Roman" w:hAnsi="Times New Roman" w:cs="Times New Roman" w:eastAsia="Times New Roman" w:hint="default"/>
                <w:sz w:val="18"/>
                <w:szCs w:val="18"/>
              </w:rPr>
            </w:pPr>
            <w:r>
              <w:rPr>
                <w:rFonts w:ascii="Times New Roman"/>
                <w:sz w:val="18"/>
              </w:rPr>
              <w:t>91.59%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91.13%</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61"/>
              <w:jc w:val="left"/>
              <w:rPr>
                <w:rFonts w:ascii="宋体" w:hAnsi="宋体" w:cs="宋体" w:eastAsia="宋体" w:hint="default"/>
                <w:sz w:val="18"/>
                <w:szCs w:val="18"/>
              </w:rPr>
            </w:pPr>
            <w:r>
              <w:rPr>
                <w:rFonts w:ascii="宋体" w:hAnsi="宋体" w:cs="宋体" w:eastAsia="宋体" w:hint="default"/>
                <w:sz w:val="18"/>
                <w:szCs w:val="18"/>
              </w:rPr>
              <w:t>自有资 金</w:t>
            </w:r>
          </w:p>
        </w:tc>
      </w:tr>
      <w:tr>
        <w:trPr>
          <w:trHeight w:val="2274"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9"/>
              <w:jc w:val="both"/>
              <w:rPr>
                <w:rFonts w:ascii="宋体" w:hAnsi="宋体" w:cs="宋体" w:eastAsia="宋体" w:hint="default"/>
                <w:sz w:val="18"/>
                <w:szCs w:val="18"/>
              </w:rPr>
            </w:pPr>
            <w:r>
              <w:rPr>
                <w:rFonts w:ascii="宋体" w:hAnsi="宋体" w:cs="宋体" w:eastAsia="宋体" w:hint="default"/>
                <w:sz w:val="18"/>
                <w:szCs w:val="18"/>
              </w:rPr>
              <w:t>佛山市 南海区 桂城街 东二村 东约拾 亩新区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6,232,80</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0.00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5,032,80</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5,032,80</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126" w:right="0"/>
              <w:jc w:val="center"/>
              <w:rPr>
                <w:rFonts w:ascii="Times New Roman" w:hAnsi="Times New Roman" w:cs="Times New Roman" w:eastAsia="Times New Roman" w:hint="default"/>
                <w:sz w:val="18"/>
                <w:szCs w:val="18"/>
              </w:rPr>
            </w:pPr>
            <w:r>
              <w:rPr>
                <w:rFonts w:ascii="Times New Roman"/>
                <w:sz w:val="18"/>
              </w:rPr>
              <w:t>80.75%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80.75%</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4"/>
              <w:ind w:left="22" w:right="161"/>
              <w:jc w:val="left"/>
              <w:rPr>
                <w:rFonts w:ascii="宋体" w:hAnsi="宋体" w:cs="宋体" w:eastAsia="宋体" w:hint="default"/>
                <w:sz w:val="18"/>
                <w:szCs w:val="18"/>
              </w:rPr>
            </w:pPr>
            <w:r>
              <w:rPr>
                <w:rFonts w:ascii="宋体" w:hAnsi="宋体" w:cs="宋体" w:eastAsia="宋体" w:hint="default"/>
                <w:sz w:val="18"/>
                <w:szCs w:val="18"/>
              </w:rPr>
              <w:t>自有资 金</w:t>
            </w:r>
          </w:p>
        </w:tc>
      </w:tr>
    </w:tbl>
    <w:p>
      <w:pPr>
        <w:spacing w:after="0" w:line="319" w:lineRule="auto"/>
        <w:jc w:val="left"/>
        <w:rPr>
          <w:rFonts w:ascii="宋体" w:hAnsi="宋体" w:cs="宋体" w:eastAsia="宋体" w:hint="default"/>
          <w:sz w:val="18"/>
          <w:szCs w:val="18"/>
        </w:rPr>
        <w:sectPr>
          <w:footerReference w:type="default" r:id="rId59"/>
          <w:pgSz w:w="11910" w:h="16840"/>
          <w:pgMar w:footer="640" w:header="787" w:top="1100" w:bottom="840" w:left="0" w:right="0"/>
        </w:sectPr>
      </w:pPr>
    </w:p>
    <w:p>
      <w:pPr>
        <w:spacing w:line="240" w:lineRule="auto" w:before="5"/>
        <w:rPr>
          <w:rFonts w:ascii="宋体" w:hAnsi="宋体" w:cs="宋体" w:eastAsia="宋体" w:hint="default"/>
          <w:sz w:val="25"/>
          <w:szCs w:val="25"/>
        </w:rPr>
      </w:pPr>
    </w:p>
    <w:tbl>
      <w:tblPr>
        <w:tblW w:w="0" w:type="auto"/>
        <w:jc w:val="left"/>
        <w:tblInd w:w="1129" w:type="dxa"/>
        <w:tblLayout w:type="fixed"/>
        <w:tblCellMar>
          <w:top w:w="0" w:type="dxa"/>
          <w:left w:w="0" w:type="dxa"/>
          <w:bottom w:w="0" w:type="dxa"/>
          <w:right w:w="0" w:type="dxa"/>
        </w:tblCellMar>
        <w:tblLook w:val="01E0"/>
      </w:tblPr>
      <w:tblGrid>
        <w:gridCol w:w="732"/>
        <w:gridCol w:w="736"/>
        <w:gridCol w:w="737"/>
        <w:gridCol w:w="736"/>
        <w:gridCol w:w="736"/>
        <w:gridCol w:w="737"/>
        <w:gridCol w:w="736"/>
        <w:gridCol w:w="736"/>
        <w:gridCol w:w="737"/>
        <w:gridCol w:w="736"/>
        <w:gridCol w:w="736"/>
        <w:gridCol w:w="737"/>
        <w:gridCol w:w="736"/>
      </w:tblGrid>
      <w:tr>
        <w:trPr>
          <w:trHeight w:val="2274"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69"/>
              <w:jc w:val="left"/>
              <w:rPr>
                <w:rFonts w:ascii="宋体" w:hAnsi="宋体" w:cs="宋体" w:eastAsia="宋体" w:hint="default"/>
                <w:sz w:val="18"/>
                <w:szCs w:val="18"/>
              </w:rPr>
            </w:pPr>
            <w:r>
              <w:rPr>
                <w:rFonts w:ascii="宋体" w:hAnsi="宋体" w:cs="宋体" w:eastAsia="宋体" w:hint="default"/>
                <w:sz w:val="18"/>
                <w:szCs w:val="18"/>
              </w:rPr>
              <w:t>西安市 碑林区 长安北 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 中信大 厦十九 层</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8,321,30</w:t>
            </w:r>
          </w:p>
          <w:p>
            <w:pPr>
              <w:pStyle w:val="TableParagraph"/>
              <w:spacing w:line="240" w:lineRule="auto" w:before="106"/>
              <w:ind w:left="388" w:right="0"/>
              <w:jc w:val="left"/>
              <w:rPr>
                <w:rFonts w:ascii="Times New Roman" w:hAnsi="Times New Roman" w:cs="Times New Roman" w:eastAsia="Times New Roman" w:hint="default"/>
                <w:sz w:val="18"/>
                <w:szCs w:val="18"/>
              </w:rPr>
            </w:pPr>
            <w:r>
              <w:rPr>
                <w:rFonts w:ascii="Times New Roman"/>
                <w:sz w:val="18"/>
              </w:rPr>
              <w:t>0.00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6,221,30</w:t>
            </w:r>
          </w:p>
          <w:p>
            <w:pPr>
              <w:pStyle w:val="TableParagraph"/>
              <w:spacing w:line="240" w:lineRule="auto" w:before="106"/>
              <w:ind w:left="388" w:right="0"/>
              <w:jc w:val="lef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6,221,30</w:t>
            </w:r>
          </w:p>
          <w:p>
            <w:pPr>
              <w:pStyle w:val="TableParagraph"/>
              <w:spacing w:line="240" w:lineRule="auto" w:before="106"/>
              <w:ind w:left="388" w:right="0"/>
              <w:jc w:val="lef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74.76%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74.76%</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4"/>
              <w:ind w:left="22" w:right="161"/>
              <w:jc w:val="left"/>
              <w:rPr>
                <w:rFonts w:ascii="宋体" w:hAnsi="宋体" w:cs="宋体" w:eastAsia="宋体" w:hint="default"/>
                <w:sz w:val="18"/>
                <w:szCs w:val="18"/>
              </w:rPr>
            </w:pPr>
            <w:r>
              <w:rPr>
                <w:rFonts w:ascii="宋体" w:hAnsi="宋体" w:cs="宋体" w:eastAsia="宋体" w:hint="default"/>
                <w:sz w:val="18"/>
                <w:szCs w:val="18"/>
              </w:rPr>
              <w:t>自有资 金</w:t>
            </w:r>
          </w:p>
        </w:tc>
      </w:tr>
      <w:tr>
        <w:trPr>
          <w:trHeight w:val="1026"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69"/>
              <w:jc w:val="left"/>
              <w:rPr>
                <w:rFonts w:ascii="Times New Roman" w:hAnsi="Times New Roman" w:cs="Times New Roman" w:eastAsia="Times New Roman" w:hint="default"/>
                <w:sz w:val="18"/>
                <w:szCs w:val="18"/>
              </w:rPr>
            </w:pPr>
            <w:r>
              <w:rPr>
                <w:rFonts w:ascii="宋体" w:hAnsi="宋体" w:cs="宋体" w:eastAsia="宋体" w:hint="default"/>
                <w:sz w:val="18"/>
                <w:szCs w:val="18"/>
              </w:rPr>
              <w:t>天安总 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 楼</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Times New Roman" w:hAnsi="Times New Roman" w:cs="Times New Roman" w:eastAsia="Times New Roman" w:hint="default"/>
                <w:sz w:val="18"/>
                <w:szCs w:val="18"/>
              </w:rPr>
              <w:t>]</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231,009,</w:t>
            </w:r>
          </w:p>
          <w:p>
            <w:pPr>
              <w:pStyle w:val="TableParagraph"/>
              <w:spacing w:line="240" w:lineRule="auto" w:before="106"/>
              <w:ind w:left="186" w:right="0"/>
              <w:jc w:val="center"/>
              <w:rPr>
                <w:rFonts w:ascii="Times New Roman" w:hAnsi="Times New Roman" w:cs="Times New Roman" w:eastAsia="Times New Roman" w:hint="default"/>
                <w:sz w:val="18"/>
                <w:szCs w:val="18"/>
              </w:rPr>
            </w:pPr>
            <w:r>
              <w:rPr>
                <w:rFonts w:ascii="Times New Roman"/>
                <w:sz w:val="18"/>
              </w:rPr>
              <w:t>000.00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99,534,2</w:t>
            </w:r>
          </w:p>
          <w:p>
            <w:pPr>
              <w:pStyle w:val="TableParagraph"/>
              <w:spacing w:line="240" w:lineRule="auto" w:before="106"/>
              <w:ind w:left="299" w:right="0"/>
              <w:jc w:val="left"/>
              <w:rPr>
                <w:rFonts w:ascii="Times New Roman" w:hAnsi="Times New Roman" w:cs="Times New Roman" w:eastAsia="Times New Roman" w:hint="default"/>
                <w:sz w:val="18"/>
                <w:szCs w:val="18"/>
              </w:rPr>
            </w:pPr>
            <w:r>
              <w:rPr>
                <w:rFonts w:ascii="Times New Roman"/>
                <w:sz w:val="18"/>
              </w:rPr>
              <w:t>03.07</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124,622,</w:t>
            </w:r>
          </w:p>
          <w:p>
            <w:pPr>
              <w:pStyle w:val="TableParagraph"/>
              <w:spacing w:line="240" w:lineRule="auto" w:before="106"/>
              <w:ind w:left="186" w:right="0"/>
              <w:jc w:val="center"/>
              <w:rPr>
                <w:rFonts w:ascii="Times New Roman" w:hAnsi="Times New Roman" w:cs="Times New Roman" w:eastAsia="Times New Roman" w:hint="default"/>
                <w:sz w:val="18"/>
                <w:szCs w:val="18"/>
              </w:rPr>
            </w:pPr>
            <w:r>
              <w:rPr>
                <w:rFonts w:ascii="Times New Roman"/>
                <w:sz w:val="18"/>
              </w:rPr>
              <w:t>002.46</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212,642,</w:t>
            </w:r>
          </w:p>
          <w:p>
            <w:pPr>
              <w:pStyle w:val="TableParagraph"/>
              <w:spacing w:line="240" w:lineRule="auto" w:before="106"/>
              <w:ind w:left="186" w:right="0"/>
              <w:jc w:val="center"/>
              <w:rPr>
                <w:rFonts w:ascii="Times New Roman" w:hAnsi="Times New Roman" w:cs="Times New Roman" w:eastAsia="Times New Roman" w:hint="default"/>
                <w:sz w:val="18"/>
                <w:szCs w:val="18"/>
              </w:rPr>
            </w:pPr>
            <w:r>
              <w:rPr>
                <w:rFonts w:ascii="Times New Roman"/>
                <w:sz w:val="18"/>
              </w:rPr>
              <w:t>559.80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1" w:right="0"/>
              <w:jc w:val="left"/>
              <w:rPr>
                <w:rFonts w:ascii="Times New Roman" w:hAnsi="Times New Roman" w:cs="Times New Roman" w:eastAsia="Times New Roman" w:hint="default"/>
                <w:sz w:val="18"/>
                <w:szCs w:val="18"/>
              </w:rPr>
            </w:pPr>
            <w:r>
              <w:rPr>
                <w:rFonts w:ascii="Times New Roman"/>
                <w:sz w:val="18"/>
              </w:rPr>
              <w:t>11,513,6</w:t>
            </w:r>
          </w:p>
          <w:p>
            <w:pPr>
              <w:pStyle w:val="TableParagraph"/>
              <w:spacing w:line="240" w:lineRule="auto" w:before="106"/>
              <w:ind w:left="300" w:right="0"/>
              <w:jc w:val="left"/>
              <w:rPr>
                <w:rFonts w:ascii="Times New Roman" w:hAnsi="Times New Roman" w:cs="Times New Roman" w:eastAsia="Times New Roman" w:hint="default"/>
                <w:sz w:val="18"/>
                <w:szCs w:val="18"/>
              </w:rPr>
            </w:pPr>
            <w:r>
              <w:rPr>
                <w:rFonts w:ascii="Times New Roman"/>
                <w:sz w:val="18"/>
              </w:rPr>
              <w:t>45.73</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97.03%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162,413.</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03</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162,413.</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9" w:right="0"/>
              <w:jc w:val="left"/>
              <w:rPr>
                <w:rFonts w:ascii="Times New Roman" w:hAnsi="Times New Roman" w:cs="Times New Roman" w:eastAsia="Times New Roman" w:hint="default"/>
                <w:sz w:val="18"/>
                <w:szCs w:val="18"/>
              </w:rPr>
            </w:pPr>
            <w:r>
              <w:rPr>
                <w:rFonts w:ascii="Times New Roman"/>
                <w:sz w:val="18"/>
              </w:rPr>
              <w:t>3.88%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自有资 </w:t>
            </w:r>
            <w:r>
              <w:rPr>
                <w:rFonts w:ascii="宋体" w:hAnsi="宋体" w:cs="宋体" w:eastAsia="宋体" w:hint="default"/>
                <w:spacing w:val="-10"/>
                <w:sz w:val="18"/>
                <w:szCs w:val="18"/>
              </w:rPr>
              <w:t>金、募集</w:t>
            </w:r>
            <w:r>
              <w:rPr>
                <w:rFonts w:ascii="宋体" w:hAnsi="宋体" w:cs="宋体" w:eastAsia="宋体" w:hint="default"/>
                <w:sz w:val="18"/>
                <w:szCs w:val="18"/>
              </w:rPr>
              <w:t> 资金</w:t>
            </w:r>
          </w:p>
        </w:tc>
      </w:tr>
      <w:tr>
        <w:trPr>
          <w:trHeight w:val="1338"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武汉东 湖明泽 丽湾</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套 房屋</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5,834,12</w:t>
            </w:r>
          </w:p>
          <w:p>
            <w:pPr>
              <w:pStyle w:val="TableParagraph"/>
              <w:spacing w:line="240" w:lineRule="auto" w:before="106"/>
              <w:ind w:left="388" w:right="0"/>
              <w:jc w:val="left"/>
              <w:rPr>
                <w:rFonts w:ascii="Times New Roman" w:hAnsi="Times New Roman" w:cs="Times New Roman" w:eastAsia="Times New Roman" w:hint="default"/>
                <w:sz w:val="18"/>
                <w:szCs w:val="18"/>
              </w:rPr>
            </w:pPr>
            <w:r>
              <w:rPr>
                <w:rFonts w:ascii="Times New Roman"/>
                <w:sz w:val="18"/>
              </w:rPr>
              <w:t>2.92</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5,834,12</w:t>
            </w:r>
          </w:p>
          <w:p>
            <w:pPr>
              <w:pStyle w:val="TableParagraph"/>
              <w:spacing w:line="240" w:lineRule="auto" w:before="106"/>
              <w:ind w:left="388" w:right="0"/>
              <w:jc w:val="left"/>
              <w:rPr>
                <w:rFonts w:ascii="Times New Roman" w:hAnsi="Times New Roman" w:cs="Times New Roman" w:eastAsia="Times New Roman" w:hint="default"/>
                <w:sz w:val="18"/>
                <w:szCs w:val="18"/>
              </w:rPr>
            </w:pPr>
            <w:r>
              <w:rPr>
                <w:rFonts w:ascii="Times New Roman"/>
                <w:sz w:val="18"/>
              </w:rPr>
              <w:t>2.92</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5,834,12</w:t>
            </w:r>
          </w:p>
          <w:p>
            <w:pPr>
              <w:pStyle w:val="TableParagraph"/>
              <w:spacing w:line="240" w:lineRule="auto" w:before="106"/>
              <w:ind w:left="388" w:right="0"/>
              <w:jc w:val="left"/>
              <w:rPr>
                <w:rFonts w:ascii="Times New Roman" w:hAnsi="Times New Roman" w:cs="Times New Roman" w:eastAsia="Times New Roman" w:hint="default"/>
                <w:sz w:val="18"/>
                <w:szCs w:val="18"/>
              </w:rPr>
            </w:pPr>
            <w:r>
              <w:rPr>
                <w:rFonts w:ascii="Times New Roman"/>
                <w:sz w:val="18"/>
              </w:rPr>
              <w:t>2.92</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100.00%</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2" w:right="161"/>
              <w:jc w:val="left"/>
              <w:rPr>
                <w:rFonts w:ascii="宋体" w:hAnsi="宋体" w:cs="宋体" w:eastAsia="宋体" w:hint="default"/>
                <w:sz w:val="18"/>
                <w:szCs w:val="18"/>
              </w:rPr>
            </w:pPr>
            <w:r>
              <w:rPr>
                <w:rFonts w:ascii="宋体" w:hAnsi="宋体" w:cs="宋体" w:eastAsia="宋体" w:hint="default"/>
                <w:sz w:val="18"/>
                <w:szCs w:val="18"/>
              </w:rPr>
              <w:t>自有资 金</w:t>
            </w:r>
          </w:p>
        </w:tc>
      </w:tr>
      <w:tr>
        <w:trPr>
          <w:trHeight w:val="714"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322,976,</w:t>
            </w:r>
          </w:p>
          <w:p>
            <w:pPr>
              <w:pStyle w:val="TableParagraph"/>
              <w:spacing w:line="240" w:lineRule="auto" w:before="106"/>
              <w:ind w:left="186" w:right="0"/>
              <w:jc w:val="center"/>
              <w:rPr>
                <w:rFonts w:ascii="Times New Roman" w:hAnsi="Times New Roman" w:cs="Times New Roman" w:eastAsia="Times New Roman" w:hint="default"/>
                <w:sz w:val="18"/>
                <w:szCs w:val="18"/>
              </w:rPr>
            </w:pPr>
            <w:r>
              <w:rPr>
                <w:rFonts w:ascii="Times New Roman"/>
                <w:sz w:val="18"/>
              </w:rPr>
              <w:t>718.38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121,641,</w:t>
            </w:r>
          </w:p>
          <w:p>
            <w:pPr>
              <w:pStyle w:val="TableParagraph"/>
              <w:spacing w:line="240" w:lineRule="auto" w:before="106"/>
              <w:ind w:left="188" w:right="0"/>
              <w:jc w:val="center"/>
              <w:rPr>
                <w:rFonts w:ascii="Times New Roman" w:hAnsi="Times New Roman" w:cs="Times New Roman" w:eastAsia="Times New Roman" w:hint="default"/>
                <w:sz w:val="18"/>
                <w:szCs w:val="18"/>
              </w:rPr>
            </w:pPr>
            <w:r>
              <w:rPr>
                <w:rFonts w:ascii="Times New Roman"/>
                <w:sz w:val="18"/>
              </w:rPr>
              <w:t>974.51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150,381,</w:t>
            </w:r>
          </w:p>
          <w:p>
            <w:pPr>
              <w:pStyle w:val="TableParagraph"/>
              <w:spacing w:line="240" w:lineRule="auto" w:before="106"/>
              <w:ind w:left="186" w:right="0"/>
              <w:jc w:val="center"/>
              <w:rPr>
                <w:rFonts w:ascii="Times New Roman" w:hAnsi="Times New Roman" w:cs="Times New Roman" w:eastAsia="Times New Roman" w:hint="default"/>
                <w:sz w:val="18"/>
                <w:szCs w:val="18"/>
              </w:rPr>
            </w:pPr>
            <w:r>
              <w:rPr>
                <w:rFonts w:ascii="Times New Roman"/>
                <w:sz w:val="18"/>
              </w:rPr>
              <w:t>226.94</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248,928,</w:t>
            </w:r>
          </w:p>
          <w:p>
            <w:pPr>
              <w:pStyle w:val="TableParagraph"/>
              <w:spacing w:line="240" w:lineRule="auto" w:before="106"/>
              <w:ind w:left="186" w:right="0"/>
              <w:jc w:val="center"/>
              <w:rPr>
                <w:rFonts w:ascii="Times New Roman" w:hAnsi="Times New Roman" w:cs="Times New Roman" w:eastAsia="Times New Roman" w:hint="default"/>
                <w:sz w:val="18"/>
                <w:szCs w:val="18"/>
              </w:rPr>
            </w:pPr>
            <w:r>
              <w:rPr>
                <w:rFonts w:ascii="Times New Roman"/>
                <w:sz w:val="18"/>
              </w:rPr>
              <w:t>413.06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1" w:right="0"/>
              <w:jc w:val="left"/>
              <w:rPr>
                <w:rFonts w:ascii="Times New Roman" w:hAnsi="Times New Roman" w:cs="Times New Roman" w:eastAsia="Times New Roman" w:hint="default"/>
                <w:sz w:val="18"/>
                <w:szCs w:val="18"/>
              </w:rPr>
            </w:pPr>
            <w:r>
              <w:rPr>
                <w:rFonts w:ascii="Times New Roman"/>
                <w:sz w:val="18"/>
              </w:rPr>
              <w:t>11,513,6</w:t>
            </w:r>
          </w:p>
          <w:p>
            <w:pPr>
              <w:pStyle w:val="TableParagraph"/>
              <w:spacing w:line="240" w:lineRule="auto" w:before="106"/>
              <w:ind w:left="300" w:right="0"/>
              <w:jc w:val="left"/>
              <w:rPr>
                <w:rFonts w:ascii="Times New Roman" w:hAnsi="Times New Roman" w:cs="Times New Roman" w:eastAsia="Times New Roman" w:hint="default"/>
                <w:sz w:val="18"/>
                <w:szCs w:val="18"/>
              </w:rPr>
            </w:pPr>
            <w:r>
              <w:rPr>
                <w:rFonts w:ascii="Times New Roman"/>
                <w:sz w:val="18"/>
              </w:rPr>
              <w:t>45.73</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0" w:right="0"/>
              <w:jc w:val="left"/>
              <w:rPr>
                <w:rFonts w:ascii="Times New Roman" w:hAnsi="Times New Roman" w:cs="Times New Roman" w:eastAsia="Times New Roman" w:hint="default"/>
                <w:sz w:val="18"/>
                <w:szCs w:val="18"/>
              </w:rPr>
            </w:pPr>
            <w:r>
              <w:rPr>
                <w:rFonts w:ascii="Times New Roman"/>
                <w:sz w:val="18"/>
              </w:rPr>
              <w:t>11,581,1</w:t>
            </w:r>
          </w:p>
          <w:p>
            <w:pPr>
              <w:pStyle w:val="TableParagraph"/>
              <w:spacing w:line="240" w:lineRule="auto" w:before="106"/>
              <w:ind w:left="298" w:right="0"/>
              <w:jc w:val="left"/>
              <w:rPr>
                <w:rFonts w:ascii="Times New Roman" w:hAnsi="Times New Roman" w:cs="Times New Roman" w:eastAsia="Times New Roman" w:hint="default"/>
                <w:sz w:val="18"/>
                <w:szCs w:val="18"/>
              </w:rPr>
            </w:pPr>
            <w:r>
              <w:rPr>
                <w:rFonts w:ascii="Times New Roman"/>
                <w:sz w:val="18"/>
              </w:rPr>
              <w:t>42.66</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162,413.</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03</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162,413.</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03</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6"/>
        <w:rPr>
          <w:rFonts w:ascii="宋体" w:hAnsi="宋体" w:cs="宋体" w:eastAsia="宋体" w:hint="default"/>
          <w:sz w:val="6"/>
          <w:szCs w:val="6"/>
        </w:rPr>
      </w:pPr>
    </w:p>
    <w:p>
      <w:pPr>
        <w:pStyle w:val="BodyText"/>
        <w:spacing w:line="240" w:lineRule="auto" w:before="44"/>
        <w:ind w:right="0"/>
        <w:jc w:val="left"/>
      </w:pPr>
      <w:r>
        <w:rPr>
          <w:rFonts w:ascii="Times New Roman" w:hAnsi="Times New Roman" w:cs="Times New Roman" w:eastAsia="Times New Roman" w:hint="default"/>
        </w:rPr>
        <w:t>[</w:t>
      </w:r>
      <w:r>
        <w:rPr/>
        <w:t>注</w:t>
      </w:r>
      <w:r>
        <w:rPr>
          <w:rFonts w:ascii="Times New Roman" w:hAnsi="Times New Roman" w:cs="Times New Roman" w:eastAsia="Times New Roman" w:hint="default"/>
        </w:rPr>
        <w:t>]</w:t>
      </w:r>
      <w:r>
        <w:rPr/>
        <w:t>：天安总部</w:t>
      </w:r>
      <w:r>
        <w:rPr>
          <w:spacing w:val="-47"/>
        </w:rPr>
        <w:t> </w:t>
      </w:r>
      <w:r>
        <w:rPr>
          <w:rFonts w:ascii="Times New Roman" w:hAnsi="Times New Roman" w:cs="Times New Roman" w:eastAsia="Times New Roman" w:hint="default"/>
        </w:rPr>
        <w:t>22</w:t>
      </w:r>
      <w:r>
        <w:rPr>
          <w:rFonts w:ascii="Times New Roman" w:hAnsi="Times New Roman" w:cs="Times New Roman" w:eastAsia="Times New Roman" w:hint="default"/>
          <w:spacing w:val="-2"/>
        </w:rPr>
        <w:t> </w:t>
      </w:r>
      <w:r>
        <w:rPr/>
        <w:t>号楼其他减少系转入投资性房地产。</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9"/>
          <w:szCs w:val="19"/>
        </w:rPr>
      </w:pPr>
    </w:p>
    <w:p>
      <w:pPr>
        <w:pStyle w:val="Heading3"/>
        <w:spacing w:line="240" w:lineRule="auto"/>
        <w:ind w:right="0"/>
        <w:jc w:val="left"/>
        <w:rPr>
          <w:b w:val="0"/>
          <w:bCs w:val="0"/>
        </w:rPr>
      </w:pPr>
      <w:bookmarkStart w:name="（3）本期计提在建工程减值准备情况" w:id="289"/>
      <w:bookmarkEnd w:id="289"/>
      <w:r>
        <w:rPr>
          <w:b w:val="0"/>
          <w:bCs w:val="0"/>
        </w:rPr>
      </w:r>
      <w:r>
        <w:rPr/>
        <w:t>（</w:t>
      </w:r>
      <w:r>
        <w:rPr>
          <w:rFonts w:ascii="Times New Roman" w:hAnsi="Times New Roman" w:cs="Times New Roman" w:eastAsia="Times New Roman" w:hint="default"/>
        </w:rPr>
        <w:t>3</w:t>
      </w:r>
      <w:r>
        <w:rPr/>
        <w:t>）本期计提在建工程减值准备情况</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pStyle w:val="BodyText"/>
        <w:spacing w:line="240" w:lineRule="auto"/>
        <w:ind w:right="0"/>
        <w:jc w:val="left"/>
      </w:pPr>
      <w:r>
        <w:rPr/>
        <w:t>不适用</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0"/>
          <w:szCs w:val="20"/>
        </w:rPr>
      </w:pPr>
    </w:p>
    <w:p>
      <w:pPr>
        <w:pStyle w:val="Heading3"/>
        <w:spacing w:line="240" w:lineRule="auto"/>
        <w:ind w:right="0"/>
        <w:jc w:val="left"/>
        <w:rPr>
          <w:b w:val="0"/>
          <w:bCs w:val="0"/>
        </w:rPr>
      </w:pPr>
      <w:bookmarkStart w:name="21、工程物资" w:id="290"/>
      <w:bookmarkEnd w:id="290"/>
      <w:r>
        <w:rPr>
          <w:b w:val="0"/>
          <w:bCs w:val="0"/>
        </w:rPr>
      </w:r>
      <w:r>
        <w:rPr>
          <w:rFonts w:ascii="Times New Roman" w:hAnsi="Times New Roman" w:cs="Times New Roman" w:eastAsia="Times New Roman" w:hint="default"/>
        </w:rPr>
        <w:t>21</w:t>
      </w:r>
      <w:r>
        <w:rPr/>
        <w:t>、工程物资</w:t>
      </w:r>
      <w:r>
        <w:rPr>
          <w:b w:val="0"/>
          <w:bCs w:val="0"/>
        </w:rPr>
      </w:r>
    </w:p>
    <w:p>
      <w:pPr>
        <w:spacing w:line="240" w:lineRule="auto" w:before="2"/>
        <w:rPr>
          <w:rFonts w:ascii="宋体" w:hAnsi="宋体" w:cs="宋体" w:eastAsia="宋体" w:hint="default"/>
          <w:b/>
          <w:bCs/>
          <w:sz w:val="29"/>
          <w:szCs w:val="29"/>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9"/>
        <w:gridCol w:w="3191"/>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专用材料</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5,371,767.91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4,278,694.41</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5,371,767.91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4,278,694.41</w:t>
            </w:r>
          </w:p>
        </w:tc>
      </w:tr>
    </w:tbl>
    <w:p>
      <w:pPr>
        <w:spacing w:line="240" w:lineRule="auto" w:before="1"/>
        <w:rPr>
          <w:rFonts w:ascii="宋体" w:hAnsi="宋体" w:cs="宋体" w:eastAsia="宋体" w:hint="default"/>
          <w:sz w:val="25"/>
          <w:szCs w:val="25"/>
        </w:rPr>
      </w:pPr>
    </w:p>
    <w:p>
      <w:pPr>
        <w:pStyle w:val="Heading3"/>
        <w:spacing w:line="240" w:lineRule="auto" w:before="35"/>
        <w:ind w:right="0"/>
        <w:jc w:val="left"/>
        <w:rPr>
          <w:b w:val="0"/>
          <w:bCs w:val="0"/>
        </w:rPr>
      </w:pPr>
      <w:bookmarkStart w:name="22、固定资产清理" w:id="291"/>
      <w:bookmarkEnd w:id="291"/>
      <w:r>
        <w:rPr>
          <w:b w:val="0"/>
          <w:bCs w:val="0"/>
        </w:rPr>
      </w:r>
      <w:r>
        <w:rPr>
          <w:rFonts w:ascii="Times New Roman" w:hAnsi="Times New Roman" w:cs="Times New Roman" w:eastAsia="Times New Roman" w:hint="default"/>
        </w:rPr>
        <w:t>22</w:t>
      </w:r>
      <w:r>
        <w:rPr/>
        <w:t>、固定资产清理</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pStyle w:val="BodyText"/>
        <w:spacing w:line="240" w:lineRule="auto"/>
        <w:ind w:right="0"/>
        <w:jc w:val="left"/>
      </w:pPr>
      <w:r>
        <w:rPr/>
        <w:t>不适用</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0"/>
          <w:szCs w:val="20"/>
        </w:rPr>
      </w:pPr>
    </w:p>
    <w:p>
      <w:pPr>
        <w:pStyle w:val="Heading3"/>
        <w:spacing w:line="240" w:lineRule="auto"/>
        <w:ind w:right="0"/>
        <w:jc w:val="left"/>
        <w:rPr>
          <w:b w:val="0"/>
          <w:bCs w:val="0"/>
        </w:rPr>
      </w:pPr>
      <w:bookmarkStart w:name="23、生产性生物资产" w:id="292"/>
      <w:bookmarkEnd w:id="292"/>
      <w:r>
        <w:rPr>
          <w:b w:val="0"/>
          <w:bCs w:val="0"/>
        </w:rPr>
      </w:r>
      <w:r>
        <w:rPr>
          <w:rFonts w:ascii="Times New Roman" w:hAnsi="Times New Roman" w:cs="Times New Roman" w:eastAsia="Times New Roman" w:hint="default"/>
        </w:rPr>
        <w:t>23</w:t>
      </w:r>
      <w:r>
        <w:rPr/>
        <w:t>、生产性生物资产</w:t>
      </w:r>
      <w:r>
        <w:rPr>
          <w:b w:val="0"/>
          <w:bCs w:val="0"/>
        </w:rPr>
      </w:r>
    </w:p>
    <w:p>
      <w:pPr>
        <w:spacing w:line="240" w:lineRule="auto" w:before="0"/>
        <w:rPr>
          <w:rFonts w:ascii="宋体" w:hAnsi="宋体" w:cs="宋体" w:eastAsia="宋体" w:hint="default"/>
          <w:b/>
          <w:bCs/>
          <w:sz w:val="22"/>
          <w:szCs w:val="22"/>
        </w:rPr>
      </w:pPr>
    </w:p>
    <w:p>
      <w:pPr>
        <w:pStyle w:val="Heading3"/>
        <w:spacing w:line="240" w:lineRule="auto" w:before="188"/>
        <w:ind w:left="1133" w:right="0"/>
        <w:jc w:val="left"/>
        <w:rPr>
          <w:b w:val="0"/>
          <w:bCs w:val="0"/>
        </w:rPr>
      </w:pPr>
      <w:bookmarkStart w:name="（1）采用成本计量模式的生产性生物资产" w:id="293"/>
      <w:bookmarkEnd w:id="293"/>
      <w:r>
        <w:rPr>
          <w:b w:val="0"/>
          <w:bCs w:val="0"/>
        </w:rPr>
      </w:r>
      <w:r>
        <w:rPr/>
        <w:t>（</w:t>
      </w:r>
      <w:r>
        <w:rPr>
          <w:rFonts w:ascii="Times New Roman" w:hAnsi="Times New Roman" w:cs="Times New Roman" w:eastAsia="Times New Roman" w:hint="default"/>
        </w:rPr>
        <w:t>1</w:t>
      </w:r>
      <w:r>
        <w:rPr/>
        <w:t>）采用成本计量模式的生产性生物资产</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pStyle w:val="BodyText"/>
        <w:spacing w:line="240" w:lineRule="auto"/>
        <w:ind w:left="113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87" w:footer="640" w:top="1100" w:bottom="840" w:left="0" w:right="0"/>
        </w:sectPr>
      </w:pPr>
    </w:p>
    <w:p>
      <w:pPr>
        <w:spacing w:line="240" w:lineRule="auto" w:before="7"/>
        <w:rPr>
          <w:rFonts w:ascii="宋体" w:hAnsi="宋体" w:cs="宋体" w:eastAsia="宋体" w:hint="default"/>
          <w:sz w:val="27"/>
          <w:szCs w:val="27"/>
        </w:rPr>
      </w:pPr>
    </w:p>
    <w:p>
      <w:pPr>
        <w:pStyle w:val="Heading3"/>
        <w:spacing w:line="240" w:lineRule="auto" w:before="35"/>
        <w:ind w:right="0"/>
        <w:jc w:val="left"/>
        <w:rPr>
          <w:b w:val="0"/>
          <w:bCs w:val="0"/>
        </w:rPr>
      </w:pPr>
      <w:bookmarkStart w:name="（2）采用公允价值计量模式的生产性生物资产" w:id="294"/>
      <w:bookmarkEnd w:id="294"/>
      <w:r>
        <w:rPr>
          <w:b w:val="0"/>
          <w:bCs w:val="0"/>
        </w:rPr>
      </w:r>
      <w:r>
        <w:rPr/>
        <w:t>（</w:t>
      </w:r>
      <w:r>
        <w:rPr>
          <w:rFonts w:ascii="Times New Roman" w:hAnsi="Times New Roman" w:cs="Times New Roman" w:eastAsia="Times New Roman" w:hint="default"/>
        </w:rPr>
        <w:t>2</w:t>
      </w:r>
      <w:r>
        <w:rPr/>
        <w:t>）采用公允价值计量模式的生产性生物资产</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9"/>
          <w:szCs w:val="19"/>
        </w:rPr>
      </w:pPr>
    </w:p>
    <w:p>
      <w:pPr>
        <w:pStyle w:val="Heading3"/>
        <w:spacing w:line="240" w:lineRule="auto"/>
        <w:ind w:left="1133" w:right="0"/>
        <w:jc w:val="left"/>
        <w:rPr>
          <w:b w:val="0"/>
          <w:bCs w:val="0"/>
        </w:rPr>
      </w:pPr>
      <w:bookmarkStart w:name="24、油气资产" w:id="295"/>
      <w:bookmarkEnd w:id="295"/>
      <w:r>
        <w:rPr>
          <w:b w:val="0"/>
          <w:bCs w:val="0"/>
        </w:rPr>
      </w:r>
      <w:r>
        <w:rPr>
          <w:rFonts w:ascii="Times New Roman" w:hAnsi="Times New Roman" w:cs="Times New Roman" w:eastAsia="Times New Roman" w:hint="default"/>
        </w:rPr>
        <w:t>24</w:t>
      </w:r>
      <w:r>
        <w:rPr/>
        <w:t>、油气资产</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9"/>
          <w:szCs w:val="19"/>
        </w:rPr>
      </w:pPr>
    </w:p>
    <w:p>
      <w:pPr>
        <w:pStyle w:val="Heading3"/>
        <w:spacing w:line="240" w:lineRule="auto"/>
        <w:ind w:left="1133" w:right="0"/>
        <w:jc w:val="left"/>
        <w:rPr>
          <w:b w:val="0"/>
          <w:bCs w:val="0"/>
        </w:rPr>
      </w:pPr>
      <w:bookmarkStart w:name="25、无形资产" w:id="296"/>
      <w:bookmarkEnd w:id="296"/>
      <w:r>
        <w:rPr>
          <w:b w:val="0"/>
          <w:bCs w:val="0"/>
        </w:rPr>
      </w:r>
      <w:r>
        <w:rPr>
          <w:rFonts w:ascii="Times New Roman" w:hAnsi="Times New Roman" w:cs="Times New Roman" w:eastAsia="Times New Roman" w:hint="default"/>
        </w:rPr>
        <w:t>25</w:t>
      </w:r>
      <w:r>
        <w:rPr/>
        <w:t>、无形资产</w:t>
      </w:r>
      <w:r>
        <w:rPr>
          <w:b w:val="0"/>
          <w:bCs w:val="0"/>
        </w:rPr>
      </w:r>
    </w:p>
    <w:p>
      <w:pPr>
        <w:spacing w:line="240" w:lineRule="auto" w:before="0"/>
        <w:rPr>
          <w:rFonts w:ascii="宋体" w:hAnsi="宋体" w:cs="宋体" w:eastAsia="宋体" w:hint="default"/>
          <w:b/>
          <w:bCs/>
          <w:sz w:val="22"/>
          <w:szCs w:val="22"/>
        </w:rPr>
      </w:pPr>
    </w:p>
    <w:p>
      <w:pPr>
        <w:pStyle w:val="Heading3"/>
        <w:spacing w:line="240" w:lineRule="auto" w:before="189"/>
        <w:ind w:right="0"/>
        <w:jc w:val="left"/>
        <w:rPr>
          <w:b w:val="0"/>
          <w:bCs w:val="0"/>
        </w:rPr>
      </w:pPr>
      <w:bookmarkStart w:name="（1）无形资产情况" w:id="297"/>
      <w:bookmarkEnd w:id="297"/>
      <w:r>
        <w:rPr>
          <w:b w:val="0"/>
          <w:bCs w:val="0"/>
        </w:rPr>
      </w:r>
      <w:r>
        <w:rPr/>
        <w:t>（</w:t>
      </w:r>
      <w:r>
        <w:rPr>
          <w:rFonts w:ascii="Times New Roman" w:hAnsi="Times New Roman" w:cs="Times New Roman" w:eastAsia="Times New Roman" w:hint="default"/>
        </w:rPr>
        <w:t>1</w:t>
      </w:r>
      <w:r>
        <w:rPr/>
        <w:t>）无形资产情况</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pStyle w:val="BodyText"/>
        <w:spacing w:line="240" w:lineRule="auto"/>
        <w:ind w:right="0"/>
        <w:jc w:val="left"/>
      </w:pPr>
      <w:r>
        <w:rPr/>
        <w:t>公司是否需遵守《深圳证券交易所创业板行业信息披露指引第</w:t>
      </w:r>
      <w:r>
        <w:rPr>
          <w:spacing w:val="-45"/>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上市公司从事互联网游戏业务》的披露要求</w:t>
      </w:r>
    </w:p>
    <w:p>
      <w:pPr>
        <w:spacing w:line="240" w:lineRule="auto" w:before="10"/>
        <w:rPr>
          <w:rFonts w:ascii="宋体" w:hAnsi="宋体" w:cs="宋体" w:eastAsia="宋体" w:hint="default"/>
          <w:sz w:val="19"/>
          <w:szCs w:val="19"/>
        </w:rPr>
      </w:pPr>
    </w:p>
    <w:p>
      <w:pPr>
        <w:pStyle w:val="BodyText"/>
        <w:spacing w:line="240" w:lineRule="auto"/>
        <w:ind w:left="1133"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1"/>
        <w:rPr>
          <w:rFonts w:ascii="宋体" w:hAnsi="宋体" w:cs="宋体" w:eastAsia="宋体" w:hint="default"/>
          <w:sz w:val="19"/>
          <w:szCs w:val="19"/>
        </w:rPr>
      </w:pPr>
    </w:p>
    <w:p>
      <w:pPr>
        <w:pStyle w:val="BodyText"/>
        <w:spacing w:line="240" w:lineRule="auto"/>
        <w:ind w:left="0" w:right="1130"/>
        <w:jc w:val="right"/>
      </w:pPr>
      <w:r>
        <w:rPr/>
        <w:t>单位： 元</w:t>
      </w:r>
    </w:p>
    <w:p>
      <w:pPr>
        <w:spacing w:line="240" w:lineRule="auto" w:before="12"/>
        <w:rPr>
          <w:rFonts w:ascii="宋体" w:hAnsi="宋体" w:cs="宋体" w:eastAsia="宋体" w:hint="default"/>
          <w:sz w:val="13"/>
          <w:szCs w:val="13"/>
        </w:rPr>
      </w:pPr>
    </w:p>
    <w:tbl>
      <w:tblPr>
        <w:tblW w:w="0" w:type="auto"/>
        <w:jc w:val="left"/>
        <w:tblInd w:w="1129" w:type="dxa"/>
        <w:tblLayout w:type="fixed"/>
        <w:tblCellMar>
          <w:top w:w="0" w:type="dxa"/>
          <w:left w:w="0" w:type="dxa"/>
          <w:bottom w:w="0" w:type="dxa"/>
          <w:right w:w="0" w:type="dxa"/>
        </w:tblCellMar>
        <w:tblLook w:val="01E0"/>
      </w:tblPr>
      <w:tblGrid>
        <w:gridCol w:w="1583"/>
        <w:gridCol w:w="1606"/>
        <w:gridCol w:w="1594"/>
        <w:gridCol w:w="1594"/>
        <w:gridCol w:w="1595"/>
        <w:gridCol w:w="1594"/>
      </w:tblGrid>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54"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21"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1"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595" w:type="dxa"/>
            <w:tcBorders>
              <w:top w:val="single" w:sz="4" w:space="0" w:color="000000"/>
              <w:left w:val="single" w:sz="4" w:space="0" w:color="000000"/>
              <w:bottom w:val="single" w:sz="4" w:space="0" w:color="000000"/>
              <w:right w:val="single" w:sz="9" w:space="0" w:color="D2D2D2"/>
            </w:tcBorders>
            <w:shd w:val="clear" w:color="auto" w:fill="E0FFFF"/>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软件</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19,338,308.44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19,338,308.44</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1,395,097.56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1,395,097.56</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1,395,097.56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1,395,097.56</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）内部研</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发</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并增加</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本期减少金额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20,733,406.00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20,733,406.00</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2,528,606.30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2,528,606.30</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2,176,854.80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2,176,854.80</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2,176,854.80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2,176,854.80</w:t>
            </w:r>
          </w:p>
        </w:tc>
      </w:tr>
    </w:tbl>
    <w:p>
      <w:pPr>
        <w:spacing w:after="0" w:line="240" w:lineRule="auto"/>
        <w:jc w:val="right"/>
        <w:rPr>
          <w:rFonts w:ascii="Times New Roman" w:hAnsi="Times New Roman" w:cs="Times New Roman" w:eastAsia="Times New Roman" w:hint="default"/>
          <w:sz w:val="18"/>
          <w:szCs w:val="18"/>
        </w:rPr>
        <w:sectPr>
          <w:footerReference w:type="default" r:id="rId60"/>
          <w:pgSz w:w="11910" w:h="16840"/>
          <w:pgMar w:footer="640" w:header="787" w:top="1100" w:bottom="840" w:left="0" w:right="0"/>
        </w:sectPr>
      </w:pPr>
    </w:p>
    <w:p>
      <w:pPr>
        <w:spacing w:line="240" w:lineRule="auto" w:before="5"/>
        <w:rPr>
          <w:rFonts w:ascii="宋体" w:hAnsi="宋体" w:cs="宋体" w:eastAsia="宋体" w:hint="default"/>
          <w:sz w:val="25"/>
          <w:szCs w:val="25"/>
        </w:rPr>
      </w:pPr>
    </w:p>
    <w:tbl>
      <w:tblPr>
        <w:tblW w:w="0" w:type="auto"/>
        <w:jc w:val="left"/>
        <w:tblInd w:w="1129" w:type="dxa"/>
        <w:tblLayout w:type="fixed"/>
        <w:tblCellMar>
          <w:top w:w="0" w:type="dxa"/>
          <w:left w:w="0" w:type="dxa"/>
          <w:bottom w:w="0" w:type="dxa"/>
          <w:right w:w="0" w:type="dxa"/>
        </w:tblCellMar>
        <w:tblLook w:val="01E0"/>
      </w:tblPr>
      <w:tblGrid>
        <w:gridCol w:w="1583"/>
        <w:gridCol w:w="1606"/>
        <w:gridCol w:w="1594"/>
        <w:gridCol w:w="1594"/>
        <w:gridCol w:w="1595"/>
        <w:gridCol w:w="1594"/>
      </w:tblGrid>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4,705,461.10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4,705,461.10</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值</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16,027,944.90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16,027,944.90</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值</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16,809,702.14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16,809,702.14</w:t>
            </w:r>
          </w:p>
        </w:tc>
      </w:tr>
    </w:tbl>
    <w:p>
      <w:pPr>
        <w:spacing w:line="240" w:lineRule="auto" w:before="6"/>
        <w:rPr>
          <w:rFonts w:ascii="宋体" w:hAnsi="宋体" w:cs="宋体" w:eastAsia="宋体" w:hint="default"/>
          <w:sz w:val="6"/>
          <w:szCs w:val="6"/>
        </w:rPr>
      </w:pPr>
    </w:p>
    <w:p>
      <w:pPr>
        <w:pStyle w:val="BodyText"/>
        <w:spacing w:line="240" w:lineRule="auto" w:before="44"/>
        <w:ind w:right="0"/>
        <w:jc w:val="left"/>
      </w:pPr>
      <w:r>
        <w:rPr/>
        <w:t>本期末通过公司内部研发形成的无形资产占无形资产余额的比例</w:t>
      </w:r>
      <w:r>
        <w:rPr>
          <w:spacing w:val="-45"/>
        </w:rPr>
        <w:t> </w:t>
      </w:r>
      <w:r>
        <w:rPr>
          <w:rFonts w:ascii="Times New Roman" w:hAnsi="Times New Roman" w:cs="Times New Roman" w:eastAsia="Times New Roman" w:hint="default"/>
        </w:rPr>
        <w:t>0.00%</w:t>
      </w:r>
      <w:r>
        <w:rPr/>
        <w:t>。</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9"/>
          <w:szCs w:val="19"/>
        </w:rPr>
      </w:pPr>
    </w:p>
    <w:p>
      <w:pPr>
        <w:pStyle w:val="Heading3"/>
        <w:spacing w:line="240" w:lineRule="auto"/>
        <w:ind w:left="1133" w:right="0"/>
        <w:jc w:val="left"/>
        <w:rPr>
          <w:b w:val="0"/>
          <w:bCs w:val="0"/>
        </w:rPr>
      </w:pPr>
      <w:bookmarkStart w:name="（2）未办妥产权证书的土地使用权情况" w:id="298"/>
      <w:bookmarkEnd w:id="298"/>
      <w:r>
        <w:rPr>
          <w:b w:val="0"/>
          <w:bCs w:val="0"/>
        </w:rPr>
      </w:r>
      <w:r>
        <w:rPr/>
        <w:t>（</w:t>
      </w:r>
      <w:r>
        <w:rPr>
          <w:rFonts w:ascii="Times New Roman" w:hAnsi="Times New Roman" w:cs="Times New Roman" w:eastAsia="Times New Roman" w:hint="default"/>
        </w:rPr>
        <w:t>2</w:t>
      </w:r>
      <w:r>
        <w:rPr/>
        <w:t>）未办妥产权证书的土地使用权情况</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pStyle w:val="BodyText"/>
        <w:spacing w:line="240" w:lineRule="auto"/>
        <w:ind w:left="1133" w:right="0"/>
        <w:jc w:val="left"/>
      </w:pPr>
      <w:r>
        <w:rPr/>
        <w:t>不适用</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0"/>
          <w:szCs w:val="20"/>
        </w:rPr>
      </w:pPr>
    </w:p>
    <w:p>
      <w:pPr>
        <w:pStyle w:val="Heading3"/>
        <w:spacing w:line="240" w:lineRule="auto"/>
        <w:ind w:left="1133" w:right="0"/>
        <w:jc w:val="left"/>
        <w:rPr>
          <w:b w:val="0"/>
          <w:bCs w:val="0"/>
        </w:rPr>
      </w:pPr>
      <w:bookmarkStart w:name="26、开发支出" w:id="299"/>
      <w:bookmarkEnd w:id="299"/>
      <w:r>
        <w:rPr>
          <w:b w:val="0"/>
          <w:bCs w:val="0"/>
        </w:rPr>
      </w:r>
      <w:r>
        <w:rPr>
          <w:rFonts w:ascii="Times New Roman" w:hAnsi="Times New Roman" w:cs="Times New Roman" w:eastAsia="Times New Roman" w:hint="default"/>
        </w:rPr>
        <w:t>26</w:t>
      </w:r>
      <w:r>
        <w:rPr/>
        <w:t>、开发支出</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pStyle w:val="BodyText"/>
        <w:spacing w:line="240" w:lineRule="auto"/>
        <w:ind w:right="0"/>
        <w:jc w:val="left"/>
      </w:pPr>
      <w:r>
        <w:rPr/>
        <w:t>不适用</w:t>
      </w:r>
    </w:p>
    <w:p>
      <w:pPr>
        <w:spacing w:after="0" w:line="240" w:lineRule="auto"/>
        <w:jc w:val="left"/>
        <w:sectPr>
          <w:pgSz w:w="11910" w:h="16840"/>
          <w:pgMar w:header="787" w:footer="640" w:top="1100" w:bottom="840" w:left="0" w:right="0"/>
        </w:sectPr>
      </w:pPr>
    </w:p>
    <w:p>
      <w:pPr>
        <w:spacing w:line="240" w:lineRule="auto" w:before="7"/>
        <w:rPr>
          <w:rFonts w:ascii="宋体" w:hAnsi="宋体" w:cs="宋体" w:eastAsia="宋体" w:hint="default"/>
          <w:sz w:val="27"/>
          <w:szCs w:val="27"/>
        </w:rPr>
      </w:pPr>
    </w:p>
    <w:p>
      <w:pPr>
        <w:pStyle w:val="Heading3"/>
        <w:spacing w:line="240" w:lineRule="auto" w:before="35"/>
        <w:ind w:right="0"/>
        <w:jc w:val="left"/>
        <w:rPr>
          <w:b w:val="0"/>
          <w:bCs w:val="0"/>
        </w:rPr>
      </w:pPr>
      <w:bookmarkStart w:name="27、商誉" w:id="300"/>
      <w:bookmarkEnd w:id="300"/>
      <w:r>
        <w:rPr>
          <w:b w:val="0"/>
          <w:bCs w:val="0"/>
        </w:rPr>
      </w:r>
      <w:r>
        <w:rPr>
          <w:rFonts w:ascii="Times New Roman" w:hAnsi="Times New Roman" w:cs="Times New Roman" w:eastAsia="Times New Roman" w:hint="default"/>
        </w:rPr>
        <w:t>27</w:t>
      </w:r>
      <w:r>
        <w:rPr/>
        <w:t>、商誉</w:t>
      </w:r>
      <w:r>
        <w:rPr>
          <w:b w:val="0"/>
          <w:bCs w:val="0"/>
        </w:rPr>
      </w:r>
    </w:p>
    <w:p>
      <w:pPr>
        <w:spacing w:line="240" w:lineRule="auto" w:before="0"/>
        <w:rPr>
          <w:rFonts w:ascii="宋体" w:hAnsi="宋体" w:cs="宋体" w:eastAsia="宋体" w:hint="default"/>
          <w:b/>
          <w:bCs/>
          <w:sz w:val="22"/>
          <w:szCs w:val="22"/>
        </w:rPr>
      </w:pPr>
    </w:p>
    <w:p>
      <w:pPr>
        <w:pStyle w:val="Heading3"/>
        <w:spacing w:line="240" w:lineRule="auto" w:before="189"/>
        <w:ind w:right="0"/>
        <w:jc w:val="left"/>
        <w:rPr>
          <w:b w:val="0"/>
          <w:bCs w:val="0"/>
        </w:rPr>
      </w:pPr>
      <w:bookmarkStart w:name="（1）商誉账面原值" w:id="301"/>
      <w:bookmarkEnd w:id="301"/>
      <w:r>
        <w:rPr>
          <w:b w:val="0"/>
          <w:bCs w:val="0"/>
        </w:rPr>
      </w:r>
      <w:r>
        <w:rPr/>
        <w:t>（</w:t>
      </w:r>
      <w:r>
        <w:rPr>
          <w:rFonts w:ascii="Times New Roman" w:hAnsi="Times New Roman" w:cs="Times New Roman" w:eastAsia="Times New Roman" w:hint="default"/>
        </w:rPr>
        <w:t>1</w:t>
      </w:r>
      <w:r>
        <w:rPr/>
        <w:t>）商誉账面原值</w:t>
      </w:r>
      <w:r>
        <w:rPr>
          <w:b w:val="0"/>
          <w:bCs w:val="0"/>
        </w:rPr>
      </w:r>
    </w:p>
    <w:p>
      <w:pPr>
        <w:spacing w:line="240" w:lineRule="auto" w:before="2"/>
        <w:rPr>
          <w:rFonts w:ascii="宋体" w:hAnsi="宋体" w:cs="宋体" w:eastAsia="宋体" w:hint="default"/>
          <w:b/>
          <w:bCs/>
          <w:sz w:val="29"/>
          <w:szCs w:val="29"/>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367"/>
        <w:gridCol w:w="1367"/>
        <w:gridCol w:w="1368"/>
        <w:gridCol w:w="1367"/>
        <w:gridCol w:w="1367"/>
        <w:gridCol w:w="1367"/>
        <w:gridCol w:w="1367"/>
      </w:tblGrid>
      <w:tr>
        <w:trPr>
          <w:trHeight w:val="102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8" w:right="47"/>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2"/>
              <w:ind w:left="22" w:right="72"/>
              <w:jc w:val="left"/>
              <w:rPr>
                <w:rFonts w:ascii="宋体" w:hAnsi="宋体" w:cs="宋体" w:eastAsia="宋体" w:hint="default"/>
                <w:sz w:val="18"/>
                <w:szCs w:val="18"/>
              </w:rPr>
            </w:pPr>
            <w:r>
              <w:rPr>
                <w:rFonts w:ascii="宋体" w:hAnsi="宋体" w:cs="宋体" w:eastAsia="宋体" w:hint="default"/>
                <w:sz w:val="18"/>
                <w:szCs w:val="18"/>
              </w:rPr>
              <w:t>深圳市润安科技 发展有限公司</w:t>
            </w:r>
          </w:p>
        </w:tc>
        <w:tc>
          <w:tcPr>
            <w:tcW w:w="1367"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88" w:right="0"/>
              <w:jc w:val="left"/>
              <w:rPr>
                <w:rFonts w:ascii="Times New Roman" w:hAnsi="Times New Roman" w:cs="Times New Roman" w:eastAsia="Times New Roman" w:hint="default"/>
                <w:sz w:val="18"/>
                <w:szCs w:val="18"/>
              </w:rPr>
            </w:pPr>
            <w:r>
              <w:rPr>
                <w:rFonts w:ascii="Times New Roman"/>
                <w:sz w:val="18"/>
              </w:rPr>
              <w:t>47,382,353.08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47,382,353.08</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288" w:right="0"/>
              <w:jc w:val="left"/>
              <w:rPr>
                <w:rFonts w:ascii="Times New Roman" w:hAnsi="Times New Roman" w:cs="Times New Roman" w:eastAsia="Times New Roman" w:hint="default"/>
                <w:sz w:val="18"/>
                <w:szCs w:val="18"/>
              </w:rPr>
            </w:pPr>
            <w:r>
              <w:rPr>
                <w:rFonts w:ascii="Times New Roman"/>
                <w:sz w:val="18"/>
              </w:rPr>
              <w:t>47,382,353.08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00" w:right="0"/>
              <w:jc w:val="left"/>
              <w:rPr>
                <w:rFonts w:ascii="Times New Roman" w:hAnsi="Times New Roman" w:cs="Times New Roman" w:eastAsia="Times New Roman" w:hint="default"/>
                <w:sz w:val="18"/>
                <w:szCs w:val="18"/>
              </w:rPr>
            </w:pPr>
            <w:r>
              <w:rPr>
                <w:rFonts w:ascii="Times New Roman"/>
                <w:sz w:val="18"/>
              </w:rPr>
              <w:t>47,382,353.08</w:t>
            </w:r>
          </w:p>
        </w:tc>
      </w:tr>
    </w:tbl>
    <w:p>
      <w:pPr>
        <w:spacing w:line="240" w:lineRule="auto" w:before="1"/>
        <w:rPr>
          <w:rFonts w:ascii="宋体" w:hAnsi="宋体" w:cs="宋体" w:eastAsia="宋体" w:hint="default"/>
          <w:sz w:val="25"/>
          <w:szCs w:val="25"/>
        </w:rPr>
      </w:pPr>
    </w:p>
    <w:p>
      <w:pPr>
        <w:pStyle w:val="Heading3"/>
        <w:spacing w:line="240" w:lineRule="auto" w:before="35"/>
        <w:ind w:right="0"/>
        <w:jc w:val="left"/>
        <w:rPr>
          <w:b w:val="0"/>
          <w:bCs w:val="0"/>
        </w:rPr>
      </w:pPr>
      <w:bookmarkStart w:name="（2）商誉减值准备" w:id="302"/>
      <w:bookmarkEnd w:id="302"/>
      <w:r>
        <w:rPr>
          <w:b w:val="0"/>
          <w:bCs w:val="0"/>
        </w:rPr>
      </w:r>
      <w:r>
        <w:rPr/>
        <w:t>（</w:t>
      </w:r>
      <w:r>
        <w:rPr>
          <w:rFonts w:ascii="Times New Roman" w:hAnsi="Times New Roman" w:cs="Times New Roman" w:eastAsia="Times New Roman" w:hint="default"/>
        </w:rPr>
        <w:t>2</w:t>
      </w:r>
      <w:r>
        <w:rPr/>
        <w:t>）商誉减值准备</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pStyle w:val="BodyText"/>
        <w:spacing w:line="516" w:lineRule="auto"/>
        <w:ind w:right="6072"/>
        <w:jc w:val="left"/>
      </w:pPr>
      <w:r>
        <w:rPr/>
        <w:t>不适用 说明商誉减值测试过程、参数及商誉减值损失的确认方法：</w:t>
      </w:r>
    </w:p>
    <w:p>
      <w:pPr>
        <w:pStyle w:val="BodyText"/>
        <w:spacing w:line="465" w:lineRule="auto" w:before="64"/>
        <w:ind w:left="1133" w:right="1130" w:firstLine="360"/>
        <w:jc w:val="both"/>
      </w:pPr>
      <w:r>
        <w:rPr>
          <w:spacing w:val="-2"/>
        </w:rPr>
        <w:t>商誉的可收回金额按照预计未来现金流量的现值计算，采用的折现率是反映当前市场货币时间价值和相关资产组特定风</w:t>
      </w:r>
      <w:r>
        <w:rPr/>
        <w:t> 险的税前利率，现金流量预测使用的折现率 </w:t>
      </w:r>
      <w:r>
        <w:rPr>
          <w:rFonts w:ascii="Times New Roman" w:hAnsi="Times New Roman" w:cs="Times New Roman" w:eastAsia="Times New Roman" w:hint="default"/>
        </w:rPr>
        <w:t>10%</w:t>
      </w:r>
      <w:r>
        <w:rPr/>
        <w:t>，预测期以后的现金流量根据增长率</w:t>
      </w:r>
      <w:r>
        <w:rPr>
          <w:spacing w:val="-22"/>
        </w:rPr>
        <w:t> </w:t>
      </w:r>
      <w:r>
        <w:rPr>
          <w:rFonts w:ascii="Times New Roman" w:hAnsi="Times New Roman" w:cs="Times New Roman" w:eastAsia="Times New Roman" w:hint="default"/>
        </w:rPr>
        <w:t>10%</w:t>
      </w:r>
      <w:r>
        <w:rPr/>
        <w:t>推断得出，该增长率和相关行业 总体长期平均增长率相当。减值测试中采用的其他关键数据包括：产品预计售价、销量、生产成本及其他相关费用。</w:t>
      </w:r>
    </w:p>
    <w:p>
      <w:pPr>
        <w:pStyle w:val="BodyText"/>
        <w:spacing w:line="516" w:lineRule="auto" w:before="104"/>
        <w:ind w:left="1404" w:right="5802"/>
        <w:jc w:val="left"/>
      </w:pPr>
      <w:r>
        <w:rPr/>
        <w:t>公司根据历史经验及对市场发展的预测确定上述关键数据。 上述对可收回金额的预计表明商誉并未出现减值损失。</w:t>
      </w:r>
    </w:p>
    <w:p>
      <w:pPr>
        <w:spacing w:line="240" w:lineRule="auto" w:before="11"/>
        <w:rPr>
          <w:rFonts w:ascii="宋体" w:hAnsi="宋体" w:cs="宋体" w:eastAsia="宋体" w:hint="default"/>
          <w:sz w:val="16"/>
          <w:szCs w:val="16"/>
        </w:rPr>
      </w:pPr>
    </w:p>
    <w:p>
      <w:pPr>
        <w:pStyle w:val="Heading3"/>
        <w:spacing w:line="240" w:lineRule="auto"/>
        <w:ind w:right="0"/>
        <w:jc w:val="left"/>
        <w:rPr>
          <w:b w:val="0"/>
          <w:bCs w:val="0"/>
        </w:rPr>
      </w:pPr>
      <w:bookmarkStart w:name="28、长期待摊费用" w:id="303"/>
      <w:bookmarkEnd w:id="303"/>
      <w:r>
        <w:rPr>
          <w:b w:val="0"/>
          <w:bCs w:val="0"/>
        </w:rPr>
      </w:r>
      <w:r>
        <w:rPr>
          <w:rFonts w:ascii="Times New Roman" w:hAnsi="Times New Roman" w:cs="Times New Roman" w:eastAsia="Times New Roman" w:hint="default"/>
        </w:rPr>
        <w:t>28</w:t>
      </w:r>
      <w:r>
        <w:rPr/>
        <w:t>、长期待摊费用</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594"/>
        <w:gridCol w:w="1596"/>
        <w:gridCol w:w="1595"/>
        <w:gridCol w:w="1594"/>
        <w:gridCol w:w="1594"/>
        <w:gridCol w:w="1595"/>
      </w:tblGrid>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1"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2"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装修费</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2,569,766.59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1,118,194.24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952,710.40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2,735,250.43</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2,569,766.59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1,118,194.24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952,710.40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2,735,250.43</w:t>
            </w:r>
          </w:p>
        </w:tc>
      </w:tr>
    </w:tbl>
    <w:p>
      <w:pPr>
        <w:spacing w:line="240" w:lineRule="auto" w:before="1"/>
        <w:rPr>
          <w:rFonts w:ascii="宋体" w:hAnsi="宋体" w:cs="宋体" w:eastAsia="宋体" w:hint="default"/>
          <w:sz w:val="25"/>
          <w:szCs w:val="25"/>
        </w:rPr>
      </w:pPr>
    </w:p>
    <w:p>
      <w:pPr>
        <w:pStyle w:val="Heading3"/>
        <w:spacing w:line="240" w:lineRule="auto" w:before="35"/>
        <w:ind w:right="0"/>
        <w:jc w:val="left"/>
        <w:rPr>
          <w:b w:val="0"/>
          <w:bCs w:val="0"/>
        </w:rPr>
      </w:pPr>
      <w:bookmarkStart w:name="29、递延所得税资产/递延所得税负债" w:id="304"/>
      <w:bookmarkEnd w:id="304"/>
      <w:r>
        <w:rPr>
          <w:b w:val="0"/>
          <w:bCs w:val="0"/>
        </w:rPr>
      </w:r>
      <w:r>
        <w:rPr>
          <w:rFonts w:ascii="Times New Roman" w:hAnsi="Times New Roman" w:cs="Times New Roman" w:eastAsia="Times New Roman" w:hint="default"/>
        </w:rPr>
        <w:t>29</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0"/>
        <w:rPr>
          <w:rFonts w:ascii="宋体" w:hAnsi="宋体" w:cs="宋体" w:eastAsia="宋体" w:hint="default"/>
          <w:b/>
          <w:bCs/>
          <w:sz w:val="22"/>
          <w:szCs w:val="22"/>
        </w:rPr>
      </w:pPr>
    </w:p>
    <w:p>
      <w:pPr>
        <w:pStyle w:val="Heading3"/>
        <w:spacing w:line="240" w:lineRule="auto" w:before="189"/>
        <w:ind w:left="1133" w:right="0"/>
        <w:jc w:val="left"/>
        <w:rPr>
          <w:b w:val="0"/>
          <w:bCs w:val="0"/>
        </w:rPr>
      </w:pPr>
      <w:bookmarkStart w:name="（1）未经抵销的递延所得税资产" w:id="305"/>
      <w:bookmarkEnd w:id="305"/>
      <w:r>
        <w:rPr>
          <w:b w:val="0"/>
          <w:bCs w:val="0"/>
        </w:rPr>
      </w: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5"/>
          <w:szCs w:val="15"/>
        </w:rPr>
      </w:pPr>
    </w:p>
    <w:p>
      <w:pPr>
        <w:pStyle w:val="BodyText"/>
        <w:spacing w:line="240" w:lineRule="auto" w:before="44"/>
        <w:ind w:left="0" w:right="1130"/>
        <w:jc w:val="right"/>
      </w:pPr>
      <w:r>
        <w:rPr/>
        <w:t>单位： 元</w:t>
      </w:r>
    </w:p>
    <w:p>
      <w:pPr>
        <w:spacing w:line="240" w:lineRule="auto" w:before="12"/>
        <w:rPr>
          <w:rFonts w:ascii="宋体" w:hAnsi="宋体" w:cs="宋体" w:eastAsia="宋体" w:hint="default"/>
          <w:sz w:val="13"/>
          <w:szCs w:val="13"/>
        </w:rPr>
      </w:pPr>
    </w:p>
    <w:tbl>
      <w:tblPr>
        <w:tblW w:w="0" w:type="auto"/>
        <w:jc w:val="left"/>
        <w:tblInd w:w="1129" w:type="dxa"/>
        <w:tblLayout w:type="fixed"/>
        <w:tblCellMar>
          <w:top w:w="0" w:type="dxa"/>
          <w:left w:w="0" w:type="dxa"/>
          <w:bottom w:w="0" w:type="dxa"/>
          <w:right w:w="0" w:type="dxa"/>
        </w:tblCellMar>
        <w:tblLook w:val="01E0"/>
      </w:tblPr>
      <w:tblGrid>
        <w:gridCol w:w="1912"/>
        <w:gridCol w:w="3831"/>
        <w:gridCol w:w="3817"/>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787" w:footer="640" w:top="1100" w:bottom="840" w:left="0" w:right="0"/>
        </w:sectPr>
      </w:pPr>
    </w:p>
    <w:p>
      <w:pPr>
        <w:spacing w:line="240" w:lineRule="auto" w:before="5"/>
        <w:rPr>
          <w:rFonts w:ascii="宋体" w:hAnsi="宋体" w:cs="宋体" w:eastAsia="宋体" w:hint="default"/>
          <w:sz w:val="25"/>
          <w:szCs w:val="25"/>
        </w:rPr>
      </w:pPr>
    </w:p>
    <w:tbl>
      <w:tblPr>
        <w:tblW w:w="0" w:type="auto"/>
        <w:jc w:val="left"/>
        <w:tblInd w:w="112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3"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25,711,871.15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3,856,689.21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25,730,427.21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3,882,453.37</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188,923.20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28,338.48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265,956.27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39,893.44</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330,000.00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股权激励费用</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6,024,140.00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903,621.00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6,601,520.00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990,228.00</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不征税收入用于支出所 形成的费用</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1,452,417.05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217,862.56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1,544,120.34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231,618.05</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35,777,351.40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5,366,511.25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36,342,023.82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5,474,192.86</w:t>
            </w:r>
          </w:p>
        </w:tc>
      </w:tr>
    </w:tbl>
    <w:p>
      <w:pPr>
        <w:spacing w:line="240" w:lineRule="auto" w:before="1"/>
        <w:rPr>
          <w:rFonts w:ascii="宋体" w:hAnsi="宋体" w:cs="宋体" w:eastAsia="宋体" w:hint="default"/>
          <w:sz w:val="25"/>
          <w:szCs w:val="25"/>
        </w:rPr>
      </w:pPr>
    </w:p>
    <w:p>
      <w:pPr>
        <w:pStyle w:val="Heading3"/>
        <w:spacing w:line="240" w:lineRule="auto" w:before="35"/>
        <w:ind w:right="0"/>
        <w:jc w:val="left"/>
        <w:rPr>
          <w:b w:val="0"/>
          <w:bCs w:val="0"/>
        </w:rPr>
      </w:pPr>
      <w:bookmarkStart w:name="（2）未经抵销的递延所得税负债" w:id="306"/>
      <w:bookmarkEnd w:id="306"/>
      <w:r>
        <w:rPr>
          <w:b w:val="0"/>
          <w:bCs w:val="0"/>
        </w:rPr>
      </w: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pStyle w:val="BodyText"/>
        <w:spacing w:line="240" w:lineRule="auto"/>
        <w:ind w:right="0"/>
        <w:jc w:val="left"/>
      </w:pPr>
      <w:r>
        <w:rPr/>
        <w:t>不适用</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0"/>
          <w:szCs w:val="20"/>
        </w:rPr>
      </w:pPr>
    </w:p>
    <w:p>
      <w:pPr>
        <w:pStyle w:val="Heading3"/>
        <w:spacing w:line="240" w:lineRule="auto"/>
        <w:ind w:right="0"/>
        <w:jc w:val="left"/>
        <w:rPr>
          <w:b w:val="0"/>
          <w:bCs w:val="0"/>
        </w:rPr>
      </w:pPr>
      <w:bookmarkStart w:name="（3）以抵销后净额列示的递延所得税资产或负债" w:id="307"/>
      <w:bookmarkEnd w:id="307"/>
      <w:r>
        <w:rPr>
          <w:b w:val="0"/>
          <w:bCs w:val="0"/>
        </w:rPr>
      </w:r>
      <w:r>
        <w:rPr/>
        <w:t>（</w:t>
      </w:r>
      <w:r>
        <w:rPr>
          <w:rFonts w:ascii="Times New Roman" w:hAnsi="Times New Roman" w:cs="Times New Roman" w:eastAsia="Times New Roman" w:hint="default"/>
        </w:rPr>
        <w:t>3</w:t>
      </w:r>
      <w:r>
        <w:rPr/>
        <w:t>）以抵销后净额列示的递延所得税资产或负债</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15"/>
          <w:szCs w:val="15"/>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14"/>
          <w:szCs w:val="14"/>
        </w:rPr>
      </w:pPr>
    </w:p>
    <w:tbl>
      <w:tblPr>
        <w:tblW w:w="0" w:type="auto"/>
        <w:jc w:val="left"/>
        <w:tblInd w:w="1140" w:type="dxa"/>
        <w:tblLayout w:type="fixed"/>
        <w:tblCellMar>
          <w:top w:w="0" w:type="dxa"/>
          <w:left w:w="0" w:type="dxa"/>
          <w:bottom w:w="0" w:type="dxa"/>
          <w:right w:w="0" w:type="dxa"/>
        </w:tblCellMar>
        <w:tblLook w:val="01E0"/>
      </w:tblPr>
      <w:tblGrid>
        <w:gridCol w:w="1913"/>
        <w:gridCol w:w="1905"/>
        <w:gridCol w:w="1914"/>
        <w:gridCol w:w="1914"/>
        <w:gridCol w:w="1903"/>
      </w:tblGrid>
      <w:tr>
        <w:trPr>
          <w:trHeight w:val="161" w:hRule="exact"/>
        </w:trPr>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0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401"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321" w:right="50"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411"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0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321" w:right="39"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392" w:hRule="exact"/>
        </w:trPr>
        <w:tc>
          <w:tcPr>
            <w:tcW w:w="19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2"/>
              <w:jc w:val="center"/>
              <w:rPr>
                <w:rFonts w:ascii="宋体" w:hAnsi="宋体" w:cs="宋体" w:eastAsia="宋体" w:hint="default"/>
                <w:sz w:val="18"/>
                <w:szCs w:val="18"/>
              </w:rPr>
            </w:pPr>
            <w:r>
              <w:rPr>
                <w:rFonts w:ascii="宋体" w:hAnsi="宋体" w:cs="宋体" w:eastAsia="宋体" w:hint="default"/>
                <w:sz w:val="18"/>
                <w:szCs w:val="18"/>
              </w:rPr>
              <w:t>项目</w:t>
            </w:r>
          </w:p>
        </w:tc>
        <w:tc>
          <w:tcPr>
            <w:tcW w:w="1905"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03" w:type="dxa"/>
            <w:vMerge/>
            <w:tcBorders>
              <w:left w:val="single" w:sz="4" w:space="0" w:color="000000"/>
              <w:right w:val="single" w:sz="4" w:space="0" w:color="000000"/>
            </w:tcBorders>
            <w:shd w:val="clear" w:color="auto" w:fill="D2D2D2"/>
          </w:tcPr>
          <w:p>
            <w:pPr/>
          </w:p>
        </w:tc>
      </w:tr>
      <w:tr>
        <w:trPr>
          <w:trHeight w:val="161" w:hRule="exact"/>
        </w:trPr>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05"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0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05"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42" w:right="0"/>
              <w:jc w:val="left"/>
              <w:rPr>
                <w:rFonts w:ascii="Times New Roman" w:hAnsi="Times New Roman" w:cs="Times New Roman" w:eastAsia="Times New Roman" w:hint="default"/>
                <w:sz w:val="18"/>
                <w:szCs w:val="18"/>
              </w:rPr>
            </w:pPr>
            <w:r>
              <w:rPr>
                <w:rFonts w:ascii="Times New Roman"/>
                <w:sz w:val="18"/>
              </w:rPr>
              <w:t>5,366,511.25</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6" w:right="0"/>
              <w:jc w:val="left"/>
              <w:rPr>
                <w:rFonts w:ascii="Times New Roman" w:hAnsi="Times New Roman" w:cs="Times New Roman" w:eastAsia="Times New Roman" w:hint="default"/>
                <w:sz w:val="18"/>
                <w:szCs w:val="18"/>
              </w:rPr>
            </w:pPr>
            <w:r>
              <w:rPr>
                <w:rFonts w:ascii="Times New Roman"/>
                <w:sz w:val="18"/>
              </w:rPr>
              <w:t>5,474,192.86</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4）未确认递延所得税资产明细" w:id="308"/>
      <w:bookmarkEnd w:id="308"/>
      <w:r>
        <w:rPr>
          <w:b w:val="0"/>
          <w:bCs w:val="0"/>
        </w:rPr>
      </w:r>
      <w:r>
        <w:rPr/>
        <w:t>（</w:t>
      </w:r>
      <w:r>
        <w:rPr>
          <w:rFonts w:ascii="Times New Roman" w:hAnsi="Times New Roman" w:cs="Times New Roman" w:eastAsia="Times New Roman" w:hint="default"/>
        </w:rPr>
        <w:t>4</w:t>
      </w:r>
      <w:r>
        <w:rPr/>
        <w:t>）未确认递延所得税资产明细</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4,138,614.09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4,968,660.74</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4,953,932.08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4,198,326.87</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9,092,546.17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9,166,987.61</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5）未确认递延所得税资产的可抵扣亏损将于以下年度到期" w:id="309"/>
      <w:bookmarkEnd w:id="309"/>
      <w:r>
        <w:rPr>
          <w:b w:val="0"/>
          <w:bCs w:val="0"/>
        </w:rPr>
      </w:r>
      <w:r>
        <w:rPr/>
        <w:t>（</w:t>
      </w:r>
      <w:r>
        <w:rPr>
          <w:rFonts w:ascii="Times New Roman" w:hAnsi="Times New Roman" w:cs="Times New Roman" w:eastAsia="Times New Roman" w:hint="default"/>
        </w:rPr>
        <w:t>5</w:t>
      </w:r>
      <w:r>
        <w:rPr/>
        <w:t>）未确认递延所得税资产的可抵扣亏损将于以下年度到期</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2390"/>
        <w:gridCol w:w="2396"/>
        <w:gridCol w:w="2392"/>
        <w:gridCol w:w="2392"/>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209,972.87</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781,823.49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781,823.49</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692,663.92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692,663.92</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1,132,370.64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1,153,745.16</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1,223,646.05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1,360,121.43</w:t>
            </w:r>
          </w:p>
        </w:tc>
        <w:tc>
          <w:tcPr>
            <w:tcW w:w="239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87" w:footer="640" w:top="1100" w:bottom="840" w:left="0" w:right="0"/>
        </w:sectPr>
      </w:pPr>
    </w:p>
    <w:p>
      <w:pPr>
        <w:spacing w:line="240" w:lineRule="auto" w:before="5"/>
        <w:rPr>
          <w:rFonts w:ascii="宋体" w:hAnsi="宋体" w:cs="宋体" w:eastAsia="宋体" w:hint="default"/>
          <w:sz w:val="25"/>
          <w:szCs w:val="25"/>
        </w:rPr>
      </w:pPr>
    </w:p>
    <w:tbl>
      <w:tblPr>
        <w:tblW w:w="0" w:type="auto"/>
        <w:jc w:val="left"/>
        <w:tblInd w:w="1129" w:type="dxa"/>
        <w:tblLayout w:type="fixed"/>
        <w:tblCellMar>
          <w:top w:w="0" w:type="dxa"/>
          <w:left w:w="0" w:type="dxa"/>
          <w:bottom w:w="0" w:type="dxa"/>
          <w:right w:w="0" w:type="dxa"/>
        </w:tblCellMar>
        <w:tblLook w:val="01E0"/>
      </w:tblPr>
      <w:tblGrid>
        <w:gridCol w:w="2390"/>
        <w:gridCol w:w="2396"/>
        <w:gridCol w:w="2392"/>
        <w:gridCol w:w="2392"/>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1,123,427.98</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4,953,932.08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14" w:right="0"/>
              <w:jc w:val="left"/>
              <w:rPr>
                <w:rFonts w:ascii="Times New Roman" w:hAnsi="Times New Roman" w:cs="Times New Roman" w:eastAsia="Times New Roman" w:hint="default"/>
                <w:sz w:val="18"/>
                <w:szCs w:val="18"/>
              </w:rPr>
            </w:pPr>
            <w:r>
              <w:rPr>
                <w:rFonts w:ascii="Times New Roman"/>
                <w:sz w:val="18"/>
              </w:rPr>
              <w:t>4,198,326.87</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0、其他非流动资产" w:id="310"/>
      <w:bookmarkEnd w:id="310"/>
      <w:r>
        <w:rPr>
          <w:b w:val="0"/>
          <w:bCs w:val="0"/>
        </w:rPr>
      </w:r>
      <w:r>
        <w:rPr>
          <w:rFonts w:ascii="Times New Roman" w:hAnsi="Times New Roman" w:cs="Times New Roman" w:eastAsia="Times New Roman" w:hint="default"/>
        </w:rPr>
        <w:t>30</w:t>
      </w:r>
      <w:r>
        <w:rPr/>
        <w:t>、其他非流动资产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预付长期资产款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1,470,152.50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417,000.00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1,470,152.50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417,000.00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1、短期借款" w:id="311"/>
      <w:bookmarkEnd w:id="311"/>
      <w:r>
        <w:rPr>
          <w:b w:val="0"/>
          <w:bCs w:val="0"/>
        </w:rPr>
      </w:r>
      <w:r>
        <w:rPr>
          <w:rFonts w:ascii="Times New Roman" w:hAnsi="Times New Roman" w:cs="Times New Roman" w:eastAsia="Times New Roman" w:hint="default"/>
        </w:rPr>
        <w:t>31</w:t>
      </w:r>
      <w:r>
        <w:rPr/>
        <w:t>、短期借款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短期借款分类" w:id="312"/>
      <w:bookmarkEnd w:id="312"/>
      <w:r>
        <w:rPr>
          <w:b w:val="0"/>
          <w:bCs w:val="0"/>
        </w:rPr>
      </w:r>
      <w:r>
        <w:rPr/>
        <w:t>（</w:t>
      </w:r>
      <w:r>
        <w:rPr>
          <w:rFonts w:ascii="Times New Roman" w:hAnsi="Times New Roman" w:cs="Times New Roman" w:eastAsia="Times New Roman" w:hint="default"/>
        </w:rPr>
        <w:t>1</w:t>
      </w:r>
      <w:r>
        <w:rPr/>
        <w:t>）短期借款分类</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3206" w:type="dxa"/>
            <w:tcBorders>
              <w:top w:val="single" w:sz="4" w:space="0" w:color="000000"/>
              <w:left w:val="single" w:sz="13" w:space="0" w:color="D2D2D2"/>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6,000,000.00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2,800,000.00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7,450,000.00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2,000,000.00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19,450,000.00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10,800,000.00</w:t>
            </w:r>
          </w:p>
        </w:tc>
      </w:tr>
    </w:tbl>
    <w:p>
      <w:pPr>
        <w:spacing w:line="240" w:lineRule="auto" w:before="1"/>
        <w:rPr>
          <w:rFonts w:ascii="宋体" w:hAnsi="宋体" w:cs="宋体" w:eastAsia="宋体" w:hint="default"/>
          <w:sz w:val="25"/>
          <w:szCs w:val="25"/>
        </w:rPr>
      </w:pPr>
    </w:p>
    <w:p>
      <w:pPr>
        <w:pStyle w:val="Heading3"/>
        <w:spacing w:line="240" w:lineRule="auto" w:before="35"/>
        <w:ind w:right="0"/>
        <w:jc w:val="left"/>
        <w:rPr>
          <w:b w:val="0"/>
          <w:bCs w:val="0"/>
        </w:rPr>
      </w:pPr>
      <w:bookmarkStart w:name="（2）已逾期未偿还的短期借款情况" w:id="313"/>
      <w:bookmarkEnd w:id="313"/>
      <w:r>
        <w:rPr>
          <w:b w:val="0"/>
          <w:bCs w:val="0"/>
        </w:rPr>
      </w:r>
      <w:r>
        <w:rPr/>
        <w:t>（</w:t>
      </w:r>
      <w:r>
        <w:rPr>
          <w:rFonts w:ascii="Times New Roman" w:hAnsi="Times New Roman" w:cs="Times New Roman" w:eastAsia="Times New Roman" w:hint="default"/>
        </w:rPr>
        <w:t>2</w:t>
      </w:r>
      <w:r>
        <w:rPr/>
        <w:t>）已逾期未偿还的短期借款情况</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pStyle w:val="BodyText"/>
        <w:spacing w:line="240" w:lineRule="auto"/>
        <w:ind w:right="0"/>
        <w:jc w:val="left"/>
      </w:pPr>
      <w:r>
        <w:rPr/>
        <w:t>不适用</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0"/>
          <w:szCs w:val="20"/>
        </w:rPr>
      </w:pPr>
    </w:p>
    <w:p>
      <w:pPr>
        <w:pStyle w:val="Heading3"/>
        <w:spacing w:line="240" w:lineRule="auto"/>
        <w:ind w:right="0"/>
        <w:jc w:val="left"/>
        <w:rPr>
          <w:b w:val="0"/>
          <w:bCs w:val="0"/>
        </w:rPr>
      </w:pPr>
      <w:bookmarkStart w:name="32、以公允价值计量且其变动计入当期损益的金融负债" w:id="314"/>
      <w:bookmarkEnd w:id="314"/>
      <w:r>
        <w:rPr>
          <w:b w:val="0"/>
          <w:bCs w:val="0"/>
        </w:rPr>
      </w:r>
      <w:r>
        <w:rPr>
          <w:rFonts w:ascii="Times New Roman" w:hAnsi="Times New Roman" w:cs="Times New Roman" w:eastAsia="Times New Roman" w:hint="default"/>
        </w:rPr>
        <w:t>32</w:t>
      </w:r>
      <w:r>
        <w:rPr/>
        <w:t>、以公允价值计量且其变动计入当期损益的金融负债</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pStyle w:val="BodyText"/>
        <w:spacing w:line="240" w:lineRule="auto"/>
        <w:ind w:left="1133" w:right="0"/>
        <w:jc w:val="left"/>
      </w:pPr>
      <w:r>
        <w:rPr/>
        <w:t>不适用</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0"/>
          <w:szCs w:val="20"/>
        </w:rPr>
      </w:pPr>
    </w:p>
    <w:p>
      <w:pPr>
        <w:pStyle w:val="Heading3"/>
        <w:spacing w:line="240" w:lineRule="auto"/>
        <w:ind w:left="1133" w:right="0"/>
        <w:jc w:val="left"/>
        <w:rPr>
          <w:b w:val="0"/>
          <w:bCs w:val="0"/>
        </w:rPr>
      </w:pPr>
      <w:bookmarkStart w:name="33、衍生金融负债" w:id="315"/>
      <w:bookmarkEnd w:id="315"/>
      <w:r>
        <w:rPr>
          <w:b w:val="0"/>
          <w:bCs w:val="0"/>
        </w:rPr>
      </w:r>
      <w:r>
        <w:rPr>
          <w:rFonts w:ascii="Times New Roman" w:hAnsi="Times New Roman" w:cs="Times New Roman" w:eastAsia="Times New Roman" w:hint="default"/>
        </w:rPr>
        <w:t>33</w:t>
      </w:r>
      <w:r>
        <w:rPr/>
        <w:t>、衍生金融负债</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9"/>
          <w:szCs w:val="19"/>
        </w:rPr>
      </w:pPr>
    </w:p>
    <w:p>
      <w:pPr>
        <w:pStyle w:val="Heading3"/>
        <w:spacing w:line="240" w:lineRule="auto"/>
        <w:ind w:left="1133" w:right="0"/>
        <w:jc w:val="left"/>
        <w:rPr>
          <w:b w:val="0"/>
          <w:bCs w:val="0"/>
        </w:rPr>
      </w:pPr>
      <w:bookmarkStart w:name="34、应付票据" w:id="316"/>
      <w:bookmarkEnd w:id="316"/>
      <w:r>
        <w:rPr>
          <w:b w:val="0"/>
          <w:bCs w:val="0"/>
        </w:rPr>
      </w:r>
      <w:r>
        <w:rPr>
          <w:rFonts w:ascii="Times New Roman" w:hAnsi="Times New Roman" w:cs="Times New Roman" w:eastAsia="Times New Roman" w:hint="default"/>
        </w:rPr>
        <w:t>34</w:t>
      </w:r>
      <w:r>
        <w:rPr/>
        <w:t>、应付票据</w:t>
      </w:r>
      <w:r>
        <w:rPr>
          <w:b w:val="0"/>
          <w:bCs w:val="0"/>
        </w:rPr>
      </w:r>
    </w:p>
    <w:p>
      <w:pPr>
        <w:spacing w:line="240" w:lineRule="auto" w:before="2"/>
        <w:rPr>
          <w:rFonts w:ascii="宋体" w:hAnsi="宋体" w:cs="宋体" w:eastAsia="宋体" w:hint="default"/>
          <w:b/>
          <w:bCs/>
          <w:sz w:val="29"/>
          <w:szCs w:val="29"/>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77"/>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787" w:footer="640" w:top="1100" w:bottom="840" w:left="0" w:right="0"/>
        </w:sectPr>
      </w:pPr>
    </w:p>
    <w:p>
      <w:pPr>
        <w:spacing w:line="240" w:lineRule="auto" w:before="5"/>
        <w:rPr>
          <w:rFonts w:ascii="宋体" w:hAnsi="宋体" w:cs="宋体" w:eastAsia="宋体" w:hint="default"/>
          <w:sz w:val="25"/>
          <w:szCs w:val="25"/>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12,648,542.00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12,648,542.00</w:t>
            </w:r>
          </w:p>
        </w:tc>
      </w:tr>
    </w:tbl>
    <w:p>
      <w:pPr>
        <w:spacing w:line="240" w:lineRule="auto" w:before="6"/>
        <w:rPr>
          <w:rFonts w:ascii="宋体" w:hAnsi="宋体" w:cs="宋体" w:eastAsia="宋体" w:hint="default"/>
          <w:sz w:val="6"/>
          <w:szCs w:val="6"/>
        </w:rPr>
      </w:pPr>
    </w:p>
    <w:p>
      <w:pPr>
        <w:pStyle w:val="BodyText"/>
        <w:spacing w:line="240" w:lineRule="auto" w:before="44"/>
        <w:ind w:right="0"/>
        <w:jc w:val="left"/>
      </w:pPr>
      <w:r>
        <w:rPr/>
        <w:t>本期末已到期未支付的应付票据总额为</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9"/>
        </w:rPr>
        <w:t> </w:t>
      </w:r>
      <w:r>
        <w:rPr/>
        <w:t>元。</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9"/>
          <w:szCs w:val="19"/>
        </w:rPr>
      </w:pPr>
    </w:p>
    <w:p>
      <w:pPr>
        <w:pStyle w:val="Heading3"/>
        <w:spacing w:line="240" w:lineRule="auto"/>
        <w:ind w:left="1133" w:right="0"/>
        <w:jc w:val="left"/>
        <w:rPr>
          <w:b w:val="0"/>
          <w:bCs w:val="0"/>
        </w:rPr>
      </w:pPr>
      <w:bookmarkStart w:name="35、应付账款" w:id="317"/>
      <w:bookmarkEnd w:id="317"/>
      <w:r>
        <w:rPr>
          <w:b w:val="0"/>
          <w:bCs w:val="0"/>
        </w:rPr>
      </w:r>
      <w:r>
        <w:rPr>
          <w:rFonts w:ascii="Times New Roman" w:hAnsi="Times New Roman" w:cs="Times New Roman" w:eastAsia="Times New Roman" w:hint="default"/>
        </w:rPr>
        <w:t>35</w:t>
      </w:r>
      <w:r>
        <w:rPr/>
        <w:t>、应付账款</w:t>
      </w:r>
      <w:r>
        <w:rPr>
          <w:b w:val="0"/>
          <w:bCs w:val="0"/>
        </w:rPr>
      </w:r>
    </w:p>
    <w:p>
      <w:pPr>
        <w:spacing w:line="240" w:lineRule="auto" w:before="0"/>
        <w:rPr>
          <w:rFonts w:ascii="宋体" w:hAnsi="宋体" w:cs="宋体" w:eastAsia="宋体" w:hint="default"/>
          <w:b/>
          <w:bCs/>
          <w:sz w:val="22"/>
          <w:szCs w:val="22"/>
        </w:rPr>
      </w:pPr>
    </w:p>
    <w:p>
      <w:pPr>
        <w:pStyle w:val="Heading3"/>
        <w:spacing w:line="240" w:lineRule="auto" w:before="189"/>
        <w:ind w:right="0"/>
        <w:jc w:val="left"/>
        <w:rPr>
          <w:b w:val="0"/>
          <w:bCs w:val="0"/>
        </w:rPr>
      </w:pPr>
      <w:bookmarkStart w:name="（1）应付账款列示" w:id="318"/>
      <w:bookmarkEnd w:id="318"/>
      <w:r>
        <w:rPr>
          <w:b w:val="0"/>
          <w:bCs w:val="0"/>
        </w:rPr>
      </w:r>
      <w:r>
        <w:rPr/>
        <w:t>（</w:t>
      </w:r>
      <w:r>
        <w:rPr>
          <w:rFonts w:ascii="Times New Roman" w:hAnsi="Times New Roman" w:cs="Times New Roman" w:eastAsia="Times New Roman" w:hint="default"/>
        </w:rPr>
        <w:t>1</w:t>
      </w:r>
      <w:r>
        <w:rPr/>
        <w:t>）应付账款列示</w:t>
      </w:r>
      <w:r>
        <w:rPr>
          <w:b w:val="0"/>
          <w:bCs w:val="0"/>
        </w:rPr>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5"/>
          <w:szCs w:val="15"/>
        </w:rPr>
      </w:pPr>
    </w:p>
    <w:p>
      <w:pPr>
        <w:pStyle w:val="BodyText"/>
        <w:spacing w:line="240" w:lineRule="auto" w:before="44"/>
        <w:ind w:left="0" w:right="1130"/>
        <w:jc w:val="right"/>
      </w:pPr>
      <w:r>
        <w:rPr/>
        <w:t>单位： 元</w:t>
      </w:r>
    </w:p>
    <w:p>
      <w:pPr>
        <w:spacing w:line="240" w:lineRule="auto" w:before="12"/>
        <w:rPr>
          <w:rFonts w:ascii="宋体" w:hAnsi="宋体" w:cs="宋体" w:eastAsia="宋体" w:hint="default"/>
          <w:sz w:val="13"/>
          <w:szCs w:val="13"/>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25,471,007.13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31,638,045.81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25,471,007.13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31,638,045.81</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账龄超过1年的重要应付账款" w:id="319"/>
      <w:bookmarkEnd w:id="319"/>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年的重要应付账款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单位一</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1,435,636.72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尚在合作中，未结算</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1,435,636.72</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6、预收款项" w:id="320"/>
      <w:bookmarkEnd w:id="320"/>
      <w:r>
        <w:rPr>
          <w:b w:val="0"/>
          <w:bCs w:val="0"/>
        </w:rPr>
      </w:r>
      <w:r>
        <w:rPr>
          <w:rFonts w:ascii="Times New Roman" w:hAnsi="Times New Roman" w:cs="Times New Roman" w:eastAsia="Times New Roman" w:hint="default"/>
        </w:rPr>
        <w:t>36</w:t>
      </w:r>
      <w:r>
        <w:rPr/>
        <w:t>、预收款项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预收款项列示" w:id="321"/>
      <w:bookmarkEnd w:id="321"/>
      <w:r>
        <w:rPr>
          <w:b w:val="0"/>
          <w:bCs w:val="0"/>
        </w:rPr>
      </w:r>
      <w:r>
        <w:rPr/>
        <w:t>（</w:t>
      </w:r>
      <w:r>
        <w:rPr>
          <w:rFonts w:ascii="Times New Roman" w:hAnsi="Times New Roman" w:cs="Times New Roman" w:eastAsia="Times New Roman" w:hint="default"/>
        </w:rPr>
        <w:t>1</w:t>
      </w:r>
      <w:r>
        <w:rPr/>
        <w:t>）预收款项列示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安防系统</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63,167,784.04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25,884,436.17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安防设备</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2,764,368.34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3,517,397.73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65,932,152.38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29,401,833.90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账龄超过1年的重要预收款项" w:id="322"/>
      <w:bookmarkEnd w:id="322"/>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年的重要预收款项</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单位一</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2,962,294.57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项目未验收</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2,962,294.57</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87" w:footer="640" w:top="1100" w:bottom="840" w:left="0" w:right="0"/>
        </w:sectPr>
      </w:pPr>
    </w:p>
    <w:p>
      <w:pPr>
        <w:spacing w:line="240" w:lineRule="auto" w:before="7"/>
        <w:rPr>
          <w:rFonts w:ascii="宋体" w:hAnsi="宋体" w:cs="宋体" w:eastAsia="宋体" w:hint="default"/>
          <w:sz w:val="27"/>
          <w:szCs w:val="27"/>
        </w:rPr>
      </w:pPr>
    </w:p>
    <w:p>
      <w:pPr>
        <w:pStyle w:val="Heading3"/>
        <w:spacing w:line="240" w:lineRule="auto" w:before="35"/>
        <w:ind w:right="0"/>
        <w:jc w:val="left"/>
        <w:rPr>
          <w:b w:val="0"/>
          <w:bCs w:val="0"/>
        </w:rPr>
      </w:pPr>
      <w:bookmarkStart w:name="（3）期末建造合同形成的已结算未完工项目情况" w:id="323"/>
      <w:bookmarkEnd w:id="323"/>
      <w:r>
        <w:rPr>
          <w:b w:val="0"/>
          <w:bCs w:val="0"/>
        </w:rPr>
      </w:r>
      <w:r>
        <w:rPr/>
        <w:t>（</w:t>
      </w:r>
      <w:r>
        <w:rPr>
          <w:rFonts w:ascii="Times New Roman" w:hAnsi="Times New Roman" w:cs="Times New Roman" w:eastAsia="Times New Roman" w:hint="default"/>
        </w:rPr>
        <w:t>3</w:t>
      </w:r>
      <w:r>
        <w:rPr/>
        <w:t>）期末建造合同形成的已结算未完工项目情况</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pStyle w:val="BodyText"/>
        <w:spacing w:line="240" w:lineRule="auto"/>
        <w:ind w:right="0"/>
        <w:jc w:val="left"/>
      </w:pPr>
      <w:r>
        <w:rPr/>
        <w:t>不适用</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0"/>
          <w:szCs w:val="20"/>
        </w:rPr>
      </w:pPr>
    </w:p>
    <w:p>
      <w:pPr>
        <w:pStyle w:val="Heading3"/>
        <w:spacing w:line="240" w:lineRule="auto"/>
        <w:ind w:right="0"/>
        <w:jc w:val="left"/>
        <w:rPr>
          <w:b w:val="0"/>
          <w:bCs w:val="0"/>
        </w:rPr>
      </w:pPr>
      <w:bookmarkStart w:name="37、应付职工薪酬" w:id="324"/>
      <w:bookmarkEnd w:id="324"/>
      <w:r>
        <w:rPr>
          <w:b w:val="0"/>
          <w:bCs w:val="0"/>
        </w:rPr>
      </w:r>
      <w:r>
        <w:rPr>
          <w:rFonts w:ascii="Times New Roman" w:hAnsi="Times New Roman" w:cs="Times New Roman" w:eastAsia="Times New Roman" w:hint="default"/>
        </w:rPr>
        <w:t>37</w:t>
      </w:r>
      <w:r>
        <w:rPr/>
        <w:t>、应付职工薪酬</w:t>
      </w:r>
      <w:r>
        <w:rPr>
          <w:b w:val="0"/>
          <w:bCs w:val="0"/>
        </w:rPr>
      </w:r>
    </w:p>
    <w:p>
      <w:pPr>
        <w:spacing w:line="240" w:lineRule="auto" w:before="0"/>
        <w:rPr>
          <w:rFonts w:ascii="宋体" w:hAnsi="宋体" w:cs="宋体" w:eastAsia="宋体" w:hint="default"/>
          <w:b/>
          <w:bCs/>
          <w:sz w:val="22"/>
          <w:szCs w:val="22"/>
        </w:rPr>
      </w:pPr>
    </w:p>
    <w:p>
      <w:pPr>
        <w:pStyle w:val="Heading3"/>
        <w:spacing w:line="240" w:lineRule="auto" w:before="189"/>
        <w:ind w:right="0"/>
        <w:jc w:val="left"/>
        <w:rPr>
          <w:b w:val="0"/>
          <w:bCs w:val="0"/>
        </w:rPr>
      </w:pPr>
      <w:bookmarkStart w:name="（1）应付职工薪酬列示" w:id="325"/>
      <w:bookmarkEnd w:id="325"/>
      <w:r>
        <w:rPr>
          <w:b w:val="0"/>
          <w:bCs w:val="0"/>
        </w:rPr>
      </w:r>
      <w:r>
        <w:rPr/>
        <w:t>（</w:t>
      </w:r>
      <w:r>
        <w:rPr>
          <w:rFonts w:ascii="Times New Roman" w:hAnsi="Times New Roman" w:cs="Times New Roman" w:eastAsia="Times New Roman" w:hint="default"/>
        </w:rPr>
        <w:t>1</w:t>
      </w:r>
      <w:r>
        <w:rPr/>
        <w:t>）应付职工薪酬列示</w:t>
      </w:r>
      <w:r>
        <w:rPr>
          <w:b w:val="0"/>
          <w:bCs w:val="0"/>
        </w:rPr>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5"/>
          <w:szCs w:val="15"/>
        </w:rPr>
      </w:pPr>
    </w:p>
    <w:p>
      <w:pPr>
        <w:pStyle w:val="BodyText"/>
        <w:spacing w:line="240" w:lineRule="auto" w:before="44"/>
        <w:ind w:left="0" w:right="1130"/>
        <w:jc w:val="right"/>
      </w:pPr>
      <w:r>
        <w:rPr/>
        <w:t>单位： 元</w:t>
      </w:r>
    </w:p>
    <w:p>
      <w:pPr>
        <w:spacing w:line="240" w:lineRule="auto" w:before="12"/>
        <w:rPr>
          <w:rFonts w:ascii="宋体" w:hAnsi="宋体" w:cs="宋体" w:eastAsia="宋体" w:hint="default"/>
          <w:sz w:val="13"/>
          <w:szCs w:val="13"/>
        </w:rPr>
      </w:pPr>
    </w:p>
    <w:tbl>
      <w:tblPr>
        <w:tblW w:w="0" w:type="auto"/>
        <w:jc w:val="left"/>
        <w:tblInd w:w="114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15,999,924.99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139,178,786.95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138,648,090.98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16,530,620.96</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9"/>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 存计划</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8,651,780.21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8,651,780.21</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三、辞退福利</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199,403.50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199,403.50</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15,999,924.99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148,029,970.66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147,499,274.69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16,530,620.96</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短期薪酬列示" w:id="326"/>
      <w:bookmarkEnd w:id="326"/>
      <w:r>
        <w:rPr>
          <w:b w:val="0"/>
          <w:bCs w:val="0"/>
        </w:rPr>
      </w:r>
      <w:r>
        <w:rPr/>
        <w:t>（</w:t>
      </w:r>
      <w:r>
        <w:rPr>
          <w:rFonts w:ascii="Times New Roman" w:hAnsi="Times New Roman" w:cs="Times New Roman" w:eastAsia="Times New Roman" w:hint="default"/>
        </w:rPr>
        <w:t>2</w:t>
      </w:r>
      <w:r>
        <w:rPr/>
        <w:t>）短期薪酬列示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9"/>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、工资、奖金、津贴和</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补贴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15,999,924.99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125,520,076.17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124,989,380.20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16,530,620.96</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4,333,380.12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4,333,380.12</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6,136,513.32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6,136,513.32</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6"/>
              <w:jc w:val="right"/>
              <w:rPr>
                <w:rFonts w:ascii="宋体" w:hAnsi="宋体" w:cs="宋体" w:eastAsia="宋体" w:hint="default"/>
                <w:sz w:val="18"/>
                <w:szCs w:val="18"/>
              </w:rPr>
            </w:pPr>
            <w:r>
              <w:rPr>
                <w:rFonts w:ascii="宋体" w:hAnsi="宋体" w:cs="宋体" w:eastAsia="宋体" w:hint="default"/>
                <w:sz w:val="18"/>
                <w:szCs w:val="18"/>
              </w:rPr>
              <w:t>其中：医疗保险费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5,388,172.97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5,388,172.97</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5"/>
              <w:jc w:val="right"/>
              <w:rPr>
                <w:rFonts w:ascii="宋体" w:hAnsi="宋体" w:cs="宋体" w:eastAsia="宋体" w:hint="default"/>
                <w:sz w:val="18"/>
                <w:szCs w:val="18"/>
              </w:rPr>
            </w:pPr>
            <w:r>
              <w:rPr>
                <w:rFonts w:ascii="宋体" w:hAnsi="宋体" w:cs="宋体" w:eastAsia="宋体" w:hint="default"/>
                <w:sz w:val="18"/>
                <w:szCs w:val="18"/>
              </w:rPr>
              <w:t>工伤保险费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240,912.94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240,912.94</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5"/>
              <w:jc w:val="right"/>
              <w:rPr>
                <w:rFonts w:ascii="宋体" w:hAnsi="宋体" w:cs="宋体" w:eastAsia="宋体" w:hint="default"/>
                <w:sz w:val="18"/>
                <w:szCs w:val="18"/>
              </w:rPr>
            </w:pPr>
            <w:r>
              <w:rPr>
                <w:rFonts w:ascii="宋体" w:hAnsi="宋体" w:cs="宋体" w:eastAsia="宋体" w:hint="default"/>
                <w:sz w:val="18"/>
                <w:szCs w:val="18"/>
              </w:rPr>
              <w:t>生育保险费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507,427.41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507,427.41</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3,174,568.14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3,174,568.14</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9"/>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、工会经费和职工教育</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经费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14,249.20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14,249.20</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15,999,924.99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139,178,786.95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138,648,090.98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16,530,620.96</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设定提存计划列示" w:id="327"/>
      <w:bookmarkEnd w:id="327"/>
      <w:r>
        <w:rPr>
          <w:b w:val="0"/>
          <w:bCs w:val="0"/>
        </w:rPr>
      </w:r>
      <w:r>
        <w:rPr/>
        <w:t>（</w:t>
      </w:r>
      <w:r>
        <w:rPr>
          <w:rFonts w:ascii="Times New Roman" w:hAnsi="Times New Roman" w:cs="Times New Roman" w:eastAsia="Times New Roman" w:hint="default"/>
        </w:rPr>
        <w:t>3</w:t>
      </w:r>
      <w:r>
        <w:rPr/>
        <w:t>）设定提存计划列示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6" w:right="0"/>
              <w:jc w:val="left"/>
              <w:rPr>
                <w:rFonts w:ascii="Times New Roman" w:hAnsi="Times New Roman" w:cs="Times New Roman" w:eastAsia="Times New Roman" w:hint="default"/>
                <w:sz w:val="18"/>
                <w:szCs w:val="18"/>
              </w:rPr>
            </w:pPr>
            <w:r>
              <w:rPr>
                <w:rFonts w:ascii="Times New Roman"/>
                <w:sz w:val="18"/>
              </w:rPr>
              <w:t>8,406,868.50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5" w:right="0"/>
              <w:jc w:val="left"/>
              <w:rPr>
                <w:rFonts w:ascii="Times New Roman" w:hAnsi="Times New Roman" w:cs="Times New Roman" w:eastAsia="Times New Roman" w:hint="default"/>
                <w:sz w:val="18"/>
                <w:szCs w:val="18"/>
              </w:rPr>
            </w:pPr>
            <w:r>
              <w:rPr>
                <w:rFonts w:ascii="Times New Roman"/>
                <w:sz w:val="18"/>
              </w:rPr>
              <w:t>8,406,868.50</w:t>
            </w:r>
          </w:p>
        </w:tc>
        <w:tc>
          <w:tcPr>
            <w:tcW w:w="191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87" w:footer="640" w:top="1100" w:bottom="840" w:left="0" w:right="0"/>
        </w:sectPr>
      </w:pPr>
    </w:p>
    <w:p>
      <w:pPr>
        <w:spacing w:line="240" w:lineRule="auto" w:before="5"/>
        <w:rPr>
          <w:rFonts w:ascii="宋体" w:hAnsi="宋体" w:cs="宋体" w:eastAsia="宋体" w:hint="default"/>
          <w:sz w:val="25"/>
          <w:szCs w:val="25"/>
        </w:rPr>
      </w:pPr>
    </w:p>
    <w:tbl>
      <w:tblPr>
        <w:tblW w:w="0" w:type="auto"/>
        <w:jc w:val="left"/>
        <w:tblInd w:w="112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244,911.71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244,911.71</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8,651,780.21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8,651,780.21</w:t>
            </w:r>
          </w:p>
        </w:tc>
        <w:tc>
          <w:tcPr>
            <w:tcW w:w="191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8、应交税费" w:id="328"/>
      <w:bookmarkEnd w:id="328"/>
      <w:r>
        <w:rPr>
          <w:b w:val="0"/>
          <w:bCs w:val="0"/>
        </w:rPr>
      </w:r>
      <w:r>
        <w:rPr>
          <w:rFonts w:ascii="Times New Roman" w:hAnsi="Times New Roman" w:cs="Times New Roman" w:eastAsia="Times New Roman" w:hint="default"/>
        </w:rPr>
        <w:t>38</w:t>
      </w:r>
      <w:r>
        <w:rPr/>
        <w:t>、应交税费</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9,835,103.33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6,241,252.84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11,129,271.67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9,474,443.17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378,480.98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2,123,770.67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399,178.10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909,028.52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170,738.20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389,333.22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地方教育附加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113,586.50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259,316.40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契税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5,400,000.00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450,945.55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1,022,534.01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27,877,304.33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20,419,678.83</w:t>
            </w:r>
          </w:p>
        </w:tc>
      </w:tr>
    </w:tbl>
    <w:p>
      <w:pPr>
        <w:spacing w:line="240" w:lineRule="auto" w:before="1"/>
        <w:rPr>
          <w:rFonts w:ascii="宋体" w:hAnsi="宋体" w:cs="宋体" w:eastAsia="宋体" w:hint="default"/>
          <w:sz w:val="25"/>
          <w:szCs w:val="25"/>
        </w:rPr>
      </w:pPr>
    </w:p>
    <w:p>
      <w:pPr>
        <w:pStyle w:val="Heading3"/>
        <w:spacing w:line="240" w:lineRule="auto" w:before="35"/>
        <w:ind w:right="0"/>
        <w:jc w:val="left"/>
        <w:rPr>
          <w:b w:val="0"/>
          <w:bCs w:val="0"/>
        </w:rPr>
      </w:pPr>
      <w:bookmarkStart w:name="39、应付利息" w:id="329"/>
      <w:bookmarkEnd w:id="329"/>
      <w:r>
        <w:rPr>
          <w:b w:val="0"/>
          <w:bCs w:val="0"/>
        </w:rPr>
      </w:r>
      <w:r>
        <w:rPr>
          <w:rFonts w:ascii="Times New Roman" w:hAnsi="Times New Roman" w:cs="Times New Roman" w:eastAsia="Times New Roman" w:hint="default"/>
        </w:rPr>
        <w:t>39</w:t>
      </w:r>
      <w:r>
        <w:rPr/>
        <w:t>、应付利息</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pStyle w:val="BodyText"/>
        <w:spacing w:line="240" w:lineRule="auto"/>
        <w:ind w:right="0"/>
        <w:jc w:val="left"/>
      </w:pPr>
      <w:r>
        <w:rPr/>
        <w:t>不适用</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0"/>
          <w:szCs w:val="20"/>
        </w:rPr>
      </w:pPr>
    </w:p>
    <w:p>
      <w:pPr>
        <w:pStyle w:val="Heading3"/>
        <w:spacing w:line="240" w:lineRule="auto"/>
        <w:ind w:right="0"/>
        <w:jc w:val="left"/>
        <w:rPr>
          <w:b w:val="0"/>
          <w:bCs w:val="0"/>
        </w:rPr>
      </w:pPr>
      <w:bookmarkStart w:name="40、应付股利" w:id="330"/>
      <w:bookmarkEnd w:id="330"/>
      <w:r>
        <w:rPr>
          <w:b w:val="0"/>
          <w:bCs w:val="0"/>
        </w:rPr>
      </w:r>
      <w:r>
        <w:rPr>
          <w:rFonts w:ascii="Times New Roman" w:hAnsi="Times New Roman" w:cs="Times New Roman" w:eastAsia="Times New Roman" w:hint="default"/>
        </w:rPr>
        <w:t>40</w:t>
      </w:r>
      <w:r>
        <w:rPr/>
        <w:t>、应付股利</w:t>
      </w:r>
      <w:r>
        <w:rPr>
          <w:b w:val="0"/>
          <w:bCs w:val="0"/>
        </w:rPr>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5"/>
          <w:szCs w:val="15"/>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13"/>
          <w:szCs w:val="13"/>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限制性股票股利</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176,970.98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133,558.97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176,970.98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133,558.97</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41、其他应付款" w:id="331"/>
      <w:bookmarkEnd w:id="331"/>
      <w:r>
        <w:rPr>
          <w:b w:val="0"/>
          <w:bCs w:val="0"/>
        </w:rPr>
      </w:r>
      <w:r>
        <w:rPr>
          <w:rFonts w:ascii="Times New Roman" w:hAnsi="Times New Roman" w:cs="Times New Roman" w:eastAsia="Times New Roman" w:hint="default"/>
        </w:rPr>
        <w:t>41</w:t>
      </w:r>
      <w:r>
        <w:rPr/>
        <w:t>、其他应付款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按款项性质列示其他应付款" w:id="332"/>
      <w:bookmarkEnd w:id="332"/>
      <w:r>
        <w:rPr>
          <w:b w:val="0"/>
          <w:bCs w:val="0"/>
        </w:rPr>
      </w:r>
      <w:r>
        <w:rPr/>
        <w:t>（</w:t>
      </w:r>
      <w:r>
        <w:rPr>
          <w:rFonts w:ascii="Times New Roman" w:hAnsi="Times New Roman" w:cs="Times New Roman" w:eastAsia="Times New Roman" w:hint="default"/>
        </w:rPr>
        <w:t>1</w:t>
      </w:r>
      <w:r>
        <w:rPr/>
        <w:t>）按款项性质列示其他应付款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尚未支付的股权投资对价</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33,083,700.00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股权激励限制性股票回购</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17,377,907.03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2"/>
                <w:sz w:val="18"/>
              </w:rPr>
              <w:t>30,809,111.03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拆借款</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303,750.00</w:t>
            </w:r>
          </w:p>
        </w:tc>
      </w:tr>
    </w:tbl>
    <w:p>
      <w:pPr>
        <w:spacing w:after="0" w:line="240" w:lineRule="auto"/>
        <w:jc w:val="right"/>
        <w:rPr>
          <w:rFonts w:ascii="Times New Roman" w:hAnsi="Times New Roman" w:cs="Times New Roman" w:eastAsia="Times New Roman" w:hint="default"/>
          <w:sz w:val="18"/>
          <w:szCs w:val="18"/>
        </w:rPr>
        <w:sectPr>
          <w:pgSz w:w="11910" w:h="16840"/>
          <w:pgMar w:header="787" w:footer="640" w:top="1100" w:bottom="840" w:left="0" w:right="0"/>
        </w:sectPr>
      </w:pPr>
    </w:p>
    <w:p>
      <w:pPr>
        <w:spacing w:line="240" w:lineRule="auto" w:before="5"/>
        <w:rPr>
          <w:rFonts w:ascii="宋体" w:hAnsi="宋体" w:cs="宋体" w:eastAsia="宋体" w:hint="default"/>
          <w:sz w:val="25"/>
          <w:szCs w:val="25"/>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未支付员工报销款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217,642.99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202,557.56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1,659,793.57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341,966.87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1,241,795.19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1,097,931.79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20,497,138.78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65,839,017.25</w:t>
            </w:r>
          </w:p>
        </w:tc>
      </w:tr>
    </w:tbl>
    <w:p>
      <w:pPr>
        <w:spacing w:line="240" w:lineRule="auto" w:before="1"/>
        <w:rPr>
          <w:rFonts w:ascii="宋体" w:hAnsi="宋体" w:cs="宋体" w:eastAsia="宋体" w:hint="default"/>
          <w:sz w:val="25"/>
          <w:szCs w:val="25"/>
        </w:rPr>
      </w:pPr>
    </w:p>
    <w:p>
      <w:pPr>
        <w:pStyle w:val="Heading3"/>
        <w:spacing w:line="240" w:lineRule="auto" w:before="35"/>
        <w:ind w:right="0"/>
        <w:jc w:val="left"/>
        <w:rPr>
          <w:b w:val="0"/>
          <w:bCs w:val="0"/>
        </w:rPr>
      </w:pPr>
      <w:bookmarkStart w:name="（2）账龄超过1年的重要其他应付款" w:id="333"/>
      <w:bookmarkEnd w:id="333"/>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年的重要其他应付款</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pStyle w:val="BodyText"/>
        <w:spacing w:line="240" w:lineRule="auto"/>
        <w:ind w:right="0"/>
        <w:jc w:val="left"/>
      </w:pPr>
      <w:r>
        <w:rPr/>
        <w:t>不适用</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0"/>
          <w:szCs w:val="20"/>
        </w:rPr>
      </w:pPr>
    </w:p>
    <w:p>
      <w:pPr>
        <w:pStyle w:val="Heading3"/>
        <w:spacing w:line="240" w:lineRule="auto"/>
        <w:ind w:right="0"/>
        <w:jc w:val="left"/>
        <w:rPr>
          <w:b w:val="0"/>
          <w:bCs w:val="0"/>
        </w:rPr>
      </w:pPr>
      <w:bookmarkStart w:name="42、持有待售的负债" w:id="334"/>
      <w:bookmarkEnd w:id="334"/>
      <w:r>
        <w:rPr>
          <w:b w:val="0"/>
          <w:bCs w:val="0"/>
        </w:rPr>
      </w:r>
      <w:r>
        <w:rPr>
          <w:rFonts w:ascii="Times New Roman" w:hAnsi="Times New Roman" w:cs="Times New Roman" w:eastAsia="Times New Roman" w:hint="default"/>
        </w:rPr>
        <w:t>42</w:t>
      </w:r>
      <w:r>
        <w:rPr/>
        <w:t>、持有待售的负债</w:t>
      </w:r>
      <w:r>
        <w:rPr>
          <w:b w:val="0"/>
          <w:bCs w:val="0"/>
        </w:rPr>
      </w:r>
    </w:p>
    <w:p>
      <w:pPr>
        <w:spacing w:line="240" w:lineRule="auto" w:before="0"/>
        <w:rPr>
          <w:rFonts w:ascii="宋体" w:hAnsi="宋体" w:cs="宋体" w:eastAsia="宋体" w:hint="default"/>
          <w:b/>
          <w:bCs/>
          <w:sz w:val="22"/>
          <w:szCs w:val="22"/>
        </w:rPr>
      </w:pPr>
    </w:p>
    <w:p>
      <w:pPr>
        <w:spacing w:line="240" w:lineRule="auto" w:before="5"/>
        <w:rPr>
          <w:rFonts w:ascii="宋体" w:hAnsi="宋体" w:cs="宋体" w:eastAsia="宋体" w:hint="default"/>
          <w:b/>
          <w:bCs/>
          <w:sz w:val="16"/>
          <w:szCs w:val="16"/>
        </w:rPr>
      </w:pPr>
    </w:p>
    <w:p>
      <w:pPr>
        <w:pStyle w:val="BodyText"/>
        <w:spacing w:line="240" w:lineRule="auto"/>
        <w:ind w:left="1133" w:right="0"/>
        <w:jc w:val="left"/>
      </w:pPr>
      <w:r>
        <w:rPr/>
        <w:t>不适用</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0"/>
          <w:szCs w:val="20"/>
        </w:rPr>
      </w:pPr>
    </w:p>
    <w:p>
      <w:pPr>
        <w:pStyle w:val="Heading3"/>
        <w:spacing w:line="240" w:lineRule="auto"/>
        <w:ind w:left="1133" w:right="0"/>
        <w:jc w:val="left"/>
        <w:rPr>
          <w:b w:val="0"/>
          <w:bCs w:val="0"/>
        </w:rPr>
      </w:pPr>
      <w:bookmarkStart w:name="43、一年内到期的非流动负债" w:id="335"/>
      <w:bookmarkEnd w:id="335"/>
      <w:r>
        <w:rPr>
          <w:b w:val="0"/>
          <w:bCs w:val="0"/>
        </w:rPr>
      </w:r>
      <w:r>
        <w:rPr>
          <w:rFonts w:ascii="Times New Roman" w:hAnsi="Times New Roman" w:cs="Times New Roman" w:eastAsia="Times New Roman" w:hint="default"/>
        </w:rPr>
        <w:t>43</w:t>
      </w:r>
      <w:r>
        <w:rPr/>
        <w:t>、一年内到期的非流动负债</w:t>
      </w:r>
      <w:r>
        <w:rPr>
          <w:b w:val="0"/>
          <w:bCs w:val="0"/>
        </w:rPr>
      </w:r>
    </w:p>
    <w:p>
      <w:pPr>
        <w:spacing w:line="240" w:lineRule="auto" w:before="1"/>
        <w:rPr>
          <w:rFonts w:ascii="宋体" w:hAnsi="宋体" w:cs="宋体" w:eastAsia="宋体" w:hint="default"/>
          <w:b/>
          <w:bCs/>
          <w:sz w:val="29"/>
          <w:szCs w:val="29"/>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一年内到期的长期借款</w:t>
            </w:r>
          </w:p>
        </w:tc>
        <w:tc>
          <w:tcPr>
            <w:tcW w:w="3206" w:type="dxa"/>
            <w:tcBorders>
              <w:top w:val="single" w:sz="4" w:space="0" w:color="000000"/>
              <w:left w:val="single" w:sz="13" w:space="0" w:color="D2D2D2"/>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1,478,370.12</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1,478,370.12</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44、其他流动负债" w:id="336"/>
      <w:bookmarkEnd w:id="336"/>
      <w:r>
        <w:rPr>
          <w:b w:val="0"/>
          <w:bCs w:val="0"/>
        </w:rPr>
      </w:r>
      <w:r>
        <w:rPr>
          <w:rFonts w:ascii="Times New Roman" w:hAnsi="Times New Roman" w:cs="Times New Roman" w:eastAsia="Times New Roman" w:hint="default"/>
        </w:rPr>
        <w:t>44</w:t>
      </w:r>
      <w:r>
        <w:rPr/>
        <w:t>、其他流动负债</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不适用</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4"/>
          <w:szCs w:val="14"/>
        </w:rPr>
      </w:pPr>
    </w:p>
    <w:p>
      <w:pPr>
        <w:pStyle w:val="Heading3"/>
        <w:spacing w:line="240" w:lineRule="auto"/>
        <w:ind w:right="0"/>
        <w:jc w:val="left"/>
        <w:rPr>
          <w:b w:val="0"/>
          <w:bCs w:val="0"/>
        </w:rPr>
      </w:pPr>
      <w:bookmarkStart w:name="45、长期借款" w:id="337"/>
      <w:bookmarkEnd w:id="337"/>
      <w:r>
        <w:rPr>
          <w:b w:val="0"/>
          <w:bCs w:val="0"/>
        </w:rPr>
      </w:r>
      <w:r>
        <w:rPr>
          <w:rFonts w:ascii="Times New Roman" w:hAnsi="Times New Roman" w:cs="Times New Roman" w:eastAsia="Times New Roman" w:hint="default"/>
        </w:rPr>
        <w:t>45</w:t>
      </w:r>
      <w:r>
        <w:rPr/>
        <w:t>、长期借款</w:t>
      </w:r>
      <w:r>
        <w:rPr>
          <w:b w:val="0"/>
          <w:bCs w:val="0"/>
        </w:rPr>
      </w:r>
    </w:p>
    <w:p>
      <w:pPr>
        <w:spacing w:line="240" w:lineRule="auto" w:before="0"/>
        <w:rPr>
          <w:rFonts w:ascii="宋体" w:hAnsi="宋体" w:cs="宋体" w:eastAsia="宋体" w:hint="default"/>
          <w:b/>
          <w:bCs/>
          <w:sz w:val="22"/>
          <w:szCs w:val="22"/>
        </w:rPr>
      </w:pPr>
    </w:p>
    <w:p>
      <w:pPr>
        <w:pStyle w:val="Heading3"/>
        <w:spacing w:line="240" w:lineRule="auto" w:before="189"/>
        <w:ind w:right="0"/>
        <w:jc w:val="left"/>
        <w:rPr>
          <w:b w:val="0"/>
          <w:bCs w:val="0"/>
        </w:rPr>
      </w:pPr>
      <w:bookmarkStart w:name="（1）长期借款分类" w:id="338"/>
      <w:bookmarkEnd w:id="338"/>
      <w:r>
        <w:rPr>
          <w:b w:val="0"/>
          <w:bCs w:val="0"/>
        </w:rPr>
      </w:r>
      <w:r>
        <w:rPr/>
        <w:t>（</w:t>
      </w:r>
      <w:r>
        <w:rPr>
          <w:rFonts w:ascii="Times New Roman" w:hAnsi="Times New Roman" w:cs="Times New Roman" w:eastAsia="Times New Roman" w:hint="default"/>
        </w:rPr>
        <w:t>1</w:t>
      </w:r>
      <w:r>
        <w:rPr/>
        <w:t>）长期借款分类</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pStyle w:val="BodyText"/>
        <w:spacing w:line="240" w:lineRule="auto"/>
        <w:ind w:right="0"/>
        <w:jc w:val="left"/>
      </w:pPr>
      <w:r>
        <w:rPr/>
        <w:t>不适用</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0"/>
          <w:szCs w:val="20"/>
        </w:rPr>
      </w:pPr>
    </w:p>
    <w:p>
      <w:pPr>
        <w:pStyle w:val="Heading3"/>
        <w:spacing w:line="240" w:lineRule="auto"/>
        <w:ind w:right="0"/>
        <w:jc w:val="left"/>
        <w:rPr>
          <w:b w:val="0"/>
          <w:bCs w:val="0"/>
        </w:rPr>
      </w:pPr>
      <w:bookmarkStart w:name="46、应付债券" w:id="339"/>
      <w:bookmarkEnd w:id="339"/>
      <w:r>
        <w:rPr>
          <w:b w:val="0"/>
          <w:bCs w:val="0"/>
        </w:rPr>
      </w:r>
      <w:r>
        <w:rPr>
          <w:rFonts w:ascii="Times New Roman" w:hAnsi="Times New Roman" w:cs="Times New Roman" w:eastAsia="Times New Roman" w:hint="default"/>
        </w:rPr>
        <w:t>46</w:t>
      </w:r>
      <w:r>
        <w:rPr/>
        <w:t>、应付债券</w:t>
      </w:r>
      <w:r>
        <w:rPr>
          <w:b w:val="0"/>
          <w:bCs w:val="0"/>
        </w:rPr>
      </w:r>
    </w:p>
    <w:p>
      <w:pPr>
        <w:spacing w:line="240" w:lineRule="auto" w:before="0"/>
        <w:rPr>
          <w:rFonts w:ascii="宋体" w:hAnsi="宋体" w:cs="宋体" w:eastAsia="宋体" w:hint="default"/>
          <w:b/>
          <w:bCs/>
          <w:sz w:val="22"/>
          <w:szCs w:val="22"/>
        </w:rPr>
      </w:pPr>
    </w:p>
    <w:p>
      <w:pPr>
        <w:pStyle w:val="Heading3"/>
        <w:spacing w:line="240" w:lineRule="auto" w:before="189"/>
        <w:ind w:right="0"/>
        <w:jc w:val="left"/>
        <w:rPr>
          <w:b w:val="0"/>
          <w:bCs w:val="0"/>
        </w:rPr>
      </w:pPr>
      <w:bookmarkStart w:name="（1）应付债券" w:id="340"/>
      <w:bookmarkEnd w:id="340"/>
      <w:r>
        <w:rPr>
          <w:b w:val="0"/>
          <w:bCs w:val="0"/>
        </w:rPr>
      </w:r>
      <w:r>
        <w:rPr/>
        <w:t>（</w:t>
      </w:r>
      <w:r>
        <w:rPr>
          <w:rFonts w:ascii="Times New Roman" w:hAnsi="Times New Roman" w:cs="Times New Roman" w:eastAsia="Times New Roman" w:hint="default"/>
        </w:rPr>
        <w:t>1</w:t>
      </w:r>
      <w:r>
        <w:rPr/>
        <w:t>）应付债券</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pStyle w:val="BodyText"/>
        <w:spacing w:line="240" w:lineRule="auto"/>
        <w:ind w:right="0"/>
        <w:jc w:val="left"/>
      </w:pPr>
      <w:r>
        <w:rPr/>
        <w:t>不适用</w:t>
      </w:r>
    </w:p>
    <w:p>
      <w:pPr>
        <w:spacing w:after="0" w:line="240" w:lineRule="auto"/>
        <w:jc w:val="left"/>
        <w:sectPr>
          <w:pgSz w:w="11910" w:h="16840"/>
          <w:pgMar w:header="787" w:footer="640" w:top="1100" w:bottom="840" w:left="0" w:right="0"/>
        </w:sectPr>
      </w:pPr>
    </w:p>
    <w:p>
      <w:pPr>
        <w:spacing w:line="240" w:lineRule="auto" w:before="7"/>
        <w:rPr>
          <w:rFonts w:ascii="宋体" w:hAnsi="宋体" w:cs="宋体" w:eastAsia="宋体" w:hint="default"/>
          <w:sz w:val="27"/>
          <w:szCs w:val="27"/>
        </w:rPr>
      </w:pPr>
    </w:p>
    <w:p>
      <w:pPr>
        <w:pStyle w:val="Heading3"/>
        <w:spacing w:line="240" w:lineRule="auto" w:before="35"/>
        <w:ind w:right="0"/>
        <w:jc w:val="left"/>
        <w:rPr>
          <w:b w:val="0"/>
          <w:bCs w:val="0"/>
        </w:rPr>
      </w:pPr>
      <w:bookmarkStart w:name="（2）应付债券的增减变动（不包括划分为金融负债的优先股、永续债等其他金融工具）" w:id="341"/>
      <w:bookmarkEnd w:id="341"/>
      <w:r>
        <w:rPr>
          <w:b w:val="0"/>
          <w:bCs w:val="0"/>
        </w:rPr>
      </w:r>
      <w:r>
        <w:rPr/>
        <w:t>（</w:t>
      </w:r>
      <w:r>
        <w:rPr>
          <w:rFonts w:ascii="Times New Roman" w:hAnsi="Times New Roman" w:cs="Times New Roman" w:eastAsia="Times New Roman" w:hint="default"/>
        </w:rPr>
        <w:t>2</w:t>
      </w:r>
      <w:r>
        <w:rPr/>
        <w:t>）应付债券的增减变动（不包括划分为金融负债的优先股、永续债等其他金融工具）</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pStyle w:val="BodyText"/>
        <w:spacing w:line="240" w:lineRule="auto"/>
        <w:ind w:left="1133" w:right="0"/>
        <w:jc w:val="left"/>
      </w:pPr>
      <w:r>
        <w:rPr/>
        <w:t>不适用</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0"/>
          <w:szCs w:val="20"/>
        </w:rPr>
      </w:pPr>
    </w:p>
    <w:p>
      <w:pPr>
        <w:pStyle w:val="Heading3"/>
        <w:spacing w:line="240" w:lineRule="auto"/>
        <w:ind w:left="1133" w:right="0"/>
        <w:jc w:val="left"/>
        <w:rPr>
          <w:b w:val="0"/>
          <w:bCs w:val="0"/>
        </w:rPr>
      </w:pPr>
      <w:bookmarkStart w:name="（3）可转换公司债券的转股条件、转股时间说明" w:id="342"/>
      <w:bookmarkEnd w:id="342"/>
      <w:r>
        <w:rPr>
          <w:b w:val="0"/>
          <w:bCs w:val="0"/>
        </w:rPr>
      </w:r>
      <w:r>
        <w:rPr/>
        <w:t>（</w:t>
      </w:r>
      <w:r>
        <w:rPr>
          <w:rFonts w:ascii="Times New Roman" w:hAnsi="Times New Roman" w:cs="Times New Roman" w:eastAsia="Times New Roman" w:hint="default"/>
        </w:rPr>
        <w:t>3</w:t>
      </w:r>
      <w:r>
        <w:rPr/>
        <w:t>）可转换公司债券的转股条件、转股时间说明</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pStyle w:val="BodyText"/>
        <w:spacing w:line="240" w:lineRule="auto"/>
        <w:ind w:left="1133" w:right="0"/>
        <w:jc w:val="left"/>
      </w:pPr>
      <w:r>
        <w:rPr/>
        <w:t>不适用</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0"/>
          <w:szCs w:val="20"/>
        </w:rPr>
      </w:pPr>
    </w:p>
    <w:p>
      <w:pPr>
        <w:pStyle w:val="Heading3"/>
        <w:spacing w:line="240" w:lineRule="auto"/>
        <w:ind w:left="1133" w:right="0"/>
        <w:jc w:val="left"/>
        <w:rPr>
          <w:b w:val="0"/>
          <w:bCs w:val="0"/>
        </w:rPr>
      </w:pPr>
      <w:bookmarkStart w:name="（4）划分为金融负债的其他金融工具说明" w:id="343"/>
      <w:bookmarkEnd w:id="343"/>
      <w:r>
        <w:rPr>
          <w:b w:val="0"/>
          <w:bCs w:val="0"/>
        </w:rPr>
      </w:r>
      <w:r>
        <w:rPr/>
        <w:t>（</w:t>
      </w:r>
      <w:r>
        <w:rPr>
          <w:rFonts w:ascii="Times New Roman" w:hAnsi="Times New Roman" w:cs="Times New Roman" w:eastAsia="Times New Roman" w:hint="default"/>
        </w:rPr>
        <w:t>4</w:t>
      </w:r>
      <w:r>
        <w:rPr/>
        <w:t>）划分为金融负债的其他金融工具说明</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pStyle w:val="BodyText"/>
        <w:spacing w:line="240" w:lineRule="auto"/>
        <w:ind w:left="1133" w:right="0"/>
        <w:jc w:val="left"/>
      </w:pPr>
      <w:r>
        <w:rPr/>
        <w:t>不适用</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0"/>
          <w:szCs w:val="20"/>
        </w:rPr>
      </w:pPr>
    </w:p>
    <w:p>
      <w:pPr>
        <w:pStyle w:val="Heading3"/>
        <w:spacing w:line="240" w:lineRule="auto"/>
        <w:ind w:left="1133" w:right="0"/>
        <w:jc w:val="left"/>
        <w:rPr>
          <w:b w:val="0"/>
          <w:bCs w:val="0"/>
        </w:rPr>
      </w:pPr>
      <w:bookmarkStart w:name="47、长期应付款" w:id="344"/>
      <w:bookmarkEnd w:id="344"/>
      <w:r>
        <w:rPr>
          <w:b w:val="0"/>
          <w:bCs w:val="0"/>
        </w:rPr>
      </w:r>
      <w:r>
        <w:rPr>
          <w:rFonts w:ascii="Times New Roman" w:hAnsi="Times New Roman" w:cs="Times New Roman" w:eastAsia="Times New Roman" w:hint="default"/>
        </w:rPr>
        <w:t>47</w:t>
      </w:r>
      <w:r>
        <w:rPr/>
        <w:t>、长期应付款</w:t>
      </w:r>
      <w:r>
        <w:rPr>
          <w:b w:val="0"/>
          <w:bCs w:val="0"/>
        </w:rPr>
      </w:r>
    </w:p>
    <w:p>
      <w:pPr>
        <w:spacing w:line="240" w:lineRule="auto" w:before="0"/>
        <w:rPr>
          <w:rFonts w:ascii="宋体" w:hAnsi="宋体" w:cs="宋体" w:eastAsia="宋体" w:hint="default"/>
          <w:b/>
          <w:bCs/>
          <w:sz w:val="22"/>
          <w:szCs w:val="22"/>
        </w:rPr>
      </w:pPr>
    </w:p>
    <w:p>
      <w:pPr>
        <w:pStyle w:val="Heading3"/>
        <w:spacing w:line="240" w:lineRule="auto" w:before="189"/>
        <w:ind w:right="0"/>
        <w:jc w:val="left"/>
        <w:rPr>
          <w:b w:val="0"/>
          <w:bCs w:val="0"/>
        </w:rPr>
      </w:pPr>
      <w:bookmarkStart w:name="（1）按款项性质列示长期应付款" w:id="345"/>
      <w:bookmarkEnd w:id="345"/>
      <w:r>
        <w:rPr>
          <w:b w:val="0"/>
          <w:bCs w:val="0"/>
        </w:rPr>
      </w:r>
      <w:r>
        <w:rPr/>
        <w:t>（</w:t>
      </w:r>
      <w:r>
        <w:rPr>
          <w:rFonts w:ascii="Times New Roman" w:hAnsi="Times New Roman" w:cs="Times New Roman" w:eastAsia="Times New Roman" w:hint="default"/>
        </w:rPr>
        <w:t>1</w:t>
      </w:r>
      <w:r>
        <w:rPr/>
        <w:t>）按款项性质列示长期应付款</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pStyle w:val="BodyText"/>
        <w:spacing w:line="240" w:lineRule="auto"/>
        <w:ind w:right="0"/>
        <w:jc w:val="left"/>
      </w:pPr>
      <w:r>
        <w:rPr/>
        <w:t>不适用</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0"/>
          <w:szCs w:val="20"/>
        </w:rPr>
      </w:pPr>
    </w:p>
    <w:p>
      <w:pPr>
        <w:pStyle w:val="Heading3"/>
        <w:spacing w:line="240" w:lineRule="auto"/>
        <w:ind w:right="0"/>
        <w:jc w:val="left"/>
        <w:rPr>
          <w:b w:val="0"/>
          <w:bCs w:val="0"/>
        </w:rPr>
      </w:pPr>
      <w:bookmarkStart w:name="48、长期应付职工薪酬" w:id="346"/>
      <w:bookmarkEnd w:id="346"/>
      <w:r>
        <w:rPr>
          <w:b w:val="0"/>
          <w:bCs w:val="0"/>
        </w:rPr>
      </w:r>
      <w:r>
        <w:rPr>
          <w:rFonts w:ascii="Times New Roman" w:hAnsi="Times New Roman" w:cs="Times New Roman" w:eastAsia="Times New Roman" w:hint="default"/>
        </w:rPr>
        <w:t>48</w:t>
      </w:r>
      <w:r>
        <w:rPr/>
        <w:t>、长期应付职工薪酬</w:t>
      </w:r>
      <w:r>
        <w:rPr>
          <w:b w:val="0"/>
          <w:bCs w:val="0"/>
        </w:rPr>
      </w:r>
    </w:p>
    <w:p>
      <w:pPr>
        <w:spacing w:line="240" w:lineRule="auto" w:before="0"/>
        <w:rPr>
          <w:rFonts w:ascii="宋体" w:hAnsi="宋体" w:cs="宋体" w:eastAsia="宋体" w:hint="default"/>
          <w:b/>
          <w:bCs/>
          <w:sz w:val="22"/>
          <w:szCs w:val="22"/>
        </w:rPr>
      </w:pPr>
    </w:p>
    <w:p>
      <w:pPr>
        <w:pStyle w:val="Heading3"/>
        <w:spacing w:line="240" w:lineRule="auto" w:before="189"/>
        <w:ind w:left="1133" w:right="0"/>
        <w:jc w:val="left"/>
        <w:rPr>
          <w:b w:val="0"/>
          <w:bCs w:val="0"/>
        </w:rPr>
      </w:pPr>
      <w:bookmarkStart w:name="（1）长期应付职工薪酬表" w:id="347"/>
      <w:bookmarkEnd w:id="347"/>
      <w:r>
        <w:rPr>
          <w:b w:val="0"/>
          <w:bCs w:val="0"/>
        </w:rPr>
      </w:r>
      <w:r>
        <w:rPr/>
        <w:t>（</w:t>
      </w:r>
      <w:r>
        <w:rPr>
          <w:rFonts w:ascii="Times New Roman" w:hAnsi="Times New Roman" w:cs="Times New Roman" w:eastAsia="Times New Roman" w:hint="default"/>
        </w:rPr>
        <w:t>1</w:t>
      </w:r>
      <w:r>
        <w:rPr/>
        <w:t>）长期应付职工薪酬表</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pStyle w:val="BodyText"/>
        <w:spacing w:line="240" w:lineRule="auto"/>
        <w:ind w:left="1133" w:right="0"/>
        <w:jc w:val="left"/>
      </w:pPr>
      <w:r>
        <w:rPr/>
        <w:t>不适用</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0"/>
          <w:szCs w:val="20"/>
        </w:rPr>
      </w:pPr>
    </w:p>
    <w:p>
      <w:pPr>
        <w:pStyle w:val="Heading3"/>
        <w:spacing w:line="240" w:lineRule="auto"/>
        <w:ind w:left="1133" w:right="0"/>
        <w:jc w:val="left"/>
        <w:rPr>
          <w:b w:val="0"/>
          <w:bCs w:val="0"/>
        </w:rPr>
      </w:pPr>
      <w:bookmarkStart w:name="（2）设定受益计划变动情况" w:id="348"/>
      <w:bookmarkEnd w:id="348"/>
      <w:r>
        <w:rPr>
          <w:b w:val="0"/>
          <w:bCs w:val="0"/>
        </w:rPr>
      </w:r>
      <w:r>
        <w:rPr/>
        <w:t>（</w:t>
      </w:r>
      <w:r>
        <w:rPr>
          <w:rFonts w:ascii="Times New Roman" w:hAnsi="Times New Roman" w:cs="Times New Roman" w:eastAsia="Times New Roman" w:hint="default"/>
        </w:rPr>
        <w:t>2</w:t>
      </w:r>
      <w:r>
        <w:rPr/>
        <w:t>）设定受益计划变动情况</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pStyle w:val="BodyText"/>
        <w:spacing w:line="240" w:lineRule="auto"/>
        <w:ind w:left="1133" w:right="0"/>
        <w:jc w:val="left"/>
      </w:pPr>
      <w:r>
        <w:rPr/>
        <w:t>不适用</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0"/>
          <w:szCs w:val="20"/>
        </w:rPr>
      </w:pPr>
    </w:p>
    <w:p>
      <w:pPr>
        <w:pStyle w:val="Heading3"/>
        <w:spacing w:line="240" w:lineRule="auto"/>
        <w:ind w:left="1133" w:right="0"/>
        <w:jc w:val="left"/>
        <w:rPr>
          <w:b w:val="0"/>
          <w:bCs w:val="0"/>
        </w:rPr>
      </w:pPr>
      <w:bookmarkStart w:name="49、专项应付款" w:id="349"/>
      <w:bookmarkEnd w:id="349"/>
      <w:r>
        <w:rPr>
          <w:b w:val="0"/>
          <w:bCs w:val="0"/>
        </w:rPr>
      </w:r>
      <w:r>
        <w:rPr>
          <w:rFonts w:ascii="Times New Roman" w:hAnsi="Times New Roman" w:cs="Times New Roman" w:eastAsia="Times New Roman" w:hint="default"/>
        </w:rPr>
        <w:t>49</w:t>
      </w:r>
      <w:r>
        <w:rPr/>
        <w:t>、专项应付款</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pStyle w:val="BodyText"/>
        <w:spacing w:line="240" w:lineRule="auto"/>
        <w:ind w:right="0"/>
        <w:jc w:val="left"/>
      </w:pPr>
      <w:r>
        <w:rPr/>
        <w:t>不适用</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0"/>
          <w:szCs w:val="20"/>
        </w:rPr>
      </w:pPr>
    </w:p>
    <w:p>
      <w:pPr>
        <w:pStyle w:val="Heading3"/>
        <w:spacing w:line="240" w:lineRule="auto"/>
        <w:ind w:right="0"/>
        <w:jc w:val="left"/>
        <w:rPr>
          <w:b w:val="0"/>
          <w:bCs w:val="0"/>
        </w:rPr>
      </w:pPr>
      <w:bookmarkStart w:name="50、预计负债" w:id="350"/>
      <w:bookmarkEnd w:id="350"/>
      <w:r>
        <w:rPr>
          <w:b w:val="0"/>
          <w:bCs w:val="0"/>
        </w:rPr>
      </w:r>
      <w:r>
        <w:rPr>
          <w:rFonts w:ascii="Times New Roman" w:hAnsi="Times New Roman" w:cs="Times New Roman" w:eastAsia="Times New Roman" w:hint="default"/>
        </w:rPr>
        <w:t>50</w:t>
      </w:r>
      <w:r>
        <w:rPr/>
        <w:t>、预计负债</w:t>
      </w:r>
      <w:r>
        <w:rPr>
          <w:b w:val="0"/>
          <w:bCs w:val="0"/>
        </w:rPr>
      </w:r>
    </w:p>
    <w:p>
      <w:pPr>
        <w:spacing w:line="240" w:lineRule="auto" w:before="2"/>
        <w:rPr>
          <w:rFonts w:ascii="宋体" w:hAnsi="宋体" w:cs="宋体" w:eastAsia="宋体" w:hint="default"/>
          <w:b/>
          <w:bCs/>
          <w:sz w:val="29"/>
          <w:szCs w:val="29"/>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390"/>
        <w:gridCol w:w="2396"/>
        <w:gridCol w:w="2392"/>
        <w:gridCol w:w="2392"/>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形成原因</w:t>
            </w:r>
          </w:p>
        </w:tc>
      </w:tr>
    </w:tbl>
    <w:p>
      <w:pPr>
        <w:spacing w:after="0" w:line="240" w:lineRule="auto"/>
        <w:jc w:val="center"/>
        <w:rPr>
          <w:rFonts w:ascii="宋体" w:hAnsi="宋体" w:cs="宋体" w:eastAsia="宋体" w:hint="default"/>
          <w:sz w:val="18"/>
          <w:szCs w:val="18"/>
        </w:rPr>
        <w:sectPr>
          <w:pgSz w:w="11910" w:h="16840"/>
          <w:pgMar w:header="787" w:footer="640" w:top="1100" w:bottom="840" w:left="0" w:right="0"/>
        </w:sectPr>
      </w:pPr>
    </w:p>
    <w:p>
      <w:pPr>
        <w:spacing w:line="240" w:lineRule="auto" w:before="5"/>
        <w:rPr>
          <w:rFonts w:ascii="宋体" w:hAnsi="宋体" w:cs="宋体" w:eastAsia="宋体" w:hint="default"/>
          <w:sz w:val="25"/>
          <w:szCs w:val="25"/>
        </w:rPr>
      </w:pPr>
    </w:p>
    <w:tbl>
      <w:tblPr>
        <w:tblW w:w="0" w:type="auto"/>
        <w:jc w:val="left"/>
        <w:tblInd w:w="1129" w:type="dxa"/>
        <w:tblLayout w:type="fixed"/>
        <w:tblCellMar>
          <w:top w:w="0" w:type="dxa"/>
          <w:left w:w="0" w:type="dxa"/>
          <w:bottom w:w="0" w:type="dxa"/>
          <w:right w:w="0" w:type="dxa"/>
        </w:tblCellMar>
        <w:tblLook w:val="01E0"/>
      </w:tblPr>
      <w:tblGrid>
        <w:gridCol w:w="2390"/>
        <w:gridCol w:w="2396"/>
        <w:gridCol w:w="2392"/>
        <w:gridCol w:w="2392"/>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产品质量保证</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188,923.20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265,956.27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为产品提供质量保证</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188,923.20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265,956.27</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60" w:lineRule="auto" w:before="51"/>
        <w:ind w:right="6072"/>
        <w:jc w:val="left"/>
      </w:pPr>
      <w:r>
        <w:rPr/>
        <w:t>其他说明，包括重要预计负债的相关重要假设、估计说明： 预计质量保修费用按最近三年实际质保维修支出水平计提。</w:t>
      </w:r>
    </w:p>
    <w:p>
      <w:pPr>
        <w:spacing w:line="240" w:lineRule="auto" w:before="11"/>
        <w:rPr>
          <w:rFonts w:ascii="宋体" w:hAnsi="宋体" w:cs="宋体" w:eastAsia="宋体" w:hint="default"/>
          <w:sz w:val="19"/>
          <w:szCs w:val="19"/>
        </w:rPr>
      </w:pPr>
    </w:p>
    <w:p>
      <w:pPr>
        <w:pStyle w:val="Heading3"/>
        <w:spacing w:line="240" w:lineRule="auto"/>
        <w:ind w:right="0"/>
        <w:jc w:val="left"/>
        <w:rPr>
          <w:b w:val="0"/>
          <w:bCs w:val="0"/>
        </w:rPr>
      </w:pPr>
      <w:bookmarkStart w:name="51、递延收益" w:id="351"/>
      <w:bookmarkEnd w:id="351"/>
      <w:r>
        <w:rPr>
          <w:b w:val="0"/>
          <w:bCs w:val="0"/>
        </w:rPr>
      </w:r>
      <w:r>
        <w:rPr>
          <w:rFonts w:ascii="Times New Roman" w:hAnsi="Times New Roman" w:cs="Times New Roman" w:eastAsia="Times New Roman" w:hint="default"/>
        </w:rPr>
        <w:t>51</w:t>
      </w:r>
      <w:r>
        <w:rPr/>
        <w:t>、递延收益</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583"/>
        <w:gridCol w:w="1607"/>
        <w:gridCol w:w="1595"/>
        <w:gridCol w:w="1594"/>
        <w:gridCol w:w="1594"/>
        <w:gridCol w:w="1595"/>
      </w:tblGrid>
      <w:tr>
        <w:trPr>
          <w:trHeight w:val="401"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4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60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9,700,000.00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910,000.00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2,693,997.80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7,916,002.20</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0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9,700,000.00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910,000.00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2,693,997.80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7,916,002.20</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t>涉及政府补助的项目：</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064"/>
        <w:gridCol w:w="1064"/>
        <w:gridCol w:w="1063"/>
        <w:gridCol w:w="1064"/>
        <w:gridCol w:w="1063"/>
        <w:gridCol w:w="1063"/>
        <w:gridCol w:w="1064"/>
        <w:gridCol w:w="1062"/>
        <w:gridCol w:w="1063"/>
      </w:tblGrid>
      <w:tr>
        <w:trPr>
          <w:trHeight w:val="1026"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66"/>
              <w:jc w:val="right"/>
              <w:rPr>
                <w:rFonts w:ascii="宋体" w:hAnsi="宋体" w:cs="宋体" w:eastAsia="宋体" w:hint="default"/>
                <w:sz w:val="18"/>
                <w:szCs w:val="18"/>
              </w:rPr>
            </w:pPr>
            <w:r>
              <w:rPr>
                <w:rFonts w:ascii="宋体" w:hAnsi="宋体" w:cs="宋体" w:eastAsia="宋体" w:hint="default"/>
                <w:sz w:val="18"/>
                <w:szCs w:val="18"/>
              </w:rPr>
              <w:t>负债项目</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6"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56" w:right="74" w:hanging="180"/>
              <w:jc w:val="left"/>
              <w:rPr>
                <w:rFonts w:ascii="宋体" w:hAnsi="宋体" w:cs="宋体" w:eastAsia="宋体" w:hint="default"/>
                <w:sz w:val="18"/>
                <w:szCs w:val="18"/>
              </w:rPr>
            </w:pPr>
            <w:r>
              <w:rPr>
                <w:rFonts w:ascii="宋体" w:hAnsi="宋体" w:cs="宋体" w:eastAsia="宋体" w:hint="default"/>
                <w:sz w:val="18"/>
                <w:szCs w:val="18"/>
              </w:rPr>
              <w:t>本期新增补 助金额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5" w:right="76"/>
              <w:jc w:val="center"/>
              <w:rPr>
                <w:rFonts w:ascii="宋体" w:hAnsi="宋体" w:cs="宋体" w:eastAsia="宋体" w:hint="default"/>
                <w:sz w:val="18"/>
                <w:szCs w:val="18"/>
              </w:rPr>
            </w:pPr>
            <w:r>
              <w:rPr>
                <w:rFonts w:ascii="宋体" w:hAnsi="宋体" w:cs="宋体" w:eastAsia="宋体" w:hint="default"/>
                <w:sz w:val="18"/>
                <w:szCs w:val="18"/>
              </w:rPr>
              <w:t>本期计入营 业外收入金 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5" w:right="77"/>
              <w:jc w:val="left"/>
              <w:rPr>
                <w:rFonts w:ascii="宋体" w:hAnsi="宋体" w:cs="宋体" w:eastAsia="宋体" w:hint="default"/>
                <w:sz w:val="18"/>
                <w:szCs w:val="18"/>
              </w:rPr>
            </w:pPr>
            <w:r>
              <w:rPr>
                <w:rFonts w:ascii="宋体" w:hAnsi="宋体" w:cs="宋体" w:eastAsia="宋体" w:hint="default"/>
                <w:sz w:val="18"/>
                <w:szCs w:val="18"/>
              </w:rPr>
              <w:t>本期计入其 他收益金额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5" w:right="77"/>
              <w:jc w:val="left"/>
              <w:rPr>
                <w:rFonts w:ascii="宋体" w:hAnsi="宋体" w:cs="宋体" w:eastAsia="宋体" w:hint="default"/>
                <w:sz w:val="18"/>
                <w:szCs w:val="18"/>
              </w:rPr>
            </w:pPr>
            <w:r>
              <w:rPr>
                <w:rFonts w:ascii="宋体" w:hAnsi="宋体" w:cs="宋体" w:eastAsia="宋体" w:hint="default"/>
                <w:sz w:val="18"/>
                <w:szCs w:val="18"/>
              </w:rPr>
              <w:t>本期冲减成 本费用金额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5"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5"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00" w:lineRule="auto"/>
              <w:ind w:left="76" w:right="51" w:hanging="2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1338"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65"/>
              <w:jc w:val="left"/>
              <w:rPr>
                <w:rFonts w:ascii="宋体" w:hAnsi="宋体" w:cs="宋体" w:eastAsia="宋体" w:hint="default"/>
                <w:sz w:val="18"/>
                <w:szCs w:val="18"/>
              </w:rPr>
            </w:pPr>
            <w:r>
              <w:rPr>
                <w:rFonts w:ascii="Times New Roman" w:hAnsi="Times New Roman" w:cs="Times New Roman" w:eastAsia="Times New Roman" w:hint="default"/>
                <w:spacing w:val="-7"/>
                <w:sz w:val="18"/>
                <w:szCs w:val="18"/>
              </w:rPr>
              <w:t>ATM</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自助银 行立体安防 系统的研发 及应用</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240,000.00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240,000.00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22"/>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110</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报警设备 的状态感知 及管理系统 的研发</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基于海量数 据分析的智 慧银行安防 系统研究与 应用</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960,000.00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20" w:right="0"/>
              <w:jc w:val="left"/>
              <w:rPr>
                <w:rFonts w:ascii="Times New Roman" w:hAnsi="Times New Roman" w:cs="Times New Roman" w:eastAsia="Times New Roman" w:hint="default"/>
                <w:sz w:val="18"/>
                <w:szCs w:val="18"/>
              </w:rPr>
            </w:pPr>
            <w:r>
              <w:rPr>
                <w:rFonts w:ascii="Times New Roman"/>
                <w:sz w:val="18"/>
              </w:rPr>
              <w:t>640,000.00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基于海量异 构数据的智 慧银行安防 云平台研究 与应用</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800,000.00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超宽频高精 度无线定位 通讯模块关 键技术的研 发</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3,500,000.00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2,253,997.80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1,246,002.20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319" w:lineRule="auto"/>
              <w:ind w:left="23" w:right="20"/>
              <w:jc w:val="left"/>
              <w:rPr>
                <w:rFonts w:ascii="宋体" w:hAnsi="宋体" w:cs="宋体" w:eastAsia="宋体" w:hint="default"/>
                <w:sz w:val="18"/>
                <w:szCs w:val="18"/>
              </w:rPr>
            </w:pPr>
            <w:r>
              <w:rPr>
                <w:rFonts w:ascii="宋体" w:hAnsi="宋体" w:cs="宋体" w:eastAsia="宋体" w:hint="default"/>
                <w:sz w:val="18"/>
                <w:szCs w:val="18"/>
              </w:rPr>
              <w:t>部分与收益 </w:t>
            </w:r>
            <w:r>
              <w:rPr>
                <w:rFonts w:ascii="宋体" w:hAnsi="宋体" w:cs="宋体" w:eastAsia="宋体" w:hint="default"/>
                <w:spacing w:val="-13"/>
                <w:sz w:val="18"/>
                <w:szCs w:val="18"/>
              </w:rPr>
              <w:t>相关，部分与</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资产相关</w:t>
            </w:r>
          </w:p>
        </w:tc>
      </w:tr>
      <w:tr>
        <w:trPr>
          <w:trHeight w:val="402"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29"/>
              <w:jc w:val="right"/>
              <w:rPr>
                <w:rFonts w:ascii="宋体" w:hAnsi="宋体" w:cs="宋体" w:eastAsia="宋体" w:hint="default"/>
                <w:sz w:val="18"/>
                <w:szCs w:val="18"/>
              </w:rPr>
            </w:pPr>
            <w:r>
              <w:rPr>
                <w:rFonts w:ascii="宋体" w:hAnsi="宋体" w:cs="宋体" w:eastAsia="宋体" w:hint="default"/>
                <w:sz w:val="18"/>
                <w:szCs w:val="18"/>
              </w:rPr>
              <w:t>面向社区矫</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4,000,000.00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3" w:right="0"/>
              <w:jc w:val="left"/>
              <w:rPr>
                <w:rFonts w:ascii="宋体" w:hAnsi="宋体" w:cs="宋体" w:eastAsia="宋体" w:hint="default"/>
                <w:sz w:val="18"/>
                <w:szCs w:val="18"/>
              </w:rPr>
            </w:pPr>
            <w:r>
              <w:rPr>
                <w:rFonts w:ascii="宋体" w:hAnsi="宋体" w:cs="宋体" w:eastAsia="宋体" w:hint="default"/>
                <w:sz w:val="18"/>
                <w:szCs w:val="18"/>
              </w:rPr>
              <w:t>部分与收益</w:t>
            </w:r>
          </w:p>
        </w:tc>
      </w:tr>
    </w:tbl>
    <w:p>
      <w:pPr>
        <w:spacing w:after="0" w:line="240" w:lineRule="auto"/>
        <w:jc w:val="left"/>
        <w:rPr>
          <w:rFonts w:ascii="宋体" w:hAnsi="宋体" w:cs="宋体" w:eastAsia="宋体" w:hint="default"/>
          <w:sz w:val="18"/>
          <w:szCs w:val="18"/>
        </w:rPr>
        <w:sectPr>
          <w:footerReference w:type="default" r:id="rId61"/>
          <w:pgSz w:w="11910" w:h="16840"/>
          <w:pgMar w:footer="640" w:header="787" w:top="1100" w:bottom="840" w:left="0" w:right="0"/>
        </w:sectPr>
      </w:pPr>
    </w:p>
    <w:p>
      <w:pPr>
        <w:spacing w:line="240" w:lineRule="auto" w:before="5"/>
        <w:rPr>
          <w:rFonts w:ascii="宋体" w:hAnsi="宋体" w:cs="宋体" w:eastAsia="宋体" w:hint="default"/>
          <w:sz w:val="25"/>
          <w:szCs w:val="25"/>
        </w:rPr>
      </w:pPr>
    </w:p>
    <w:tbl>
      <w:tblPr>
        <w:tblW w:w="0" w:type="auto"/>
        <w:jc w:val="left"/>
        <w:tblInd w:w="1129" w:type="dxa"/>
        <w:tblLayout w:type="fixed"/>
        <w:tblCellMar>
          <w:top w:w="0" w:type="dxa"/>
          <w:left w:w="0" w:type="dxa"/>
          <w:bottom w:w="0" w:type="dxa"/>
          <w:right w:w="0" w:type="dxa"/>
        </w:tblCellMar>
        <w:tblLook w:val="01E0"/>
      </w:tblPr>
      <w:tblGrid>
        <w:gridCol w:w="1064"/>
        <w:gridCol w:w="1064"/>
        <w:gridCol w:w="1063"/>
        <w:gridCol w:w="1064"/>
        <w:gridCol w:w="1063"/>
        <w:gridCol w:w="1063"/>
        <w:gridCol w:w="1064"/>
        <w:gridCol w:w="1062"/>
        <w:gridCol w:w="1063"/>
      </w:tblGrid>
      <w:tr>
        <w:trPr>
          <w:trHeight w:val="1026"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29"/>
              <w:jc w:val="both"/>
              <w:rPr>
                <w:rFonts w:ascii="宋体" w:hAnsi="宋体" w:cs="宋体" w:eastAsia="宋体" w:hint="default"/>
                <w:sz w:val="18"/>
                <w:szCs w:val="18"/>
              </w:rPr>
            </w:pPr>
            <w:r>
              <w:rPr>
                <w:rFonts w:ascii="宋体" w:hAnsi="宋体" w:cs="宋体" w:eastAsia="宋体" w:hint="default"/>
                <w:sz w:val="18"/>
                <w:szCs w:val="18"/>
              </w:rPr>
              <w:t>正定位跟踪 的可穿戴装 备的研发</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3" w:right="20"/>
              <w:jc w:val="left"/>
              <w:rPr>
                <w:rFonts w:ascii="宋体" w:hAnsi="宋体" w:cs="宋体" w:eastAsia="宋体" w:hint="default"/>
                <w:sz w:val="18"/>
                <w:szCs w:val="18"/>
              </w:rPr>
            </w:pPr>
            <w:r>
              <w:rPr>
                <w:rFonts w:ascii="宋体" w:hAnsi="宋体" w:cs="宋体" w:eastAsia="宋体" w:hint="default"/>
                <w:spacing w:val="-13"/>
                <w:sz w:val="18"/>
                <w:szCs w:val="18"/>
              </w:rPr>
              <w:t>相关，部分与</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资产相关</w:t>
            </w:r>
          </w:p>
        </w:tc>
      </w:tr>
      <w:tr>
        <w:trPr>
          <w:trHeight w:val="1650"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一种超宽频 高精度无线 定位通讯电 路的研制专 项资金</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270,000.00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270,000.00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7" w:right="0"/>
              <w:jc w:val="left"/>
              <w:rPr>
                <w:rFonts w:ascii="Times New Roman" w:hAnsi="Times New Roman" w:cs="Times New Roman" w:eastAsia="Times New Roman" w:hint="default"/>
                <w:sz w:val="18"/>
                <w:szCs w:val="18"/>
              </w:rPr>
            </w:pPr>
            <w:r>
              <w:rPr>
                <w:rFonts w:ascii="Times New Roman"/>
                <w:sz w:val="18"/>
              </w:rPr>
              <w:t>9,700,000.00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910,000.00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 w:right="0"/>
              <w:jc w:val="left"/>
              <w:rPr>
                <w:rFonts w:ascii="Times New Roman" w:hAnsi="Times New Roman" w:cs="Times New Roman" w:eastAsia="Times New Roman" w:hint="default"/>
                <w:sz w:val="18"/>
                <w:szCs w:val="18"/>
              </w:rPr>
            </w:pPr>
            <w:r>
              <w:rPr>
                <w:rFonts w:ascii="Times New Roman"/>
                <w:sz w:val="18"/>
              </w:rPr>
              <w:t>2,693,997.80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7,916,002.20</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52、其他非流动负债" w:id="352"/>
      <w:bookmarkEnd w:id="352"/>
      <w:r>
        <w:rPr>
          <w:b w:val="0"/>
          <w:bCs w:val="0"/>
        </w:rPr>
      </w:r>
      <w:r>
        <w:rPr>
          <w:rFonts w:ascii="Times New Roman" w:hAnsi="Times New Roman" w:cs="Times New Roman" w:eastAsia="Times New Roman" w:hint="default"/>
        </w:rPr>
        <w:t>52</w:t>
      </w:r>
      <w:r>
        <w:rPr/>
        <w:t>、其他非流动负债</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3" w:right="0"/>
        <w:jc w:val="left"/>
      </w:pPr>
      <w:r>
        <w:rPr/>
        <w:t>不适用</w:t>
      </w:r>
    </w:p>
    <w:p>
      <w:pPr>
        <w:spacing w:line="240" w:lineRule="auto" w:before="11"/>
        <w:rPr>
          <w:rFonts w:ascii="宋体" w:hAnsi="宋体" w:cs="宋体" w:eastAsia="宋体" w:hint="default"/>
          <w:sz w:val="26"/>
          <w:szCs w:val="26"/>
        </w:rPr>
      </w:pPr>
    </w:p>
    <w:p>
      <w:pPr>
        <w:pStyle w:val="Heading3"/>
        <w:spacing w:line="240" w:lineRule="auto"/>
        <w:ind w:left="1133" w:right="0"/>
        <w:jc w:val="left"/>
        <w:rPr>
          <w:b w:val="0"/>
          <w:bCs w:val="0"/>
        </w:rPr>
      </w:pPr>
      <w:bookmarkStart w:name="53、股本" w:id="353"/>
      <w:bookmarkEnd w:id="353"/>
      <w:r>
        <w:rPr>
          <w:b w:val="0"/>
          <w:bCs w:val="0"/>
        </w:rPr>
      </w:r>
      <w:r>
        <w:rPr>
          <w:rFonts w:ascii="Times New Roman" w:hAnsi="Times New Roman" w:cs="Times New Roman" w:eastAsia="Times New Roman" w:hint="default"/>
        </w:rPr>
        <w:t>53</w:t>
      </w:r>
      <w:r>
        <w:rPr/>
        <w:t>、股本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1184"/>
        <w:gridCol w:w="1208"/>
        <w:gridCol w:w="1184"/>
        <w:gridCol w:w="1197"/>
        <w:gridCol w:w="1195"/>
        <w:gridCol w:w="1197"/>
        <w:gridCol w:w="1184"/>
        <w:gridCol w:w="1207"/>
      </w:tblGrid>
      <w:tr>
        <w:trPr>
          <w:trHeight w:val="206" w:hRule="exact"/>
        </w:trPr>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8" w:type="dxa"/>
            <w:tcBorders>
              <w:top w:val="single" w:sz="4" w:space="0" w:color="000000"/>
              <w:left w:val="single" w:sz="4" w:space="0" w:color="000000"/>
              <w:bottom w:val="nil" w:sz="6" w:space="0" w:color="auto"/>
              <w:right w:val="single" w:sz="4" w:space="0" w:color="000000"/>
            </w:tcBorders>
            <w:shd w:val="clear" w:color="auto" w:fill="D2D2D2"/>
          </w:tcPr>
          <w:p>
            <w:pPr/>
          </w:p>
        </w:tc>
        <w:tc>
          <w:tcPr>
            <w:tcW w:w="5958"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0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1" w:hRule="exact"/>
        </w:trPr>
        <w:tc>
          <w:tcPr>
            <w:tcW w:w="1184" w:type="dxa"/>
            <w:vMerge w:val="restart"/>
            <w:tcBorders>
              <w:top w:val="nil" w:sz="6" w:space="0" w:color="auto"/>
              <w:left w:val="single" w:sz="4" w:space="0" w:color="000000"/>
              <w:right w:val="single" w:sz="4" w:space="0" w:color="000000"/>
            </w:tcBorders>
            <w:shd w:val="clear" w:color="auto" w:fill="D2D2D2"/>
          </w:tcPr>
          <w:p>
            <w:pPr/>
          </w:p>
        </w:tc>
        <w:tc>
          <w:tcPr>
            <w:tcW w:w="12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58" w:type="dxa"/>
            <w:gridSpan w:val="5"/>
            <w:vMerge/>
            <w:tcBorders>
              <w:left w:val="single" w:sz="4" w:space="0" w:color="000000"/>
              <w:bottom w:val="single" w:sz="4" w:space="0" w:color="000000"/>
              <w:right w:val="single" w:sz="4" w:space="0" w:color="000000"/>
            </w:tcBorders>
            <w:shd w:val="clear" w:color="auto" w:fill="D2D2D2"/>
          </w:tcPr>
          <w:p>
            <w:pPr/>
          </w:p>
        </w:tc>
        <w:tc>
          <w:tcPr>
            <w:tcW w:w="120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44"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200" w:hRule="exact"/>
        </w:trPr>
        <w:tc>
          <w:tcPr>
            <w:tcW w:w="1184" w:type="dxa"/>
            <w:vMerge/>
            <w:tcBorders>
              <w:left w:val="single" w:sz="4" w:space="0" w:color="000000"/>
              <w:bottom w:val="nil" w:sz="6" w:space="0" w:color="auto"/>
              <w:right w:val="single" w:sz="4" w:space="0" w:color="000000"/>
            </w:tcBorders>
            <w:shd w:val="clear" w:color="auto" w:fill="D2D2D2"/>
          </w:tcPr>
          <w:p>
            <w:pPr/>
          </w:p>
        </w:tc>
        <w:tc>
          <w:tcPr>
            <w:tcW w:w="1208" w:type="dxa"/>
            <w:vMerge/>
            <w:tcBorders>
              <w:left w:val="single" w:sz="4" w:space="0" w:color="000000"/>
              <w:bottom w:val="nil" w:sz="6" w:space="0" w:color="auto"/>
              <w:right w:val="single" w:sz="4" w:space="0" w:color="000000"/>
            </w:tcBorders>
            <w:shd w:val="clear" w:color="auto" w:fill="D2D2D2"/>
          </w:tcPr>
          <w:p>
            <w:pP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22"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42"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0"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207"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c>
          <w:tcPr>
            <w:tcW w:w="120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1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20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32" w:right="0"/>
              <w:jc w:val="left"/>
              <w:rPr>
                <w:rFonts w:ascii="Times New Roman" w:hAnsi="Times New Roman" w:cs="Times New Roman" w:eastAsia="Times New Roman" w:hint="default"/>
                <w:sz w:val="18"/>
                <w:szCs w:val="18"/>
              </w:rPr>
            </w:pPr>
            <w:r>
              <w:rPr>
                <w:rFonts w:ascii="Times New Roman"/>
                <w:sz w:val="18"/>
              </w:rPr>
              <w:t>202,401,442.00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7" w:right="0"/>
              <w:jc w:val="left"/>
              <w:rPr>
                <w:rFonts w:ascii="Times New Roman" w:hAnsi="Times New Roman" w:cs="Times New Roman" w:eastAsia="Times New Roman" w:hint="default"/>
                <w:sz w:val="18"/>
                <w:szCs w:val="18"/>
              </w:rPr>
            </w:pPr>
            <w:r>
              <w:rPr>
                <w:rFonts w:ascii="Times New Roman"/>
                <w:sz w:val="18"/>
              </w:rPr>
              <w:t>16,094,768.00</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3" w:right="0"/>
              <w:jc w:val="left"/>
              <w:rPr>
                <w:rFonts w:ascii="Times New Roman" w:hAnsi="Times New Roman" w:cs="Times New Roman" w:eastAsia="Times New Roman" w:hint="default"/>
                <w:sz w:val="18"/>
                <w:szCs w:val="18"/>
              </w:rPr>
            </w:pPr>
            <w:r>
              <w:rPr>
                <w:rFonts w:ascii="Times New Roman"/>
                <w:sz w:val="18"/>
              </w:rPr>
              <w:t>-125,551.00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8" w:right="0"/>
              <w:jc w:val="left"/>
              <w:rPr>
                <w:rFonts w:ascii="Times New Roman" w:hAnsi="Times New Roman" w:cs="Times New Roman" w:eastAsia="Times New Roman" w:hint="default"/>
                <w:sz w:val="18"/>
                <w:szCs w:val="18"/>
              </w:rPr>
            </w:pPr>
            <w:r>
              <w:rPr>
                <w:rFonts w:ascii="Times New Roman"/>
                <w:sz w:val="18"/>
              </w:rPr>
              <w:t>15,969,217.00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218,370,659.00</w:t>
            </w:r>
          </w:p>
        </w:tc>
      </w:tr>
    </w:tbl>
    <w:p>
      <w:pPr>
        <w:pStyle w:val="BodyText"/>
        <w:spacing w:line="240" w:lineRule="auto" w:before="51"/>
        <w:ind w:right="0"/>
        <w:jc w:val="left"/>
      </w:pPr>
      <w:r>
        <w:rPr/>
        <w:t>其他说明：</w:t>
      </w:r>
    </w:p>
    <w:p>
      <w:pPr>
        <w:pStyle w:val="BodyText"/>
        <w:spacing w:line="240" w:lineRule="auto" w:before="117"/>
        <w:ind w:left="1133" w:right="0"/>
        <w:jc w:val="left"/>
      </w:pPr>
      <w:r>
        <w:rPr>
          <w:rFonts w:ascii="Times New Roman" w:hAnsi="Times New Roman" w:cs="Times New Roman" w:eastAsia="Times New Roman" w:hint="default"/>
        </w:rPr>
        <w:t>1</w:t>
      </w:r>
      <w:r>
        <w:rPr/>
        <w:t>）本期发行新股的情况</w:t>
      </w:r>
    </w:p>
    <w:p>
      <w:pPr>
        <w:pStyle w:val="BodyText"/>
        <w:spacing w:line="240" w:lineRule="auto" w:before="101"/>
        <w:ind w:right="0"/>
        <w:jc w:val="left"/>
      </w:pPr>
      <w:r>
        <w:rPr/>
        <w:t>①</w:t>
      </w:r>
      <w:r>
        <w:rPr>
          <w:rFonts w:ascii="Times New Roman" w:hAnsi="Times New Roman" w:cs="Times New Roman" w:eastAsia="Times New Roman" w:hint="default"/>
        </w:rPr>
        <w:t>2017</w:t>
      </w:r>
      <w:r>
        <w:rPr>
          <w:rFonts w:ascii="Times New Roman" w:hAnsi="Times New Roman" w:cs="Times New Roman" w:eastAsia="Times New Roman" w:hint="default"/>
          <w:spacing w:val="-9"/>
        </w:rPr>
        <w:t> </w:t>
      </w:r>
      <w:r>
        <w:rPr/>
        <w:t>年</w:t>
      </w:r>
      <w:r>
        <w:rPr>
          <w:spacing w:val="-54"/>
        </w:rPr>
        <w:t> </w:t>
      </w:r>
      <w:r>
        <w:rPr>
          <w:rFonts w:ascii="Times New Roman" w:hAnsi="Times New Roman" w:cs="Times New Roman" w:eastAsia="Times New Roman" w:hint="default"/>
        </w:rPr>
        <w:t>4</w:t>
      </w:r>
      <w:r>
        <w:rPr>
          <w:rFonts w:ascii="Times New Roman" w:hAnsi="Times New Roman" w:cs="Times New Roman" w:eastAsia="Times New Roman" w:hint="default"/>
          <w:spacing w:val="-8"/>
        </w:rPr>
        <w:t> </w:t>
      </w:r>
      <w:r>
        <w:rPr/>
        <w:t>月</w:t>
      </w:r>
      <w:r>
        <w:rPr>
          <w:spacing w:val="-53"/>
        </w:rPr>
        <w:t> </w:t>
      </w:r>
      <w:r>
        <w:rPr>
          <w:rFonts w:ascii="Times New Roman" w:hAnsi="Times New Roman" w:cs="Times New Roman" w:eastAsia="Times New Roman" w:hint="default"/>
        </w:rPr>
        <w:t>26</w:t>
      </w:r>
      <w:r>
        <w:rPr>
          <w:rFonts w:ascii="Times New Roman" w:hAnsi="Times New Roman" w:cs="Times New Roman" w:eastAsia="Times New Roman" w:hint="default"/>
          <w:spacing w:val="-9"/>
        </w:rPr>
        <w:t> </w:t>
      </w:r>
      <w:r>
        <w:rPr/>
        <w:t>日，公司第二届董事会第三十二次会议通过了《关于向激励对象授予第二期激励计划预留部分限制性股票</w:t>
      </w:r>
    </w:p>
    <w:p>
      <w:pPr>
        <w:pStyle w:val="BodyText"/>
        <w:spacing w:line="240" w:lineRule="auto" w:before="63"/>
        <w:ind w:right="0"/>
        <w:jc w:val="left"/>
      </w:pPr>
      <w:r>
        <w:rPr/>
        <w:t>的议案</w:t>
      </w:r>
      <w:r>
        <w:rPr>
          <w:spacing w:val="-90"/>
        </w:rPr>
        <w:t>》</w:t>
      </w:r>
      <w:r>
        <w:rPr/>
        <w:t>，同意以</w:t>
      </w:r>
      <w:r>
        <w:rPr>
          <w:spacing w:val="-44"/>
        </w:rPr>
        <w:t> </w:t>
      </w:r>
      <w:r>
        <w:rPr>
          <w:rFonts w:ascii="Times New Roman" w:hAnsi="Times New Roman" w:cs="Times New Roman" w:eastAsia="Times New Roman" w:hint="default"/>
        </w:rPr>
        <w:t>2017 </w:t>
      </w:r>
      <w:r>
        <w:rPr/>
        <w:t>年</w:t>
      </w:r>
      <w:r>
        <w:rPr>
          <w:spacing w:val="-45"/>
        </w:rPr>
        <w:t> </w:t>
      </w:r>
      <w:r>
        <w:rPr>
          <w:rFonts w:ascii="Times New Roman" w:hAnsi="Times New Roman" w:cs="Times New Roman" w:eastAsia="Times New Roman" w:hint="default"/>
        </w:rPr>
        <w:t>4 </w:t>
      </w:r>
      <w:r>
        <w:rPr/>
        <w:t>月</w:t>
      </w:r>
      <w:r>
        <w:rPr>
          <w:spacing w:val="-45"/>
        </w:rPr>
        <w:t> </w:t>
      </w:r>
      <w:r>
        <w:rPr>
          <w:rFonts w:ascii="Times New Roman" w:hAnsi="Times New Roman" w:cs="Times New Roman" w:eastAsia="Times New Roman" w:hint="default"/>
        </w:rPr>
        <w:t>26 </w:t>
      </w:r>
      <w:r>
        <w:rPr/>
        <w:t>日为授予日，向</w:t>
      </w:r>
      <w:r>
        <w:rPr>
          <w:spacing w:val="-44"/>
        </w:rPr>
        <w:t> </w:t>
      </w:r>
      <w:r>
        <w:rPr>
          <w:rFonts w:ascii="Times New Roman" w:hAnsi="Times New Roman" w:cs="Times New Roman" w:eastAsia="Times New Roman" w:hint="default"/>
        </w:rPr>
        <w:t>2 </w:t>
      </w:r>
      <w:r>
        <w:rPr/>
        <w:t>名激励对象授予</w:t>
      </w:r>
      <w:r>
        <w:rPr>
          <w:spacing w:val="-45"/>
        </w:rPr>
        <w:t> </w:t>
      </w:r>
      <w:r>
        <w:rPr>
          <w:rFonts w:ascii="Times New Roman" w:hAnsi="Times New Roman" w:cs="Times New Roman" w:eastAsia="Times New Roman" w:hint="default"/>
        </w:rPr>
        <w:t>14.94 </w:t>
      </w:r>
      <w:r>
        <w:rPr/>
        <w:t>万股限制性股票，每股面值</w:t>
      </w:r>
      <w:r>
        <w:rPr>
          <w:spacing w:val="-44"/>
        </w:rPr>
        <w:t> </w:t>
      </w:r>
      <w:r>
        <w:rPr>
          <w:rFonts w:ascii="Times New Roman" w:hAnsi="Times New Roman" w:cs="Times New Roman" w:eastAsia="Times New Roman" w:hint="default"/>
        </w:rPr>
        <w:t>1  </w:t>
      </w:r>
      <w:r>
        <w:rPr/>
        <w:t>元，每股发行价格</w:t>
      </w:r>
    </w:p>
    <w:p>
      <w:pPr>
        <w:pStyle w:val="BodyText"/>
        <w:spacing w:line="240" w:lineRule="auto" w:before="63"/>
        <w:ind w:left="1133" w:right="0"/>
        <w:jc w:val="left"/>
      </w:pPr>
      <w:r>
        <w:rPr>
          <w:rFonts w:ascii="Times New Roman" w:hAnsi="Times New Roman" w:cs="Times New Roman" w:eastAsia="Times New Roman" w:hint="default"/>
        </w:rPr>
        <w:t>12.163</w:t>
      </w:r>
      <w:r>
        <w:rPr>
          <w:rFonts w:ascii="Times New Roman" w:hAnsi="Times New Roman" w:cs="Times New Roman" w:eastAsia="Times New Roman" w:hint="default"/>
          <w:spacing w:val="-9"/>
        </w:rPr>
        <w:t> </w:t>
      </w:r>
      <w:r>
        <w:rPr/>
        <w:t>元。募集资金总额减除发行费用后，募集资金净额为</w:t>
      </w:r>
      <w:r>
        <w:rPr>
          <w:spacing w:val="-55"/>
        </w:rPr>
        <w:t> </w:t>
      </w:r>
      <w:r>
        <w:rPr>
          <w:rFonts w:ascii="Times New Roman" w:hAnsi="Times New Roman" w:cs="Times New Roman" w:eastAsia="Times New Roman" w:hint="default"/>
        </w:rPr>
        <w:t>1,812,152.20</w:t>
      </w:r>
      <w:r>
        <w:rPr>
          <w:rFonts w:ascii="Times New Roman" w:hAnsi="Times New Roman" w:cs="Times New Roman" w:eastAsia="Times New Roman" w:hint="default"/>
          <w:spacing w:val="-10"/>
        </w:rPr>
        <w:t> </w:t>
      </w:r>
      <w:r>
        <w:rPr/>
        <w:t>元。其中，计入股本</w:t>
      </w:r>
      <w:r>
        <w:rPr>
          <w:spacing w:val="-55"/>
        </w:rPr>
        <w:t> </w:t>
      </w:r>
      <w:r>
        <w:rPr>
          <w:rFonts w:ascii="Times New Roman" w:hAnsi="Times New Roman" w:cs="Times New Roman" w:eastAsia="Times New Roman" w:hint="default"/>
        </w:rPr>
        <w:t>149,400.00</w:t>
      </w:r>
      <w:r>
        <w:rPr>
          <w:rFonts w:ascii="Times New Roman" w:hAnsi="Times New Roman" w:cs="Times New Roman" w:eastAsia="Times New Roman" w:hint="default"/>
          <w:spacing w:val="-10"/>
        </w:rPr>
        <w:t> </w:t>
      </w:r>
      <w:r>
        <w:rPr/>
        <w:t>元，计入资本公积</w:t>
      </w:r>
    </w:p>
    <w:p>
      <w:pPr>
        <w:pStyle w:val="BodyText"/>
        <w:spacing w:line="240" w:lineRule="auto" w:before="63"/>
        <w:ind w:left="1133" w:right="0"/>
        <w:jc w:val="left"/>
      </w:pPr>
      <w:r>
        <w:rPr/>
        <w:t>（股本溢价</w:t>
      </w:r>
      <w:r>
        <w:rPr>
          <w:spacing w:val="-66"/>
        </w:rPr>
        <w:t>）</w:t>
      </w:r>
      <w:r>
        <w:rPr>
          <w:rFonts w:ascii="Times New Roman" w:hAnsi="Times New Roman" w:cs="Times New Roman" w:eastAsia="Times New Roman" w:hint="default"/>
        </w:rPr>
        <w:t>1</w:t>
      </w:r>
      <w:r>
        <w:rPr>
          <w:rFonts w:ascii="Times New Roman" w:hAnsi="Times New Roman" w:cs="Times New Roman" w:eastAsia="Times New Roman" w:hint="default"/>
          <w:spacing w:val="-1"/>
        </w:rPr>
        <w:t>,</w:t>
      </w:r>
      <w:r>
        <w:rPr>
          <w:rFonts w:ascii="Times New Roman" w:hAnsi="Times New Roman" w:cs="Times New Roman" w:eastAsia="Times New Roman" w:hint="default"/>
        </w:rPr>
        <w:t>662,752.20</w:t>
      </w:r>
      <w:r>
        <w:rPr>
          <w:rFonts w:ascii="Times New Roman" w:hAnsi="Times New Roman" w:cs="Times New Roman" w:eastAsia="Times New Roman" w:hint="default"/>
          <w:spacing w:val="-1"/>
        </w:rPr>
        <w:t> </w:t>
      </w:r>
      <w:r>
        <w:rPr/>
        <w:t>元</w:t>
      </w:r>
      <w:r>
        <w:rPr>
          <w:spacing w:val="-68"/>
        </w:rPr>
        <w:t>。</w:t>
      </w:r>
      <w:r>
        <w:rPr/>
        <w:t>本次增资业经天健会计师事务</w:t>
      </w:r>
      <w:r>
        <w:rPr>
          <w:spacing w:val="-67"/>
        </w:rPr>
        <w:t>所</w:t>
      </w:r>
      <w:r>
        <w:rPr/>
        <w:t>（特殊普通合伙</w:t>
      </w:r>
      <w:r>
        <w:rPr>
          <w:spacing w:val="-67"/>
        </w:rPr>
        <w:t>）</w:t>
      </w:r>
      <w:r>
        <w:rPr/>
        <w:t>审验</w:t>
      </w:r>
      <w:r>
        <w:rPr>
          <w:spacing w:val="-67"/>
        </w:rPr>
        <w:t>，</w:t>
      </w:r>
      <w:r>
        <w:rPr>
          <w:spacing w:val="-2"/>
        </w:rPr>
        <w:t>并</w:t>
      </w:r>
      <w:r>
        <w:rPr/>
        <w:t>由其出</w:t>
      </w:r>
      <w:r>
        <w:rPr>
          <w:spacing w:val="-67"/>
        </w:rPr>
        <w:t>具</w:t>
      </w:r>
      <w:r>
        <w:rPr/>
        <w:t>《验资报告</w:t>
      </w:r>
      <w:r>
        <w:rPr>
          <w:spacing w:val="-157"/>
        </w:rPr>
        <w:t>》</w:t>
      </w:r>
      <w:r>
        <w:rPr/>
        <w:t>（天健</w:t>
      </w:r>
      <w:r>
        <w:rPr>
          <w:spacing w:val="-67"/>
        </w:rPr>
        <w:t>验</w:t>
      </w:r>
      <w:r>
        <w:rPr/>
        <w:t>〔</w:t>
      </w:r>
      <w:r>
        <w:rPr>
          <w:rFonts w:ascii="Times New Roman" w:hAnsi="Times New Roman" w:cs="Times New Roman" w:eastAsia="Times New Roman" w:hint="default"/>
        </w:rPr>
        <w:t>201</w:t>
      </w:r>
      <w:r>
        <w:rPr>
          <w:rFonts w:ascii="Times New Roman" w:hAnsi="Times New Roman" w:cs="Times New Roman" w:eastAsia="Times New Roman" w:hint="default"/>
          <w:spacing w:val="-1"/>
        </w:rPr>
        <w:t>7</w:t>
      </w:r>
      <w:r>
        <w:rPr/>
        <w:t>〕</w:t>
      </w:r>
    </w:p>
    <w:p>
      <w:pPr>
        <w:pStyle w:val="BodyText"/>
        <w:spacing w:line="240" w:lineRule="auto" w:before="64"/>
        <w:ind w:left="1133" w:right="0"/>
        <w:jc w:val="left"/>
      </w:pPr>
      <w:r>
        <w:rPr>
          <w:rFonts w:ascii="Times New Roman" w:hAnsi="Times New Roman" w:cs="Times New Roman" w:eastAsia="Times New Roman" w:hint="default"/>
        </w:rPr>
        <w:t>7-33</w:t>
      </w:r>
      <w:r>
        <w:rPr>
          <w:rFonts w:ascii="Times New Roman" w:hAnsi="Times New Roman" w:cs="Times New Roman" w:eastAsia="Times New Roman" w:hint="default"/>
          <w:spacing w:val="-1"/>
        </w:rPr>
        <w:t> </w:t>
      </w:r>
      <w:r>
        <w:rPr/>
        <w:t>号</w:t>
      </w:r>
      <w:r>
        <w:rPr>
          <w:spacing w:val="-90"/>
        </w:rPr>
        <w:t>）</w:t>
      </w:r>
      <w:r>
        <w:rPr/>
        <w:t>。</w:t>
      </w:r>
    </w:p>
    <w:p>
      <w:pPr>
        <w:pStyle w:val="BodyText"/>
        <w:spacing w:line="304" w:lineRule="auto" w:before="101"/>
        <w:ind w:left="1133" w:right="1043"/>
        <w:jc w:val="left"/>
      </w:pPr>
      <w:r>
        <w:rPr/>
        <w:t>②</w:t>
      </w:r>
      <w:r>
        <w:rPr>
          <w:spacing w:val="20"/>
        </w:rPr>
        <w:t> </w:t>
      </w:r>
      <w:r>
        <w:rPr>
          <w:spacing w:val="-2"/>
        </w:rPr>
        <w:t>第二届董事会第十六次会议、第二届董事会第二十次会议、第二届董事会第三十次会议、第二届董事会第三十三次会议，</w:t>
      </w:r>
      <w:r>
        <w:rPr/>
        <w:t> </w:t>
      </w:r>
      <w:r>
        <w:rPr>
          <w:rFonts w:ascii="Times New Roman" w:hAnsi="Times New Roman" w:cs="Times New Roman" w:eastAsia="Times New Roman" w:hint="default"/>
        </w:rPr>
        <w:t>2015 </w:t>
      </w:r>
      <w:r>
        <w:rPr/>
        <w:t>年年度股东大会、</w:t>
      </w:r>
      <w:r>
        <w:rPr>
          <w:rFonts w:ascii="Times New Roman" w:hAnsi="Times New Roman" w:cs="Times New Roman" w:eastAsia="Times New Roman" w:hint="default"/>
        </w:rPr>
        <w:t>2016 </w:t>
      </w:r>
      <w:r>
        <w:rPr/>
        <w:t>年第三次临时股东大会、</w:t>
      </w:r>
      <w:r>
        <w:rPr>
          <w:rFonts w:ascii="Times New Roman" w:hAnsi="Times New Roman" w:cs="Times New Roman" w:eastAsia="Times New Roman" w:hint="default"/>
        </w:rPr>
        <w:t>2016</w:t>
      </w:r>
      <w:r>
        <w:rPr>
          <w:rFonts w:ascii="Times New Roman" w:hAnsi="Times New Roman" w:cs="Times New Roman" w:eastAsia="Times New Roman" w:hint="default"/>
          <w:spacing w:val="-3"/>
        </w:rPr>
        <w:t> </w:t>
      </w:r>
      <w:r>
        <w:rPr/>
        <w:t>年年度股东大会决议，公司申请向赣州君恺投资咨询有限公司、 </w:t>
      </w:r>
      <w:r>
        <w:rPr>
          <w:spacing w:val="-4"/>
        </w:rPr>
        <w:t>宁波梅山保税港区东旼投资合伙企业（有限合伙）、君重</w:t>
      </w:r>
      <w:r>
        <w:rPr/>
        <w:t> </w:t>
      </w:r>
      <w:r>
        <w:rPr>
          <w:rFonts w:ascii="Times New Roman" w:hAnsi="Times New Roman" w:cs="Times New Roman" w:eastAsia="Times New Roman" w:hint="default"/>
          <w:spacing w:val="-1"/>
          <w:w w:val="99"/>
        </w:rPr>
        <w:t>PIPE6</w:t>
      </w:r>
      <w:r>
        <w:rPr>
          <w:rFonts w:ascii="Times New Roman" w:hAnsi="Times New Roman" w:cs="Times New Roman" w:eastAsia="Times New Roman" w:hint="default"/>
          <w:w w:val="99"/>
        </w:rPr>
        <w:t> </w:t>
      </w:r>
      <w:r>
        <w:rPr/>
        <w:t>号私募投资基金、长信基金浦发银行云南信托长信聚富 </w:t>
      </w:r>
      <w:r>
        <w:rPr>
          <w:rFonts w:ascii="Times New Roman" w:hAnsi="Times New Roman" w:cs="Times New Roman" w:eastAsia="Times New Roman" w:hint="default"/>
        </w:rPr>
        <w:t>23</w:t>
      </w:r>
      <w:r>
        <w:rPr>
          <w:rFonts w:ascii="Times New Roman" w:hAnsi="Times New Roman" w:cs="Times New Roman" w:eastAsia="Times New Roman" w:hint="default"/>
          <w:spacing w:val="-33"/>
        </w:rPr>
        <w:t> </w:t>
      </w:r>
      <w:r>
        <w:rPr/>
        <w:t>号资产管理计划定向增发人民币普通股（</w:t>
      </w:r>
      <w:r>
        <w:rPr>
          <w:rFonts w:ascii="Times New Roman" w:hAnsi="Times New Roman" w:cs="Times New Roman" w:eastAsia="Times New Roman" w:hint="default"/>
        </w:rPr>
        <w:t>A</w:t>
      </w:r>
      <w:r>
        <w:rPr>
          <w:rFonts w:ascii="Times New Roman" w:hAnsi="Times New Roman" w:cs="Times New Roman" w:eastAsia="Times New Roman" w:hint="default"/>
          <w:spacing w:val="1"/>
        </w:rPr>
        <w:t> </w:t>
      </w:r>
      <w:r>
        <w:rPr/>
        <w:t>股）</w:t>
      </w:r>
      <w:r>
        <w:rPr>
          <w:rFonts w:ascii="Times New Roman" w:hAnsi="Times New Roman" w:cs="Times New Roman" w:eastAsia="Times New Roman" w:hint="default"/>
        </w:rPr>
        <w:t>15,945,368</w:t>
      </w:r>
      <w:r>
        <w:rPr>
          <w:rFonts w:ascii="Times New Roman" w:hAnsi="Times New Roman" w:cs="Times New Roman" w:eastAsia="Times New Roman" w:hint="default"/>
          <w:spacing w:val="2"/>
        </w:rPr>
        <w:t> </w:t>
      </w:r>
      <w:r>
        <w:rPr/>
        <w:t>股，每股面值</w:t>
      </w:r>
      <w:r>
        <w:rPr>
          <w:spacing w:val="-44"/>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元，每股发行价格为每股</w:t>
      </w:r>
      <w:r>
        <w:rPr>
          <w:spacing w:val="-43"/>
        </w:rPr>
        <w:t> </w:t>
      </w:r>
      <w:r>
        <w:rPr>
          <w:rFonts w:ascii="Times New Roman" w:hAnsi="Times New Roman" w:cs="Times New Roman" w:eastAsia="Times New Roman" w:hint="default"/>
        </w:rPr>
        <w:t>21.98</w:t>
      </w:r>
      <w:r>
        <w:rPr>
          <w:rFonts w:ascii="Times New Roman" w:hAnsi="Times New Roman" w:cs="Times New Roman" w:eastAsia="Times New Roman" w:hint="default"/>
          <w:spacing w:val="2"/>
        </w:rPr>
        <w:t> </w:t>
      </w:r>
      <w:r>
        <w:rPr/>
        <w:t>元。募集资金总 额扣减发行费用后，集资金净额为</w:t>
      </w:r>
      <w:r>
        <w:rPr>
          <w:spacing w:val="-53"/>
        </w:rPr>
        <w:t> </w:t>
      </w:r>
      <w:r>
        <w:rPr>
          <w:rFonts w:ascii="Times New Roman" w:hAnsi="Times New Roman" w:cs="Times New Roman" w:eastAsia="Times New Roman" w:hint="default"/>
        </w:rPr>
        <w:t>344,219,659.50</w:t>
      </w:r>
      <w:r>
        <w:rPr>
          <w:rFonts w:ascii="Times New Roman" w:hAnsi="Times New Roman" w:cs="Times New Roman" w:eastAsia="Times New Roman" w:hint="default"/>
          <w:spacing w:val="-7"/>
        </w:rPr>
        <w:t> </w:t>
      </w:r>
      <w:r>
        <w:rPr/>
        <w:t>元。考虑本次发行费用的进项税额</w:t>
      </w:r>
      <w:r>
        <w:rPr>
          <w:spacing w:val="-53"/>
        </w:rPr>
        <w:t> </w:t>
      </w:r>
      <w:r>
        <w:rPr>
          <w:rFonts w:ascii="Times New Roman" w:hAnsi="Times New Roman" w:cs="Times New Roman" w:eastAsia="Times New Roman" w:hint="default"/>
        </w:rPr>
        <w:t>354,312.98</w:t>
      </w:r>
      <w:r>
        <w:rPr>
          <w:rFonts w:ascii="Times New Roman" w:hAnsi="Times New Roman" w:cs="Times New Roman" w:eastAsia="Times New Roman" w:hint="default"/>
          <w:spacing w:val="-7"/>
        </w:rPr>
        <w:t> </w:t>
      </w:r>
      <w:r>
        <w:rPr/>
        <w:t>元的影响，其中：计入实收 资本</w:t>
      </w:r>
      <w:r>
        <w:rPr>
          <w:spacing w:val="-54"/>
        </w:rPr>
        <w:t> </w:t>
      </w:r>
      <w:r>
        <w:rPr>
          <w:rFonts w:ascii="Times New Roman" w:hAnsi="Times New Roman" w:cs="Times New Roman" w:eastAsia="Times New Roman" w:hint="default"/>
        </w:rPr>
        <w:t>15,945,368.00</w:t>
      </w:r>
      <w:r>
        <w:rPr>
          <w:rFonts w:ascii="Times New Roman" w:hAnsi="Times New Roman" w:cs="Times New Roman" w:eastAsia="Times New Roman" w:hint="default"/>
          <w:spacing w:val="-8"/>
        </w:rPr>
        <w:t> </w:t>
      </w:r>
      <w:r>
        <w:rPr/>
        <w:t>元，计入资本公积（股本溢价）</w:t>
      </w:r>
      <w:r>
        <w:rPr>
          <w:rFonts w:ascii="Times New Roman" w:hAnsi="Times New Roman" w:cs="Times New Roman" w:eastAsia="Times New Roman" w:hint="default"/>
        </w:rPr>
        <w:t>328,628,604.48</w:t>
      </w:r>
      <w:r>
        <w:rPr>
          <w:rFonts w:ascii="Times New Roman" w:hAnsi="Times New Roman" w:cs="Times New Roman" w:eastAsia="Times New Roman" w:hint="default"/>
          <w:spacing w:val="-9"/>
        </w:rPr>
        <w:t> </w:t>
      </w:r>
      <w:r>
        <w:rPr/>
        <w:t>元。本次增资业经天健会计师事务所（特殊普通合伙）审 </w:t>
      </w:r>
      <w:r>
        <w:rPr>
          <w:spacing w:val="-4"/>
        </w:rPr>
        <w:t>验，并由其出具《验资报告》（天健验〔</w:t>
      </w:r>
      <w:r>
        <w:rPr>
          <w:rFonts w:ascii="Times New Roman" w:hAnsi="Times New Roman" w:cs="Times New Roman" w:eastAsia="Times New Roman" w:hint="default"/>
          <w:spacing w:val="-4"/>
        </w:rPr>
        <w:t>2017</w:t>
      </w:r>
      <w:r>
        <w:rPr>
          <w:spacing w:val="-4"/>
        </w:rPr>
        <w:t>〕</w:t>
      </w:r>
      <w:r>
        <w:rPr>
          <w:rFonts w:ascii="Times New Roman" w:hAnsi="Times New Roman" w:cs="Times New Roman" w:eastAsia="Times New Roman" w:hint="default"/>
          <w:spacing w:val="-4"/>
        </w:rPr>
        <w:t>7-54</w:t>
      </w:r>
      <w:r>
        <w:rPr>
          <w:rFonts w:ascii="Times New Roman" w:hAnsi="Times New Roman" w:cs="Times New Roman" w:eastAsia="Times New Roman" w:hint="default"/>
          <w:spacing w:val="17"/>
        </w:rPr>
        <w:t> </w:t>
      </w:r>
      <w:r>
        <w:rPr>
          <w:spacing w:val="-30"/>
        </w:rPr>
        <w:t>号）。</w:t>
      </w:r>
    </w:p>
    <w:p>
      <w:pPr>
        <w:pStyle w:val="BodyText"/>
        <w:spacing w:line="240" w:lineRule="auto" w:before="50"/>
        <w:ind w:left="1133" w:right="0"/>
        <w:jc w:val="left"/>
      </w:pPr>
      <w:r>
        <w:rPr>
          <w:rFonts w:ascii="Times New Roman" w:hAnsi="Times New Roman" w:cs="Times New Roman" w:eastAsia="Times New Roman" w:hint="default"/>
        </w:rPr>
        <w:t>2</w:t>
      </w:r>
      <w:r>
        <w:rPr/>
        <w:t>）其他变动的情况</w:t>
      </w:r>
    </w:p>
    <w:p>
      <w:pPr>
        <w:pStyle w:val="BodyText"/>
        <w:spacing w:line="240" w:lineRule="auto" w:before="101"/>
        <w:ind w:right="0"/>
        <w:jc w:val="left"/>
        <w:rPr>
          <w:rFonts w:ascii="Times New Roman" w:hAnsi="Times New Roman" w:cs="Times New Roman" w:eastAsia="Times New Roman" w:hint="default"/>
        </w:rPr>
      </w:pPr>
      <w:r>
        <w:rPr/>
        <w:t>① </w:t>
      </w:r>
      <w:r>
        <w:rPr>
          <w:rFonts w:ascii="Times New Roman" w:hAnsi="Times New Roman" w:cs="Times New Roman" w:eastAsia="Times New Roman" w:hint="default"/>
        </w:rPr>
        <w:t>2016</w:t>
      </w:r>
      <w:r>
        <w:rPr>
          <w:rFonts w:ascii="Times New Roman" w:hAnsi="Times New Roman" w:cs="Times New Roman" w:eastAsia="Times New Roman" w:hint="default"/>
          <w:spacing w:val="3"/>
        </w:rPr>
        <w:t> </w:t>
      </w:r>
      <w:r>
        <w:rPr/>
        <w:t>年</w:t>
      </w:r>
      <w:r>
        <w:rPr>
          <w:spacing w:val="-42"/>
        </w:rPr>
        <w:t> </w:t>
      </w:r>
      <w:r>
        <w:rPr>
          <w:rFonts w:ascii="Times New Roman" w:hAnsi="Times New Roman" w:cs="Times New Roman" w:eastAsia="Times New Roman" w:hint="default"/>
          <w:spacing w:val="-8"/>
        </w:rPr>
        <w:t>1</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w:t>
      </w:r>
      <w:r>
        <w:rPr>
          <w:spacing w:val="-42"/>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日，公</w:t>
      </w:r>
      <w:r>
        <w:rPr>
          <w:spacing w:val="-2"/>
        </w:rPr>
        <w:t>司</w:t>
      </w:r>
      <w:r>
        <w:rPr/>
        <w:t>第二届董事会第二十四次会议通过了《关于回购注销部分限制性股票的议案</w:t>
      </w:r>
      <w:r>
        <w:rPr>
          <w:spacing w:val="-90"/>
        </w:rPr>
        <w:t>》</w:t>
      </w:r>
      <w:r>
        <w:rPr/>
        <w:t>，同意回购注销</w:t>
      </w:r>
      <w:r>
        <w:rPr>
          <w:spacing w:val="-42"/>
        </w:rPr>
        <w:t> </w:t>
      </w:r>
      <w:r>
        <w:rPr>
          <w:rFonts w:ascii="Times New Roman" w:hAnsi="Times New Roman" w:cs="Times New Roman" w:eastAsia="Times New Roman" w:hint="default"/>
        </w:rPr>
        <w:t>3</w:t>
      </w:r>
    </w:p>
    <w:p>
      <w:pPr>
        <w:pStyle w:val="BodyText"/>
        <w:spacing w:line="302" w:lineRule="auto" w:before="63"/>
        <w:ind w:left="1133" w:right="1042"/>
        <w:jc w:val="left"/>
      </w:pPr>
      <w:r>
        <w:rPr/>
        <w:t>名激励对象已授予但未满足解锁条件的限制性股票</w:t>
      </w:r>
      <w:r>
        <w:rPr>
          <w:spacing w:val="-45"/>
        </w:rPr>
        <w:t> </w:t>
      </w:r>
      <w:r>
        <w:rPr>
          <w:rFonts w:ascii="Times New Roman" w:hAnsi="Times New Roman" w:cs="Times New Roman" w:eastAsia="Times New Roman" w:hint="default"/>
        </w:rPr>
        <w:t>84,697</w:t>
      </w:r>
      <w:r>
        <w:rPr>
          <w:rFonts w:ascii="Times New Roman" w:hAnsi="Times New Roman" w:cs="Times New Roman" w:eastAsia="Times New Roman" w:hint="default"/>
          <w:spacing w:val="-1"/>
        </w:rPr>
        <w:t> </w:t>
      </w:r>
      <w:r>
        <w:rPr>
          <w:spacing w:val="-7"/>
        </w:rPr>
        <w:t>股。公司向该</w:t>
      </w:r>
      <w:r>
        <w:rPr>
          <w:spacing w:val="-45"/>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名激励对象支付回购款</w:t>
      </w:r>
      <w:r>
        <w:rPr>
          <w:spacing w:val="-46"/>
        </w:rPr>
        <w:t> </w:t>
      </w:r>
      <w:r>
        <w:rPr>
          <w:rFonts w:ascii="Times New Roman" w:hAnsi="Times New Roman" w:cs="Times New Roman" w:eastAsia="Times New Roman" w:hint="default"/>
        </w:rPr>
        <w:t>1,132,640.00</w:t>
      </w:r>
      <w:r>
        <w:rPr>
          <w:rFonts w:ascii="Times New Roman" w:hAnsi="Times New Roman" w:cs="Times New Roman" w:eastAsia="Times New Roman" w:hint="default"/>
          <w:spacing w:val="-1"/>
        </w:rPr>
        <w:t> </w:t>
      </w:r>
      <w:r>
        <w:rPr>
          <w:spacing w:val="-7"/>
        </w:rPr>
        <w:t>元。本次减资</w:t>
      </w:r>
      <w:r>
        <w:rPr/>
        <w:t> 减少股本</w:t>
      </w:r>
      <w:r>
        <w:rPr>
          <w:spacing w:val="-35"/>
        </w:rPr>
        <w:t> </w:t>
      </w:r>
      <w:r>
        <w:rPr>
          <w:rFonts w:ascii="Times New Roman" w:hAnsi="Times New Roman" w:cs="Times New Roman" w:eastAsia="Times New Roman" w:hint="default"/>
        </w:rPr>
        <w:t>84,697.00</w:t>
      </w:r>
      <w:r>
        <w:rPr>
          <w:rFonts w:ascii="Times New Roman" w:hAnsi="Times New Roman" w:cs="Times New Roman" w:eastAsia="Times New Roman" w:hint="default"/>
          <w:spacing w:val="10"/>
        </w:rPr>
        <w:t> </w:t>
      </w:r>
      <w:r>
        <w:rPr>
          <w:spacing w:val="-4"/>
        </w:rPr>
        <w:t>元，减少资本公积（股本溢价）</w:t>
      </w:r>
      <w:r>
        <w:rPr>
          <w:rFonts w:ascii="Times New Roman" w:hAnsi="Times New Roman" w:cs="Times New Roman" w:eastAsia="Times New Roman" w:hint="default"/>
          <w:spacing w:val="-4"/>
        </w:rPr>
        <w:t>1,047,943.00</w:t>
      </w:r>
      <w:r>
        <w:rPr>
          <w:rFonts w:ascii="Times New Roman" w:hAnsi="Times New Roman" w:cs="Times New Roman" w:eastAsia="Times New Roman" w:hint="default"/>
          <w:spacing w:val="10"/>
        </w:rPr>
        <w:t> </w:t>
      </w:r>
      <w:r>
        <w:rPr>
          <w:spacing w:val="-4"/>
        </w:rPr>
        <w:t>元。本次减资业经天健会计师事务所（特殊普通合伙）审验，</w:t>
      </w:r>
      <w:r>
        <w:rPr>
          <w:spacing w:val="-87"/>
        </w:rPr>
        <w:t> </w:t>
      </w:r>
      <w:r>
        <w:rPr>
          <w:spacing w:val="-87"/>
        </w:rPr>
      </w:r>
      <w:r>
        <w:rPr>
          <w:spacing w:val="-4"/>
        </w:rPr>
        <w:t>并由其出具《验资报告》（天健验〔</w:t>
      </w:r>
      <w:r>
        <w:rPr>
          <w:rFonts w:ascii="Times New Roman" w:hAnsi="Times New Roman" w:cs="Times New Roman" w:eastAsia="Times New Roman" w:hint="default"/>
          <w:spacing w:val="-4"/>
        </w:rPr>
        <w:t>2017</w:t>
      </w:r>
      <w:r>
        <w:rPr>
          <w:spacing w:val="-4"/>
        </w:rPr>
        <w:t>〕</w:t>
      </w:r>
      <w:r>
        <w:rPr>
          <w:rFonts w:ascii="Times New Roman" w:hAnsi="Times New Roman" w:cs="Times New Roman" w:eastAsia="Times New Roman" w:hint="default"/>
          <w:spacing w:val="-4"/>
        </w:rPr>
        <w:t>7-9</w:t>
      </w:r>
      <w:r>
        <w:rPr>
          <w:rFonts w:ascii="Times New Roman" w:hAnsi="Times New Roman" w:cs="Times New Roman" w:eastAsia="Times New Roman" w:hint="default"/>
          <w:spacing w:val="5"/>
        </w:rPr>
        <w:t> </w:t>
      </w:r>
      <w:r>
        <w:rPr>
          <w:spacing w:val="-30"/>
        </w:rPr>
        <w:t>号）。</w:t>
      </w:r>
    </w:p>
    <w:p>
      <w:pPr>
        <w:pStyle w:val="BodyText"/>
        <w:spacing w:line="240" w:lineRule="auto" w:before="49"/>
        <w:ind w:left="1223" w:right="0"/>
        <w:jc w:val="left"/>
        <w:rPr>
          <w:rFonts w:ascii="Times New Roman" w:hAnsi="Times New Roman" w:cs="Times New Roman" w:eastAsia="Times New Roman" w:hint="default"/>
        </w:rPr>
      </w:pPr>
      <w:r>
        <w:rPr/>
        <w:t>②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5 </w:t>
      </w:r>
      <w:r>
        <w:rPr/>
        <w:t>月</w:t>
      </w:r>
      <w:r>
        <w:rPr>
          <w:spacing w:val="-46"/>
        </w:rPr>
        <w:t> </w:t>
      </w:r>
      <w:r>
        <w:rPr>
          <w:rFonts w:ascii="Times New Roman" w:hAnsi="Times New Roman" w:cs="Times New Roman" w:eastAsia="Times New Roman" w:hint="default"/>
          <w:spacing w:val="-8"/>
        </w:rPr>
        <w:t>1</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日</w:t>
      </w:r>
      <w:r>
        <w:rPr>
          <w:spacing w:val="-26"/>
        </w:rPr>
        <w:t>，</w:t>
      </w:r>
      <w:r>
        <w:rPr/>
        <w:t>公</w:t>
      </w:r>
      <w:r>
        <w:rPr>
          <w:spacing w:val="1"/>
        </w:rPr>
        <w:t>司</w:t>
      </w:r>
      <w:r>
        <w:rPr/>
        <w:t>第二届董事会第三十四次会议通过</w:t>
      </w:r>
      <w:r>
        <w:rPr>
          <w:spacing w:val="-26"/>
        </w:rPr>
        <w:t>了</w:t>
      </w:r>
      <w:r>
        <w:rPr/>
        <w:t>《关于回购注销部分限制性股票的议案</w:t>
      </w:r>
      <w:r>
        <w:rPr>
          <w:spacing w:val="-90"/>
        </w:rPr>
        <w:t>》</w:t>
      </w:r>
      <w:r>
        <w:rPr>
          <w:spacing w:val="-26"/>
        </w:rPr>
        <w:t>，</w:t>
      </w:r>
      <w:r>
        <w:rPr/>
        <w:t>同意回购注销</w:t>
      </w:r>
      <w:r>
        <w:rPr>
          <w:spacing w:val="-44"/>
        </w:rPr>
        <w:t> </w:t>
      </w:r>
      <w:r>
        <w:rPr>
          <w:rFonts w:ascii="Times New Roman" w:hAnsi="Times New Roman" w:cs="Times New Roman" w:eastAsia="Times New Roman" w:hint="default"/>
        </w:rPr>
        <w:t>3</w:t>
      </w:r>
    </w:p>
    <w:p>
      <w:pPr>
        <w:pStyle w:val="BodyText"/>
        <w:spacing w:line="300" w:lineRule="auto" w:before="63"/>
        <w:ind w:right="1118"/>
        <w:jc w:val="left"/>
      </w:pPr>
      <w:r>
        <w:rPr/>
        <w:t>名激励对象已授予但未满足解锁条件限制性股票</w:t>
      </w:r>
      <w:r>
        <w:rPr>
          <w:spacing w:val="-37"/>
        </w:rPr>
        <w:t> </w:t>
      </w:r>
      <w:r>
        <w:rPr>
          <w:rFonts w:ascii="Times New Roman" w:hAnsi="Times New Roman" w:cs="Times New Roman" w:eastAsia="Times New Roman" w:hint="default"/>
        </w:rPr>
        <w:t>40,854</w:t>
      </w:r>
      <w:r>
        <w:rPr>
          <w:rFonts w:ascii="Times New Roman" w:hAnsi="Times New Roman" w:cs="Times New Roman" w:eastAsia="Times New Roman" w:hint="default"/>
          <w:spacing w:val="7"/>
        </w:rPr>
        <w:t> </w:t>
      </w:r>
      <w:r>
        <w:rPr/>
        <w:t>股，公司向该</w:t>
      </w:r>
      <w:r>
        <w:rPr>
          <w:spacing w:val="-37"/>
        </w:rPr>
        <w:t> </w:t>
      </w:r>
      <w:r>
        <w:rPr>
          <w:rFonts w:ascii="Times New Roman" w:hAnsi="Times New Roman" w:cs="Times New Roman" w:eastAsia="Times New Roman" w:hint="default"/>
        </w:rPr>
        <w:t>3</w:t>
      </w:r>
      <w:r>
        <w:rPr>
          <w:rFonts w:ascii="Times New Roman" w:hAnsi="Times New Roman" w:cs="Times New Roman" w:eastAsia="Times New Roman" w:hint="default"/>
          <w:spacing w:val="8"/>
        </w:rPr>
        <w:t> </w:t>
      </w:r>
      <w:r>
        <w:rPr/>
        <w:t>名激励对象支付回购款</w:t>
      </w:r>
      <w:r>
        <w:rPr>
          <w:spacing w:val="-37"/>
        </w:rPr>
        <w:t> </w:t>
      </w:r>
      <w:r>
        <w:rPr>
          <w:rFonts w:ascii="Times New Roman" w:hAnsi="Times New Roman" w:cs="Times New Roman" w:eastAsia="Times New Roman" w:hint="default"/>
        </w:rPr>
        <w:t>521,176.00</w:t>
      </w:r>
      <w:r>
        <w:rPr>
          <w:rFonts w:ascii="Times New Roman" w:hAnsi="Times New Roman" w:cs="Times New Roman" w:eastAsia="Times New Roman" w:hint="default"/>
          <w:spacing w:val="8"/>
        </w:rPr>
        <w:t> </w:t>
      </w:r>
      <w:r>
        <w:rPr/>
        <w:t>元。本次减资减 少股本 </w:t>
      </w:r>
      <w:r>
        <w:rPr>
          <w:rFonts w:ascii="Times New Roman" w:hAnsi="Times New Roman" w:cs="Times New Roman" w:eastAsia="Times New Roman" w:hint="default"/>
        </w:rPr>
        <w:t>40,854.00 </w:t>
      </w:r>
      <w:r>
        <w:rPr/>
        <w:t>元，减少资本公积（股本溢价）</w:t>
      </w:r>
      <w:r>
        <w:rPr>
          <w:rFonts w:ascii="Times New Roman" w:hAnsi="Times New Roman" w:cs="Times New Roman" w:eastAsia="Times New Roman" w:hint="default"/>
        </w:rPr>
        <w:t>480,322.00</w:t>
      </w:r>
      <w:r>
        <w:rPr>
          <w:rFonts w:ascii="Times New Roman" w:hAnsi="Times New Roman" w:cs="Times New Roman" w:eastAsia="Times New Roman" w:hint="default"/>
          <w:spacing w:val="4"/>
        </w:rPr>
        <w:t> </w:t>
      </w:r>
      <w:r>
        <w:rPr/>
        <w:t>元。本次减资业经天健会计师事务所（特殊普通合伙）审验，</w:t>
      </w:r>
    </w:p>
    <w:p>
      <w:pPr>
        <w:spacing w:after="0" w:line="300" w:lineRule="auto"/>
        <w:jc w:val="left"/>
        <w:sectPr>
          <w:pgSz w:w="11910" w:h="16840"/>
          <w:pgMar w:header="787" w:footer="640" w:top="1100" w:bottom="840" w:left="0" w:right="0"/>
        </w:sectPr>
      </w:pPr>
    </w:p>
    <w:p>
      <w:pPr>
        <w:spacing w:line="240" w:lineRule="auto" w:before="11"/>
        <w:rPr>
          <w:rFonts w:ascii="宋体" w:hAnsi="宋体" w:cs="宋体" w:eastAsia="宋体" w:hint="default"/>
          <w:sz w:val="22"/>
          <w:szCs w:val="22"/>
        </w:rPr>
      </w:pPr>
    </w:p>
    <w:p>
      <w:pPr>
        <w:pStyle w:val="BodyText"/>
        <w:spacing w:line="240" w:lineRule="auto" w:before="44"/>
        <w:ind w:right="0"/>
        <w:jc w:val="left"/>
      </w:pPr>
      <w:r>
        <w:rPr/>
        <w:t>并由其出具《验资报告</w:t>
      </w:r>
      <w:r>
        <w:rPr>
          <w:spacing w:val="-90"/>
        </w:rPr>
        <w:t>》</w:t>
      </w:r>
      <w:r>
        <w:rPr/>
        <w:t>（天健验〔</w:t>
      </w:r>
      <w:r>
        <w:rPr>
          <w:rFonts w:ascii="Times New Roman" w:hAnsi="Times New Roman" w:cs="Times New Roman" w:eastAsia="Times New Roman" w:hint="default"/>
        </w:rPr>
        <w:t>2017</w:t>
      </w:r>
      <w:r>
        <w:rPr/>
        <w:t>〕</w:t>
      </w:r>
      <w:r>
        <w:rPr>
          <w:rFonts w:ascii="Times New Roman" w:hAnsi="Times New Roman" w:cs="Times New Roman" w:eastAsia="Times New Roman" w:hint="default"/>
        </w:rPr>
        <w:t>7-66</w:t>
      </w:r>
      <w:r>
        <w:rPr>
          <w:rFonts w:ascii="Times New Roman" w:hAnsi="Times New Roman" w:cs="Times New Roman" w:eastAsia="Times New Roman" w:hint="default"/>
          <w:spacing w:val="-1"/>
        </w:rPr>
        <w:t> </w:t>
      </w:r>
      <w:r>
        <w:rPr/>
        <w:t>号</w:t>
      </w:r>
      <w:r>
        <w:rPr>
          <w:spacing w:val="-90"/>
        </w:rPr>
        <w:t>）</w:t>
      </w:r>
      <w:r>
        <w:rPr/>
        <w:t>。</w:t>
      </w:r>
    </w:p>
    <w:p>
      <w:pPr>
        <w:spacing w:line="240" w:lineRule="auto" w:before="9"/>
        <w:rPr>
          <w:rFonts w:ascii="宋体" w:hAnsi="宋体" w:cs="宋体" w:eastAsia="宋体" w:hint="default"/>
          <w:sz w:val="25"/>
          <w:szCs w:val="25"/>
        </w:rPr>
      </w:pPr>
    </w:p>
    <w:p>
      <w:pPr>
        <w:pStyle w:val="Heading3"/>
        <w:spacing w:line="240" w:lineRule="auto"/>
        <w:ind w:left="1133" w:right="0"/>
        <w:jc w:val="left"/>
        <w:rPr>
          <w:b w:val="0"/>
          <w:bCs w:val="0"/>
        </w:rPr>
      </w:pPr>
      <w:bookmarkStart w:name="54、其他权益工具" w:id="354"/>
      <w:bookmarkEnd w:id="354"/>
      <w:r>
        <w:rPr>
          <w:b w:val="0"/>
          <w:bCs w:val="0"/>
        </w:rPr>
      </w:r>
      <w:r>
        <w:rPr>
          <w:rFonts w:ascii="Times New Roman" w:hAnsi="Times New Roman" w:cs="Times New Roman" w:eastAsia="Times New Roman" w:hint="default"/>
        </w:rPr>
        <w:t>54</w:t>
      </w:r>
      <w:r>
        <w:rPr/>
        <w:t>、其他权益工具</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期末发行在外的优先股、永续债等其他金融工具基本情况" w:id="355"/>
      <w:bookmarkEnd w:id="355"/>
      <w:r>
        <w:rPr>
          <w:b w:val="0"/>
          <w:bCs w:val="0"/>
        </w:rPr>
      </w:r>
      <w:r>
        <w:rPr/>
        <w:t>（</w:t>
      </w:r>
      <w:r>
        <w:rPr>
          <w:rFonts w:ascii="Times New Roman" w:hAnsi="Times New Roman" w:cs="Times New Roman" w:eastAsia="Times New Roman" w:hint="default"/>
        </w:rPr>
        <w:t>1</w:t>
      </w:r>
      <w:r>
        <w:rPr/>
        <w:t>）期末发行在外的优先股、永续债等其他金融工具基本情况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不适用</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2）期末发行在外的优先股、永续债等金融工具变动情况表" w:id="356"/>
      <w:bookmarkEnd w:id="356"/>
      <w:r>
        <w:rPr>
          <w:b w:val="0"/>
          <w:bCs w:val="0"/>
        </w:rPr>
      </w:r>
      <w:r>
        <w:rPr/>
        <w:t>（</w:t>
      </w:r>
      <w:r>
        <w:rPr>
          <w:rFonts w:ascii="Times New Roman" w:hAnsi="Times New Roman" w:cs="Times New Roman" w:eastAsia="Times New Roman" w:hint="default"/>
        </w:rPr>
        <w:t>2</w:t>
      </w:r>
      <w:r>
        <w:rPr/>
        <w:t>）期末发行在外的优先股、永续债等金融工具变动情况表</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不适用</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55、资本公积" w:id="357"/>
      <w:bookmarkEnd w:id="357"/>
      <w:r>
        <w:rPr>
          <w:b w:val="0"/>
          <w:bCs w:val="0"/>
        </w:rPr>
      </w:r>
      <w:r>
        <w:rPr>
          <w:rFonts w:ascii="Times New Roman" w:hAnsi="Times New Roman" w:cs="Times New Roman" w:eastAsia="Times New Roman" w:hint="default"/>
        </w:rPr>
        <w:t>55</w:t>
      </w:r>
      <w:r>
        <w:rPr/>
        <w:t>、资本公积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250,559,097.78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336,676,779.93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1,531,501.95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585,704,375.76</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6,601,520.00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5,789,730.00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6,367,110.00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6,024,140.00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257,160,617.78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342,466,509.93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7,898,611.95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591,728,515.76</w:t>
            </w:r>
          </w:p>
        </w:tc>
      </w:tr>
    </w:tbl>
    <w:p>
      <w:pPr>
        <w:pStyle w:val="BodyText"/>
        <w:spacing w:line="240" w:lineRule="auto" w:before="51"/>
        <w:ind w:right="0"/>
        <w:jc w:val="left"/>
      </w:pPr>
      <w:r>
        <w:rPr/>
        <w:t>其他说明，包括本期增减变动情况、变动原因说明：</w:t>
      </w:r>
    </w:p>
    <w:p>
      <w:pPr>
        <w:pStyle w:val="BodyText"/>
        <w:spacing w:line="240" w:lineRule="auto" w:before="117"/>
        <w:ind w:right="0"/>
        <w:jc w:val="left"/>
      </w:pPr>
      <w:r>
        <w:rPr>
          <w:rFonts w:ascii="Times New Roman" w:hAnsi="Times New Roman" w:cs="Times New Roman" w:eastAsia="Times New Roman" w:hint="default"/>
        </w:rPr>
        <w:t>1</w:t>
      </w:r>
      <w:r>
        <w:rPr/>
        <w:t>）资本溢价（股本溢价）</w:t>
      </w:r>
    </w:p>
    <w:p>
      <w:pPr>
        <w:pStyle w:val="BodyText"/>
        <w:spacing w:line="240" w:lineRule="auto" w:before="101"/>
        <w:ind w:right="0"/>
        <w:jc w:val="left"/>
      </w:pPr>
      <w:r>
        <w:rPr/>
        <w:t>①激励对象认购限制性股票增加资本溢价（股本溢价）</w:t>
      </w:r>
      <w:r>
        <w:rPr>
          <w:rFonts w:ascii="Times New Roman" w:hAnsi="Times New Roman" w:cs="Times New Roman" w:eastAsia="Times New Roman" w:hint="default"/>
        </w:rPr>
        <w:t>1,662,752.20  </w:t>
      </w:r>
      <w:r>
        <w:rPr>
          <w:rFonts w:ascii="Times New Roman" w:hAnsi="Times New Roman" w:cs="Times New Roman" w:eastAsia="Times New Roman" w:hint="default"/>
          <w:spacing w:val="31"/>
        </w:rPr>
        <w:t> </w:t>
      </w:r>
      <w:r>
        <w:rPr>
          <w:spacing w:val="2"/>
        </w:rPr>
        <w:t>元；公司非公开发行股票增加资本溢价（股本溢价）</w:t>
      </w:r>
    </w:p>
    <w:p>
      <w:pPr>
        <w:pStyle w:val="BodyText"/>
        <w:spacing w:line="240" w:lineRule="auto" w:before="64"/>
        <w:ind w:left="1133" w:right="0"/>
        <w:jc w:val="left"/>
      </w:pPr>
      <w:r>
        <w:rPr>
          <w:rFonts w:ascii="Times New Roman" w:hAnsi="Times New Roman" w:cs="Times New Roman" w:eastAsia="Times New Roman" w:hint="default"/>
        </w:rPr>
        <w:t>328,628,604.48 </w:t>
      </w:r>
      <w:r>
        <w:rPr/>
        <w:t>元。详见本财务报表附注五（一）</w:t>
      </w:r>
      <w:r>
        <w:rPr>
          <w:rFonts w:ascii="Times New Roman" w:hAnsi="Times New Roman" w:cs="Times New Roman" w:eastAsia="Times New Roman" w:hint="default"/>
        </w:rPr>
        <w:t>30</w:t>
      </w:r>
      <w:r>
        <w:rPr>
          <w:rFonts w:ascii="Times New Roman" w:hAnsi="Times New Roman" w:cs="Times New Roman" w:eastAsia="Times New Roman" w:hint="default"/>
          <w:spacing w:val="-3"/>
        </w:rPr>
        <w:t> </w:t>
      </w:r>
      <w:r>
        <w:rPr/>
        <w:t>说明。</w:t>
      </w:r>
    </w:p>
    <w:p>
      <w:pPr>
        <w:pStyle w:val="BodyText"/>
        <w:spacing w:line="240" w:lineRule="auto" w:before="102"/>
        <w:ind w:left="1133" w:right="0"/>
        <w:jc w:val="left"/>
      </w:pPr>
      <w:r>
        <w:rPr/>
        <w:t>②限制性股票本年部分解锁，增加资本溢价（股本溢价）</w:t>
      </w:r>
      <w:r>
        <w:rPr>
          <w:rFonts w:ascii="Times New Roman" w:hAnsi="Times New Roman" w:cs="Times New Roman" w:eastAsia="Times New Roman" w:hint="default"/>
        </w:rPr>
        <w:t>6,367,110.00</w:t>
      </w:r>
      <w:r>
        <w:rPr>
          <w:rFonts w:ascii="Times New Roman" w:hAnsi="Times New Roman" w:cs="Times New Roman" w:eastAsia="Times New Roman" w:hint="default"/>
          <w:spacing w:val="-10"/>
        </w:rPr>
        <w:t> </w:t>
      </w:r>
      <w:r>
        <w:rPr/>
        <w:t>元。</w:t>
      </w:r>
    </w:p>
    <w:p>
      <w:pPr>
        <w:pStyle w:val="BodyText"/>
        <w:spacing w:line="240" w:lineRule="auto" w:before="103"/>
        <w:ind w:left="1133" w:right="0"/>
        <w:jc w:val="left"/>
      </w:pPr>
      <w:r>
        <w:rPr/>
        <w:t>③回购限制性股票导致不能发放的分红，增加资本公积（股本溢价）</w:t>
      </w:r>
      <w:r>
        <w:rPr>
          <w:rFonts w:ascii="Times New Roman" w:hAnsi="Times New Roman" w:cs="Times New Roman" w:eastAsia="Times New Roman" w:hint="default"/>
        </w:rPr>
        <w:t>18,313.25</w:t>
      </w:r>
      <w:r>
        <w:rPr>
          <w:rFonts w:ascii="Times New Roman" w:hAnsi="Times New Roman" w:cs="Times New Roman" w:eastAsia="Times New Roman" w:hint="default"/>
          <w:spacing w:val="-1"/>
        </w:rPr>
        <w:t> </w:t>
      </w:r>
      <w:r>
        <w:rPr/>
        <w:t>元。</w:t>
      </w:r>
    </w:p>
    <w:p>
      <w:pPr>
        <w:pStyle w:val="BodyText"/>
        <w:spacing w:line="240" w:lineRule="auto" w:before="102"/>
        <w:ind w:left="1133" w:right="0"/>
        <w:jc w:val="left"/>
      </w:pPr>
      <w:r>
        <w:rPr/>
        <w:t>④回购未满足解锁条件股份，减少资本溢价（股本溢价）</w:t>
      </w:r>
      <w:r>
        <w:rPr>
          <w:rFonts w:ascii="Times New Roman" w:hAnsi="Times New Roman" w:cs="Times New Roman" w:eastAsia="Times New Roman" w:hint="default"/>
        </w:rPr>
        <w:t>1,528,265.00 </w:t>
      </w:r>
      <w:r>
        <w:rPr/>
        <w:t>元。详见本财务报表附注五（一）</w:t>
      </w:r>
      <w:r>
        <w:rPr>
          <w:rFonts w:ascii="Times New Roman" w:hAnsi="Times New Roman" w:cs="Times New Roman" w:eastAsia="Times New Roman" w:hint="default"/>
        </w:rPr>
        <w:t>30</w:t>
      </w:r>
      <w:r>
        <w:rPr>
          <w:rFonts w:ascii="Times New Roman" w:hAnsi="Times New Roman" w:cs="Times New Roman" w:eastAsia="Times New Roman" w:hint="default"/>
          <w:spacing w:val="-3"/>
        </w:rPr>
        <w:t> </w:t>
      </w:r>
      <w:r>
        <w:rPr/>
        <w:t>说明。</w:t>
      </w:r>
    </w:p>
    <w:p>
      <w:pPr>
        <w:pStyle w:val="BodyText"/>
        <w:spacing w:line="240" w:lineRule="auto" w:before="102"/>
        <w:ind w:right="0"/>
        <w:jc w:val="left"/>
      </w:pPr>
      <w:r>
        <w:rPr/>
        <w:t>⑤子公司深圳市润安科技发展有限公司购买少数股权减少股本溢价</w:t>
      </w:r>
      <w:r>
        <w:rPr>
          <w:spacing w:val="-45"/>
        </w:rPr>
        <w:t> </w:t>
      </w:r>
      <w:r>
        <w:rPr>
          <w:rFonts w:ascii="Times New Roman" w:hAnsi="Times New Roman" w:cs="Times New Roman" w:eastAsia="Times New Roman" w:hint="default"/>
        </w:rPr>
        <w:t>3,236.95</w:t>
      </w:r>
      <w:r>
        <w:rPr>
          <w:rFonts w:ascii="Times New Roman" w:hAnsi="Times New Roman" w:cs="Times New Roman" w:eastAsia="Times New Roman" w:hint="default"/>
          <w:spacing w:val="-1"/>
        </w:rPr>
        <w:t> </w:t>
      </w:r>
      <w:r>
        <w:rPr/>
        <w:t>元。</w:t>
      </w:r>
    </w:p>
    <w:p>
      <w:pPr>
        <w:pStyle w:val="BodyText"/>
        <w:spacing w:line="240" w:lineRule="auto" w:before="103"/>
        <w:ind w:left="1133" w:right="0"/>
        <w:jc w:val="left"/>
      </w:pPr>
      <w:r>
        <w:rPr>
          <w:rFonts w:ascii="Times New Roman" w:hAnsi="Times New Roman" w:cs="Times New Roman" w:eastAsia="Times New Roman" w:hint="default"/>
        </w:rPr>
        <w:t>2</w:t>
      </w:r>
      <w:r>
        <w:rPr/>
        <w:t>）其他资本公积本期变动说明</w:t>
      </w:r>
    </w:p>
    <w:p>
      <w:pPr>
        <w:pStyle w:val="BodyText"/>
        <w:spacing w:line="240" w:lineRule="auto" w:before="102"/>
        <w:ind w:right="0"/>
        <w:jc w:val="left"/>
      </w:pPr>
      <w:r>
        <w:rPr/>
        <w:t>①摊销股权激励成本增加其他资本公积</w:t>
      </w:r>
      <w:r>
        <w:rPr>
          <w:spacing w:val="-46"/>
        </w:rPr>
        <w:t> </w:t>
      </w:r>
      <w:r>
        <w:rPr>
          <w:rFonts w:ascii="Times New Roman" w:hAnsi="Times New Roman" w:cs="Times New Roman" w:eastAsia="Times New Roman" w:hint="default"/>
        </w:rPr>
        <w:t>5,789,730.00 </w:t>
      </w:r>
      <w:r>
        <w:rPr/>
        <w:t>元。</w:t>
      </w:r>
    </w:p>
    <w:p>
      <w:pPr>
        <w:pStyle w:val="BodyText"/>
        <w:spacing w:line="240" w:lineRule="auto" w:before="102"/>
        <w:ind w:left="1133" w:right="0"/>
        <w:jc w:val="left"/>
      </w:pPr>
      <w:r>
        <w:rPr/>
        <w:t>②限制性股票本年部分解锁，减少其他资本公积</w:t>
      </w:r>
      <w:r>
        <w:rPr>
          <w:spacing w:val="-49"/>
        </w:rPr>
        <w:t> </w:t>
      </w:r>
      <w:r>
        <w:rPr>
          <w:rFonts w:ascii="Times New Roman" w:hAnsi="Times New Roman" w:cs="Times New Roman" w:eastAsia="Times New Roman" w:hint="default"/>
        </w:rPr>
        <w:t>6,367,110.00</w:t>
      </w:r>
      <w:r>
        <w:rPr>
          <w:rFonts w:ascii="Times New Roman" w:hAnsi="Times New Roman" w:cs="Times New Roman" w:eastAsia="Times New Roman" w:hint="default"/>
          <w:spacing w:val="-4"/>
        </w:rPr>
        <w:t> </w:t>
      </w:r>
      <w:r>
        <w:rPr/>
        <w:t>元。</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56、库存股" w:id="358"/>
      <w:bookmarkEnd w:id="358"/>
      <w:r>
        <w:rPr>
          <w:b w:val="0"/>
          <w:bCs w:val="0"/>
        </w:rPr>
      </w:r>
      <w:r>
        <w:rPr>
          <w:rFonts w:ascii="Times New Roman" w:hAnsi="Times New Roman" w:cs="Times New Roman" w:eastAsia="Times New Roman" w:hint="default"/>
        </w:rPr>
        <w:t>56</w:t>
      </w:r>
      <w:r>
        <w:rPr/>
        <w:t>、库存股</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股权激励需回购的库存 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30,809,111.03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1,817,152.20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14,659,648.20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17,966,615.03</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30,809,111.03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1,817,152.20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14,659,648.20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17,966,615.03</w:t>
            </w:r>
          </w:p>
        </w:tc>
      </w:tr>
    </w:tbl>
    <w:p>
      <w:pPr>
        <w:spacing w:line="240" w:lineRule="auto" w:before="6"/>
        <w:rPr>
          <w:rFonts w:ascii="宋体" w:hAnsi="宋体" w:cs="宋体" w:eastAsia="宋体" w:hint="default"/>
          <w:sz w:val="6"/>
          <w:szCs w:val="6"/>
        </w:rPr>
      </w:pPr>
    </w:p>
    <w:p>
      <w:pPr>
        <w:pStyle w:val="BodyText"/>
        <w:spacing w:line="240" w:lineRule="auto" w:before="44"/>
        <w:ind w:right="0"/>
        <w:jc w:val="left"/>
      </w:pPr>
      <w:r>
        <w:rPr/>
        <w:t>其他说明，包括本期增减变动情况、变动原因说明：</w:t>
      </w:r>
    </w:p>
    <w:p>
      <w:pPr>
        <w:spacing w:line="240" w:lineRule="auto" w:before="10"/>
        <w:rPr>
          <w:rFonts w:ascii="宋体" w:hAnsi="宋体" w:cs="宋体" w:eastAsia="宋体" w:hint="default"/>
          <w:sz w:val="20"/>
          <w:szCs w:val="20"/>
        </w:rPr>
      </w:pPr>
    </w:p>
    <w:p>
      <w:pPr>
        <w:pStyle w:val="BodyText"/>
        <w:spacing w:line="240" w:lineRule="auto"/>
        <w:ind w:left="1494" w:right="0"/>
        <w:jc w:val="left"/>
      </w:pPr>
      <w:r>
        <w:rPr/>
        <w:t>本期增加系股权激励所产生需要回购的库存股。公司于</w:t>
      </w:r>
      <w:r>
        <w:rPr>
          <w:spacing w:val="-59"/>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5"/>
        </w:rPr>
        <w:t> </w:t>
      </w:r>
      <w:r>
        <w:rPr/>
        <w:t>年</w:t>
      </w:r>
      <w:r>
        <w:rPr>
          <w:spacing w:val="-59"/>
        </w:rPr>
        <w:t> </w:t>
      </w:r>
      <w:r>
        <w:rPr>
          <w:rFonts w:ascii="Times New Roman" w:hAnsi="Times New Roman" w:cs="Times New Roman" w:eastAsia="Times New Roman" w:hint="default"/>
        </w:rPr>
        <w:t>4</w:t>
      </w:r>
      <w:r>
        <w:rPr>
          <w:rFonts w:ascii="Times New Roman" w:hAnsi="Times New Roman" w:cs="Times New Roman" w:eastAsia="Times New Roman" w:hint="default"/>
          <w:spacing w:val="-15"/>
        </w:rPr>
        <w:t> </w:t>
      </w:r>
      <w:r>
        <w:rPr/>
        <w:t>月</w:t>
      </w:r>
      <w:r>
        <w:rPr>
          <w:spacing w:val="-59"/>
        </w:rPr>
        <w:t> </w:t>
      </w:r>
      <w:r>
        <w:rPr>
          <w:rFonts w:ascii="Times New Roman" w:hAnsi="Times New Roman" w:cs="Times New Roman" w:eastAsia="Times New Roman" w:hint="default"/>
        </w:rPr>
        <w:t>26</w:t>
      </w:r>
      <w:r>
        <w:rPr>
          <w:rFonts w:ascii="Times New Roman" w:hAnsi="Times New Roman" w:cs="Times New Roman" w:eastAsia="Times New Roman" w:hint="default"/>
          <w:spacing w:val="-15"/>
        </w:rPr>
        <w:t> </w:t>
      </w:r>
      <w:r>
        <w:rPr/>
        <w:t>日召开第二届董事会第三十二次会议，审议通过</w:t>
      </w:r>
    </w:p>
    <w:p>
      <w:pPr>
        <w:spacing w:after="0" w:line="240" w:lineRule="auto"/>
        <w:jc w:val="left"/>
        <w:sectPr>
          <w:footerReference w:type="default" r:id="rId62"/>
          <w:pgSz w:w="11910" w:h="16840"/>
          <w:pgMar w:footer="640" w:header="787" w:top="1100" w:bottom="840" w:left="0" w:right="0"/>
        </w:sectPr>
      </w:pPr>
    </w:p>
    <w:p>
      <w:pPr>
        <w:spacing w:line="240" w:lineRule="auto" w:before="10"/>
        <w:rPr>
          <w:rFonts w:ascii="宋体" w:hAnsi="宋体" w:cs="宋体" w:eastAsia="宋体" w:hint="default"/>
          <w:sz w:val="28"/>
          <w:szCs w:val="28"/>
        </w:rPr>
      </w:pPr>
    </w:p>
    <w:p>
      <w:pPr>
        <w:pStyle w:val="BodyText"/>
        <w:spacing w:line="240" w:lineRule="auto" w:before="44"/>
        <w:ind w:right="0"/>
        <w:jc w:val="left"/>
      </w:pPr>
      <w:r>
        <w:rPr/>
        <w:t>了《关于向激励对象授予第二期激励计划预留部分限制性股票的议案</w:t>
      </w:r>
      <w:r>
        <w:rPr>
          <w:spacing w:val="-90"/>
        </w:rPr>
        <w:t>》</w:t>
      </w:r>
      <w:r>
        <w:rPr/>
        <w:t>，同意以</w:t>
      </w:r>
      <w:r>
        <w:rPr>
          <w:spacing w:val="-44"/>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月</w:t>
      </w:r>
      <w:r>
        <w:rPr>
          <w:spacing w:val="-45"/>
        </w:rPr>
        <w:t> </w:t>
      </w:r>
      <w:r>
        <w:rPr>
          <w:rFonts w:ascii="Times New Roman" w:hAnsi="Times New Roman" w:cs="Times New Roman" w:eastAsia="Times New Roman" w:hint="default"/>
        </w:rPr>
        <w:t>26 </w:t>
      </w:r>
      <w:r>
        <w:rPr/>
        <w:t>日</w:t>
      </w:r>
      <w:r>
        <w:rPr>
          <w:spacing w:val="1"/>
        </w:rPr>
        <w:t>为</w:t>
      </w:r>
      <w:r>
        <w:rPr/>
        <w:t>授予日，向</w:t>
      </w:r>
      <w:r>
        <w:rPr>
          <w:spacing w:val="-45"/>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名激励对</w:t>
      </w:r>
    </w:p>
    <w:p>
      <w:pPr>
        <w:spacing w:line="240" w:lineRule="auto" w:before="11"/>
        <w:rPr>
          <w:rFonts w:ascii="宋体" w:hAnsi="宋体" w:cs="宋体" w:eastAsia="宋体" w:hint="default"/>
          <w:sz w:val="16"/>
          <w:szCs w:val="16"/>
        </w:rPr>
      </w:pPr>
    </w:p>
    <w:p>
      <w:pPr>
        <w:pStyle w:val="BodyText"/>
        <w:spacing w:line="240" w:lineRule="auto"/>
        <w:ind w:left="1133" w:right="0"/>
        <w:jc w:val="left"/>
      </w:pPr>
      <w:r>
        <w:rPr/>
        <w:t>象授予</w:t>
      </w:r>
      <w:r>
        <w:rPr>
          <w:spacing w:val="-47"/>
        </w:rPr>
        <w:t> </w:t>
      </w:r>
      <w:r>
        <w:rPr>
          <w:rFonts w:ascii="Times New Roman" w:hAnsi="Times New Roman" w:cs="Times New Roman" w:eastAsia="Times New Roman" w:hint="default"/>
        </w:rPr>
        <w:t>14.94</w:t>
      </w:r>
      <w:r>
        <w:rPr>
          <w:rFonts w:ascii="Times New Roman" w:hAnsi="Times New Roman" w:cs="Times New Roman" w:eastAsia="Times New Roman" w:hint="default"/>
          <w:spacing w:val="-2"/>
        </w:rPr>
        <w:t> </w:t>
      </w:r>
      <w:r>
        <w:rPr/>
        <w:t>万股限制性股票，每股面值</w:t>
      </w:r>
      <w:r>
        <w:rPr>
          <w:spacing w:val="-47"/>
        </w:rPr>
        <w:t> </w:t>
      </w:r>
      <w:r>
        <w:rPr>
          <w:rFonts w:ascii="Times New Roman" w:hAnsi="Times New Roman" w:cs="Times New Roman" w:eastAsia="Times New Roman" w:hint="default"/>
        </w:rPr>
        <w:t>1</w:t>
      </w:r>
      <w:r>
        <w:rPr>
          <w:rFonts w:ascii="Times New Roman" w:hAnsi="Times New Roman" w:cs="Times New Roman" w:eastAsia="Times New Roman" w:hint="default"/>
          <w:spacing w:val="44"/>
        </w:rPr>
        <w:t> </w:t>
      </w:r>
      <w:r>
        <w:rPr/>
        <w:t>元，每股发行价格</w:t>
      </w:r>
      <w:r>
        <w:rPr>
          <w:spacing w:val="-47"/>
        </w:rPr>
        <w:t> </w:t>
      </w:r>
      <w:r>
        <w:rPr>
          <w:rFonts w:ascii="Times New Roman" w:hAnsi="Times New Roman" w:cs="Times New Roman" w:eastAsia="Times New Roman" w:hint="default"/>
        </w:rPr>
        <w:t>12.163</w:t>
      </w:r>
      <w:r>
        <w:rPr>
          <w:rFonts w:ascii="Times New Roman" w:hAnsi="Times New Roman" w:cs="Times New Roman" w:eastAsia="Times New Roman" w:hint="default"/>
          <w:spacing w:val="-2"/>
        </w:rPr>
        <w:t> </w:t>
      </w:r>
      <w:r>
        <w:rPr/>
        <w:t>元，确认库存股</w:t>
      </w:r>
      <w:r>
        <w:rPr>
          <w:spacing w:val="-47"/>
        </w:rPr>
        <w:t> </w:t>
      </w:r>
      <w:r>
        <w:rPr>
          <w:rFonts w:ascii="Times New Roman" w:hAnsi="Times New Roman" w:cs="Times New Roman" w:eastAsia="Times New Roman" w:hint="default"/>
        </w:rPr>
        <w:t>1,817,152.20</w:t>
      </w:r>
      <w:r>
        <w:rPr>
          <w:rFonts w:ascii="Times New Roman" w:hAnsi="Times New Roman" w:cs="Times New Roman" w:eastAsia="Times New Roman" w:hint="default"/>
          <w:spacing w:val="-1"/>
        </w:rPr>
        <w:t> </w:t>
      </w:r>
      <w:r>
        <w:rPr/>
        <w:t>元。</w:t>
      </w:r>
    </w:p>
    <w:p>
      <w:pPr>
        <w:spacing w:line="240" w:lineRule="auto" w:before="9"/>
        <w:rPr>
          <w:rFonts w:ascii="宋体" w:hAnsi="宋体" w:cs="宋体" w:eastAsia="宋体" w:hint="default"/>
          <w:sz w:val="19"/>
          <w:szCs w:val="19"/>
        </w:rPr>
      </w:pPr>
    </w:p>
    <w:p>
      <w:pPr>
        <w:pStyle w:val="BodyText"/>
        <w:spacing w:line="240" w:lineRule="auto"/>
        <w:ind w:left="0" w:right="1132"/>
        <w:jc w:val="right"/>
      </w:pPr>
      <w:r>
        <w:rPr/>
        <w:t>本期减少的库存股系当期回购限制性股票减少库存股</w:t>
      </w:r>
      <w:r>
        <w:rPr>
          <w:spacing w:val="-65"/>
        </w:rPr>
        <w:t> </w:t>
      </w:r>
      <w:r>
        <w:rPr>
          <w:rFonts w:ascii="Times New Roman" w:hAnsi="Times New Roman" w:cs="Times New Roman" w:eastAsia="Times New Roman" w:hint="default"/>
        </w:rPr>
        <w:t>1,653,816.00</w:t>
      </w:r>
      <w:r>
        <w:rPr>
          <w:rFonts w:ascii="Times New Roman" w:hAnsi="Times New Roman" w:cs="Times New Roman" w:eastAsia="Times New Roman" w:hint="default"/>
          <w:spacing w:val="-21"/>
        </w:rPr>
        <w:t> </w:t>
      </w:r>
      <w:r>
        <w:rPr/>
        <w:t>元；本期限制性股票达到解锁条件无需回购冲减的库</w:t>
      </w:r>
    </w:p>
    <w:p>
      <w:pPr>
        <w:spacing w:line="240" w:lineRule="auto" w:before="11"/>
        <w:rPr>
          <w:rFonts w:ascii="宋体" w:hAnsi="宋体" w:cs="宋体" w:eastAsia="宋体" w:hint="default"/>
          <w:sz w:val="16"/>
          <w:szCs w:val="16"/>
        </w:rPr>
      </w:pPr>
    </w:p>
    <w:p>
      <w:pPr>
        <w:pStyle w:val="BodyText"/>
        <w:spacing w:line="240" w:lineRule="auto"/>
        <w:ind w:left="1133" w:right="0"/>
        <w:jc w:val="left"/>
      </w:pPr>
      <w:r>
        <w:rPr/>
        <w:t>存股</w:t>
      </w:r>
      <w:r>
        <w:rPr>
          <w:spacing w:val="-47"/>
        </w:rPr>
        <w:t> </w:t>
      </w:r>
      <w:r>
        <w:rPr>
          <w:rFonts w:ascii="Times New Roman" w:hAnsi="Times New Roman" w:cs="Times New Roman" w:eastAsia="Times New Roman" w:hint="default"/>
        </w:rPr>
        <w:t>12,962,420.20</w:t>
      </w:r>
      <w:r>
        <w:rPr>
          <w:rFonts w:ascii="Times New Roman" w:hAnsi="Times New Roman" w:cs="Times New Roman" w:eastAsia="Times New Roman" w:hint="default"/>
          <w:spacing w:val="-1"/>
        </w:rPr>
        <w:t> </w:t>
      </w:r>
      <w:r>
        <w:rPr/>
        <w:t>元；本期股权激励对应现金股利变动所影响的库存股</w:t>
      </w:r>
      <w:r>
        <w:rPr>
          <w:spacing w:val="-47"/>
        </w:rPr>
        <w:t> </w:t>
      </w:r>
      <w:r>
        <w:rPr>
          <w:rFonts w:ascii="Times New Roman" w:hAnsi="Times New Roman" w:cs="Times New Roman" w:eastAsia="Times New Roman" w:hint="default"/>
        </w:rPr>
        <w:t>43,412.00</w:t>
      </w:r>
      <w:r>
        <w:rPr>
          <w:rFonts w:ascii="Times New Roman" w:hAnsi="Times New Roman" w:cs="Times New Roman" w:eastAsia="Times New Roman" w:hint="default"/>
          <w:spacing w:val="-2"/>
        </w:rPr>
        <w:t> </w:t>
      </w:r>
      <w:r>
        <w:rPr/>
        <w:t>元。</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3"/>
          <w:szCs w:val="13"/>
        </w:rPr>
      </w:pPr>
    </w:p>
    <w:p>
      <w:pPr>
        <w:pStyle w:val="Heading3"/>
        <w:spacing w:line="240" w:lineRule="auto"/>
        <w:ind w:right="0"/>
        <w:jc w:val="left"/>
        <w:rPr>
          <w:b w:val="0"/>
          <w:bCs w:val="0"/>
        </w:rPr>
      </w:pPr>
      <w:bookmarkStart w:name="57、其他综合收益" w:id="359"/>
      <w:bookmarkEnd w:id="359"/>
      <w:r>
        <w:rPr>
          <w:b w:val="0"/>
          <w:bCs w:val="0"/>
        </w:rPr>
      </w:r>
      <w:r>
        <w:rPr>
          <w:rFonts w:ascii="Times New Roman" w:hAnsi="Times New Roman" w:cs="Times New Roman" w:eastAsia="Times New Roman" w:hint="default"/>
        </w:rPr>
        <w:t>57</w:t>
      </w:r>
      <w:r>
        <w:rPr/>
        <w:t>、其他综合收益</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不适用</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58、专项储备" w:id="360"/>
      <w:bookmarkEnd w:id="360"/>
      <w:r>
        <w:rPr>
          <w:b w:val="0"/>
          <w:bCs w:val="0"/>
        </w:rPr>
      </w:r>
      <w:r>
        <w:rPr>
          <w:rFonts w:ascii="Times New Roman" w:hAnsi="Times New Roman" w:cs="Times New Roman" w:eastAsia="Times New Roman" w:hint="default"/>
        </w:rPr>
        <w:t>58</w:t>
      </w:r>
      <w:r>
        <w:rPr/>
        <w:t>、专项储备</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不适用</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59、盈余公积" w:id="361"/>
      <w:bookmarkEnd w:id="361"/>
      <w:r>
        <w:rPr>
          <w:b w:val="0"/>
          <w:bCs w:val="0"/>
        </w:rPr>
      </w:r>
      <w:r>
        <w:rPr>
          <w:rFonts w:ascii="Times New Roman" w:hAnsi="Times New Roman" w:cs="Times New Roman" w:eastAsia="Times New Roman" w:hint="default"/>
        </w:rPr>
        <w:t>59</w:t>
      </w:r>
      <w:r>
        <w:rPr/>
        <w:t>、盈余公积</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30,403,641.80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6,351,577.71</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36,755,219.51</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30,403,641.80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6,351,577.71</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36,755,219.51</w:t>
            </w:r>
          </w:p>
        </w:tc>
      </w:tr>
    </w:tbl>
    <w:p>
      <w:pPr>
        <w:spacing w:line="240" w:lineRule="auto" w:before="7"/>
        <w:rPr>
          <w:rFonts w:ascii="宋体" w:hAnsi="宋体" w:cs="宋体" w:eastAsia="宋体" w:hint="default"/>
          <w:sz w:val="6"/>
          <w:szCs w:val="6"/>
        </w:rPr>
      </w:pPr>
    </w:p>
    <w:p>
      <w:pPr>
        <w:pStyle w:val="BodyText"/>
        <w:spacing w:line="516" w:lineRule="auto" w:before="44"/>
        <w:ind w:right="5922"/>
        <w:jc w:val="left"/>
      </w:pPr>
      <w:r>
        <w:rPr/>
        <w:t>盈余公积说明，包括本期增减变动情况、变动原因说明： 报告期根据母公司净利润按</w:t>
      </w:r>
      <w:r>
        <w:rPr>
          <w:rFonts w:ascii="Times New Roman" w:hAnsi="Times New Roman" w:cs="Times New Roman" w:eastAsia="Times New Roman" w:hint="default"/>
        </w:rPr>
        <w:t>10%</w:t>
      </w:r>
      <w:r>
        <w:rPr/>
        <w:t>的比例计提法定盈余公积金。</w:t>
      </w:r>
    </w:p>
    <w:p>
      <w:pPr>
        <w:spacing w:line="240" w:lineRule="auto" w:before="4"/>
        <w:rPr>
          <w:rFonts w:ascii="宋体" w:hAnsi="宋体" w:cs="宋体" w:eastAsia="宋体" w:hint="default"/>
          <w:sz w:val="14"/>
          <w:szCs w:val="14"/>
        </w:rPr>
      </w:pPr>
    </w:p>
    <w:p>
      <w:pPr>
        <w:pStyle w:val="Heading3"/>
        <w:spacing w:line="240" w:lineRule="auto"/>
        <w:ind w:right="0"/>
        <w:jc w:val="left"/>
        <w:rPr>
          <w:b w:val="0"/>
          <w:bCs w:val="0"/>
        </w:rPr>
      </w:pPr>
      <w:bookmarkStart w:name="60、未分配利润" w:id="362"/>
      <w:bookmarkEnd w:id="362"/>
      <w:r>
        <w:rPr>
          <w:b w:val="0"/>
          <w:bCs w:val="0"/>
        </w:rPr>
      </w:r>
      <w:r>
        <w:rPr>
          <w:rFonts w:ascii="Times New Roman" w:hAnsi="Times New Roman" w:cs="Times New Roman" w:eastAsia="Times New Roman" w:hint="default"/>
        </w:rPr>
        <w:t>60</w:t>
      </w:r>
      <w:r>
        <w:rPr/>
        <w:t>、未分配利润</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714"/>
        <w:gridCol w:w="2936"/>
        <w:gridCol w:w="2919"/>
      </w:tblGrid>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215,291,873.17</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186,326,691.07</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215,291,873.17</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186,326,691.07</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111,185,107.71</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87,160,102.19</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6,351,577.71</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5,747,401.68</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17,601,536.96</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12,103,273.41</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转作股本的普通股股利</w:t>
            </w:r>
          </w:p>
        </w:tc>
        <w:tc>
          <w:tcPr>
            <w:tcW w:w="2936" w:type="dxa"/>
            <w:tcBorders>
              <w:top w:val="single" w:sz="4" w:space="0" w:color="000000"/>
              <w:left w:val="single" w:sz="9" w:space="0" w:color="D2D2D2"/>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40,344,245.00</w:t>
            </w:r>
          </w:p>
        </w:tc>
      </w:tr>
      <w:tr>
        <w:trPr>
          <w:trHeight w:val="403"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302,523,866.21</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215,291,873.17</w:t>
            </w:r>
          </w:p>
        </w:tc>
      </w:tr>
    </w:tbl>
    <w:p>
      <w:pPr>
        <w:spacing w:line="240" w:lineRule="auto" w:before="7"/>
        <w:rPr>
          <w:rFonts w:ascii="宋体" w:hAnsi="宋体" w:cs="宋体" w:eastAsia="宋体" w:hint="default"/>
          <w:sz w:val="6"/>
          <w:szCs w:val="6"/>
        </w:rPr>
      </w:pPr>
    </w:p>
    <w:p>
      <w:pPr>
        <w:pStyle w:val="BodyText"/>
        <w:spacing w:line="240" w:lineRule="auto" w:before="44"/>
        <w:ind w:right="0"/>
        <w:jc w:val="left"/>
      </w:pPr>
      <w:r>
        <w:rPr/>
        <w:t>调整期初未分配利润明细：</w:t>
      </w:r>
    </w:p>
    <w:p>
      <w:pPr>
        <w:spacing w:line="240" w:lineRule="auto" w:before="10"/>
        <w:rPr>
          <w:rFonts w:ascii="宋体" w:hAnsi="宋体" w:cs="宋体" w:eastAsia="宋体" w:hint="default"/>
          <w:sz w:val="20"/>
          <w:szCs w:val="20"/>
        </w:rPr>
      </w:pPr>
    </w:p>
    <w:p>
      <w:pPr>
        <w:pStyle w:val="BodyText"/>
        <w:spacing w:line="240" w:lineRule="auto"/>
        <w:ind w:right="0"/>
        <w:jc w:val="left"/>
      </w:pPr>
      <w:r>
        <w:rPr>
          <w:rFonts w:ascii="Times New Roman" w:hAnsi="Times New Roman" w:cs="Times New Roman" w:eastAsia="Times New Roman" w:hint="default"/>
        </w:rPr>
        <w:t>1)</w:t>
      </w:r>
      <w:r>
        <w:rPr/>
        <w:t>由于《企业会计准则》及其相关新规定进行追溯调整，影响期初未分配利润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9"/>
        </w:rPr>
        <w:t> </w:t>
      </w:r>
      <w:r>
        <w:rPr/>
        <w:t>元。</w:t>
      </w:r>
    </w:p>
    <w:p>
      <w:pPr>
        <w:spacing w:line="240" w:lineRule="auto" w:before="11"/>
        <w:rPr>
          <w:rFonts w:ascii="宋体" w:hAnsi="宋体" w:cs="宋体" w:eastAsia="宋体" w:hint="default"/>
          <w:sz w:val="19"/>
          <w:szCs w:val="19"/>
        </w:rPr>
      </w:pPr>
    </w:p>
    <w:p>
      <w:pPr>
        <w:pStyle w:val="BodyText"/>
        <w:spacing w:line="240" w:lineRule="auto"/>
        <w:ind w:right="0"/>
        <w:jc w:val="left"/>
      </w:pPr>
      <w:r>
        <w:rPr>
          <w:rFonts w:ascii="Times New Roman" w:hAnsi="Times New Roman" w:cs="Times New Roman" w:eastAsia="Times New Roman" w:hint="default"/>
        </w:rPr>
        <w:t>2)</w:t>
      </w:r>
      <w:r>
        <w:rPr/>
        <w:t>由于会计政策变更，影响期初未分配利润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9"/>
        </w:rPr>
        <w:t> </w:t>
      </w:r>
      <w:r>
        <w:rPr/>
        <w:t>元。</w:t>
      </w:r>
    </w:p>
    <w:p>
      <w:pPr>
        <w:spacing w:after="0" w:line="240" w:lineRule="auto"/>
        <w:jc w:val="left"/>
        <w:sectPr>
          <w:pgSz w:w="11910" w:h="16840"/>
          <w:pgMar w:header="787" w:footer="640" w:top="1100" w:bottom="840" w:left="0" w:right="0"/>
        </w:sectPr>
      </w:pPr>
    </w:p>
    <w:p>
      <w:pPr>
        <w:spacing w:line="240" w:lineRule="auto" w:before="11"/>
        <w:rPr>
          <w:rFonts w:ascii="宋体" w:hAnsi="宋体" w:cs="宋体" w:eastAsia="宋体" w:hint="default"/>
          <w:sz w:val="28"/>
          <w:szCs w:val="28"/>
        </w:rPr>
      </w:pPr>
    </w:p>
    <w:p>
      <w:pPr>
        <w:pStyle w:val="BodyText"/>
        <w:spacing w:line="240" w:lineRule="auto" w:before="44"/>
        <w:ind w:right="0"/>
        <w:jc w:val="left"/>
      </w:pPr>
      <w:r>
        <w:rPr>
          <w:rFonts w:ascii="Times New Roman" w:hAnsi="Times New Roman" w:cs="Times New Roman" w:eastAsia="Times New Roman" w:hint="default"/>
        </w:rPr>
        <w:t>3)</w:t>
      </w:r>
      <w:r>
        <w:rPr/>
        <w:t>由于重大会计差错更正，影响期初未分配利润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9"/>
        </w:rPr>
        <w:t> </w:t>
      </w:r>
      <w:r>
        <w:rPr/>
        <w:t>元。</w:t>
      </w:r>
    </w:p>
    <w:p>
      <w:pPr>
        <w:spacing w:line="240" w:lineRule="auto" w:before="10"/>
        <w:rPr>
          <w:rFonts w:ascii="宋体" w:hAnsi="宋体" w:cs="宋体" w:eastAsia="宋体" w:hint="default"/>
          <w:sz w:val="19"/>
          <w:szCs w:val="19"/>
        </w:rPr>
      </w:pPr>
    </w:p>
    <w:p>
      <w:pPr>
        <w:pStyle w:val="BodyText"/>
        <w:spacing w:line="240" w:lineRule="auto"/>
        <w:ind w:right="0"/>
        <w:jc w:val="left"/>
      </w:pPr>
      <w:r>
        <w:rPr>
          <w:rFonts w:ascii="Times New Roman" w:hAnsi="Times New Roman" w:cs="Times New Roman" w:eastAsia="Times New Roman" w:hint="default"/>
        </w:rPr>
        <w:t>4)</w:t>
      </w:r>
      <w:r>
        <w:rPr/>
        <w:t>由于同一控制导致的合并范围变更，影响期初未分配利润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9"/>
        </w:rPr>
        <w:t> </w:t>
      </w:r>
      <w:r>
        <w:rPr/>
        <w:t>元。</w:t>
      </w:r>
    </w:p>
    <w:p>
      <w:pPr>
        <w:spacing w:line="240" w:lineRule="auto" w:before="11"/>
        <w:rPr>
          <w:rFonts w:ascii="宋体" w:hAnsi="宋体" w:cs="宋体" w:eastAsia="宋体" w:hint="default"/>
          <w:sz w:val="19"/>
          <w:szCs w:val="19"/>
        </w:rPr>
      </w:pPr>
    </w:p>
    <w:p>
      <w:pPr>
        <w:pStyle w:val="BodyText"/>
        <w:spacing w:line="240" w:lineRule="auto"/>
        <w:ind w:right="0"/>
        <w:jc w:val="left"/>
      </w:pPr>
      <w:r>
        <w:rPr>
          <w:rFonts w:ascii="Times New Roman" w:hAnsi="Times New Roman" w:cs="Times New Roman" w:eastAsia="Times New Roman" w:hint="default"/>
        </w:rPr>
        <w:t>5)</w:t>
      </w:r>
      <w:r>
        <w:rPr/>
        <w:t>其他调整合计影响期初未分配利润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9"/>
        </w:rPr>
        <w:t> </w:t>
      </w:r>
      <w:r>
        <w:rPr/>
        <w:t>元。</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9"/>
          <w:szCs w:val="19"/>
        </w:rPr>
      </w:pPr>
    </w:p>
    <w:p>
      <w:pPr>
        <w:pStyle w:val="Heading3"/>
        <w:spacing w:line="240" w:lineRule="auto"/>
        <w:ind w:right="0"/>
        <w:jc w:val="left"/>
        <w:rPr>
          <w:b w:val="0"/>
          <w:bCs w:val="0"/>
        </w:rPr>
      </w:pPr>
      <w:bookmarkStart w:name="61、营业收入和营业成本" w:id="363"/>
      <w:bookmarkEnd w:id="363"/>
      <w:r>
        <w:rPr>
          <w:b w:val="0"/>
          <w:bCs w:val="0"/>
        </w:rPr>
      </w:r>
      <w:r>
        <w:rPr>
          <w:rFonts w:ascii="Times New Roman" w:hAnsi="Times New Roman" w:cs="Times New Roman" w:eastAsia="Times New Roman" w:hint="default"/>
        </w:rPr>
        <w:t>61</w:t>
      </w:r>
      <w:r>
        <w:rPr/>
        <w:t>、营业收入和营业成本</w:t>
      </w:r>
      <w:r>
        <w:rPr>
          <w:b w:val="0"/>
          <w:bCs w:val="0"/>
        </w:rPr>
      </w:r>
    </w:p>
    <w:p>
      <w:pPr>
        <w:spacing w:line="240" w:lineRule="auto" w:before="2"/>
        <w:rPr>
          <w:rFonts w:ascii="宋体" w:hAnsi="宋体" w:cs="宋体" w:eastAsia="宋体" w:hint="default"/>
          <w:b/>
          <w:bCs/>
          <w:sz w:val="29"/>
          <w:szCs w:val="29"/>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206" w:hRule="exact"/>
        </w:trPr>
        <w:tc>
          <w:tcPr>
            <w:tcW w:w="1912"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1" w:hRule="exact"/>
        </w:trPr>
        <w:tc>
          <w:tcPr>
            <w:tcW w:w="19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912" w:type="dxa"/>
            <w:vMerge/>
            <w:tcBorders>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成本</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6" w:hRule="exact"/>
        </w:trPr>
        <w:tc>
          <w:tcPr>
            <w:tcW w:w="19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568,450,778.37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288,856,352.01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544,953,859.79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295,369,304.98</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1,344,240.84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1,346,961.52</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569,795,019.21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290,203,313.53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544,953,859.79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295,369,304.98</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62、税金及附加" w:id="364"/>
      <w:bookmarkEnd w:id="364"/>
      <w:r>
        <w:rPr>
          <w:b w:val="0"/>
          <w:bCs w:val="0"/>
        </w:rPr>
      </w:r>
      <w:r>
        <w:rPr>
          <w:rFonts w:ascii="Times New Roman" w:hAnsi="Times New Roman" w:cs="Times New Roman" w:eastAsia="Times New Roman" w:hint="default"/>
        </w:rPr>
        <w:t>62</w:t>
      </w:r>
      <w:r>
        <w:rPr/>
        <w:t>、税金及附加</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1,321,620.31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1,979,822.38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582,929.00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859,510.10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1,459,283.28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360,168.26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4,446.76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2,801.45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车船使用税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64,672.66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59,404.89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464,006.32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217,741.53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1,389,247.05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地方教育附加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383,651.55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568,683.14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堤围防护费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41,024.03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58,643.76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358,353.75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1,117,140.72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4,679,987.66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6,613,163.28</w:t>
            </w:r>
          </w:p>
        </w:tc>
      </w:tr>
    </w:tbl>
    <w:p>
      <w:pPr>
        <w:pStyle w:val="BodyText"/>
        <w:spacing w:line="240" w:lineRule="auto" w:before="51"/>
        <w:ind w:right="0"/>
        <w:jc w:val="left"/>
      </w:pPr>
      <w:r>
        <w:rPr/>
        <w:t>其他说明：</w:t>
      </w:r>
    </w:p>
    <w:p>
      <w:pPr>
        <w:pStyle w:val="BodyText"/>
        <w:spacing w:line="300" w:lineRule="auto" w:before="116"/>
        <w:ind w:left="1133" w:right="1129" w:firstLine="420"/>
        <w:jc w:val="both"/>
      </w:pPr>
      <w:r>
        <w:rPr>
          <w:spacing w:val="-2"/>
        </w:rPr>
        <w:t>根据财政部《增值税会计处理规定》</w:t>
      </w:r>
      <w:r>
        <w:rPr>
          <w:rFonts w:ascii="Times New Roman" w:hAnsi="Times New Roman" w:cs="Times New Roman" w:eastAsia="Times New Roman" w:hint="default"/>
          <w:spacing w:val="-2"/>
        </w:rPr>
        <w:t>(</w:t>
      </w:r>
      <w:r>
        <w:rPr>
          <w:spacing w:val="-2"/>
        </w:rPr>
        <w:t>财会〔</w:t>
      </w:r>
      <w:r>
        <w:rPr>
          <w:rFonts w:ascii="Times New Roman" w:hAnsi="Times New Roman" w:cs="Times New Roman" w:eastAsia="Times New Roman" w:hint="default"/>
          <w:spacing w:val="-2"/>
        </w:rPr>
        <w:t>2016</w:t>
      </w:r>
      <w:r>
        <w:rPr>
          <w:spacing w:val="-2"/>
        </w:rPr>
        <w:t>〕</w:t>
      </w:r>
      <w:r>
        <w:rPr>
          <w:rFonts w:ascii="Times New Roman" w:hAnsi="Times New Roman" w:cs="Times New Roman" w:eastAsia="Times New Roman" w:hint="default"/>
          <w:spacing w:val="-2"/>
        </w:rPr>
        <w:t>22</w:t>
      </w:r>
      <w:r>
        <w:rPr>
          <w:spacing w:val="-2"/>
        </w:rPr>
        <w:t>号</w:t>
      </w:r>
      <w:r>
        <w:rPr>
          <w:rFonts w:ascii="Times New Roman" w:hAnsi="Times New Roman" w:cs="Times New Roman" w:eastAsia="Times New Roman" w:hint="default"/>
          <w:spacing w:val="-2"/>
        </w:rPr>
        <w:t>)</w:t>
      </w:r>
      <w:r>
        <w:rPr>
          <w:spacing w:val="-2"/>
        </w:rPr>
        <w:t>以及《关于</w:t>
      </w:r>
      <w:r>
        <w:rPr>
          <w:rFonts w:ascii="Times New Roman" w:hAnsi="Times New Roman" w:cs="Times New Roman" w:eastAsia="Times New Roman" w:hint="default"/>
          <w:spacing w:val="-2"/>
        </w:rPr>
        <w:t>&lt;</w:t>
      </w:r>
      <w:r>
        <w:rPr>
          <w:spacing w:val="-2"/>
        </w:rPr>
        <w:t>增值税会计处理规定</w:t>
      </w:r>
      <w:r>
        <w:rPr>
          <w:rFonts w:ascii="Times New Roman" w:hAnsi="Times New Roman" w:cs="Times New Roman" w:eastAsia="Times New Roman" w:hint="default"/>
          <w:spacing w:val="-2"/>
        </w:rPr>
        <w:t>&gt;</w:t>
      </w:r>
      <w:r>
        <w:rPr>
          <w:spacing w:val="-2"/>
        </w:rPr>
        <w:t>有关问题的解读》，本公司</w:t>
      </w:r>
      <w:r>
        <w:rPr/>
        <w:t> 将</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5-12</w:t>
      </w:r>
      <w:r>
        <w:rPr/>
        <w:t>月及</w:t>
      </w:r>
      <w:r>
        <w:rPr>
          <w:rFonts w:ascii="Times New Roman" w:hAnsi="Times New Roman" w:cs="Times New Roman" w:eastAsia="Times New Roman" w:hint="default"/>
        </w:rPr>
        <w:t>2017</w:t>
      </w:r>
      <w:r>
        <w:rPr/>
        <w:t>年度房产税、土地使用税车船使用税和印花税的发生额列报于</w:t>
      </w:r>
      <w:r>
        <w:rPr>
          <w:rFonts w:ascii="Times New Roman" w:hAnsi="Times New Roman" w:cs="Times New Roman" w:eastAsia="Times New Roman" w:hint="default"/>
        </w:rPr>
        <w:t>“</w:t>
      </w:r>
      <w:r>
        <w:rPr/>
        <w:t>税金及附加</w:t>
      </w:r>
      <w:r>
        <w:rPr>
          <w:rFonts w:ascii="Times New Roman" w:hAnsi="Times New Roman" w:cs="Times New Roman" w:eastAsia="Times New Roman" w:hint="default"/>
        </w:rPr>
        <w:t>”</w:t>
      </w:r>
      <w:r>
        <w:rPr/>
        <w:t>项目，</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5</w:t>
      </w:r>
      <w:r>
        <w:rPr/>
        <w:t>月之前的</w:t>
      </w:r>
      <w:r>
        <w:rPr>
          <w:spacing w:val="-42"/>
        </w:rPr>
        <w:t> </w:t>
      </w:r>
      <w:r>
        <w:rPr/>
        <w:t>发生额仍列报于</w:t>
      </w:r>
      <w:r>
        <w:rPr>
          <w:rFonts w:ascii="Times New Roman" w:hAnsi="Times New Roman" w:cs="Times New Roman" w:eastAsia="Times New Roman" w:hint="default"/>
        </w:rPr>
        <w:t>“</w:t>
      </w:r>
      <w:r>
        <w:rPr/>
        <w:t>管理费用</w:t>
      </w:r>
      <w:r>
        <w:rPr>
          <w:rFonts w:ascii="Times New Roman" w:hAnsi="Times New Roman" w:cs="Times New Roman" w:eastAsia="Times New Roman" w:hint="default"/>
        </w:rPr>
        <w:t>”</w:t>
      </w:r>
      <w:r>
        <w:rPr/>
        <w:t>项目。</w:t>
      </w:r>
    </w:p>
    <w:p>
      <w:pPr>
        <w:spacing w:line="240" w:lineRule="auto" w:before="1"/>
        <w:rPr>
          <w:rFonts w:ascii="宋体" w:hAnsi="宋体" w:cs="宋体" w:eastAsia="宋体" w:hint="default"/>
          <w:sz w:val="22"/>
          <w:szCs w:val="22"/>
        </w:rPr>
      </w:pPr>
    </w:p>
    <w:p>
      <w:pPr>
        <w:pStyle w:val="Heading3"/>
        <w:spacing w:line="240" w:lineRule="auto"/>
        <w:ind w:left="1133" w:right="0"/>
        <w:jc w:val="left"/>
        <w:rPr>
          <w:b w:val="0"/>
          <w:bCs w:val="0"/>
        </w:rPr>
      </w:pPr>
      <w:bookmarkStart w:name="63、销售费用" w:id="365"/>
      <w:bookmarkEnd w:id="365"/>
      <w:r>
        <w:rPr>
          <w:b w:val="0"/>
          <w:bCs w:val="0"/>
        </w:rPr>
      </w:r>
      <w:r>
        <w:rPr>
          <w:rFonts w:ascii="Times New Roman" w:hAnsi="Times New Roman" w:cs="Times New Roman" w:eastAsia="Times New Roman" w:hint="default"/>
        </w:rPr>
        <w:t>63</w:t>
      </w:r>
      <w:r>
        <w:rPr/>
        <w:t>、销售费用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after="0" w:line="240" w:lineRule="auto"/>
        <w:jc w:val="right"/>
        <w:sectPr>
          <w:pgSz w:w="11910" w:h="16840"/>
          <w:pgMar w:header="787" w:footer="640" w:top="1100" w:bottom="840" w:left="0" w:right="0"/>
        </w:sectPr>
      </w:pPr>
    </w:p>
    <w:p>
      <w:pPr>
        <w:spacing w:line="240" w:lineRule="auto" w:before="5"/>
        <w:rPr>
          <w:rFonts w:ascii="宋体" w:hAnsi="宋体" w:cs="宋体" w:eastAsia="宋体" w:hint="default"/>
          <w:sz w:val="25"/>
          <w:szCs w:val="25"/>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工资薪金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31,639,743.73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31,453,842.60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7,785,958.68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5,700,120.64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1,690,958.46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1,330,264.99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折旧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2,874,522.49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2,207,849.52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工程费用及运费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3,547,977.98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3,152,495.99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2,930,189.27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3,137,314.18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2,719,209.80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1,419,547.05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53,188,560.41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48,401,434.97</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64、管理费用" w:id="366"/>
      <w:bookmarkEnd w:id="366"/>
      <w:r>
        <w:rPr>
          <w:b w:val="0"/>
          <w:bCs w:val="0"/>
        </w:rPr>
      </w:r>
      <w:r>
        <w:rPr>
          <w:rFonts w:ascii="Times New Roman" w:hAnsi="Times New Roman" w:cs="Times New Roman" w:eastAsia="Times New Roman" w:hint="default"/>
        </w:rPr>
        <w:t>64</w:t>
      </w:r>
      <w:r>
        <w:rPr/>
        <w:t>、管理费用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科技研发费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47,098,182.32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47,045,825.90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23,191,231.02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19,490,748.58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限制性股票费用摊销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5,789,730.00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9,733,300.00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中介服务费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2,954,582.75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5,323,110.21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4,783,502.86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3,519,510.03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2,353,186.17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2,767,474.99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4,187,551.27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2,576,561.12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742,503.10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371,374.99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税费</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Times New Roman" w:hAnsi="Times New Roman" w:cs="Times New Roman" w:eastAsia="Times New Roman" w:hint="default"/>
                <w:sz w:val="18"/>
                <w:szCs w:val="18"/>
              </w:rPr>
              <w:t>]</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123,429.90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3,071,341.76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1,892,416.01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94,171,811.25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92,843,751.73</w:t>
            </w:r>
          </w:p>
        </w:tc>
      </w:tr>
    </w:tbl>
    <w:p>
      <w:pPr>
        <w:spacing w:line="240" w:lineRule="auto" w:before="6"/>
        <w:rPr>
          <w:rFonts w:ascii="宋体" w:hAnsi="宋体" w:cs="宋体" w:eastAsia="宋体" w:hint="default"/>
          <w:sz w:val="6"/>
          <w:szCs w:val="6"/>
        </w:rPr>
      </w:pPr>
    </w:p>
    <w:p>
      <w:pPr>
        <w:pStyle w:val="BodyText"/>
        <w:spacing w:line="240" w:lineRule="auto" w:before="44"/>
        <w:ind w:right="0"/>
        <w:jc w:val="left"/>
      </w:pPr>
      <w:r>
        <w:rPr/>
        <w:t>其他说明：</w:t>
      </w:r>
    </w:p>
    <w:p>
      <w:pPr>
        <w:spacing w:line="240" w:lineRule="auto" w:before="12"/>
        <w:rPr>
          <w:rFonts w:ascii="宋体" w:hAnsi="宋体" w:cs="宋体" w:eastAsia="宋体" w:hint="default"/>
          <w:sz w:val="20"/>
          <w:szCs w:val="20"/>
        </w:rPr>
      </w:pPr>
    </w:p>
    <w:p>
      <w:pPr>
        <w:pStyle w:val="BodyText"/>
        <w:spacing w:line="240" w:lineRule="auto"/>
        <w:ind w:left="1133" w:right="0"/>
        <w:jc w:val="left"/>
      </w:pPr>
      <w:r>
        <w:rPr>
          <w:rFonts w:ascii="Times New Roman" w:hAnsi="Times New Roman" w:cs="Times New Roman" w:eastAsia="Times New Roman" w:hint="default"/>
        </w:rPr>
        <w:t>[</w:t>
      </w:r>
      <w:r>
        <w:rPr/>
        <w:t>注</w:t>
      </w:r>
      <w:r>
        <w:rPr>
          <w:rFonts w:ascii="Times New Roman" w:hAnsi="Times New Roman" w:cs="Times New Roman" w:eastAsia="Times New Roman" w:hint="default"/>
        </w:rPr>
        <w:t>]</w:t>
      </w:r>
      <w:r>
        <w:rPr/>
        <w:t>：详见本财务报表附注税金及附加之说明。</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9"/>
          <w:szCs w:val="19"/>
        </w:rPr>
      </w:pPr>
    </w:p>
    <w:p>
      <w:pPr>
        <w:pStyle w:val="Heading3"/>
        <w:spacing w:line="240" w:lineRule="auto"/>
        <w:ind w:right="0"/>
        <w:jc w:val="left"/>
        <w:rPr>
          <w:b w:val="0"/>
          <w:bCs w:val="0"/>
        </w:rPr>
      </w:pPr>
      <w:bookmarkStart w:name="65、财务费用" w:id="367"/>
      <w:bookmarkEnd w:id="367"/>
      <w:r>
        <w:rPr>
          <w:b w:val="0"/>
          <w:bCs w:val="0"/>
        </w:rPr>
      </w:r>
      <w:r>
        <w:rPr>
          <w:rFonts w:ascii="Times New Roman" w:hAnsi="Times New Roman" w:cs="Times New Roman" w:eastAsia="Times New Roman" w:hint="default"/>
        </w:rPr>
        <w:t>65</w:t>
      </w:r>
      <w:r>
        <w:rPr/>
        <w:t>、财务费用</w:t>
      </w:r>
      <w:r>
        <w:rPr>
          <w:b w:val="0"/>
          <w:bCs w:val="0"/>
        </w:rPr>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5"/>
          <w:szCs w:val="15"/>
        </w:rPr>
      </w:pPr>
    </w:p>
    <w:p>
      <w:pPr>
        <w:pStyle w:val="BodyText"/>
        <w:spacing w:line="240" w:lineRule="auto" w:before="44"/>
        <w:ind w:left="0" w:right="1130"/>
        <w:jc w:val="right"/>
      </w:pPr>
      <w:r>
        <w:rPr/>
        <w:t>单位： 元</w:t>
      </w:r>
    </w:p>
    <w:p>
      <w:pPr>
        <w:spacing w:line="240" w:lineRule="auto" w:before="12"/>
        <w:rPr>
          <w:rFonts w:ascii="宋体" w:hAnsi="宋体" w:cs="宋体" w:eastAsia="宋体" w:hint="default"/>
          <w:sz w:val="13"/>
          <w:szCs w:val="13"/>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2,457,990.16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506,592.76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856,269.15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1,047,704.34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银行手续费及其他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221,234.25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330,149.41</w:t>
            </w:r>
          </w:p>
        </w:tc>
      </w:tr>
    </w:tbl>
    <w:p>
      <w:pPr>
        <w:spacing w:after="0" w:line="240" w:lineRule="auto"/>
        <w:jc w:val="right"/>
        <w:rPr>
          <w:rFonts w:ascii="Times New Roman" w:hAnsi="Times New Roman" w:cs="Times New Roman" w:eastAsia="Times New Roman" w:hint="default"/>
          <w:sz w:val="18"/>
          <w:szCs w:val="18"/>
        </w:rPr>
        <w:sectPr>
          <w:pgSz w:w="11910" w:h="16840"/>
          <w:pgMar w:header="787" w:footer="640" w:top="1100" w:bottom="840" w:left="0" w:right="0"/>
        </w:sectPr>
      </w:pPr>
    </w:p>
    <w:p>
      <w:pPr>
        <w:spacing w:line="240" w:lineRule="auto" w:before="5"/>
        <w:rPr>
          <w:rFonts w:ascii="宋体" w:hAnsi="宋体" w:cs="宋体" w:eastAsia="宋体" w:hint="default"/>
          <w:sz w:val="25"/>
          <w:szCs w:val="25"/>
        </w:rPr>
      </w:pPr>
    </w:p>
    <w:tbl>
      <w:tblPr>
        <w:tblW w:w="0" w:type="auto"/>
        <w:jc w:val="left"/>
        <w:tblInd w:w="1129" w:type="dxa"/>
        <w:tblLayout w:type="fixed"/>
        <w:tblCellMar>
          <w:top w:w="0" w:type="dxa"/>
          <w:left w:w="0" w:type="dxa"/>
          <w:bottom w:w="0" w:type="dxa"/>
          <w:right w:w="0" w:type="dxa"/>
        </w:tblCellMar>
        <w:tblLook w:val="01E0"/>
      </w:tblPr>
      <w:tblGrid>
        <w:gridCol w:w="3189"/>
        <w:gridCol w:w="3191"/>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1,822,955.26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-210,962.17</w:t>
            </w:r>
            <w:r>
              <w:rPr>
                <w:rFonts w:ascii="Times New Roman"/>
                <w:sz w:val="18"/>
              </w:rPr>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66、资产减值损失" w:id="368"/>
      <w:bookmarkEnd w:id="368"/>
      <w:r>
        <w:rPr>
          <w:b w:val="0"/>
          <w:bCs w:val="0"/>
        </w:rPr>
      </w:r>
      <w:r>
        <w:rPr>
          <w:rFonts w:ascii="Times New Roman" w:hAnsi="Times New Roman" w:cs="Times New Roman" w:eastAsia="Times New Roman" w:hint="default"/>
        </w:rPr>
        <w:t>66</w:t>
      </w:r>
      <w:r>
        <w:rPr/>
        <w:t>、资产减值损失</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124,788.96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6,356,302.10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2,151,882.87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2,925,784.34</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2,276,671.83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9,282,086.44</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67、公允价值变动收益" w:id="369"/>
      <w:bookmarkEnd w:id="369"/>
      <w:r>
        <w:rPr>
          <w:b w:val="0"/>
          <w:bCs w:val="0"/>
        </w:rPr>
      </w:r>
      <w:r>
        <w:rPr>
          <w:rFonts w:ascii="Times New Roman" w:hAnsi="Times New Roman" w:cs="Times New Roman" w:eastAsia="Times New Roman" w:hint="default"/>
        </w:rPr>
        <w:t>67</w:t>
      </w:r>
      <w:r>
        <w:rPr/>
        <w:t>、公允价值变动收益</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3" w:right="0"/>
        <w:jc w:val="left"/>
      </w:pPr>
      <w:r>
        <w:rPr/>
        <w:t>不适用</w:t>
      </w:r>
    </w:p>
    <w:p>
      <w:pPr>
        <w:spacing w:line="240" w:lineRule="auto" w:before="10"/>
        <w:rPr>
          <w:rFonts w:ascii="宋体" w:hAnsi="宋体" w:cs="宋体" w:eastAsia="宋体" w:hint="default"/>
          <w:sz w:val="26"/>
          <w:szCs w:val="26"/>
        </w:rPr>
      </w:pPr>
    </w:p>
    <w:p>
      <w:pPr>
        <w:pStyle w:val="Heading3"/>
        <w:spacing w:line="240" w:lineRule="auto"/>
        <w:ind w:left="1133" w:right="0"/>
        <w:jc w:val="left"/>
        <w:rPr>
          <w:b w:val="0"/>
          <w:bCs w:val="0"/>
        </w:rPr>
      </w:pPr>
      <w:bookmarkStart w:name="68、投资收益" w:id="370"/>
      <w:bookmarkEnd w:id="370"/>
      <w:r>
        <w:rPr>
          <w:b w:val="0"/>
          <w:bCs w:val="0"/>
        </w:rPr>
      </w:r>
      <w:r>
        <w:rPr>
          <w:rFonts w:ascii="Times New Roman" w:hAnsi="Times New Roman" w:cs="Times New Roman" w:eastAsia="Times New Roman" w:hint="default"/>
        </w:rPr>
        <w:t>68</w:t>
      </w:r>
      <w:r>
        <w:rPr/>
        <w:t>、投资收益</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460"/>
        <w:gridCol w:w="3191"/>
        <w:gridCol w:w="2918"/>
      </w:tblGrid>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理财产品利息收入</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705,677.70</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705,677.70</w:t>
            </w:r>
          </w:p>
        </w:tc>
        <w:tc>
          <w:tcPr>
            <w:tcW w:w="291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69、资产处置收益" w:id="371"/>
      <w:bookmarkEnd w:id="371"/>
      <w:r>
        <w:rPr>
          <w:b w:val="0"/>
          <w:bCs w:val="0"/>
        </w:rPr>
      </w:r>
      <w:r>
        <w:rPr>
          <w:rFonts w:ascii="Times New Roman" w:hAnsi="Times New Roman" w:cs="Times New Roman" w:eastAsia="Times New Roman" w:hint="default"/>
        </w:rPr>
        <w:t>69</w:t>
      </w:r>
      <w:r>
        <w:rPr/>
        <w:t>、资产处置收益</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不适用</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70、其他收益" w:id="372"/>
      <w:bookmarkEnd w:id="372"/>
      <w:r>
        <w:rPr>
          <w:b w:val="0"/>
          <w:bCs w:val="0"/>
        </w:rPr>
      </w:r>
      <w:r>
        <w:rPr>
          <w:rFonts w:ascii="Times New Roman" w:hAnsi="Times New Roman" w:cs="Times New Roman" w:eastAsia="Times New Roman" w:hint="default"/>
        </w:rPr>
        <w:t>70</w:t>
      </w:r>
      <w:r>
        <w:rPr/>
        <w:t>、其他收益</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9" w:right="0"/>
              <w:jc w:val="left"/>
              <w:rPr>
                <w:rFonts w:ascii="宋体" w:hAnsi="宋体" w:cs="宋体" w:eastAsia="宋体" w:hint="default"/>
                <w:sz w:val="18"/>
                <w:szCs w:val="18"/>
              </w:rPr>
            </w:pPr>
            <w:r>
              <w:rPr>
                <w:rFonts w:ascii="宋体" w:hAnsi="宋体" w:cs="宋体" w:eastAsia="宋体" w:hint="default"/>
                <w:sz w:val="18"/>
                <w:szCs w:val="18"/>
              </w:rPr>
              <w:t>产生其他收益的来源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软件产品增值税即征即退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4,109,961.38</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95"/>
              <w:jc w:val="left"/>
              <w:rPr>
                <w:rFonts w:ascii="宋体" w:hAnsi="宋体" w:cs="宋体" w:eastAsia="宋体" w:hint="default"/>
                <w:sz w:val="18"/>
                <w:szCs w:val="18"/>
              </w:rPr>
            </w:pPr>
            <w:r>
              <w:rPr>
                <w:rFonts w:ascii="宋体" w:hAnsi="宋体" w:cs="宋体" w:eastAsia="宋体" w:hint="default"/>
                <w:sz w:val="18"/>
                <w:szCs w:val="18"/>
              </w:rPr>
              <w:t>超宽频高精度无线定位通讯模块技术的 研发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2,253,997.80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广东省研发费补助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1,334,600.00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95"/>
              <w:jc w:val="left"/>
              <w:rPr>
                <w:rFonts w:ascii="宋体" w:hAnsi="宋体" w:cs="宋体" w:eastAsia="宋体" w:hint="default"/>
                <w:sz w:val="18"/>
                <w:szCs w:val="18"/>
              </w:rPr>
            </w:pPr>
            <w:r>
              <w:rPr>
                <w:rFonts w:ascii="宋体" w:hAnsi="宋体" w:cs="宋体" w:eastAsia="宋体" w:hint="default"/>
                <w:sz w:val="18"/>
                <w:szCs w:val="18"/>
              </w:rPr>
              <w:t>广州市企业研发经费投入后补助专项资 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1,084,600.00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30"/>
              <w:jc w:val="left"/>
              <w:rPr>
                <w:rFonts w:ascii="宋体" w:hAnsi="宋体" w:cs="宋体" w:eastAsia="宋体" w:hint="default"/>
                <w:sz w:val="18"/>
                <w:szCs w:val="18"/>
              </w:rPr>
            </w:pPr>
            <w:r>
              <w:rPr>
                <w:rFonts w:ascii="Times New Roman" w:hAnsi="Times New Roman" w:cs="Times New Roman" w:eastAsia="Times New Roman" w:hint="default"/>
                <w:spacing w:val="-7"/>
                <w:sz w:val="18"/>
                <w:szCs w:val="18"/>
              </w:rPr>
              <w:t>ATM</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自助银行立体安防系统的研发及应 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240,000.00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147"/>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110</w:t>
            </w:r>
            <w:r>
              <w:rPr>
                <w:rFonts w:ascii="Times New Roman" w:hAnsi="Times New Roman" w:cs="Times New Roman" w:eastAsia="Times New Roman" w:hint="default"/>
                <w:sz w:val="18"/>
                <w:szCs w:val="18"/>
              </w:rPr>
              <w:t> </w:t>
            </w:r>
            <w:r>
              <w:rPr>
                <w:rFonts w:ascii="宋体" w:hAnsi="宋体" w:cs="宋体" w:eastAsia="宋体" w:hint="default"/>
                <w:sz w:val="18"/>
                <w:szCs w:val="18"/>
              </w:rPr>
              <w:t>报警设备的状态感知及管理系统的 研发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200,000.00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63"/>
          <w:pgSz w:w="11910" w:h="16840"/>
          <w:pgMar w:footer="640" w:header="787" w:top="1100" w:bottom="840" w:left="0" w:right="0"/>
        </w:sectPr>
      </w:pPr>
    </w:p>
    <w:p>
      <w:pPr>
        <w:spacing w:line="240" w:lineRule="auto" w:before="5"/>
        <w:rPr>
          <w:rFonts w:ascii="宋体" w:hAnsi="宋体" w:cs="宋体" w:eastAsia="宋体" w:hint="default"/>
          <w:sz w:val="25"/>
          <w:szCs w:val="25"/>
        </w:rPr>
      </w:pPr>
      <w:r>
        <w:rPr/>
        <w:pict>
          <v:group style="position:absolute;margin-left:110.239998pt;margin-top:621.459961pt;width:52.65pt;height:23.4pt;mso-position-horizontal-relative:page;mso-position-vertical-relative:page;z-index:-1169560" coordorigin="2205,12429" coordsize="1053,468">
            <v:shape style="position:absolute;left:2205;top:12429;width:1053;height:468" coordorigin="2205,12429" coordsize="1053,468" path="m2205,12897l3257,12897,3257,12429,2205,12429,2205,12897xe" filled="true" fillcolor="#ffffff" stroked="false">
              <v:path arrowok="t"/>
              <v:fill type="solid"/>
            </v:shape>
            <w10:wrap type="none"/>
          </v:group>
        </w:pict>
      </w:r>
    </w:p>
    <w:tbl>
      <w:tblPr>
        <w:tblW w:w="0" w:type="auto"/>
        <w:jc w:val="left"/>
        <w:tblInd w:w="112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年知识产权质押贷贴息</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187,700.00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稳岗补贴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137,932.29</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年度成长贷贴息</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131,600.00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广州市知识产权局专利资助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27,900.00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9,708,291.47</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71、营业外收入" w:id="373"/>
      <w:bookmarkEnd w:id="373"/>
      <w:r>
        <w:rPr>
          <w:b w:val="0"/>
          <w:bCs w:val="0"/>
        </w:rPr>
      </w:r>
      <w:r>
        <w:rPr>
          <w:rFonts w:ascii="Times New Roman" w:hAnsi="Times New Roman" w:cs="Times New Roman" w:eastAsia="Times New Roman" w:hint="default"/>
        </w:rPr>
        <w:t>71</w:t>
      </w:r>
      <w:r>
        <w:rPr/>
        <w:t>、营业外收入</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390"/>
        <w:gridCol w:w="2396"/>
        <w:gridCol w:w="2392"/>
        <w:gridCol w:w="2392"/>
      </w:tblGrid>
      <w:tr>
        <w:trPr>
          <w:trHeight w:val="161" w:hRule="exact"/>
        </w:trPr>
        <w:tc>
          <w:tcPr>
            <w:tcW w:w="2390"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2" w:hRule="exact"/>
        </w:trPr>
        <w:tc>
          <w:tcPr>
            <w:tcW w:w="23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vMerge/>
            <w:tcBorders>
              <w:left w:val="single" w:sz="4" w:space="0" w:color="000000"/>
              <w:right w:val="single" w:sz="4" w:space="0" w:color="000000"/>
            </w:tcBorders>
            <w:shd w:val="clear" w:color="auto" w:fill="D2D2D2"/>
          </w:tcPr>
          <w:p>
            <w:pPr/>
          </w:p>
        </w:tc>
      </w:tr>
      <w:tr>
        <w:trPr>
          <w:trHeight w:val="161" w:hRule="exact"/>
        </w:trPr>
        <w:tc>
          <w:tcPr>
            <w:tcW w:w="2390"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887,900.00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12,131,503.46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887,900.00</w:t>
            </w:r>
          </w:p>
        </w:tc>
      </w:tr>
      <w:tr>
        <w:trPr>
          <w:trHeight w:val="457"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22" w:right="0"/>
              <w:jc w:val="left"/>
              <w:rPr>
                <w:rFonts w:ascii="宋体" w:hAnsi="宋体" w:cs="宋体" w:eastAsia="宋体" w:hint="default"/>
                <w:sz w:val="18"/>
                <w:szCs w:val="18"/>
              </w:rPr>
            </w:pPr>
            <w:r>
              <w:rPr>
                <w:rFonts w:ascii="宋体" w:hAnsi="宋体" w:cs="宋体" w:eastAsia="宋体" w:hint="default"/>
                <w:sz w:val="18"/>
                <w:szCs w:val="18"/>
              </w:rPr>
              <w:t>非流动资产毁损报废利得</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21"/>
              <w:jc w:val="right"/>
              <w:rPr>
                <w:rFonts w:ascii="Times New Roman" w:hAnsi="Times New Roman" w:cs="Times New Roman" w:eastAsia="Times New Roman" w:hint="default"/>
                <w:sz w:val="18"/>
                <w:szCs w:val="18"/>
              </w:rPr>
            </w:pPr>
            <w:r>
              <w:rPr>
                <w:rFonts w:ascii="Times New Roman"/>
                <w:sz w:val="18"/>
              </w:rPr>
              <w:t>6,472.38</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20"/>
              <w:jc w:val="right"/>
              <w:rPr>
                <w:rFonts w:ascii="Times New Roman" w:hAnsi="Times New Roman" w:cs="Times New Roman" w:eastAsia="Times New Roman" w:hint="default"/>
                <w:sz w:val="18"/>
                <w:szCs w:val="18"/>
              </w:rPr>
            </w:pPr>
            <w:r>
              <w:rPr>
                <w:rFonts w:ascii="Times New Roman"/>
                <w:sz w:val="18"/>
              </w:rPr>
              <w:t>6,472.38</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364,505.41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771,779.64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364,505.41</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1,258,877.79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12,903,283.10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1,258,877.79</w:t>
            </w:r>
          </w:p>
        </w:tc>
      </w:tr>
    </w:tbl>
    <w:p>
      <w:pPr>
        <w:pStyle w:val="BodyText"/>
        <w:spacing w:line="240" w:lineRule="auto" w:before="51"/>
        <w:ind w:right="0"/>
        <w:jc w:val="left"/>
      </w:pPr>
      <w:r>
        <w:rPr/>
        <w:t>计入当期损益的政府补助：</w:t>
      </w:r>
    </w:p>
    <w:p>
      <w:pPr>
        <w:pStyle w:val="BodyText"/>
        <w:spacing w:line="240" w:lineRule="auto" w:before="117"/>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2"/>
        <w:gridCol w:w="1063"/>
      </w:tblGrid>
      <w:tr>
        <w:trPr>
          <w:trHeight w:val="714"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补助项目</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发放主体</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发放原因</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性质类型</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5" w:right="77"/>
              <w:jc w:val="left"/>
              <w:rPr>
                <w:rFonts w:ascii="宋体" w:hAnsi="宋体" w:cs="宋体" w:eastAsia="宋体" w:hint="default"/>
                <w:sz w:val="18"/>
                <w:szCs w:val="18"/>
              </w:rPr>
            </w:pPr>
            <w:r>
              <w:rPr>
                <w:rFonts w:ascii="宋体" w:hAnsi="宋体" w:cs="宋体" w:eastAsia="宋体" w:hint="default"/>
                <w:sz w:val="18"/>
                <w:szCs w:val="18"/>
              </w:rPr>
              <w:t>补贴是否影 响当年盈亏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35" w:right="77" w:hanging="360"/>
              <w:jc w:val="left"/>
              <w:rPr>
                <w:rFonts w:ascii="宋体" w:hAnsi="宋体" w:cs="宋体" w:eastAsia="宋体" w:hint="default"/>
                <w:sz w:val="18"/>
                <w:szCs w:val="18"/>
              </w:rPr>
            </w:pPr>
            <w:r>
              <w:rPr>
                <w:rFonts w:ascii="宋体" w:hAnsi="宋体" w:cs="宋体" w:eastAsia="宋体" w:hint="default"/>
                <w:sz w:val="18"/>
                <w:szCs w:val="18"/>
              </w:rPr>
              <w:t>是否特殊补 贴</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35" w:right="77" w:hanging="360"/>
              <w:jc w:val="left"/>
              <w:rPr>
                <w:rFonts w:ascii="宋体" w:hAnsi="宋体" w:cs="宋体" w:eastAsia="宋体" w:hint="default"/>
                <w:sz w:val="18"/>
                <w:szCs w:val="18"/>
              </w:rPr>
            </w:pPr>
            <w:r>
              <w:rPr>
                <w:rFonts w:ascii="宋体" w:hAnsi="宋体" w:cs="宋体" w:eastAsia="宋体" w:hint="default"/>
                <w:sz w:val="18"/>
                <w:szCs w:val="18"/>
              </w:rPr>
              <w:t>本期发生金 额</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35" w:right="74" w:hanging="360"/>
              <w:jc w:val="left"/>
              <w:rPr>
                <w:rFonts w:ascii="宋体" w:hAnsi="宋体" w:cs="宋体" w:eastAsia="宋体" w:hint="default"/>
                <w:sz w:val="18"/>
                <w:szCs w:val="18"/>
              </w:rPr>
            </w:pPr>
            <w:r>
              <w:rPr>
                <w:rFonts w:ascii="宋体" w:hAnsi="宋体" w:cs="宋体" w:eastAsia="宋体" w:hint="default"/>
                <w:sz w:val="18"/>
                <w:szCs w:val="18"/>
              </w:rPr>
              <w:t>上期发生金 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76" w:right="51" w:hanging="2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102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31"/>
              <w:jc w:val="both"/>
              <w:rPr>
                <w:rFonts w:ascii="宋体" w:hAnsi="宋体" w:cs="宋体" w:eastAsia="宋体" w:hint="default"/>
                <w:sz w:val="18"/>
                <w:szCs w:val="18"/>
              </w:rPr>
            </w:pPr>
            <w:r>
              <w:rPr>
                <w:rFonts w:ascii="宋体" w:hAnsi="宋体" w:cs="宋体" w:eastAsia="宋体" w:hint="default"/>
                <w:sz w:val="18"/>
                <w:szCs w:val="18"/>
              </w:rPr>
              <w:t>软件产品增 值税即征即 退</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27"/>
              <w:jc w:val="left"/>
              <w:rPr>
                <w:rFonts w:ascii="宋体" w:hAnsi="宋体" w:cs="宋体" w:eastAsia="宋体" w:hint="default"/>
                <w:sz w:val="18"/>
                <w:szCs w:val="18"/>
              </w:rPr>
            </w:pPr>
            <w:r>
              <w:rPr>
                <w:rFonts w:ascii="宋体" w:hAnsi="宋体" w:cs="宋体" w:eastAsia="宋体" w:hint="default"/>
                <w:sz w:val="18"/>
                <w:szCs w:val="18"/>
              </w:rPr>
              <w:t>广州市国家 税务局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3,398,871.81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31"/>
              <w:jc w:val="both"/>
              <w:rPr>
                <w:rFonts w:ascii="宋体" w:hAnsi="宋体" w:cs="宋体" w:eastAsia="宋体" w:hint="default"/>
                <w:sz w:val="18"/>
                <w:szCs w:val="18"/>
              </w:rPr>
            </w:pPr>
            <w:r>
              <w:rPr>
                <w:rFonts w:ascii="宋体" w:hAnsi="宋体" w:cs="宋体" w:eastAsia="宋体" w:hint="default"/>
                <w:sz w:val="18"/>
                <w:szCs w:val="18"/>
              </w:rPr>
              <w:t>广州市金融 工作局境内 外证券市场 新上市企业 补助</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2" w:right="127"/>
              <w:jc w:val="both"/>
              <w:rPr>
                <w:rFonts w:ascii="宋体" w:hAnsi="宋体" w:cs="宋体" w:eastAsia="宋体" w:hint="default"/>
                <w:sz w:val="18"/>
                <w:szCs w:val="18"/>
              </w:rPr>
            </w:pPr>
            <w:r>
              <w:rPr>
                <w:rFonts w:ascii="宋体" w:hAnsi="宋体" w:cs="宋体" w:eastAsia="宋体" w:hint="default"/>
                <w:sz w:val="18"/>
                <w:szCs w:val="18"/>
              </w:rPr>
              <w:t>广州市财政 局国库支付 分局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2" w:right="129"/>
              <w:jc w:val="both"/>
              <w:rPr>
                <w:rFonts w:ascii="宋体" w:hAnsi="宋体" w:cs="宋体" w:eastAsia="宋体" w:hint="default"/>
                <w:sz w:val="18"/>
                <w:szCs w:val="18"/>
              </w:rPr>
            </w:pPr>
            <w:r>
              <w:rPr>
                <w:rFonts w:ascii="宋体" w:hAnsi="宋体" w:cs="宋体" w:eastAsia="宋体" w:hint="default"/>
                <w:sz w:val="18"/>
                <w:szCs w:val="18"/>
              </w:rPr>
              <w:t>奖励上市而 给予的政府 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47"/>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年度省 企业研究开 发省级财政 补助项目计 划（第二批）</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22" w:right="127"/>
              <w:jc w:val="left"/>
              <w:rPr>
                <w:rFonts w:ascii="宋体" w:hAnsi="宋体" w:cs="宋体" w:eastAsia="宋体" w:hint="default"/>
                <w:sz w:val="18"/>
                <w:szCs w:val="18"/>
              </w:rPr>
            </w:pPr>
            <w:r>
              <w:rPr>
                <w:rFonts w:ascii="宋体" w:hAnsi="宋体" w:cs="宋体" w:eastAsia="宋体" w:hint="default"/>
                <w:sz w:val="18"/>
                <w:szCs w:val="18"/>
              </w:rPr>
              <w:t>广州市番禺 区财政局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1,149,600.00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87"/>
              <w:jc w:val="left"/>
              <w:rPr>
                <w:rFonts w:ascii="宋体" w:hAnsi="宋体" w:cs="宋体" w:eastAsia="宋体" w:hint="default"/>
                <w:sz w:val="18"/>
                <w:szCs w:val="18"/>
              </w:rPr>
            </w:pPr>
            <w:r>
              <w:rPr>
                <w:rFonts w:ascii="宋体" w:hAnsi="宋体" w:cs="宋体" w:eastAsia="宋体" w:hint="default"/>
                <w:sz w:val="18"/>
                <w:szCs w:val="18"/>
              </w:rPr>
              <w:t>广州市天河 区财政局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年科技 创新拨款</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2" w:right="127"/>
              <w:jc w:val="left"/>
              <w:rPr>
                <w:rFonts w:ascii="宋体" w:hAnsi="宋体" w:cs="宋体" w:eastAsia="宋体" w:hint="default"/>
                <w:sz w:val="18"/>
                <w:szCs w:val="18"/>
              </w:rPr>
            </w:pPr>
            <w:r>
              <w:rPr>
                <w:rFonts w:ascii="宋体" w:hAnsi="宋体" w:cs="宋体" w:eastAsia="宋体" w:hint="default"/>
                <w:sz w:val="18"/>
                <w:szCs w:val="18"/>
              </w:rPr>
              <w:t>广州市天河 区财政局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98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31"/>
              <w:jc w:val="both"/>
              <w:rPr>
                <w:rFonts w:ascii="宋体" w:hAnsi="宋体" w:cs="宋体" w:eastAsia="宋体" w:hint="default"/>
                <w:sz w:val="18"/>
                <w:szCs w:val="18"/>
              </w:rPr>
            </w:pPr>
            <w:r>
              <w:rPr>
                <w:rFonts w:ascii="宋体" w:hAnsi="宋体" w:cs="宋体" w:eastAsia="宋体" w:hint="default"/>
                <w:sz w:val="18"/>
                <w:szCs w:val="18"/>
              </w:rPr>
              <w:t>广州市金融 安防工程技 术研究开发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316" w:lineRule="auto"/>
              <w:ind w:left="22" w:right="127"/>
              <w:jc w:val="left"/>
              <w:rPr>
                <w:rFonts w:ascii="宋体" w:hAnsi="宋体" w:cs="宋体" w:eastAsia="宋体" w:hint="default"/>
                <w:sz w:val="18"/>
                <w:szCs w:val="18"/>
              </w:rPr>
            </w:pPr>
            <w:r>
              <w:rPr>
                <w:rFonts w:ascii="宋体" w:hAnsi="宋体" w:cs="宋体" w:eastAsia="宋体" w:hint="default"/>
                <w:sz w:val="18"/>
                <w:szCs w:val="18"/>
              </w:rPr>
              <w:t>广州市番禺 区财政局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right="20"/>
              <w:jc w:val="right"/>
              <w:rPr>
                <w:rFonts w:ascii="Times New Roman" w:hAnsi="Times New Roman" w:cs="Times New Roman" w:eastAsia="Times New Roman" w:hint="default"/>
                <w:sz w:val="18"/>
                <w:szCs w:val="18"/>
              </w:rPr>
            </w:pPr>
            <w:r>
              <w:rPr>
                <w:rFonts w:ascii="Times New Roman"/>
                <w:sz w:val="18"/>
              </w:rPr>
              <w:t>500,000.00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787" w:footer="640" w:top="1100" w:bottom="840" w:left="0" w:right="0"/>
        </w:sectPr>
      </w:pPr>
    </w:p>
    <w:p>
      <w:pPr>
        <w:spacing w:line="240" w:lineRule="auto" w:before="4"/>
        <w:rPr>
          <w:rFonts w:ascii="Times New Roman" w:hAnsi="Times New Roman" w:cs="Times New Roman" w:eastAsia="Times New Roman" w:hint="default"/>
          <w:sz w:val="3"/>
          <w:szCs w:val="3"/>
        </w:rPr>
      </w:pPr>
    </w:p>
    <w:p>
      <w:pPr>
        <w:spacing w:line="20" w:lineRule="exact"/>
        <w:ind w:left="1096"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10"/>
        <w:rPr>
          <w:rFonts w:ascii="Times New Roman" w:hAnsi="Times New Roman" w:cs="Times New Roman" w:eastAsia="Times New Roman" w:hint="default"/>
          <w:sz w:val="23"/>
          <w:szCs w:val="23"/>
        </w:rPr>
      </w:pPr>
    </w:p>
    <w:tbl>
      <w:tblPr>
        <w:tblW w:w="0" w:type="auto"/>
        <w:jc w:val="left"/>
        <w:tblInd w:w="112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2"/>
        <w:gridCol w:w="1063"/>
      </w:tblGrid>
      <w:tr>
        <w:trPr>
          <w:trHeight w:val="362"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中心</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31"/>
              <w:jc w:val="both"/>
              <w:rPr>
                <w:rFonts w:ascii="宋体" w:hAnsi="宋体" w:cs="宋体" w:eastAsia="宋体" w:hint="default"/>
                <w:sz w:val="18"/>
                <w:szCs w:val="18"/>
              </w:rPr>
            </w:pPr>
            <w:r>
              <w:rPr>
                <w:rFonts w:ascii="宋体" w:hAnsi="宋体" w:cs="宋体" w:eastAsia="宋体" w:hint="default"/>
                <w:sz w:val="18"/>
                <w:szCs w:val="18"/>
              </w:rPr>
              <w:t>金融安防物 联网专用感 知系统研发 及产业化</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27"/>
              <w:jc w:val="left"/>
              <w:rPr>
                <w:rFonts w:ascii="宋体" w:hAnsi="宋体" w:cs="宋体" w:eastAsia="宋体" w:hint="default"/>
                <w:sz w:val="18"/>
                <w:szCs w:val="18"/>
              </w:rPr>
            </w:pPr>
            <w:r>
              <w:rPr>
                <w:rFonts w:ascii="宋体" w:hAnsi="宋体" w:cs="宋体" w:eastAsia="宋体" w:hint="default"/>
                <w:sz w:val="18"/>
                <w:szCs w:val="18"/>
              </w:rPr>
              <w:t>广州市番禺 区财政局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500,000.00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87"/>
              <w:jc w:val="both"/>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年企业 研发经费投 入后补助专 项资金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27"/>
              <w:jc w:val="left"/>
              <w:rPr>
                <w:rFonts w:ascii="宋体" w:hAnsi="宋体" w:cs="宋体" w:eastAsia="宋体" w:hint="default"/>
                <w:sz w:val="18"/>
                <w:szCs w:val="18"/>
              </w:rPr>
            </w:pPr>
            <w:r>
              <w:rPr>
                <w:rFonts w:ascii="宋体" w:hAnsi="宋体" w:cs="宋体" w:eastAsia="宋体" w:hint="default"/>
                <w:sz w:val="18"/>
                <w:szCs w:val="18"/>
              </w:rPr>
              <w:t>广州市番禺 区财政局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449,790.00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87"/>
              <w:jc w:val="both"/>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年市企 业研发费补 助</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27"/>
              <w:jc w:val="left"/>
              <w:rPr>
                <w:rFonts w:ascii="宋体" w:hAnsi="宋体" w:cs="宋体" w:eastAsia="宋体" w:hint="default"/>
                <w:sz w:val="18"/>
                <w:szCs w:val="18"/>
              </w:rPr>
            </w:pPr>
            <w:r>
              <w:rPr>
                <w:rFonts w:ascii="宋体" w:hAnsi="宋体" w:cs="宋体" w:eastAsia="宋体" w:hint="default"/>
                <w:sz w:val="18"/>
                <w:szCs w:val="18"/>
              </w:rPr>
              <w:t>广州市番禺 区财政局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449,790.00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69"/>
              <w:jc w:val="left"/>
              <w:rPr>
                <w:rFonts w:ascii="宋体" w:hAnsi="宋体" w:cs="宋体" w:eastAsia="宋体" w:hint="default"/>
                <w:sz w:val="18"/>
                <w:szCs w:val="18"/>
              </w:rPr>
            </w:pPr>
            <w:r>
              <w:rPr>
                <w:rFonts w:ascii="Times New Roman" w:hAnsi="Times New Roman" w:cs="Times New Roman" w:eastAsia="Times New Roman" w:hint="default"/>
                <w:spacing w:val="-7"/>
                <w:sz w:val="18"/>
                <w:szCs w:val="18"/>
              </w:rPr>
              <w:t>ATM</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自助银 行立体安防 系统的研发 及应用</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27"/>
              <w:jc w:val="left"/>
              <w:rPr>
                <w:rFonts w:ascii="宋体" w:hAnsi="宋体" w:cs="宋体" w:eastAsia="宋体" w:hint="default"/>
                <w:sz w:val="18"/>
                <w:szCs w:val="18"/>
              </w:rPr>
            </w:pPr>
            <w:r>
              <w:rPr>
                <w:rFonts w:ascii="宋体" w:hAnsi="宋体" w:cs="宋体" w:eastAsia="宋体" w:hint="default"/>
                <w:sz w:val="18"/>
                <w:szCs w:val="18"/>
              </w:rPr>
              <w:t>广州市番禺 区财政局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400,000.00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87"/>
              <w:jc w:val="both"/>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年度深 圳市第一批 专利申请资 助</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27"/>
              <w:jc w:val="both"/>
              <w:rPr>
                <w:rFonts w:ascii="宋体" w:hAnsi="宋体" w:cs="宋体" w:eastAsia="宋体" w:hint="default"/>
                <w:sz w:val="18"/>
                <w:szCs w:val="18"/>
              </w:rPr>
            </w:pPr>
            <w:r>
              <w:rPr>
                <w:rFonts w:ascii="宋体" w:hAnsi="宋体" w:cs="宋体" w:eastAsia="宋体" w:hint="default"/>
                <w:sz w:val="18"/>
                <w:szCs w:val="18"/>
              </w:rPr>
              <w:t>深圳市市场 和质量监督 管理委员会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210,000.00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31"/>
              <w:jc w:val="both"/>
              <w:rPr>
                <w:rFonts w:ascii="宋体" w:hAnsi="宋体" w:cs="宋体" w:eastAsia="宋体" w:hint="default"/>
                <w:sz w:val="18"/>
                <w:szCs w:val="18"/>
              </w:rPr>
            </w:pPr>
            <w:r>
              <w:rPr>
                <w:rFonts w:ascii="宋体" w:hAnsi="宋体" w:cs="宋体" w:eastAsia="宋体" w:hint="default"/>
                <w:sz w:val="18"/>
                <w:szCs w:val="18"/>
              </w:rPr>
              <w:t>深圳市中小 企业服务署 培育项目补 贴款</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27"/>
              <w:jc w:val="left"/>
              <w:rPr>
                <w:rFonts w:ascii="宋体" w:hAnsi="宋体" w:cs="宋体" w:eastAsia="宋体" w:hint="default"/>
                <w:sz w:val="18"/>
                <w:szCs w:val="18"/>
              </w:rPr>
            </w:pPr>
            <w:r>
              <w:rPr>
                <w:rFonts w:ascii="宋体" w:hAnsi="宋体" w:cs="宋体" w:eastAsia="宋体" w:hint="default"/>
                <w:sz w:val="18"/>
                <w:szCs w:val="18"/>
              </w:rPr>
              <w:t>深圳市中小 企业服务署</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198,030.00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31"/>
              <w:jc w:val="both"/>
              <w:rPr>
                <w:rFonts w:ascii="宋体" w:hAnsi="宋体" w:cs="宋体" w:eastAsia="宋体" w:hint="default"/>
                <w:sz w:val="18"/>
                <w:szCs w:val="18"/>
              </w:rPr>
            </w:pPr>
            <w:r>
              <w:rPr>
                <w:rFonts w:ascii="宋体" w:hAnsi="宋体" w:cs="宋体" w:eastAsia="宋体" w:hint="default"/>
                <w:sz w:val="18"/>
                <w:szCs w:val="18"/>
              </w:rPr>
              <w:t>高新技术企 业培育入库 专项资金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27"/>
              <w:jc w:val="left"/>
              <w:rPr>
                <w:rFonts w:ascii="宋体" w:hAnsi="宋体" w:cs="宋体" w:eastAsia="宋体" w:hint="default"/>
                <w:sz w:val="18"/>
                <w:szCs w:val="18"/>
              </w:rPr>
            </w:pPr>
            <w:r>
              <w:rPr>
                <w:rFonts w:ascii="宋体" w:hAnsi="宋体" w:cs="宋体" w:eastAsia="宋体" w:hint="default"/>
                <w:sz w:val="18"/>
                <w:szCs w:val="18"/>
              </w:rPr>
              <w:t>广州市天河 区财政局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87"/>
              <w:jc w:val="both"/>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年度广 州市科技创 新小巨人及 高新技术企 业补贴奖励</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127"/>
              <w:jc w:val="left"/>
              <w:rPr>
                <w:rFonts w:ascii="宋体" w:hAnsi="宋体" w:cs="宋体" w:eastAsia="宋体" w:hint="default"/>
                <w:sz w:val="18"/>
                <w:szCs w:val="18"/>
              </w:rPr>
            </w:pPr>
            <w:r>
              <w:rPr>
                <w:rFonts w:ascii="宋体" w:hAnsi="宋体" w:cs="宋体" w:eastAsia="宋体" w:hint="default"/>
                <w:sz w:val="18"/>
                <w:szCs w:val="18"/>
              </w:rPr>
              <w:t>广州市天河 区财政局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12"/>
                <w:sz w:val="18"/>
                <w:szCs w:val="18"/>
              </w:rPr>
              <w:t>参与制定《枪</w:t>
            </w:r>
            <w:r>
              <w:rPr>
                <w:rFonts w:ascii="宋体" w:hAnsi="宋体" w:cs="宋体" w:eastAsia="宋体" w:hint="default"/>
                <w:sz w:val="18"/>
                <w:szCs w:val="18"/>
              </w:rPr>
              <w:t> 支弹药专用 </w:t>
            </w:r>
            <w:r>
              <w:rPr>
                <w:rFonts w:ascii="宋体" w:hAnsi="宋体" w:cs="宋体" w:eastAsia="宋体" w:hint="default"/>
                <w:spacing w:val="-12"/>
                <w:sz w:val="18"/>
                <w:szCs w:val="18"/>
              </w:rPr>
              <w:t>保险柜》标准</w:t>
            </w:r>
            <w:r>
              <w:rPr>
                <w:rFonts w:ascii="宋体" w:hAnsi="宋体" w:cs="宋体" w:eastAsia="宋体" w:hint="default"/>
                <w:sz w:val="18"/>
                <w:szCs w:val="18"/>
              </w:rPr>
              <w:t> 的补助</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27"/>
              <w:jc w:val="left"/>
              <w:rPr>
                <w:rFonts w:ascii="宋体" w:hAnsi="宋体" w:cs="宋体" w:eastAsia="宋体" w:hint="default"/>
                <w:sz w:val="18"/>
                <w:szCs w:val="18"/>
              </w:rPr>
            </w:pPr>
            <w:r>
              <w:rPr>
                <w:rFonts w:ascii="宋体" w:hAnsi="宋体" w:cs="宋体" w:eastAsia="宋体" w:hint="default"/>
                <w:sz w:val="18"/>
                <w:szCs w:val="18"/>
              </w:rPr>
              <w:t>广州市番禺 区财政局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150,000.00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31"/>
              <w:jc w:val="both"/>
              <w:rPr>
                <w:rFonts w:ascii="宋体" w:hAnsi="宋体" w:cs="宋体" w:eastAsia="宋体" w:hint="default"/>
                <w:sz w:val="18"/>
                <w:szCs w:val="18"/>
              </w:rPr>
            </w:pPr>
            <w:r>
              <w:rPr>
                <w:rFonts w:ascii="宋体" w:hAnsi="宋体" w:cs="宋体" w:eastAsia="宋体" w:hint="default"/>
                <w:sz w:val="18"/>
                <w:szCs w:val="18"/>
              </w:rPr>
              <w:t>博士后人才 资助专项资 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7"/>
              <w:jc w:val="both"/>
              <w:rPr>
                <w:rFonts w:ascii="宋体" w:hAnsi="宋体" w:cs="宋体" w:eastAsia="宋体" w:hint="default"/>
                <w:sz w:val="18"/>
                <w:szCs w:val="18"/>
              </w:rPr>
            </w:pPr>
            <w:r>
              <w:rPr>
                <w:rFonts w:ascii="宋体" w:hAnsi="宋体" w:cs="宋体" w:eastAsia="宋体" w:hint="default"/>
                <w:sz w:val="18"/>
                <w:szCs w:val="18"/>
              </w:rPr>
              <w:t>广州市番禺 区科技工业 商务和信息 化局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100,000.00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专利申请大</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广州市番禺</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787" w:footer="640" w:top="1100" w:bottom="840" w:left="0" w:right="0"/>
        </w:sectPr>
      </w:pPr>
    </w:p>
    <w:p>
      <w:pPr>
        <w:spacing w:line="240" w:lineRule="auto" w:before="4"/>
        <w:rPr>
          <w:rFonts w:ascii="Times New Roman" w:hAnsi="Times New Roman" w:cs="Times New Roman" w:eastAsia="Times New Roman" w:hint="default"/>
          <w:sz w:val="3"/>
          <w:szCs w:val="3"/>
        </w:rPr>
      </w:pPr>
    </w:p>
    <w:p>
      <w:pPr>
        <w:spacing w:line="20" w:lineRule="exact"/>
        <w:ind w:left="1096"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10"/>
        <w:rPr>
          <w:rFonts w:ascii="Times New Roman" w:hAnsi="Times New Roman" w:cs="Times New Roman" w:eastAsia="Times New Roman" w:hint="default"/>
          <w:sz w:val="23"/>
          <w:szCs w:val="23"/>
        </w:rPr>
      </w:pPr>
    </w:p>
    <w:tbl>
      <w:tblPr>
        <w:tblW w:w="0" w:type="auto"/>
        <w:jc w:val="left"/>
        <w:tblInd w:w="112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2"/>
        <w:gridCol w:w="1063"/>
      </w:tblGrid>
      <w:tr>
        <w:trPr>
          <w:trHeight w:val="362"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户奖励</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区财政局</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87"/>
              <w:jc w:val="both"/>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年度深 圳市第二批 专利申请资 助</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27"/>
              <w:jc w:val="both"/>
              <w:rPr>
                <w:rFonts w:ascii="宋体" w:hAnsi="宋体" w:cs="宋体" w:eastAsia="宋体" w:hint="default"/>
                <w:sz w:val="18"/>
                <w:szCs w:val="18"/>
              </w:rPr>
            </w:pPr>
            <w:r>
              <w:rPr>
                <w:rFonts w:ascii="宋体" w:hAnsi="宋体" w:cs="宋体" w:eastAsia="宋体" w:hint="default"/>
                <w:sz w:val="18"/>
                <w:szCs w:val="18"/>
              </w:rPr>
              <w:t>深圳市市场 和质量监督 管理委员会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62,000.00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51"/>
              <w:jc w:val="left"/>
              <w:rPr>
                <w:rFonts w:ascii="宋体" w:hAnsi="宋体" w:cs="宋体" w:eastAsia="宋体" w:hint="default"/>
                <w:sz w:val="18"/>
                <w:szCs w:val="18"/>
              </w:rPr>
            </w:pPr>
            <w:r>
              <w:rPr>
                <w:rFonts w:ascii="宋体" w:hAnsi="宋体" w:cs="宋体" w:eastAsia="宋体" w:hint="default"/>
                <w:sz w:val="18"/>
                <w:szCs w:val="18"/>
              </w:rPr>
              <w:t>深圳市南山 区科学技术 局</w:t>
            </w:r>
            <w:r>
              <w:rPr>
                <w:rFonts w:ascii="Times New Roman" w:hAnsi="Times New Roman" w:cs="Times New Roman" w:eastAsia="Times New Roman" w:hint="default"/>
                <w:sz w:val="18"/>
                <w:szCs w:val="18"/>
              </w:rPr>
              <w:t>“</w:t>
            </w:r>
            <w:r>
              <w:rPr>
                <w:rFonts w:ascii="宋体" w:hAnsi="宋体" w:cs="宋体" w:eastAsia="宋体" w:hint="default"/>
                <w:sz w:val="18"/>
                <w:szCs w:val="18"/>
              </w:rPr>
              <w:t>国内外发 明专利申请</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补贴收入</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27"/>
              <w:jc w:val="both"/>
              <w:rPr>
                <w:rFonts w:ascii="宋体" w:hAnsi="宋体" w:cs="宋体" w:eastAsia="宋体" w:hint="default"/>
                <w:sz w:val="18"/>
                <w:szCs w:val="18"/>
              </w:rPr>
            </w:pPr>
            <w:r>
              <w:rPr>
                <w:rFonts w:ascii="宋体" w:hAnsi="宋体" w:cs="宋体" w:eastAsia="宋体" w:hint="default"/>
                <w:sz w:val="18"/>
                <w:szCs w:val="18"/>
              </w:rPr>
              <w:t>深圳市南山 区科学技术 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55,000.00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31"/>
              <w:jc w:val="both"/>
              <w:rPr>
                <w:rFonts w:ascii="宋体" w:hAnsi="宋体" w:cs="宋体" w:eastAsia="宋体" w:hint="default"/>
                <w:sz w:val="18"/>
                <w:szCs w:val="18"/>
              </w:rPr>
            </w:pPr>
            <w:r>
              <w:rPr>
                <w:rFonts w:ascii="宋体" w:hAnsi="宋体" w:cs="宋体" w:eastAsia="宋体" w:hint="default"/>
                <w:sz w:val="18"/>
                <w:szCs w:val="18"/>
              </w:rPr>
              <w:t>深圳市南山 区科技创业 服务中心贴 息收入</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27"/>
              <w:jc w:val="both"/>
              <w:rPr>
                <w:rFonts w:ascii="宋体" w:hAnsi="宋体" w:cs="宋体" w:eastAsia="宋体" w:hint="default"/>
                <w:sz w:val="18"/>
                <w:szCs w:val="18"/>
              </w:rPr>
            </w:pPr>
            <w:r>
              <w:rPr>
                <w:rFonts w:ascii="宋体" w:hAnsi="宋体" w:cs="宋体" w:eastAsia="宋体" w:hint="default"/>
                <w:sz w:val="18"/>
                <w:szCs w:val="18"/>
              </w:rPr>
              <w:t>深圳市南山 区科技创业 服务中心</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44,800.00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稳岗补贴</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7"/>
              <w:jc w:val="both"/>
              <w:rPr>
                <w:rFonts w:ascii="宋体" w:hAnsi="宋体" w:cs="宋体" w:eastAsia="宋体" w:hint="default"/>
                <w:sz w:val="18"/>
                <w:szCs w:val="18"/>
              </w:rPr>
            </w:pPr>
            <w:r>
              <w:rPr>
                <w:rFonts w:ascii="宋体" w:hAnsi="宋体" w:cs="宋体" w:eastAsia="宋体" w:hint="default"/>
                <w:sz w:val="18"/>
                <w:szCs w:val="18"/>
              </w:rPr>
              <w:t>深圳市社会 保险基金管 理局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45,991.65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962"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31"/>
              <w:jc w:val="both"/>
              <w:rPr>
                <w:rFonts w:ascii="宋体" w:hAnsi="宋体" w:cs="宋体" w:eastAsia="宋体" w:hint="default"/>
                <w:sz w:val="18"/>
                <w:szCs w:val="18"/>
              </w:rPr>
            </w:pPr>
            <w:r>
              <w:rPr>
                <w:rFonts w:ascii="宋体" w:hAnsi="宋体" w:cs="宋体" w:eastAsia="宋体" w:hint="default"/>
                <w:sz w:val="18"/>
                <w:szCs w:val="18"/>
              </w:rPr>
              <w:t>深圳市民营 及中小企业 发展专项资 金企业国内 市场开拓项 目资助计划</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2" w:right="127"/>
              <w:jc w:val="left"/>
              <w:rPr>
                <w:rFonts w:ascii="宋体" w:hAnsi="宋体" w:cs="宋体" w:eastAsia="宋体" w:hint="default"/>
                <w:sz w:val="18"/>
                <w:szCs w:val="18"/>
              </w:rPr>
            </w:pPr>
            <w:r>
              <w:rPr>
                <w:rFonts w:ascii="宋体" w:hAnsi="宋体" w:cs="宋体" w:eastAsia="宋体" w:hint="default"/>
                <w:sz w:val="18"/>
                <w:szCs w:val="18"/>
              </w:rPr>
              <w:t>深圳市中小 企业服务署</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17,030.00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31"/>
              <w:jc w:val="both"/>
              <w:rPr>
                <w:rFonts w:ascii="宋体" w:hAnsi="宋体" w:cs="宋体" w:eastAsia="宋体" w:hint="default"/>
                <w:sz w:val="18"/>
                <w:szCs w:val="18"/>
              </w:rPr>
            </w:pPr>
            <w:r>
              <w:rPr>
                <w:rFonts w:ascii="宋体" w:hAnsi="宋体" w:cs="宋体" w:eastAsia="宋体" w:hint="default"/>
                <w:sz w:val="18"/>
                <w:szCs w:val="18"/>
              </w:rPr>
              <w:t>第一批计算 机软件著作 权登记资助 经费</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27"/>
              <w:jc w:val="both"/>
              <w:rPr>
                <w:rFonts w:ascii="宋体" w:hAnsi="宋体" w:cs="宋体" w:eastAsia="宋体" w:hint="default"/>
                <w:sz w:val="18"/>
                <w:szCs w:val="18"/>
              </w:rPr>
            </w:pPr>
            <w:r>
              <w:rPr>
                <w:rFonts w:ascii="宋体" w:hAnsi="宋体" w:cs="宋体" w:eastAsia="宋体" w:hint="default"/>
                <w:sz w:val="18"/>
                <w:szCs w:val="18"/>
              </w:rPr>
              <w:t>深圳市市场 和质量监督 管理委员会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600.00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87"/>
              <w:jc w:val="left"/>
              <w:rPr>
                <w:rFonts w:ascii="宋体" w:hAnsi="宋体" w:cs="宋体" w:eastAsia="宋体" w:hint="default"/>
                <w:sz w:val="18"/>
                <w:szCs w:val="18"/>
              </w:rPr>
            </w:pPr>
            <w:r>
              <w:rPr>
                <w:rFonts w:ascii="宋体" w:hAnsi="宋体" w:cs="宋体" w:eastAsia="宋体" w:hint="default"/>
                <w:sz w:val="18"/>
                <w:szCs w:val="18"/>
              </w:rPr>
              <w:t>广州市天河 区财政局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年高新 技术补助款</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27"/>
              <w:jc w:val="left"/>
              <w:rPr>
                <w:rFonts w:ascii="宋体" w:hAnsi="宋体" w:cs="宋体" w:eastAsia="宋体" w:hint="default"/>
                <w:sz w:val="18"/>
                <w:szCs w:val="18"/>
              </w:rPr>
            </w:pPr>
            <w:r>
              <w:rPr>
                <w:rFonts w:ascii="宋体" w:hAnsi="宋体" w:cs="宋体" w:eastAsia="宋体" w:hint="default"/>
                <w:sz w:val="18"/>
                <w:szCs w:val="18"/>
              </w:rPr>
              <w:t>广州市天河 区财政局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280,000.00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31"/>
              <w:jc w:val="both"/>
              <w:rPr>
                <w:rFonts w:ascii="宋体" w:hAnsi="宋体" w:cs="宋体" w:eastAsia="宋体" w:hint="default"/>
                <w:sz w:val="18"/>
                <w:szCs w:val="18"/>
              </w:rPr>
            </w:pPr>
            <w:r>
              <w:rPr>
                <w:rFonts w:ascii="宋体" w:hAnsi="宋体" w:cs="宋体" w:eastAsia="宋体" w:hint="default"/>
                <w:sz w:val="18"/>
                <w:szCs w:val="18"/>
              </w:rPr>
              <w:t>广州市天河 区财政局高 新技术企业 资质认定补 贴</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127"/>
              <w:jc w:val="left"/>
              <w:rPr>
                <w:rFonts w:ascii="宋体" w:hAnsi="宋体" w:cs="宋体" w:eastAsia="宋体" w:hint="default"/>
                <w:sz w:val="18"/>
                <w:szCs w:val="18"/>
              </w:rPr>
            </w:pPr>
            <w:r>
              <w:rPr>
                <w:rFonts w:ascii="宋体" w:hAnsi="宋体" w:cs="宋体" w:eastAsia="宋体" w:hint="default"/>
                <w:sz w:val="18"/>
                <w:szCs w:val="18"/>
              </w:rPr>
              <w:t>广州市天河 区财政局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31"/>
              <w:jc w:val="both"/>
              <w:rPr>
                <w:rFonts w:ascii="宋体" w:hAnsi="宋体" w:cs="宋体" w:eastAsia="宋体" w:hint="default"/>
                <w:sz w:val="18"/>
                <w:szCs w:val="18"/>
              </w:rPr>
            </w:pPr>
            <w:r>
              <w:rPr>
                <w:rFonts w:ascii="宋体" w:hAnsi="宋体" w:cs="宋体" w:eastAsia="宋体" w:hint="default"/>
                <w:sz w:val="18"/>
                <w:szCs w:val="18"/>
              </w:rPr>
              <w:t>广州市科技 创新小巨人 企业及高新 技术企业培 育补助</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22" w:right="127"/>
              <w:jc w:val="left"/>
              <w:rPr>
                <w:rFonts w:ascii="宋体" w:hAnsi="宋体" w:cs="宋体" w:eastAsia="宋体" w:hint="default"/>
                <w:sz w:val="18"/>
                <w:szCs w:val="18"/>
              </w:rPr>
            </w:pPr>
            <w:r>
              <w:rPr>
                <w:rFonts w:ascii="宋体" w:hAnsi="宋体" w:cs="宋体" w:eastAsia="宋体" w:hint="default"/>
                <w:sz w:val="18"/>
                <w:szCs w:val="18"/>
              </w:rPr>
              <w:t>广州市天河 区财政局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787" w:footer="640" w:top="1100" w:bottom="840" w:left="0" w:right="0"/>
        </w:sectPr>
      </w:pPr>
    </w:p>
    <w:p>
      <w:pPr>
        <w:spacing w:line="240" w:lineRule="auto" w:before="4"/>
        <w:rPr>
          <w:rFonts w:ascii="Times New Roman" w:hAnsi="Times New Roman" w:cs="Times New Roman" w:eastAsia="Times New Roman" w:hint="default"/>
          <w:sz w:val="3"/>
          <w:szCs w:val="3"/>
        </w:rPr>
      </w:pPr>
    </w:p>
    <w:p>
      <w:pPr>
        <w:spacing w:line="20" w:lineRule="exact"/>
        <w:ind w:left="1096"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10"/>
        <w:rPr>
          <w:rFonts w:ascii="Times New Roman" w:hAnsi="Times New Roman" w:cs="Times New Roman" w:eastAsia="Times New Roman" w:hint="default"/>
          <w:sz w:val="23"/>
          <w:szCs w:val="23"/>
        </w:rPr>
      </w:pPr>
    </w:p>
    <w:tbl>
      <w:tblPr>
        <w:tblW w:w="0" w:type="auto"/>
        <w:jc w:val="left"/>
        <w:tblInd w:w="112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2"/>
        <w:gridCol w:w="1063"/>
      </w:tblGrid>
      <w:tr>
        <w:trPr>
          <w:trHeight w:val="102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31"/>
              <w:jc w:val="both"/>
              <w:rPr>
                <w:rFonts w:ascii="宋体" w:hAnsi="宋体" w:cs="宋体" w:eastAsia="宋体" w:hint="default"/>
                <w:sz w:val="18"/>
                <w:szCs w:val="18"/>
              </w:rPr>
            </w:pPr>
            <w:r>
              <w:rPr>
                <w:rFonts w:ascii="宋体" w:hAnsi="宋体" w:cs="宋体" w:eastAsia="宋体" w:hint="default"/>
                <w:sz w:val="18"/>
                <w:szCs w:val="18"/>
              </w:rPr>
              <w:t>国家高新技 术企业倍增 计划</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7"/>
              <w:jc w:val="both"/>
              <w:rPr>
                <w:rFonts w:ascii="宋体" w:hAnsi="宋体" w:cs="宋体" w:eastAsia="宋体" w:hint="default"/>
                <w:sz w:val="18"/>
                <w:szCs w:val="18"/>
              </w:rPr>
            </w:pPr>
            <w:r>
              <w:rPr>
                <w:rFonts w:ascii="宋体" w:hAnsi="宋体" w:cs="宋体" w:eastAsia="宋体" w:hint="default"/>
                <w:sz w:val="18"/>
                <w:szCs w:val="18"/>
              </w:rPr>
              <w:t>深圳市南山 区科学技术 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09" w:lineRule="auto"/>
              <w:ind w:left="22" w:right="87"/>
              <w:jc w:val="both"/>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深圳第 二批职业技 能券</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7"/>
              <w:jc w:val="both"/>
              <w:rPr>
                <w:rFonts w:ascii="宋体" w:hAnsi="宋体" w:cs="宋体" w:eastAsia="宋体" w:hint="default"/>
                <w:sz w:val="18"/>
                <w:szCs w:val="18"/>
              </w:rPr>
            </w:pPr>
            <w:r>
              <w:rPr>
                <w:rFonts w:ascii="宋体" w:hAnsi="宋体" w:cs="宋体" w:eastAsia="宋体" w:hint="default"/>
                <w:sz w:val="18"/>
                <w:szCs w:val="18"/>
              </w:rPr>
              <w:t>深圳市高技 能人才公共 实训管理服 务中心</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28,800.00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31"/>
              <w:jc w:val="left"/>
              <w:rPr>
                <w:rFonts w:ascii="宋体" w:hAnsi="宋体" w:cs="宋体" w:eastAsia="宋体" w:hint="default"/>
                <w:sz w:val="18"/>
                <w:szCs w:val="18"/>
              </w:rPr>
            </w:pPr>
            <w:r>
              <w:rPr>
                <w:rFonts w:ascii="宋体" w:hAnsi="宋体" w:cs="宋体" w:eastAsia="宋体" w:hint="default"/>
                <w:sz w:val="18"/>
                <w:szCs w:val="18"/>
              </w:rPr>
              <w:t>产业人才发 展专项资金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7"/>
              <w:jc w:val="left"/>
              <w:rPr>
                <w:rFonts w:ascii="宋体" w:hAnsi="宋体" w:cs="宋体" w:eastAsia="宋体" w:hint="default"/>
                <w:sz w:val="18"/>
                <w:szCs w:val="18"/>
              </w:rPr>
            </w:pPr>
            <w:r>
              <w:rPr>
                <w:rFonts w:ascii="宋体" w:hAnsi="宋体" w:cs="宋体" w:eastAsia="宋体" w:hint="default"/>
                <w:sz w:val="18"/>
                <w:szCs w:val="18"/>
              </w:rPr>
              <w:t>广州市番禺 区财政局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31"/>
              <w:jc w:val="both"/>
              <w:rPr>
                <w:rFonts w:ascii="宋体" w:hAnsi="宋体" w:cs="宋体" w:eastAsia="宋体" w:hint="default"/>
                <w:sz w:val="18"/>
                <w:szCs w:val="18"/>
              </w:rPr>
            </w:pPr>
            <w:r>
              <w:rPr>
                <w:rFonts w:ascii="宋体" w:hAnsi="宋体" w:cs="宋体" w:eastAsia="宋体" w:hint="default"/>
                <w:sz w:val="18"/>
                <w:szCs w:val="18"/>
              </w:rPr>
              <w:t>广州市番禺 区科技工业 商务和信息 化局补助</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127"/>
              <w:jc w:val="left"/>
              <w:rPr>
                <w:rFonts w:ascii="宋体" w:hAnsi="宋体" w:cs="宋体" w:eastAsia="宋体" w:hint="default"/>
                <w:sz w:val="18"/>
                <w:szCs w:val="18"/>
              </w:rPr>
            </w:pPr>
            <w:r>
              <w:rPr>
                <w:rFonts w:ascii="宋体" w:hAnsi="宋体" w:cs="宋体" w:eastAsia="宋体" w:hint="default"/>
                <w:sz w:val="18"/>
                <w:szCs w:val="18"/>
              </w:rPr>
              <w:t>广州市番禺 区财政局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19,100.00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887,900.00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12,131,503.4</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6</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0"/>
        <w:jc w:val="left"/>
        <w:rPr>
          <w:b w:val="0"/>
          <w:bCs w:val="0"/>
        </w:rPr>
      </w:pPr>
      <w:bookmarkStart w:name="72、营业外支出" w:id="374"/>
      <w:bookmarkEnd w:id="374"/>
      <w:r>
        <w:rPr>
          <w:b w:val="0"/>
          <w:bCs w:val="0"/>
        </w:rPr>
      </w:r>
      <w:r>
        <w:rPr>
          <w:rFonts w:ascii="Times New Roman" w:hAnsi="Times New Roman" w:cs="Times New Roman" w:eastAsia="Times New Roman" w:hint="default"/>
        </w:rPr>
        <w:t>72</w:t>
      </w:r>
      <w:r>
        <w:rPr/>
        <w:t>、营业外支出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390"/>
        <w:gridCol w:w="2396"/>
        <w:gridCol w:w="2392"/>
        <w:gridCol w:w="2392"/>
      </w:tblGrid>
      <w:tr>
        <w:trPr>
          <w:trHeight w:val="714"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非流动资产毁损报废损失</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24,872.75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40,561.28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24,872.75</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滞纳金</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75,422.80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75,422.80</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12,105.56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6,815.17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12,105.56</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112,401.11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47,376.45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112,401.11</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73、所得税费用" w:id="375"/>
      <w:bookmarkEnd w:id="375"/>
      <w:r>
        <w:rPr>
          <w:b w:val="0"/>
          <w:bCs w:val="0"/>
        </w:rPr>
      </w:r>
      <w:r>
        <w:rPr>
          <w:rFonts w:ascii="Times New Roman" w:hAnsi="Times New Roman" w:cs="Times New Roman" w:eastAsia="Times New Roman" w:hint="default"/>
        </w:rPr>
        <w:t>73</w:t>
      </w:r>
      <w:r>
        <w:rPr/>
        <w:t>、所得税费用</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所得税费用表" w:id="376"/>
      <w:bookmarkEnd w:id="376"/>
      <w:r>
        <w:rPr>
          <w:b w:val="0"/>
          <w:bCs w:val="0"/>
        </w:rPr>
      </w:r>
      <w:r>
        <w:rPr/>
        <w:t>（</w:t>
      </w:r>
      <w:r>
        <w:rPr>
          <w:rFonts w:ascii="Times New Roman" w:hAnsi="Times New Roman" w:cs="Times New Roman" w:eastAsia="Times New Roman" w:hint="default"/>
        </w:rPr>
        <w:t>1</w:t>
      </w:r>
      <w:r>
        <w:rPr/>
        <w:t>）所得税费用表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15,594,759.54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14,551,201.54</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107,681.61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-2,074,637.05</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15,702,441.15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12,476,564.49</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2）会计利润与所得税费用调整过程" w:id="377"/>
      <w:bookmarkEnd w:id="377"/>
      <w:r>
        <w:rPr>
          <w:b w:val="0"/>
          <w:bCs w:val="0"/>
        </w:rPr>
      </w: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4780"/>
        <w:gridCol w:w="4788"/>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bl>
    <w:p>
      <w:pPr>
        <w:spacing w:after="0" w:line="240" w:lineRule="auto"/>
        <w:jc w:val="center"/>
        <w:rPr>
          <w:rFonts w:ascii="宋体" w:hAnsi="宋体" w:cs="宋体" w:eastAsia="宋体" w:hint="default"/>
          <w:sz w:val="18"/>
          <w:szCs w:val="18"/>
        </w:rPr>
        <w:sectPr>
          <w:pgSz w:w="11910" w:h="16840"/>
          <w:pgMar w:header="787" w:footer="640" w:top="1100" w:bottom="840" w:left="0" w:right="0"/>
        </w:sectPr>
      </w:pPr>
    </w:p>
    <w:p>
      <w:pPr>
        <w:spacing w:line="240" w:lineRule="auto" w:before="5"/>
        <w:rPr>
          <w:rFonts w:ascii="宋体" w:hAnsi="宋体" w:cs="宋体" w:eastAsia="宋体" w:hint="default"/>
          <w:sz w:val="25"/>
          <w:szCs w:val="25"/>
        </w:rPr>
      </w:pPr>
    </w:p>
    <w:tbl>
      <w:tblPr>
        <w:tblW w:w="0" w:type="auto"/>
        <w:jc w:val="left"/>
        <w:tblInd w:w="1129" w:type="dxa"/>
        <w:tblLayout w:type="fixed"/>
        <w:tblCellMar>
          <w:top w:w="0" w:type="dxa"/>
          <w:left w:w="0" w:type="dxa"/>
          <w:bottom w:w="0" w:type="dxa"/>
          <w:right w:w="0" w:type="dxa"/>
        </w:tblCellMar>
        <w:tblLook w:val="01E0"/>
      </w:tblPr>
      <w:tblGrid>
        <w:gridCol w:w="4780"/>
        <w:gridCol w:w="4789"/>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135,012,165.12</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20,251,824.77</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-743,552.25</w:t>
            </w:r>
            <w:r>
              <w:rPr>
                <w:rFonts w:ascii="Times New Roman"/>
                <w:sz w:val="18"/>
              </w:rPr>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-364,487.35</w:t>
            </w:r>
            <w:r>
              <w:rPr>
                <w:rFonts w:ascii="Times New Roman"/>
                <w:sz w:val="18"/>
              </w:rPr>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非应税收入的影响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-338,099.67</w:t>
            </w:r>
            <w:r>
              <w:rPr>
                <w:rFonts w:ascii="Times New Roman"/>
                <w:sz w:val="18"/>
              </w:rPr>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430,635.17</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使用前期未确认递延所得税资产的可抵扣亏损的影响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-39,462.48</w:t>
            </w:r>
            <w:r>
              <w:rPr>
                <w:rFonts w:ascii="Times New Roman"/>
                <w:sz w:val="18"/>
              </w:rPr>
            </w:r>
          </w:p>
        </w:tc>
      </w:tr>
      <w:tr>
        <w:trPr>
          <w:trHeight w:val="714"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65"/>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 损的影响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182,851.72</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研发费用加计扣除的影响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-3,099,273.06</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限制性股票的影响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-607,858.65</w:t>
            </w:r>
            <w:r>
              <w:rPr>
                <w:rFonts w:ascii="Times New Roman"/>
                <w:sz w:val="18"/>
              </w:rPr>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29,862.95</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15,702,441.15</w:t>
            </w:r>
          </w:p>
        </w:tc>
      </w:tr>
    </w:tbl>
    <w:p>
      <w:pPr>
        <w:spacing w:line="240" w:lineRule="auto" w:before="1"/>
        <w:rPr>
          <w:rFonts w:ascii="宋体" w:hAnsi="宋体" w:cs="宋体" w:eastAsia="宋体" w:hint="default"/>
          <w:sz w:val="25"/>
          <w:szCs w:val="25"/>
        </w:rPr>
      </w:pPr>
    </w:p>
    <w:p>
      <w:pPr>
        <w:pStyle w:val="Heading3"/>
        <w:spacing w:line="240" w:lineRule="auto" w:before="35"/>
        <w:ind w:right="0"/>
        <w:jc w:val="left"/>
        <w:rPr>
          <w:b w:val="0"/>
          <w:bCs w:val="0"/>
        </w:rPr>
      </w:pPr>
      <w:bookmarkStart w:name="74、其他综合收益" w:id="378"/>
      <w:bookmarkEnd w:id="378"/>
      <w:r>
        <w:rPr>
          <w:b w:val="0"/>
          <w:bCs w:val="0"/>
        </w:rPr>
      </w:r>
      <w:r>
        <w:rPr>
          <w:rFonts w:ascii="Times New Roman" w:hAnsi="Times New Roman" w:cs="Times New Roman" w:eastAsia="Times New Roman" w:hint="default"/>
        </w:rPr>
        <w:t>74</w:t>
      </w:r>
      <w:r>
        <w:rPr/>
        <w:t>、其他综合收益</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pStyle w:val="BodyText"/>
        <w:spacing w:line="240" w:lineRule="auto"/>
        <w:ind w:right="0"/>
        <w:jc w:val="left"/>
      </w:pPr>
      <w:r>
        <w:rPr/>
        <w:t>详见附注。</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0"/>
          <w:szCs w:val="20"/>
        </w:rPr>
      </w:pPr>
    </w:p>
    <w:p>
      <w:pPr>
        <w:pStyle w:val="Heading3"/>
        <w:spacing w:line="240" w:lineRule="auto"/>
        <w:ind w:right="0"/>
        <w:jc w:val="left"/>
        <w:rPr>
          <w:b w:val="0"/>
          <w:bCs w:val="0"/>
        </w:rPr>
      </w:pPr>
      <w:bookmarkStart w:name="75、现金流量表项目" w:id="379"/>
      <w:bookmarkEnd w:id="379"/>
      <w:r>
        <w:rPr>
          <w:b w:val="0"/>
          <w:bCs w:val="0"/>
        </w:rPr>
      </w:r>
      <w:r>
        <w:rPr>
          <w:rFonts w:ascii="Times New Roman" w:hAnsi="Times New Roman" w:cs="Times New Roman" w:eastAsia="Times New Roman" w:hint="default"/>
        </w:rPr>
        <w:t>75</w:t>
      </w:r>
      <w:r>
        <w:rPr/>
        <w:t>、现金流量表项目</w:t>
      </w:r>
      <w:r>
        <w:rPr>
          <w:b w:val="0"/>
          <w:bCs w:val="0"/>
        </w:rPr>
      </w:r>
    </w:p>
    <w:p>
      <w:pPr>
        <w:spacing w:line="240" w:lineRule="auto" w:before="0"/>
        <w:rPr>
          <w:rFonts w:ascii="宋体" w:hAnsi="宋体" w:cs="宋体" w:eastAsia="宋体" w:hint="default"/>
          <w:b/>
          <w:bCs/>
          <w:sz w:val="22"/>
          <w:szCs w:val="22"/>
        </w:rPr>
      </w:pPr>
    </w:p>
    <w:p>
      <w:pPr>
        <w:pStyle w:val="Heading3"/>
        <w:spacing w:line="240" w:lineRule="auto" w:before="188"/>
        <w:ind w:left="1133" w:right="0"/>
        <w:jc w:val="left"/>
        <w:rPr>
          <w:b w:val="0"/>
          <w:bCs w:val="0"/>
        </w:rPr>
      </w:pPr>
      <w:bookmarkStart w:name="（1）收到的其他与经营活动有关的现金" w:id="380"/>
      <w:bookmarkEnd w:id="380"/>
      <w:r>
        <w:rPr>
          <w:b w:val="0"/>
          <w:bCs w:val="0"/>
        </w:rPr>
      </w: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5"/>
          <w:szCs w:val="15"/>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14"/>
          <w:szCs w:val="14"/>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4,702,232.29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11,232,631.65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银行存款利息</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856,269.15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1,047,704.34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保函保证金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3,330,920.76</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1,708,746.25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806,155.80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10,598,168.45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13,086,491.79</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支付的其他与经营活动有关的现金" w:id="381"/>
      <w:bookmarkEnd w:id="381"/>
      <w:r>
        <w:rPr>
          <w:b w:val="0"/>
          <w:bCs w:val="0"/>
        </w:rPr>
      </w: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支付的销售费用和管理费用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37,827,900.36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29,524,202.16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往来款净额</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3,743,196.69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7,175,326.72</w:t>
            </w:r>
          </w:p>
        </w:tc>
      </w:tr>
    </w:tbl>
    <w:p>
      <w:pPr>
        <w:spacing w:after="0" w:line="240" w:lineRule="auto"/>
        <w:jc w:val="right"/>
        <w:rPr>
          <w:rFonts w:ascii="Times New Roman" w:hAnsi="Times New Roman" w:cs="Times New Roman" w:eastAsia="Times New Roman" w:hint="default"/>
          <w:sz w:val="18"/>
          <w:szCs w:val="18"/>
        </w:rPr>
        <w:sectPr>
          <w:pgSz w:w="11910" w:h="16840"/>
          <w:pgMar w:header="787" w:footer="640" w:top="1100" w:bottom="840" w:left="0" w:right="0"/>
        </w:sectPr>
      </w:pPr>
    </w:p>
    <w:p>
      <w:pPr>
        <w:spacing w:line="240" w:lineRule="auto" w:before="5"/>
        <w:rPr>
          <w:rFonts w:ascii="宋体" w:hAnsi="宋体" w:cs="宋体" w:eastAsia="宋体" w:hint="default"/>
          <w:sz w:val="25"/>
          <w:szCs w:val="25"/>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银行手续费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197,176.20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133,701.64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87,528.36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316,044.17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41,855,801.61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37,149,274.69</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3）收到的其他与投资活动有关的现金" w:id="382"/>
      <w:bookmarkEnd w:id="382"/>
      <w:r>
        <w:rPr>
          <w:b w:val="0"/>
          <w:bCs w:val="0"/>
        </w:rPr>
      </w: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收到的与资产相关的政府补助</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1,600,000.00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4）支付的其他与投资活动有关的现金" w:id="383"/>
      <w:bookmarkEnd w:id="383"/>
      <w:r>
        <w:rPr>
          <w:b w:val="0"/>
          <w:bCs w:val="0"/>
        </w:rPr>
      </w: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不适用</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5）收到的其他与筹资活动有关的现金" w:id="384"/>
      <w:bookmarkEnd w:id="384"/>
      <w:r>
        <w:rPr>
          <w:b w:val="0"/>
          <w:bCs w:val="0"/>
        </w:rPr>
      </w:r>
      <w:r>
        <w:rPr/>
        <w:t>（</w:t>
      </w:r>
      <w:r>
        <w:rPr>
          <w:rFonts w:ascii="Times New Roman" w:hAnsi="Times New Roman" w:cs="Times New Roman" w:eastAsia="Times New Roman" w:hint="default"/>
        </w:rPr>
        <w:t>5</w:t>
      </w:r>
      <w:r>
        <w:rPr/>
        <w:t>）收到的其他与筹资活动有关的现金</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不适用</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6）支付的其他与筹资活动有关的现金" w:id="385"/>
      <w:bookmarkEnd w:id="385"/>
      <w:r>
        <w:rPr>
          <w:b w:val="0"/>
          <w:bCs w:val="0"/>
        </w:rPr>
      </w:r>
      <w:r>
        <w:rPr/>
        <w:t>（</w:t>
      </w:r>
      <w:r>
        <w:rPr>
          <w:rFonts w:ascii="Times New Roman" w:hAnsi="Times New Roman" w:cs="Times New Roman" w:eastAsia="Times New Roman" w:hint="default"/>
        </w:rPr>
        <w:t>6</w:t>
      </w:r>
      <w:r>
        <w:rPr/>
        <w:t>）支付的其他与筹资活动有关的现金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支付其他筹资款</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支付股权激励筹资款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2,242,524.00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支付购买少数股东权益款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支付票据敞口承诺费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7,395.05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46,444.77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支付担保手续费</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150,003.00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2,319,919.05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3,296,447.77</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76、现金流量表补充资料" w:id="386"/>
      <w:bookmarkEnd w:id="386"/>
      <w:r>
        <w:rPr>
          <w:b w:val="0"/>
          <w:bCs w:val="0"/>
        </w:rPr>
      </w:r>
      <w:r>
        <w:rPr>
          <w:rFonts w:ascii="Times New Roman" w:hAnsi="Times New Roman" w:cs="Times New Roman" w:eastAsia="Times New Roman" w:hint="default"/>
        </w:rPr>
        <w:t>76</w:t>
      </w:r>
      <w:r>
        <w:rPr/>
        <w:t>、现金流量表补充资料</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3" w:right="0"/>
        <w:jc w:val="left"/>
        <w:rPr>
          <w:b w:val="0"/>
          <w:bCs w:val="0"/>
        </w:rPr>
      </w:pPr>
      <w:bookmarkStart w:name="（1）现金流量表补充资料" w:id="387"/>
      <w:bookmarkEnd w:id="387"/>
      <w:r>
        <w:rPr>
          <w:b w:val="0"/>
          <w:bCs w:val="0"/>
        </w:rPr>
      </w:r>
      <w:r>
        <w:rPr/>
        <w:t>（</w:t>
      </w:r>
      <w:r>
        <w:rPr>
          <w:rFonts w:ascii="Times New Roman" w:hAnsi="Times New Roman" w:cs="Times New Roman" w:eastAsia="Times New Roman" w:hint="default"/>
        </w:rPr>
        <w:t>1</w:t>
      </w:r>
      <w:r>
        <w:rPr/>
        <w:t>）现金流量表补充资料</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305"/>
        <w:gridCol w:w="3069"/>
        <w:gridCol w:w="3184"/>
      </w:tblGrid>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119,309,723.97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93,034,422.72</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2,276,671.83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9,282,086.44</w:t>
            </w:r>
          </w:p>
        </w:tc>
      </w:tr>
    </w:tbl>
    <w:p>
      <w:pPr>
        <w:spacing w:after="0" w:line="240" w:lineRule="auto"/>
        <w:jc w:val="right"/>
        <w:rPr>
          <w:rFonts w:ascii="Times New Roman" w:hAnsi="Times New Roman" w:cs="Times New Roman" w:eastAsia="Times New Roman" w:hint="default"/>
          <w:sz w:val="18"/>
          <w:szCs w:val="18"/>
        </w:rPr>
        <w:sectPr>
          <w:pgSz w:w="11910" w:h="16840"/>
          <w:pgMar w:header="787" w:footer="640" w:top="1100" w:bottom="840" w:left="0" w:right="0"/>
        </w:sectPr>
      </w:pPr>
    </w:p>
    <w:p>
      <w:pPr>
        <w:spacing w:line="240" w:lineRule="auto" w:before="5"/>
        <w:rPr>
          <w:rFonts w:ascii="宋体" w:hAnsi="宋体" w:cs="宋体" w:eastAsia="宋体" w:hint="default"/>
          <w:sz w:val="25"/>
          <w:szCs w:val="25"/>
        </w:rPr>
      </w:pPr>
      <w:r>
        <w:rPr/>
        <w:pict>
          <v:group style="position:absolute;margin-left:223.339996pt;margin-top:243.829987pt;width:151.25pt;height:20.8pt;mso-position-horizontal-relative:page;mso-position-vertical-relative:page;z-index:-1169464" coordorigin="4467,4877" coordsize="3025,416">
            <v:group style="position:absolute;left:4478;top:4888;width:2;height:393" coordorigin="4478,4888" coordsize="2,393">
              <v:shape style="position:absolute;left:4478;top:4888;width:2;height:393" coordorigin="4478,4888" coordsize="0,393" path="m4478,4888l4478,5280e" filled="false" stroked="true" strokeweight="1.140pt" strokecolor="#ffffff">
                <v:path arrowok="t"/>
              </v:shape>
            </v:group>
            <v:group style="position:absolute;left:4490;top:4888;width:3002;height:393" coordorigin="4490,4888" coordsize="3002,393">
              <v:shape style="position:absolute;left:4490;top:4888;width:3002;height:393" coordorigin="4490,4888" coordsize="3002,393" path="m4490,5280l7491,5280,7491,4888,4490,4888,4490,5280xe" filled="true" fillcolor="#ffffff" stroked="false">
                <v:path arrowok="t"/>
                <v:fill type="solid"/>
              </v:shape>
            </v:group>
            <w10:wrap type="none"/>
          </v:group>
        </w:pict>
      </w:r>
    </w:p>
    <w:tbl>
      <w:tblPr>
        <w:tblW w:w="0" w:type="auto"/>
        <w:jc w:val="left"/>
        <w:tblInd w:w="1140" w:type="dxa"/>
        <w:tblLayout w:type="fixed"/>
        <w:tblCellMar>
          <w:top w:w="0" w:type="dxa"/>
          <w:left w:w="0" w:type="dxa"/>
          <w:bottom w:w="0" w:type="dxa"/>
          <w:right w:w="0" w:type="dxa"/>
        </w:tblCellMar>
        <w:tblLook w:val="01E0"/>
      </w:tblPr>
      <w:tblGrid>
        <w:gridCol w:w="3305"/>
        <w:gridCol w:w="1152"/>
        <w:gridCol w:w="1917"/>
        <w:gridCol w:w="3184"/>
      </w:tblGrid>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 物资产折旧</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89" w:right="0"/>
              <w:jc w:val="left"/>
              <w:rPr>
                <w:rFonts w:ascii="Times New Roman" w:hAnsi="Times New Roman" w:cs="Times New Roman" w:eastAsia="Times New Roman" w:hint="default"/>
                <w:sz w:val="18"/>
                <w:szCs w:val="18"/>
              </w:rPr>
            </w:pPr>
            <w:r>
              <w:rPr>
                <w:rFonts w:ascii="Times New Roman"/>
                <w:sz w:val="18"/>
              </w:rPr>
              <w:t>24,457,051.86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9,762,715.37</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2,176,854.80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1,458,431.52</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952,710.40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785,122.74</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 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40,561.28</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固定资产报废损失（收益以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18,400.37</w:t>
            </w: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2,457,990.16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656,595.76</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-705,677.70</w:t>
            </w:r>
            <w:r>
              <w:rPr>
                <w:rFonts w:ascii="Times New Roman"/>
                <w:sz w:val="18"/>
              </w:rPr>
            </w: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递延所得税资产减少（增加以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1152"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51"/>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19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1078" w:right="0"/>
              <w:jc w:val="left"/>
              <w:rPr>
                <w:rFonts w:ascii="Times New Roman" w:hAnsi="Times New Roman" w:cs="Times New Roman" w:eastAsia="Times New Roman" w:hint="default"/>
                <w:sz w:val="18"/>
                <w:szCs w:val="18"/>
              </w:rPr>
            </w:pPr>
            <w:r>
              <w:rPr>
                <w:rFonts w:ascii="Times New Roman"/>
                <w:sz w:val="18"/>
              </w:rPr>
              <w:t>107,681.61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-2,074,637.05</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929" w:right="0"/>
              <w:jc w:val="left"/>
              <w:rPr>
                <w:rFonts w:ascii="Times New Roman" w:hAnsi="Times New Roman" w:cs="Times New Roman" w:eastAsia="Times New Roman" w:hint="default"/>
                <w:sz w:val="18"/>
                <w:szCs w:val="18"/>
              </w:rPr>
            </w:pPr>
            <w:r>
              <w:rPr>
                <w:rFonts w:ascii="Times New Roman"/>
                <w:sz w:val="18"/>
              </w:rPr>
              <w:t>-40,607,107.08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3,094,477.34</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61"/>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29" w:right="0"/>
              <w:jc w:val="left"/>
              <w:rPr>
                <w:rFonts w:ascii="Times New Roman" w:hAnsi="Times New Roman" w:cs="Times New Roman" w:eastAsia="Times New Roman" w:hint="default"/>
                <w:sz w:val="18"/>
                <w:szCs w:val="18"/>
              </w:rPr>
            </w:pPr>
            <w:r>
              <w:rPr>
                <w:rFonts w:ascii="Times New Roman"/>
                <w:sz w:val="18"/>
              </w:rPr>
              <w:t>-54,507,622.14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-53,136,269.03</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61"/>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95" w:right="0"/>
              <w:jc w:val="left"/>
              <w:rPr>
                <w:rFonts w:ascii="Times New Roman" w:hAnsi="Times New Roman" w:cs="Times New Roman" w:eastAsia="Times New Roman" w:hint="default"/>
                <w:sz w:val="18"/>
                <w:szCs w:val="18"/>
              </w:rPr>
            </w:pPr>
            <w:r>
              <w:rPr>
                <w:rFonts w:ascii="Times New Roman"/>
                <w:sz w:val="18"/>
              </w:rPr>
              <w:t>56,588,988.11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-7,768,274.37</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905" w:right="0"/>
              <w:jc w:val="left"/>
              <w:rPr>
                <w:rFonts w:ascii="Times New Roman" w:hAnsi="Times New Roman" w:cs="Times New Roman" w:eastAsia="Times New Roman" w:hint="default"/>
                <w:sz w:val="18"/>
                <w:szCs w:val="18"/>
              </w:rPr>
            </w:pPr>
            <w:r>
              <w:rPr>
                <w:rFonts w:ascii="Times New Roman"/>
                <w:sz w:val="18"/>
              </w:rPr>
              <w:t>112,525,666.19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55,135,232.72</w:t>
            </w:r>
          </w:p>
        </w:tc>
      </w:tr>
      <w:tr>
        <w:trPr>
          <w:trHeight w:val="161" w:hRule="exact"/>
        </w:trPr>
        <w:tc>
          <w:tcPr>
            <w:tcW w:w="3305" w:type="dxa"/>
            <w:vMerge w:val="restart"/>
            <w:tcBorders>
              <w:top w:val="single" w:sz="4" w:space="0" w:color="000000"/>
              <w:left w:val="single" w:sz="4" w:space="0" w:color="000000"/>
              <w:right w:val="single" w:sz="4" w:space="0" w:color="000000"/>
            </w:tcBorders>
            <w:shd w:val="clear" w:color="auto" w:fill="D2D2D2"/>
          </w:tcPr>
          <w:p>
            <w:pPr>
              <w:pStyle w:val="TableParagraph"/>
              <w:spacing w:line="302" w:lineRule="auto" w:before="51"/>
              <w:ind w:left="11" w:right="13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 动：</w:t>
            </w:r>
          </w:p>
        </w:tc>
        <w:tc>
          <w:tcPr>
            <w:tcW w:w="3069"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318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3305" w:type="dxa"/>
            <w:vMerge/>
            <w:tcBorders>
              <w:left w:val="single" w:sz="4" w:space="0" w:color="000000"/>
              <w:right w:val="single" w:sz="4" w:space="0" w:color="000000"/>
            </w:tcBorders>
            <w:shd w:val="clear" w:color="auto" w:fill="D2D2D2"/>
          </w:tcPr>
          <w:p>
            <w:pPr/>
          </w:p>
        </w:tc>
        <w:tc>
          <w:tcPr>
            <w:tcW w:w="3069"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3305" w:type="dxa"/>
            <w:vMerge/>
            <w:tcBorders>
              <w:left w:val="single" w:sz="4" w:space="0" w:color="000000"/>
              <w:bottom w:val="single" w:sz="4" w:space="0" w:color="000000"/>
              <w:right w:val="single" w:sz="4" w:space="0" w:color="000000"/>
            </w:tcBorders>
            <w:shd w:val="clear" w:color="auto" w:fill="D2D2D2"/>
          </w:tcPr>
          <w:p>
            <w:pPr/>
          </w:p>
        </w:tc>
        <w:tc>
          <w:tcPr>
            <w:tcW w:w="3069"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318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加：现金等价物的期末余额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899" w:right="0"/>
              <w:jc w:val="left"/>
              <w:rPr>
                <w:rFonts w:ascii="Times New Roman" w:hAnsi="Times New Roman" w:cs="Times New Roman" w:eastAsia="Times New Roman" w:hint="default"/>
                <w:sz w:val="18"/>
                <w:szCs w:val="18"/>
              </w:rPr>
            </w:pPr>
            <w:r>
              <w:rPr>
                <w:rFonts w:ascii="Times New Roman"/>
                <w:sz w:val="18"/>
              </w:rPr>
              <w:t>406,401,420.74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262,030,261.74</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减：现金等价物的期初余额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899" w:right="0"/>
              <w:jc w:val="left"/>
              <w:rPr>
                <w:rFonts w:ascii="Times New Roman" w:hAnsi="Times New Roman" w:cs="Times New Roman" w:eastAsia="Times New Roman" w:hint="default"/>
                <w:sz w:val="18"/>
                <w:szCs w:val="18"/>
              </w:rPr>
            </w:pPr>
            <w:r>
              <w:rPr>
                <w:rFonts w:ascii="Times New Roman"/>
                <w:sz w:val="18"/>
              </w:rPr>
              <w:t>262,030,261.74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405,649,058.13</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899" w:right="0"/>
              <w:jc w:val="left"/>
              <w:rPr>
                <w:rFonts w:ascii="Times New Roman" w:hAnsi="Times New Roman" w:cs="Times New Roman" w:eastAsia="Times New Roman" w:hint="default"/>
                <w:sz w:val="18"/>
                <w:szCs w:val="18"/>
              </w:rPr>
            </w:pPr>
            <w:r>
              <w:rPr>
                <w:rFonts w:ascii="Times New Roman"/>
                <w:sz w:val="18"/>
              </w:rPr>
              <w:t>144,371,159.00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-143,618,796.39</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本期支付的取得子公司的现金净额" w:id="388"/>
      <w:bookmarkEnd w:id="388"/>
      <w:r>
        <w:rPr>
          <w:b w:val="0"/>
          <w:bCs w:val="0"/>
        </w:rPr>
      </w:r>
      <w:r>
        <w:rPr/>
        <w:t>（</w:t>
      </w:r>
      <w:r>
        <w:rPr>
          <w:rFonts w:ascii="Times New Roman" w:hAnsi="Times New Roman" w:cs="Times New Roman" w:eastAsia="Times New Roman" w:hint="default"/>
        </w:rPr>
        <w:t>2</w:t>
      </w:r>
      <w:r>
        <w:rPr/>
        <w:t>）本期支付的取得子公司的现金净额</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不适用</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3）本期收到的处置子公司的现金净额" w:id="389"/>
      <w:bookmarkEnd w:id="389"/>
      <w:r>
        <w:rPr>
          <w:b w:val="0"/>
          <w:bCs w:val="0"/>
        </w:rPr>
      </w:r>
      <w:r>
        <w:rPr/>
        <w:t>（</w:t>
      </w:r>
      <w:r>
        <w:rPr>
          <w:rFonts w:ascii="Times New Roman" w:hAnsi="Times New Roman" w:cs="Times New Roman" w:eastAsia="Times New Roman" w:hint="default"/>
        </w:rPr>
        <w:t>3</w:t>
      </w:r>
      <w:r>
        <w:rPr/>
        <w:t>）本期收到的处置子公司的现金净额</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不适用</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4）现金和现金等价物的构成" w:id="390"/>
      <w:bookmarkEnd w:id="390"/>
      <w:r>
        <w:rPr>
          <w:b w:val="0"/>
          <w:bCs w:val="0"/>
        </w:rPr>
      </w:r>
      <w:r>
        <w:rPr/>
        <w:t>（</w:t>
      </w:r>
      <w:r>
        <w:rPr>
          <w:rFonts w:ascii="Times New Roman" w:hAnsi="Times New Roman" w:cs="Times New Roman" w:eastAsia="Times New Roman" w:hint="default"/>
        </w:rPr>
        <w:t>4</w:t>
      </w:r>
      <w:r>
        <w:rPr/>
        <w:t>）现金和现金等价物的构成</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305"/>
        <w:gridCol w:w="3069"/>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216,083.63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456,950.49</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406,185,337.11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261,573,311.25</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二、现金等价物</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406,401,420.74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262,030,261.74</w:t>
            </w:r>
          </w:p>
        </w:tc>
      </w:tr>
    </w:tbl>
    <w:p>
      <w:pPr>
        <w:spacing w:after="0" w:line="240" w:lineRule="auto"/>
        <w:jc w:val="right"/>
        <w:rPr>
          <w:rFonts w:ascii="Times New Roman" w:hAnsi="Times New Roman" w:cs="Times New Roman" w:eastAsia="Times New Roman" w:hint="default"/>
          <w:sz w:val="18"/>
          <w:szCs w:val="18"/>
        </w:rPr>
        <w:sectPr>
          <w:pgSz w:w="11910" w:h="16840"/>
          <w:pgMar w:header="787" w:footer="640" w:top="1100" w:bottom="840" w:left="0" w:right="0"/>
        </w:sectPr>
      </w:pPr>
    </w:p>
    <w:p>
      <w:pPr>
        <w:spacing w:line="240" w:lineRule="auto" w:before="5"/>
        <w:rPr>
          <w:rFonts w:ascii="宋体" w:hAnsi="宋体" w:cs="宋体" w:eastAsia="宋体" w:hint="default"/>
          <w:sz w:val="25"/>
          <w:szCs w:val="25"/>
        </w:rPr>
      </w:pPr>
    </w:p>
    <w:tbl>
      <w:tblPr>
        <w:tblW w:w="0" w:type="auto"/>
        <w:jc w:val="left"/>
        <w:tblInd w:w="1129" w:type="dxa"/>
        <w:tblLayout w:type="fixed"/>
        <w:tblCellMar>
          <w:top w:w="0" w:type="dxa"/>
          <w:left w:w="0" w:type="dxa"/>
          <w:bottom w:w="0" w:type="dxa"/>
          <w:right w:w="0" w:type="dxa"/>
        </w:tblCellMar>
        <w:tblLook w:val="01E0"/>
      </w:tblPr>
      <w:tblGrid>
        <w:gridCol w:w="3327"/>
        <w:gridCol w:w="3057"/>
        <w:gridCol w:w="3184"/>
      </w:tblGrid>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00" w:right="0"/>
              <w:jc w:val="left"/>
              <w:rPr>
                <w:rFonts w:ascii="Times New Roman" w:hAnsi="Times New Roman" w:cs="Times New Roman" w:eastAsia="Times New Roman" w:hint="default"/>
                <w:sz w:val="18"/>
                <w:szCs w:val="18"/>
              </w:rPr>
            </w:pPr>
            <w:r>
              <w:rPr>
                <w:rFonts w:ascii="Times New Roman"/>
                <w:sz w:val="18"/>
              </w:rPr>
              <w:t>406,401,420.74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27" w:right="0"/>
              <w:jc w:val="left"/>
              <w:rPr>
                <w:rFonts w:ascii="Times New Roman" w:hAnsi="Times New Roman" w:cs="Times New Roman" w:eastAsia="Times New Roman" w:hint="default"/>
                <w:sz w:val="18"/>
                <w:szCs w:val="18"/>
              </w:rPr>
            </w:pPr>
            <w:r>
              <w:rPr>
                <w:rFonts w:ascii="Times New Roman"/>
                <w:sz w:val="18"/>
              </w:rPr>
              <w:t>262,030,261.74</w:t>
            </w:r>
          </w:p>
        </w:tc>
      </w:tr>
    </w:tbl>
    <w:p>
      <w:pPr>
        <w:pStyle w:val="BodyText"/>
        <w:spacing w:line="240" w:lineRule="auto" w:before="51"/>
        <w:ind w:right="0"/>
        <w:jc w:val="left"/>
      </w:pPr>
      <w:r>
        <w:rPr/>
        <w:t>其他说明：</w:t>
      </w:r>
    </w:p>
    <w:p>
      <w:pPr>
        <w:pStyle w:val="BodyText"/>
        <w:spacing w:line="302" w:lineRule="auto" w:before="116"/>
        <w:ind w:left="1133" w:right="0"/>
        <w:jc w:val="left"/>
      </w:pPr>
      <w:r>
        <w:rPr/>
        <w:t>不属于现金及现金等价物的货币资金情况的说明：</w:t>
      </w:r>
      <w:r>
        <w:rPr>
          <w:rFonts w:ascii="Times New Roman" w:hAnsi="Times New Roman" w:cs="Times New Roman" w:eastAsia="Times New Roman" w:hint="default"/>
        </w:rPr>
        <w:t>2017</w:t>
      </w:r>
      <w:r>
        <w:rPr>
          <w:rFonts w:ascii="Times New Roman" w:hAnsi="Times New Roman" w:cs="Times New Roman" w:eastAsia="Times New Roman" w:hint="default"/>
          <w:spacing w:val="8"/>
        </w:rPr>
        <w:t> </w:t>
      </w:r>
      <w:r>
        <w:rPr/>
        <w:t>年末现金及现金等价物余额中已扣除不符合现金及现金等价物标准 的其他货币资金的住宅专项维修资金</w:t>
      </w:r>
      <w:r>
        <w:rPr>
          <w:spacing w:val="-47"/>
        </w:rPr>
        <w:t> </w:t>
      </w:r>
      <w:r>
        <w:rPr>
          <w:rFonts w:ascii="Times New Roman" w:hAnsi="Times New Roman" w:cs="Times New Roman" w:eastAsia="Times New Roman" w:hint="default"/>
        </w:rPr>
        <w:t>301,910.36</w:t>
      </w:r>
      <w:r>
        <w:rPr>
          <w:rFonts w:ascii="Times New Roman" w:hAnsi="Times New Roman" w:cs="Times New Roman" w:eastAsia="Times New Roman" w:hint="default"/>
          <w:spacing w:val="-1"/>
        </w:rPr>
        <w:t> </w:t>
      </w:r>
      <w:r>
        <w:rPr/>
        <w:t>元、保函保证金</w:t>
      </w:r>
      <w:r>
        <w:rPr>
          <w:spacing w:val="-47"/>
        </w:rPr>
        <w:t> </w:t>
      </w:r>
      <w:r>
        <w:rPr>
          <w:rFonts w:ascii="Times New Roman" w:hAnsi="Times New Roman" w:cs="Times New Roman" w:eastAsia="Times New Roman" w:hint="default"/>
        </w:rPr>
        <w:t>836,633.52</w:t>
      </w:r>
      <w:r>
        <w:rPr>
          <w:rFonts w:ascii="Times New Roman" w:hAnsi="Times New Roman" w:cs="Times New Roman" w:eastAsia="Times New Roman" w:hint="default"/>
          <w:spacing w:val="-2"/>
        </w:rPr>
        <w:t> </w:t>
      </w:r>
      <w:r>
        <w:rPr/>
        <w:t>元。</w:t>
      </w:r>
    </w:p>
    <w:p>
      <w:pPr>
        <w:spacing w:line="240" w:lineRule="auto" w:before="10"/>
        <w:rPr>
          <w:rFonts w:ascii="宋体" w:hAnsi="宋体" w:cs="宋体" w:eastAsia="宋体" w:hint="default"/>
          <w:sz w:val="21"/>
          <w:szCs w:val="21"/>
        </w:rPr>
      </w:pPr>
    </w:p>
    <w:p>
      <w:pPr>
        <w:pStyle w:val="Heading3"/>
        <w:spacing w:line="240" w:lineRule="auto"/>
        <w:ind w:left="1133" w:right="0"/>
        <w:jc w:val="left"/>
        <w:rPr>
          <w:b w:val="0"/>
          <w:bCs w:val="0"/>
        </w:rPr>
      </w:pPr>
      <w:bookmarkStart w:name="77、所有者权益变动表项目注释" w:id="391"/>
      <w:bookmarkEnd w:id="391"/>
      <w:r>
        <w:rPr>
          <w:b w:val="0"/>
          <w:bCs w:val="0"/>
        </w:rPr>
      </w:r>
      <w:r>
        <w:rPr>
          <w:rFonts w:ascii="Times New Roman" w:hAnsi="Times New Roman" w:cs="Times New Roman" w:eastAsia="Times New Roman" w:hint="default"/>
        </w:rPr>
        <w:t>77</w:t>
      </w:r>
      <w:r>
        <w:rPr/>
        <w:t>、所有者权益变动表项目注释</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133" w:right="0"/>
        <w:jc w:val="left"/>
      </w:pPr>
      <w:r>
        <w:rPr/>
        <w:t>不适用</w:t>
      </w:r>
    </w:p>
    <w:p>
      <w:pPr>
        <w:spacing w:line="240" w:lineRule="auto" w:before="10"/>
        <w:rPr>
          <w:rFonts w:ascii="宋体" w:hAnsi="宋体" w:cs="宋体" w:eastAsia="宋体" w:hint="default"/>
          <w:sz w:val="26"/>
          <w:szCs w:val="26"/>
        </w:rPr>
      </w:pPr>
    </w:p>
    <w:p>
      <w:pPr>
        <w:pStyle w:val="Heading3"/>
        <w:spacing w:line="240" w:lineRule="auto"/>
        <w:ind w:left="1133" w:right="0"/>
        <w:jc w:val="left"/>
        <w:rPr>
          <w:b w:val="0"/>
          <w:bCs w:val="0"/>
        </w:rPr>
      </w:pPr>
      <w:bookmarkStart w:name="78、所有权或使用权受到限制的资产" w:id="392"/>
      <w:bookmarkEnd w:id="392"/>
      <w:r>
        <w:rPr>
          <w:b w:val="0"/>
          <w:bCs w:val="0"/>
        </w:rPr>
      </w:r>
      <w:r>
        <w:rPr>
          <w:rFonts w:ascii="Times New Roman" w:hAnsi="Times New Roman" w:cs="Times New Roman" w:eastAsia="Times New Roman" w:hint="default"/>
        </w:rPr>
        <w:t>78</w:t>
      </w:r>
      <w:r>
        <w:rPr/>
        <w:t>、所有权或使用权受到限制的资产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328"/>
        <w:gridCol w:w="3057"/>
        <w:gridCol w:w="3184"/>
      </w:tblGrid>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83"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5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1,138,543.88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保证金、住宅专项维修资金</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05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6,365,707.93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抵押</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30,000,000.00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20,912,713.53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抵押</w:t>
            </w:r>
          </w:p>
        </w:tc>
      </w:tr>
      <w:tr>
        <w:trPr>
          <w:trHeight w:val="403"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58,416,965.34</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t>其他说明：</w:t>
      </w:r>
    </w:p>
    <w:p>
      <w:pPr>
        <w:pStyle w:val="BodyText"/>
        <w:spacing w:line="300" w:lineRule="auto" w:before="115"/>
        <w:ind w:left="1133" w:right="1113" w:firstLine="360"/>
        <w:jc w:val="left"/>
      </w:pPr>
      <w:r>
        <w:rPr/>
        <w:t>公司与中国银行番禺天安支行签订编号为</w:t>
      </w:r>
      <w:r>
        <w:rPr>
          <w:rFonts w:ascii="Times New Roman" w:hAnsi="Times New Roman" w:cs="Times New Roman" w:eastAsia="Times New Roman" w:hint="default"/>
        </w:rPr>
        <w:t>GZY476780120160052</w:t>
      </w:r>
      <w:r>
        <w:rPr/>
        <w:t>的最高额质押合同，以应收账款的收款权利作为质押物 在中国人民银行征信中心作质押登记。</w:t>
      </w:r>
    </w:p>
    <w:p>
      <w:pPr>
        <w:pStyle w:val="BodyText"/>
        <w:spacing w:line="300" w:lineRule="auto" w:before="31"/>
        <w:ind w:left="1133" w:right="0" w:firstLine="360"/>
        <w:jc w:val="left"/>
      </w:pPr>
      <w:r>
        <w:rPr/>
        <w:t>公司与上海浦东发展银行股份有限公司广州番禺支行签订编号为</w:t>
      </w:r>
      <w:r>
        <w:rPr>
          <w:rFonts w:ascii="Times New Roman" w:hAnsi="Times New Roman" w:cs="Times New Roman" w:eastAsia="Times New Roman" w:hint="default"/>
        </w:rPr>
        <w:t>ZD82172016280061</w:t>
      </w:r>
      <w:r>
        <w:rPr/>
        <w:t>的最高额抵押合同，以金业花园</w:t>
      </w:r>
      <w:r>
        <w:rPr>
          <w:rFonts w:ascii="Times New Roman" w:hAnsi="Times New Roman" w:cs="Times New Roman" w:eastAsia="Times New Roman" w:hint="default"/>
        </w:rPr>
        <w:t>18</w:t>
      </w:r>
      <w:r>
        <w:rPr>
          <w:rFonts w:ascii="Times New Roman" w:hAnsi="Times New Roman" w:cs="Times New Roman" w:eastAsia="Times New Roman" w:hint="default"/>
          <w:spacing w:val="1"/>
        </w:rPr>
        <w:t> </w:t>
      </w:r>
      <w:r>
        <w:rPr/>
        <w:t>套房产作为抵押物进行借款抵押。</w:t>
      </w:r>
    </w:p>
    <w:p>
      <w:pPr>
        <w:pStyle w:val="BodyText"/>
        <w:spacing w:line="300" w:lineRule="auto" w:before="31"/>
        <w:ind w:left="1133" w:right="1123" w:firstLine="360"/>
        <w:jc w:val="left"/>
      </w:pPr>
      <w:r>
        <w:rPr/>
        <w:t>公司与广州农村商业银行番禺支行签订编号为</w:t>
      </w:r>
      <w:r>
        <w:rPr>
          <w:rFonts w:ascii="Times New Roman" w:hAnsi="Times New Roman" w:cs="Times New Roman" w:eastAsia="Times New Roman" w:hint="default"/>
        </w:rPr>
        <w:t>0127071201600004</w:t>
      </w:r>
      <w:r>
        <w:rPr/>
        <w:t>的最高额抵押合同，以天安总部中心</w:t>
      </w:r>
      <w:r>
        <w:rPr>
          <w:rFonts w:ascii="Times New Roman" w:hAnsi="Times New Roman" w:cs="Times New Roman" w:eastAsia="Times New Roman" w:hint="default"/>
        </w:rPr>
        <w:t>2</w:t>
      </w:r>
      <w:r>
        <w:rPr/>
        <w:t>号楼</w:t>
      </w:r>
      <w:r>
        <w:rPr>
          <w:rFonts w:ascii="Times New Roman" w:hAnsi="Times New Roman" w:cs="Times New Roman" w:eastAsia="Times New Roman" w:hint="default"/>
        </w:rPr>
        <w:t>2201</w:t>
      </w:r>
      <w:r>
        <w:rPr/>
        <w:t>、天安 总部中心</w:t>
      </w:r>
      <w:r>
        <w:rPr>
          <w:rFonts w:ascii="Times New Roman" w:hAnsi="Times New Roman" w:cs="Times New Roman" w:eastAsia="Times New Roman" w:hint="default"/>
        </w:rPr>
        <w:t>2</w:t>
      </w:r>
      <w:r>
        <w:rPr/>
        <w:t>号楼</w:t>
      </w:r>
      <w:r>
        <w:rPr>
          <w:rFonts w:ascii="Times New Roman" w:hAnsi="Times New Roman" w:cs="Times New Roman" w:eastAsia="Times New Roman" w:hint="default"/>
        </w:rPr>
        <w:t>2202</w:t>
      </w:r>
      <w:r>
        <w:rPr/>
        <w:t>两套房产作为抵押物进行借款抵押。</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5"/>
          <w:szCs w:val="15"/>
        </w:rPr>
      </w:pPr>
    </w:p>
    <w:p>
      <w:pPr>
        <w:pStyle w:val="Heading3"/>
        <w:spacing w:line="240" w:lineRule="auto"/>
        <w:ind w:right="0"/>
        <w:jc w:val="left"/>
        <w:rPr>
          <w:b w:val="0"/>
          <w:bCs w:val="0"/>
        </w:rPr>
      </w:pPr>
      <w:bookmarkStart w:name="79、外币货币性项目" w:id="393"/>
      <w:bookmarkEnd w:id="393"/>
      <w:r>
        <w:rPr>
          <w:b w:val="0"/>
          <w:bCs w:val="0"/>
        </w:rPr>
      </w:r>
      <w:r>
        <w:rPr>
          <w:rFonts w:ascii="Times New Roman" w:hAnsi="Times New Roman" w:cs="Times New Roman" w:eastAsia="Times New Roman" w:hint="default"/>
        </w:rPr>
        <w:t>79</w:t>
      </w:r>
      <w:r>
        <w:rPr/>
        <w:t>、外币货币性项目</w:t>
      </w:r>
      <w:r>
        <w:rPr>
          <w:b w:val="0"/>
          <w:bCs w:val="0"/>
        </w:rPr>
      </w:r>
    </w:p>
    <w:p>
      <w:pPr>
        <w:spacing w:line="240" w:lineRule="auto" w:before="0"/>
        <w:rPr>
          <w:rFonts w:ascii="宋体" w:hAnsi="宋体" w:cs="宋体" w:eastAsia="宋体" w:hint="default"/>
          <w:b/>
          <w:bCs/>
          <w:sz w:val="22"/>
          <w:szCs w:val="22"/>
        </w:rPr>
      </w:pPr>
    </w:p>
    <w:p>
      <w:pPr>
        <w:pStyle w:val="Heading3"/>
        <w:spacing w:line="240" w:lineRule="auto" w:before="189"/>
        <w:ind w:left="1133" w:right="0"/>
        <w:jc w:val="left"/>
        <w:rPr>
          <w:b w:val="0"/>
          <w:bCs w:val="0"/>
        </w:rPr>
      </w:pPr>
      <w:bookmarkStart w:name="（1）外币货币性项目" w:id="394"/>
      <w:bookmarkEnd w:id="394"/>
      <w:r>
        <w:rPr>
          <w:b w:val="0"/>
          <w:bCs w:val="0"/>
        </w:rPr>
      </w:r>
      <w:r>
        <w:rPr/>
        <w:t>（</w:t>
      </w:r>
      <w:r>
        <w:rPr>
          <w:rFonts w:ascii="Times New Roman" w:hAnsi="Times New Roman" w:cs="Times New Roman" w:eastAsia="Times New Roman" w:hint="default"/>
        </w:rPr>
        <w:t>1</w:t>
      </w:r>
      <w:r>
        <w:rPr/>
        <w:t>）外币货币性项目</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pStyle w:val="BodyText"/>
        <w:spacing w:line="240" w:lineRule="auto"/>
        <w:ind w:left="1133" w:right="0"/>
        <w:jc w:val="left"/>
      </w:pPr>
      <w:r>
        <w:rPr/>
        <w:t>不适用</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0"/>
          <w:szCs w:val="20"/>
        </w:rPr>
      </w:pPr>
    </w:p>
    <w:p>
      <w:pPr>
        <w:pStyle w:val="Heading3"/>
        <w:spacing w:line="386" w:lineRule="auto"/>
        <w:ind w:left="1133" w:right="0"/>
        <w:jc w:val="left"/>
        <w:rPr>
          <w:b w:val="0"/>
          <w:bCs w:val="0"/>
        </w:rPr>
      </w:pPr>
      <w:bookmarkStart w:name="（2）境外经营实体说明，包括对于重要的境外经营实体，应披露其境外主要经营地、记账" w:id="395"/>
      <w:bookmarkEnd w:id="395"/>
      <w:r>
        <w:rPr>
          <w:b w:val="0"/>
          <w:bCs w:val="0"/>
        </w:rPr>
      </w:r>
      <w:r>
        <w:rPr/>
        <w:t>（</w:t>
      </w:r>
      <w:r>
        <w:rPr>
          <w:rFonts w:ascii="Times New Roman" w:hAnsi="Times New Roman" w:cs="Times New Roman" w:eastAsia="Times New Roman" w:hint="default"/>
        </w:rPr>
        <w:t>2</w:t>
      </w:r>
      <w:r>
        <w:rPr/>
        <w:t>）境外经营实体说明，包括对于重要的境外经营实体，应披露其境外主要经营地、记账本位币及选择</w:t>
      </w:r>
      <w:r>
        <w:rPr>
          <w:spacing w:val="-66"/>
        </w:rPr>
        <w:t> </w:t>
      </w:r>
      <w:r>
        <w:rPr>
          <w:spacing w:val="-66"/>
        </w:rPr>
      </w:r>
      <w:r>
        <w:rPr/>
        <w:t>依据，记账本位币发生变化的还应披露原因。</w:t>
      </w:r>
      <w:r>
        <w:rPr>
          <w:b w:val="0"/>
          <w:bCs w:val="0"/>
        </w:rPr>
      </w:r>
    </w:p>
    <w:p>
      <w:pPr>
        <w:spacing w:line="240" w:lineRule="auto" w:before="13"/>
        <w:rPr>
          <w:rFonts w:ascii="宋体" w:hAnsi="宋体" w:cs="宋体" w:eastAsia="宋体" w:hint="default"/>
          <w:b/>
          <w:bCs/>
          <w:sz w:val="29"/>
          <w:szCs w:val="29"/>
        </w:rPr>
      </w:pPr>
    </w:p>
    <w:p>
      <w:pPr>
        <w:pStyle w:val="BodyText"/>
        <w:spacing w:line="240" w:lineRule="auto"/>
        <w:ind w:left="113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87" w:footer="640" w:top="1100" w:bottom="840" w:left="0" w:right="0"/>
        </w:sectPr>
      </w:pPr>
    </w:p>
    <w:p>
      <w:pPr>
        <w:spacing w:line="240" w:lineRule="auto" w:before="7"/>
        <w:rPr>
          <w:rFonts w:ascii="宋体" w:hAnsi="宋体" w:cs="宋体" w:eastAsia="宋体" w:hint="default"/>
          <w:sz w:val="27"/>
          <w:szCs w:val="27"/>
        </w:rPr>
      </w:pPr>
    </w:p>
    <w:p>
      <w:pPr>
        <w:pStyle w:val="Heading3"/>
        <w:spacing w:line="240" w:lineRule="auto" w:before="35"/>
        <w:ind w:right="0"/>
        <w:jc w:val="left"/>
        <w:rPr>
          <w:b w:val="0"/>
          <w:bCs w:val="0"/>
        </w:rPr>
      </w:pPr>
      <w:bookmarkStart w:name="80、套期" w:id="396"/>
      <w:bookmarkEnd w:id="396"/>
      <w:r>
        <w:rPr>
          <w:b w:val="0"/>
          <w:bCs w:val="0"/>
        </w:rPr>
      </w:r>
      <w:r>
        <w:rPr>
          <w:rFonts w:ascii="Times New Roman" w:hAnsi="Times New Roman" w:cs="Times New Roman" w:eastAsia="Times New Roman" w:hint="default"/>
        </w:rPr>
        <w:t>80</w:t>
      </w:r>
      <w:r>
        <w:rPr/>
        <w:t>、套期</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pStyle w:val="BodyText"/>
        <w:spacing w:line="240" w:lineRule="auto"/>
        <w:ind w:right="0"/>
        <w:jc w:val="left"/>
      </w:pPr>
      <w:r>
        <w:rPr/>
        <w:t>不适用</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0"/>
          <w:szCs w:val="20"/>
        </w:rPr>
      </w:pPr>
    </w:p>
    <w:p>
      <w:pPr>
        <w:spacing w:line="609" w:lineRule="auto" w:before="0"/>
        <w:ind w:left="1133" w:right="8329" w:firstLine="0"/>
        <w:jc w:val="left"/>
        <w:rPr>
          <w:rFonts w:ascii="宋体" w:hAnsi="宋体" w:cs="宋体" w:eastAsia="宋体" w:hint="default"/>
          <w:sz w:val="21"/>
          <w:szCs w:val="21"/>
        </w:rPr>
      </w:pPr>
      <w:bookmarkStart w:name="81、其他" w:id="397"/>
      <w:bookmarkEnd w:id="397"/>
      <w:r>
        <w:rPr/>
      </w:r>
      <w:r>
        <w:rPr>
          <w:rFonts w:ascii="Times New Roman" w:hAnsi="Times New Roman" w:cs="Times New Roman" w:eastAsia="Times New Roman" w:hint="default"/>
          <w:b/>
          <w:bCs/>
          <w:sz w:val="21"/>
          <w:szCs w:val="21"/>
        </w:rPr>
        <w:t>81</w:t>
      </w:r>
      <w:r>
        <w:rPr>
          <w:rFonts w:ascii="宋体" w:hAnsi="宋体" w:cs="宋体" w:eastAsia="宋体" w:hint="default"/>
          <w:b/>
          <w:bCs/>
          <w:sz w:val="21"/>
          <w:szCs w:val="21"/>
        </w:rPr>
        <w:t>、其他</w:t>
      </w:r>
      <w:r>
        <w:rPr>
          <w:rFonts w:ascii="宋体" w:hAnsi="宋体" w:cs="宋体" w:eastAsia="宋体" w:hint="default"/>
          <w:b/>
          <w:bCs/>
          <w:w w:val="99"/>
          <w:sz w:val="21"/>
          <w:szCs w:val="21"/>
        </w:rPr>
        <w:t> </w:t>
      </w:r>
      <w:bookmarkStart w:name="八、合并范围的变更" w:id="398"/>
      <w:bookmarkEnd w:id="398"/>
      <w:r>
        <w:rPr>
          <w:rFonts w:ascii="宋体" w:hAnsi="宋体" w:cs="宋体" w:eastAsia="宋体" w:hint="default"/>
          <w:b/>
          <w:bCs/>
          <w:w w:val="99"/>
          <w:sz w:val="21"/>
          <w:szCs w:val="21"/>
        </w:rPr>
      </w:r>
      <w:r>
        <w:rPr>
          <w:rFonts w:ascii="宋体" w:hAnsi="宋体" w:cs="宋体" w:eastAsia="宋体" w:hint="default"/>
          <w:b/>
          <w:bCs/>
          <w:sz w:val="24"/>
          <w:szCs w:val="24"/>
        </w:rPr>
        <w:t>八、合并范围的变更</w:t>
      </w:r>
      <w:r>
        <w:rPr>
          <w:rFonts w:ascii="宋体" w:hAnsi="宋体" w:cs="宋体" w:eastAsia="宋体" w:hint="default"/>
          <w:b/>
          <w:bCs/>
          <w:w w:val="99"/>
          <w:sz w:val="24"/>
          <w:szCs w:val="24"/>
        </w:rPr>
        <w:t> </w:t>
      </w:r>
      <w:bookmarkStart w:name="1、非同一控制下企业合并" w:id="399"/>
      <w:bookmarkEnd w:id="399"/>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、非同一控制下企业合并</w:t>
      </w:r>
      <w:r>
        <w:rPr>
          <w:rFonts w:ascii="宋体" w:hAnsi="宋体" w:cs="宋体" w:eastAsia="宋体" w:hint="default"/>
          <w:sz w:val="21"/>
          <w:szCs w:val="21"/>
        </w:rPr>
      </w:r>
    </w:p>
    <w:p>
      <w:pPr>
        <w:pStyle w:val="Heading3"/>
        <w:spacing w:line="240" w:lineRule="auto" w:before="119"/>
        <w:ind w:left="1133" w:right="0"/>
        <w:jc w:val="left"/>
        <w:rPr>
          <w:b w:val="0"/>
          <w:bCs w:val="0"/>
        </w:rPr>
      </w:pPr>
      <w:bookmarkStart w:name="（1）本期发生的非同一控制下企业合并" w:id="400"/>
      <w:bookmarkEnd w:id="400"/>
      <w:r>
        <w:rPr>
          <w:b w:val="0"/>
          <w:bCs w:val="0"/>
        </w:rPr>
      </w:r>
      <w:r>
        <w:rPr/>
        <w:t>（</w:t>
      </w:r>
      <w:r>
        <w:rPr>
          <w:rFonts w:ascii="Times New Roman" w:hAnsi="Times New Roman" w:cs="Times New Roman" w:eastAsia="Times New Roman" w:hint="default"/>
        </w:rPr>
        <w:t>1</w:t>
      </w:r>
      <w:r>
        <w:rPr/>
        <w:t>）本期发生的非同一控制下企业合并</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pStyle w:val="BodyText"/>
        <w:spacing w:line="240" w:lineRule="auto"/>
        <w:ind w:left="1133" w:right="0"/>
        <w:jc w:val="left"/>
      </w:pPr>
      <w:r>
        <w:rPr/>
        <w:t>不适用</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0"/>
          <w:szCs w:val="20"/>
        </w:rPr>
      </w:pPr>
    </w:p>
    <w:p>
      <w:pPr>
        <w:pStyle w:val="Heading3"/>
        <w:spacing w:line="240" w:lineRule="auto"/>
        <w:ind w:left="1133" w:right="0"/>
        <w:jc w:val="left"/>
        <w:rPr>
          <w:b w:val="0"/>
          <w:bCs w:val="0"/>
        </w:rPr>
      </w:pPr>
      <w:bookmarkStart w:name="（2）合并成本及商誉" w:id="401"/>
      <w:bookmarkEnd w:id="401"/>
      <w:r>
        <w:rPr>
          <w:b w:val="0"/>
          <w:bCs w:val="0"/>
        </w:rPr>
      </w:r>
      <w:r>
        <w:rPr/>
        <w:t>（</w:t>
      </w:r>
      <w:r>
        <w:rPr>
          <w:rFonts w:ascii="Times New Roman" w:hAnsi="Times New Roman" w:cs="Times New Roman" w:eastAsia="Times New Roman" w:hint="default"/>
        </w:rPr>
        <w:t>2</w:t>
      </w:r>
      <w:r>
        <w:rPr/>
        <w:t>）合并成本及商誉</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pStyle w:val="BodyText"/>
        <w:spacing w:line="240" w:lineRule="auto"/>
        <w:ind w:left="1133" w:right="0"/>
        <w:jc w:val="left"/>
      </w:pPr>
      <w:r>
        <w:rPr/>
        <w:t>不适用</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0"/>
          <w:szCs w:val="20"/>
        </w:rPr>
      </w:pPr>
    </w:p>
    <w:p>
      <w:pPr>
        <w:pStyle w:val="Heading3"/>
        <w:spacing w:line="240" w:lineRule="auto"/>
        <w:ind w:left="1133" w:right="0"/>
        <w:jc w:val="left"/>
        <w:rPr>
          <w:b w:val="0"/>
          <w:bCs w:val="0"/>
        </w:rPr>
      </w:pPr>
      <w:bookmarkStart w:name="（3）被购买方于购买日可辨认资产、负债" w:id="402"/>
      <w:bookmarkEnd w:id="402"/>
      <w:r>
        <w:rPr>
          <w:b w:val="0"/>
          <w:bCs w:val="0"/>
        </w:rPr>
      </w:r>
      <w:r>
        <w:rPr/>
        <w:t>（</w:t>
      </w:r>
      <w:r>
        <w:rPr>
          <w:rFonts w:ascii="Times New Roman" w:hAnsi="Times New Roman" w:cs="Times New Roman" w:eastAsia="Times New Roman" w:hint="default"/>
        </w:rPr>
        <w:t>3</w:t>
      </w:r>
      <w:r>
        <w:rPr/>
        <w:t>）被购买方于购买日可辨认资产、负债</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pStyle w:val="BodyText"/>
        <w:spacing w:line="240" w:lineRule="auto"/>
        <w:ind w:left="1133" w:right="0"/>
        <w:jc w:val="left"/>
      </w:pPr>
      <w:r>
        <w:rPr/>
        <w:t>不适用</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0"/>
          <w:szCs w:val="20"/>
        </w:rPr>
      </w:pPr>
    </w:p>
    <w:p>
      <w:pPr>
        <w:pStyle w:val="Heading3"/>
        <w:spacing w:line="240" w:lineRule="auto"/>
        <w:ind w:left="1133" w:right="0"/>
        <w:jc w:val="left"/>
        <w:rPr>
          <w:b w:val="0"/>
          <w:bCs w:val="0"/>
        </w:rPr>
      </w:pPr>
      <w:bookmarkStart w:name="（4）购买日之前持有的股权按照公允价值重新计量产生的利得或损失" w:id="403"/>
      <w:bookmarkEnd w:id="403"/>
      <w:r>
        <w:rPr>
          <w:b w:val="0"/>
          <w:bCs w:val="0"/>
        </w:rPr>
      </w:r>
      <w:r>
        <w:rPr/>
        <w:t>（</w:t>
      </w:r>
      <w:r>
        <w:rPr>
          <w:rFonts w:ascii="Times New Roman" w:hAnsi="Times New Roman" w:cs="Times New Roman" w:eastAsia="Times New Roman" w:hint="default"/>
        </w:rPr>
        <w:t>4</w:t>
      </w:r>
      <w:r>
        <w:rPr/>
        <w:t>）购买日之前持有的股权按照公允价值重新计量产生的利得或损失</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pStyle w:val="BodyText"/>
        <w:spacing w:line="240" w:lineRule="auto"/>
        <w:ind w:right="0"/>
        <w:jc w:val="left"/>
      </w:pPr>
      <w:r>
        <w:rPr/>
        <w:t>是否存在通过多次交易分步实现企业合并且在报告期内取得控制权的交易</w:t>
      </w:r>
    </w:p>
    <w:p>
      <w:pPr>
        <w:spacing w:line="240" w:lineRule="auto" w:before="10"/>
        <w:rPr>
          <w:rFonts w:ascii="宋体" w:hAnsi="宋体" w:cs="宋体" w:eastAsia="宋体" w:hint="default"/>
          <w:sz w:val="20"/>
          <w:szCs w:val="20"/>
        </w:rPr>
      </w:pPr>
    </w:p>
    <w:p>
      <w:pPr>
        <w:pStyle w:val="BodyText"/>
        <w:spacing w:line="240" w:lineRule="auto"/>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9"/>
          <w:szCs w:val="19"/>
        </w:rPr>
      </w:pPr>
    </w:p>
    <w:p>
      <w:pPr>
        <w:pStyle w:val="Heading3"/>
        <w:spacing w:line="240" w:lineRule="auto"/>
        <w:ind w:left="1133" w:right="0"/>
        <w:jc w:val="left"/>
        <w:rPr>
          <w:b w:val="0"/>
          <w:bCs w:val="0"/>
        </w:rPr>
      </w:pPr>
      <w:bookmarkStart w:name="（5）购买日或合并当期期末无法合理确定合并对价或被购买方可辨认资产、负债公允价值" w:id="404"/>
      <w:bookmarkEnd w:id="404"/>
      <w:r>
        <w:rPr>
          <w:b w:val="0"/>
          <w:bCs w:val="0"/>
        </w:rPr>
      </w:r>
      <w:r>
        <w:rPr/>
        <w:t>（</w:t>
      </w:r>
      <w:r>
        <w:rPr>
          <w:rFonts w:ascii="Times New Roman" w:hAnsi="Times New Roman" w:cs="Times New Roman" w:eastAsia="Times New Roman" w:hint="default"/>
        </w:rPr>
        <w:t>5</w:t>
      </w:r>
      <w:r>
        <w:rPr/>
        <w:t>）购买日或合并当期期末无法合理确定合并对价或被购买方可辨认资产、负债公允价值的相关说明</w:t>
      </w:r>
      <w:r>
        <w:rPr>
          <w:b w:val="0"/>
          <w:bCs w:val="0"/>
        </w:rPr>
      </w:r>
    </w:p>
    <w:p>
      <w:pPr>
        <w:spacing w:line="240" w:lineRule="auto" w:before="0"/>
        <w:rPr>
          <w:rFonts w:ascii="宋体" w:hAnsi="宋体" w:cs="宋体" w:eastAsia="宋体" w:hint="default"/>
          <w:b/>
          <w:bCs/>
          <w:sz w:val="22"/>
          <w:szCs w:val="22"/>
        </w:rPr>
      </w:pPr>
    </w:p>
    <w:p>
      <w:pPr>
        <w:pStyle w:val="Heading3"/>
        <w:spacing w:line="240" w:lineRule="auto" w:before="188"/>
        <w:ind w:left="1133" w:right="0"/>
        <w:jc w:val="left"/>
        <w:rPr>
          <w:b w:val="0"/>
          <w:bCs w:val="0"/>
        </w:rPr>
      </w:pPr>
      <w:bookmarkStart w:name="（6）其他说明" w:id="405"/>
      <w:bookmarkEnd w:id="405"/>
      <w:r>
        <w:rPr>
          <w:b w:val="0"/>
          <w:bCs w:val="0"/>
        </w:rPr>
      </w:r>
      <w:r>
        <w:rPr/>
        <w:t>（</w:t>
      </w:r>
      <w:r>
        <w:rPr>
          <w:rFonts w:ascii="Times New Roman" w:hAnsi="Times New Roman" w:cs="Times New Roman" w:eastAsia="Times New Roman" w:hint="default"/>
        </w:rPr>
        <w:t>6</w:t>
      </w:r>
      <w:r>
        <w:rPr/>
        <w:t>）其他说明</w:t>
      </w:r>
      <w:r>
        <w:rPr>
          <w:b w:val="0"/>
          <w:bCs w:val="0"/>
        </w:rPr>
      </w:r>
    </w:p>
    <w:p>
      <w:pPr>
        <w:spacing w:line="240" w:lineRule="auto" w:before="0"/>
        <w:rPr>
          <w:rFonts w:ascii="宋体" w:hAnsi="宋体" w:cs="宋体" w:eastAsia="宋体" w:hint="default"/>
          <w:b/>
          <w:bCs/>
          <w:sz w:val="22"/>
          <w:szCs w:val="22"/>
        </w:rPr>
      </w:pPr>
    </w:p>
    <w:p>
      <w:pPr>
        <w:spacing w:line="240" w:lineRule="auto" w:before="5"/>
        <w:rPr>
          <w:rFonts w:ascii="宋体" w:hAnsi="宋体" w:cs="宋体" w:eastAsia="宋体" w:hint="default"/>
          <w:b/>
          <w:bCs/>
          <w:sz w:val="16"/>
          <w:szCs w:val="16"/>
        </w:rPr>
      </w:pPr>
    </w:p>
    <w:p>
      <w:pPr>
        <w:pStyle w:val="BodyText"/>
        <w:spacing w:line="240" w:lineRule="auto"/>
        <w:ind w:left="1133" w:right="0"/>
        <w:jc w:val="left"/>
      </w:pPr>
      <w:r>
        <w:rPr/>
        <w:t>合并范围增加：</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4"/>
          <w:szCs w:val="14"/>
        </w:rPr>
      </w:pPr>
    </w:p>
    <w:tbl>
      <w:tblPr>
        <w:tblW w:w="0" w:type="auto"/>
        <w:jc w:val="left"/>
        <w:tblInd w:w="1113" w:type="dxa"/>
        <w:tblLayout w:type="fixed"/>
        <w:tblCellMar>
          <w:top w:w="0" w:type="dxa"/>
          <w:left w:w="0" w:type="dxa"/>
          <w:bottom w:w="0" w:type="dxa"/>
          <w:right w:w="0" w:type="dxa"/>
        </w:tblCellMar>
        <w:tblLook w:val="01E0"/>
      </w:tblPr>
      <w:tblGrid>
        <w:gridCol w:w="1481"/>
        <w:gridCol w:w="1520"/>
        <w:gridCol w:w="3540"/>
        <w:gridCol w:w="1980"/>
        <w:gridCol w:w="1399"/>
      </w:tblGrid>
      <w:tr>
        <w:trPr>
          <w:trHeight w:val="322" w:hRule="exact"/>
        </w:trPr>
        <w:tc>
          <w:tcPr>
            <w:tcW w:w="14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4"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股权取得方式</w:t>
            </w:r>
          </w:p>
        </w:tc>
        <w:tc>
          <w:tcPr>
            <w:tcW w:w="3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股权取得时点</w:t>
            </w:r>
          </w:p>
        </w:tc>
        <w:tc>
          <w:tcPr>
            <w:tcW w:w="19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444"/>
              <w:jc w:val="right"/>
              <w:rPr>
                <w:rFonts w:ascii="宋体" w:hAnsi="宋体" w:cs="宋体" w:eastAsia="宋体" w:hint="default"/>
                <w:sz w:val="18"/>
                <w:szCs w:val="18"/>
              </w:rPr>
            </w:pPr>
            <w:r>
              <w:rPr>
                <w:rFonts w:ascii="宋体" w:hAnsi="宋体" w:cs="宋体" w:eastAsia="宋体" w:hint="default"/>
                <w:sz w:val="18"/>
                <w:szCs w:val="18"/>
              </w:rPr>
              <w:t>出资额（元）</w:t>
            </w:r>
          </w:p>
        </w:tc>
        <w:tc>
          <w:tcPr>
            <w:tcW w:w="13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33" w:right="0"/>
              <w:jc w:val="left"/>
              <w:rPr>
                <w:rFonts w:ascii="宋体" w:hAnsi="宋体" w:cs="宋体" w:eastAsia="宋体" w:hint="default"/>
                <w:sz w:val="18"/>
                <w:szCs w:val="18"/>
              </w:rPr>
            </w:pPr>
            <w:r>
              <w:rPr>
                <w:rFonts w:ascii="宋体" w:hAnsi="宋体" w:cs="宋体" w:eastAsia="宋体" w:hint="default"/>
                <w:sz w:val="18"/>
                <w:szCs w:val="18"/>
              </w:rPr>
              <w:t>出资比例</w:t>
            </w:r>
          </w:p>
        </w:tc>
      </w:tr>
      <w:tr>
        <w:trPr>
          <w:trHeight w:val="634" w:hRule="exact"/>
        </w:trPr>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94" w:right="105" w:hanging="90"/>
              <w:jc w:val="left"/>
              <w:rPr>
                <w:rFonts w:ascii="宋体" w:hAnsi="宋体" w:cs="宋体" w:eastAsia="宋体" w:hint="default"/>
                <w:sz w:val="18"/>
                <w:szCs w:val="18"/>
              </w:rPr>
            </w:pPr>
            <w:r>
              <w:rPr>
                <w:rFonts w:ascii="宋体" w:hAnsi="宋体" w:cs="宋体" w:eastAsia="宋体" w:hint="default"/>
                <w:sz w:val="18"/>
                <w:szCs w:val="18"/>
              </w:rPr>
              <w:t>武汉浩立威保安 服务有限公司</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新设</w:t>
            </w:r>
          </w:p>
        </w:tc>
        <w:tc>
          <w:tcPr>
            <w:tcW w:w="3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512"/>
              <w:jc w:val="right"/>
              <w:rPr>
                <w:rFonts w:ascii="Times New Roman" w:hAnsi="Times New Roman" w:cs="Times New Roman" w:eastAsia="Times New Roman" w:hint="default"/>
                <w:sz w:val="18"/>
                <w:szCs w:val="18"/>
              </w:rPr>
            </w:pPr>
            <w:r>
              <w:rPr>
                <w:rFonts w:ascii="Times New Roman"/>
                <w:spacing w:val="-1"/>
                <w:sz w:val="18"/>
              </w:rPr>
              <w:t>2,000,000.00</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71" w:right="0"/>
              <w:jc w:val="left"/>
              <w:rPr>
                <w:rFonts w:ascii="Times New Roman" w:hAnsi="Times New Roman" w:cs="Times New Roman" w:eastAsia="Times New Roman" w:hint="default"/>
                <w:sz w:val="18"/>
                <w:szCs w:val="18"/>
              </w:rPr>
            </w:pPr>
            <w:r>
              <w:rPr>
                <w:rFonts w:ascii="Times New Roman"/>
                <w:sz w:val="18"/>
              </w:rPr>
              <w:t>100.00%</w:t>
            </w:r>
          </w:p>
        </w:tc>
      </w:tr>
    </w:tbl>
    <w:p>
      <w:pPr>
        <w:spacing w:after="0" w:line="240" w:lineRule="auto"/>
        <w:jc w:val="left"/>
        <w:rPr>
          <w:rFonts w:ascii="Times New Roman" w:hAnsi="Times New Roman" w:cs="Times New Roman" w:eastAsia="Times New Roman" w:hint="default"/>
          <w:sz w:val="18"/>
          <w:szCs w:val="18"/>
        </w:rPr>
        <w:sectPr>
          <w:pgSz w:w="11910" w:h="16840"/>
          <w:pgMar w:header="787" w:footer="640" w:top="1100" w:bottom="840" w:left="0" w:right="0"/>
        </w:sectPr>
      </w:pPr>
    </w:p>
    <w:p>
      <w:pPr>
        <w:spacing w:line="240" w:lineRule="auto" w:before="7"/>
        <w:rPr>
          <w:rFonts w:ascii="宋体" w:hAnsi="宋体" w:cs="宋体" w:eastAsia="宋体" w:hint="default"/>
          <w:sz w:val="27"/>
          <w:szCs w:val="27"/>
        </w:rPr>
      </w:pPr>
    </w:p>
    <w:p>
      <w:pPr>
        <w:pStyle w:val="Heading3"/>
        <w:spacing w:line="240" w:lineRule="auto" w:before="35"/>
        <w:ind w:right="0"/>
        <w:jc w:val="left"/>
        <w:rPr>
          <w:b w:val="0"/>
          <w:bCs w:val="0"/>
        </w:rPr>
      </w:pPr>
      <w:bookmarkStart w:name="2、同一控制下企业合并" w:id="406"/>
      <w:bookmarkEnd w:id="406"/>
      <w:r>
        <w:rPr>
          <w:b w:val="0"/>
          <w:bCs w:val="0"/>
        </w:rPr>
      </w:r>
      <w:r>
        <w:rPr>
          <w:rFonts w:ascii="Times New Roman" w:hAnsi="Times New Roman" w:cs="Times New Roman" w:eastAsia="Times New Roman" w:hint="default"/>
        </w:rPr>
        <w:t>2</w:t>
      </w:r>
      <w:r>
        <w:rPr/>
        <w:t>、同一控制下企业合并</w:t>
      </w:r>
      <w:r>
        <w:rPr>
          <w:b w:val="0"/>
          <w:bCs w:val="0"/>
        </w:rPr>
      </w:r>
    </w:p>
    <w:p>
      <w:pPr>
        <w:spacing w:line="240" w:lineRule="auto" w:before="0"/>
        <w:rPr>
          <w:rFonts w:ascii="宋体" w:hAnsi="宋体" w:cs="宋体" w:eastAsia="宋体" w:hint="default"/>
          <w:b/>
          <w:bCs/>
          <w:sz w:val="22"/>
          <w:szCs w:val="22"/>
        </w:rPr>
      </w:pPr>
    </w:p>
    <w:p>
      <w:pPr>
        <w:pStyle w:val="Heading3"/>
        <w:spacing w:line="240" w:lineRule="auto" w:before="189"/>
        <w:ind w:right="0"/>
        <w:jc w:val="left"/>
        <w:rPr>
          <w:b w:val="0"/>
          <w:bCs w:val="0"/>
        </w:rPr>
      </w:pPr>
      <w:bookmarkStart w:name="（1）本期发生的同一控制下企业合并" w:id="407"/>
      <w:bookmarkEnd w:id="407"/>
      <w:r>
        <w:rPr>
          <w:b w:val="0"/>
          <w:bCs w:val="0"/>
        </w:rPr>
      </w:r>
      <w:r>
        <w:rPr/>
        <w:t>（</w:t>
      </w:r>
      <w:r>
        <w:rPr>
          <w:rFonts w:ascii="Times New Roman" w:hAnsi="Times New Roman" w:cs="Times New Roman" w:eastAsia="Times New Roman" w:hint="default"/>
        </w:rPr>
        <w:t>1</w:t>
      </w:r>
      <w:r>
        <w:rPr/>
        <w:t>）本期发生的同一控制下企业合并</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pStyle w:val="BodyText"/>
        <w:spacing w:line="240" w:lineRule="auto"/>
        <w:ind w:right="0"/>
        <w:jc w:val="left"/>
      </w:pPr>
      <w:r>
        <w:rPr/>
        <w:t>不适用</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0"/>
          <w:szCs w:val="20"/>
        </w:rPr>
      </w:pPr>
    </w:p>
    <w:p>
      <w:pPr>
        <w:pStyle w:val="Heading3"/>
        <w:spacing w:line="240" w:lineRule="auto"/>
        <w:ind w:right="0"/>
        <w:jc w:val="left"/>
        <w:rPr>
          <w:b w:val="0"/>
          <w:bCs w:val="0"/>
        </w:rPr>
      </w:pPr>
      <w:bookmarkStart w:name="（2）合并成本" w:id="408"/>
      <w:bookmarkEnd w:id="408"/>
      <w:r>
        <w:rPr>
          <w:b w:val="0"/>
          <w:bCs w:val="0"/>
        </w:rPr>
      </w:r>
      <w:r>
        <w:rPr/>
        <w:t>（</w:t>
      </w:r>
      <w:r>
        <w:rPr>
          <w:rFonts w:ascii="Times New Roman" w:hAnsi="Times New Roman" w:cs="Times New Roman" w:eastAsia="Times New Roman" w:hint="default"/>
        </w:rPr>
        <w:t>2</w:t>
      </w:r>
      <w:r>
        <w:rPr/>
        <w:t>）合并成本</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pStyle w:val="BodyText"/>
        <w:spacing w:line="240" w:lineRule="auto"/>
        <w:ind w:right="0"/>
        <w:jc w:val="left"/>
      </w:pPr>
      <w:r>
        <w:rPr/>
        <w:t>不适用</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0"/>
          <w:szCs w:val="20"/>
        </w:rPr>
      </w:pPr>
    </w:p>
    <w:p>
      <w:pPr>
        <w:pStyle w:val="Heading3"/>
        <w:spacing w:line="240" w:lineRule="auto"/>
        <w:ind w:right="0"/>
        <w:jc w:val="left"/>
        <w:rPr>
          <w:b w:val="0"/>
          <w:bCs w:val="0"/>
        </w:rPr>
      </w:pPr>
      <w:bookmarkStart w:name="（3）合并日被合并方资产、负债的账面价值" w:id="409"/>
      <w:bookmarkEnd w:id="409"/>
      <w:r>
        <w:rPr>
          <w:b w:val="0"/>
          <w:bCs w:val="0"/>
        </w:rPr>
      </w:r>
      <w:r>
        <w:rPr/>
        <w:t>（</w:t>
      </w:r>
      <w:r>
        <w:rPr>
          <w:rFonts w:ascii="Times New Roman" w:hAnsi="Times New Roman" w:cs="Times New Roman" w:eastAsia="Times New Roman" w:hint="default"/>
        </w:rPr>
        <w:t>3</w:t>
      </w:r>
      <w:r>
        <w:rPr/>
        <w:t>）合并日被合并方资产、负债的账面价值</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pStyle w:val="BodyText"/>
        <w:spacing w:line="240" w:lineRule="auto"/>
        <w:ind w:right="0"/>
        <w:jc w:val="left"/>
      </w:pPr>
      <w:r>
        <w:rPr/>
        <w:t>不适用</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0"/>
          <w:szCs w:val="20"/>
        </w:rPr>
      </w:pPr>
    </w:p>
    <w:p>
      <w:pPr>
        <w:pStyle w:val="Heading3"/>
        <w:spacing w:line="240" w:lineRule="auto"/>
        <w:ind w:right="0"/>
        <w:jc w:val="left"/>
        <w:rPr>
          <w:b w:val="0"/>
          <w:bCs w:val="0"/>
        </w:rPr>
      </w:pPr>
      <w:bookmarkStart w:name="3、反向购买" w:id="410"/>
      <w:bookmarkEnd w:id="410"/>
      <w:r>
        <w:rPr>
          <w:b w:val="0"/>
          <w:bCs w:val="0"/>
        </w:rPr>
      </w:r>
      <w:r>
        <w:rPr>
          <w:rFonts w:ascii="Times New Roman" w:hAnsi="Times New Roman" w:cs="Times New Roman" w:eastAsia="Times New Roman" w:hint="default"/>
        </w:rPr>
        <w:t>3</w:t>
      </w:r>
      <w:r>
        <w:rPr/>
        <w:t>、反向购买</w:t>
      </w:r>
      <w:r>
        <w:rPr>
          <w:b w:val="0"/>
          <w:bCs w:val="0"/>
        </w:rPr>
      </w:r>
    </w:p>
    <w:p>
      <w:pPr>
        <w:spacing w:line="240" w:lineRule="auto" w:before="0"/>
        <w:rPr>
          <w:rFonts w:ascii="宋体" w:hAnsi="宋体" w:cs="宋体" w:eastAsia="宋体" w:hint="default"/>
          <w:b/>
          <w:bCs/>
          <w:sz w:val="22"/>
          <w:szCs w:val="22"/>
        </w:rPr>
      </w:pPr>
    </w:p>
    <w:p>
      <w:pPr>
        <w:spacing w:line="240" w:lineRule="auto" w:before="5"/>
        <w:rPr>
          <w:rFonts w:ascii="宋体" w:hAnsi="宋体" w:cs="宋体" w:eastAsia="宋体" w:hint="default"/>
          <w:b/>
          <w:bCs/>
          <w:sz w:val="16"/>
          <w:szCs w:val="16"/>
        </w:rPr>
      </w:pPr>
    </w:p>
    <w:p>
      <w:pPr>
        <w:pStyle w:val="BodyText"/>
        <w:spacing w:line="477" w:lineRule="auto"/>
        <w:ind w:right="0"/>
        <w:jc w:val="left"/>
      </w:pPr>
      <w:r>
        <w:rPr>
          <w:spacing w:val="-2"/>
        </w:rPr>
        <w:t>交易基本信息、交易构成反向购买的依据、上市公司保留的资产、负债是否构成业务及其依据、合并成本的确定、按照权益</w:t>
      </w:r>
      <w:r>
        <w:rPr>
          <w:spacing w:val="-66"/>
        </w:rPr>
        <w:t> </w:t>
      </w:r>
      <w:r>
        <w:rPr>
          <w:spacing w:val="-66"/>
        </w:rPr>
      </w:r>
      <w:r>
        <w:rPr/>
        <w:t>性交易处理时调整权益的金额及其计算：</w:t>
      </w:r>
    </w:p>
    <w:p>
      <w:pPr>
        <w:spacing w:line="240" w:lineRule="auto" w:before="1"/>
        <w:rPr>
          <w:rFonts w:ascii="宋体" w:hAnsi="宋体" w:cs="宋体" w:eastAsia="宋体" w:hint="default"/>
          <w:sz w:val="25"/>
          <w:szCs w:val="25"/>
        </w:rPr>
      </w:pPr>
    </w:p>
    <w:p>
      <w:pPr>
        <w:pStyle w:val="Heading3"/>
        <w:spacing w:line="240" w:lineRule="auto"/>
        <w:ind w:left="1133" w:right="0"/>
        <w:jc w:val="left"/>
        <w:rPr>
          <w:b w:val="0"/>
          <w:bCs w:val="0"/>
        </w:rPr>
      </w:pPr>
      <w:bookmarkStart w:name="4、处置子公司" w:id="411"/>
      <w:bookmarkEnd w:id="411"/>
      <w:r>
        <w:rPr>
          <w:b w:val="0"/>
          <w:bCs w:val="0"/>
        </w:rPr>
      </w:r>
      <w:r>
        <w:rPr>
          <w:rFonts w:ascii="Times New Roman" w:hAnsi="Times New Roman" w:cs="Times New Roman" w:eastAsia="Times New Roman" w:hint="default"/>
        </w:rPr>
        <w:t>4</w:t>
      </w:r>
      <w:r>
        <w:rPr/>
        <w:t>、处置子公司</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pStyle w:val="BodyText"/>
        <w:spacing w:line="240" w:lineRule="auto"/>
        <w:ind w:left="1133" w:right="0"/>
        <w:jc w:val="left"/>
      </w:pPr>
      <w:r>
        <w:rPr/>
        <w:t>是否存在单次处置对子公司投资即丧失控制权的情形</w:t>
      </w:r>
    </w:p>
    <w:p>
      <w:pPr>
        <w:spacing w:line="240" w:lineRule="auto" w:before="10"/>
        <w:rPr>
          <w:rFonts w:ascii="宋体" w:hAnsi="宋体" w:cs="宋体" w:eastAsia="宋体" w:hint="default"/>
          <w:sz w:val="20"/>
          <w:szCs w:val="20"/>
        </w:rPr>
      </w:pPr>
    </w:p>
    <w:p>
      <w:pPr>
        <w:pStyle w:val="BodyText"/>
        <w:spacing w:line="489" w:lineRule="auto"/>
        <w:ind w:left="1133" w:right="499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是否存在通过多次交易分步处置对子公司投资且在本期丧失控制权的情形</w:t>
      </w:r>
    </w:p>
    <w:p>
      <w:pPr>
        <w:pStyle w:val="BodyText"/>
        <w:spacing w:line="240" w:lineRule="auto" w:before="85"/>
        <w:ind w:left="1133"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9"/>
          <w:szCs w:val="19"/>
        </w:rPr>
      </w:pPr>
    </w:p>
    <w:p>
      <w:pPr>
        <w:pStyle w:val="Heading3"/>
        <w:spacing w:line="240" w:lineRule="auto"/>
        <w:ind w:left="1133" w:right="0"/>
        <w:jc w:val="left"/>
        <w:rPr>
          <w:b w:val="0"/>
          <w:bCs w:val="0"/>
        </w:rPr>
      </w:pPr>
      <w:bookmarkStart w:name="5、其他原因的合并范围变动" w:id="412"/>
      <w:bookmarkEnd w:id="412"/>
      <w:r>
        <w:rPr>
          <w:b w:val="0"/>
          <w:bCs w:val="0"/>
        </w:rPr>
      </w:r>
      <w:r>
        <w:rPr>
          <w:rFonts w:ascii="Times New Roman" w:hAnsi="Times New Roman" w:cs="Times New Roman" w:eastAsia="Times New Roman" w:hint="default"/>
        </w:rPr>
        <w:t>5</w:t>
      </w:r>
      <w:r>
        <w:rPr/>
        <w:t>、其他原因的合并范围变动</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pStyle w:val="BodyText"/>
        <w:spacing w:line="240" w:lineRule="auto"/>
        <w:ind w:left="1133" w:right="0"/>
        <w:jc w:val="left"/>
      </w:pPr>
      <w:r>
        <w:rPr/>
        <w:t>不适用</w:t>
      </w:r>
    </w:p>
    <w:p>
      <w:pPr>
        <w:spacing w:after="0" w:line="240" w:lineRule="auto"/>
        <w:jc w:val="left"/>
        <w:sectPr>
          <w:pgSz w:w="11910" w:h="16840"/>
          <w:pgMar w:header="787" w:footer="640" w:top="1100" w:bottom="840" w:left="0" w:right="0"/>
        </w:sectPr>
      </w:pPr>
    </w:p>
    <w:p>
      <w:pPr>
        <w:spacing w:line="240" w:lineRule="auto" w:before="7"/>
        <w:rPr>
          <w:rFonts w:ascii="宋体" w:hAnsi="宋体" w:cs="宋体" w:eastAsia="宋体" w:hint="default"/>
          <w:sz w:val="21"/>
          <w:szCs w:val="21"/>
        </w:rPr>
      </w:pPr>
    </w:p>
    <w:p>
      <w:pPr>
        <w:spacing w:line="487" w:lineRule="auto" w:before="35"/>
        <w:ind w:left="1133" w:right="7692" w:firstLine="0"/>
        <w:jc w:val="left"/>
        <w:rPr>
          <w:rFonts w:ascii="宋体" w:hAnsi="宋体" w:cs="宋体" w:eastAsia="宋体" w:hint="default"/>
          <w:sz w:val="21"/>
          <w:szCs w:val="21"/>
        </w:rPr>
      </w:pPr>
      <w:bookmarkStart w:name="6、其他" w:id="413"/>
      <w:bookmarkEnd w:id="413"/>
      <w:r>
        <w:rPr/>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九、在其他主体中的权益" w:id="414"/>
      <w:bookmarkEnd w:id="414"/>
      <w:r>
        <w:rPr>
          <w:rFonts w:ascii="宋体" w:hAnsi="宋体" w:cs="宋体" w:eastAsia="宋体" w:hint="default"/>
          <w:b/>
          <w:bCs/>
          <w:spacing w:val="1"/>
          <w:w w:val="99"/>
          <w:sz w:val="21"/>
          <w:szCs w:val="21"/>
        </w:rPr>
      </w:r>
      <w:r>
        <w:rPr>
          <w:rFonts w:ascii="宋体" w:hAnsi="宋体" w:cs="宋体" w:eastAsia="宋体" w:hint="default"/>
          <w:b/>
          <w:bCs/>
          <w:w w:val="95"/>
          <w:sz w:val="24"/>
          <w:szCs w:val="24"/>
        </w:rPr>
        <w:t>九、在其他主体中的权益</w:t>
      </w:r>
      <w:r>
        <w:rPr>
          <w:rFonts w:ascii="宋体" w:hAnsi="宋体" w:cs="宋体" w:eastAsia="宋体" w:hint="default"/>
          <w:b/>
          <w:bCs/>
          <w:spacing w:val="7"/>
          <w:w w:val="95"/>
          <w:sz w:val="24"/>
          <w:szCs w:val="24"/>
        </w:rPr>
        <w:t> </w:t>
      </w:r>
      <w:r>
        <w:rPr>
          <w:rFonts w:ascii="宋体" w:hAnsi="宋体" w:cs="宋体" w:eastAsia="宋体" w:hint="default"/>
          <w:b/>
          <w:bCs/>
          <w:spacing w:val="7"/>
          <w:w w:val="95"/>
          <w:sz w:val="24"/>
          <w:szCs w:val="24"/>
        </w:rPr>
      </w:r>
      <w:bookmarkStart w:name="1、在子公司中的权益" w:id="415"/>
      <w:bookmarkEnd w:id="415"/>
      <w:r>
        <w:rPr>
          <w:rFonts w:ascii="宋体" w:hAnsi="宋体" w:cs="宋体" w:eastAsia="宋体" w:hint="default"/>
          <w:b/>
          <w:bCs/>
          <w:spacing w:val="7"/>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、在子公司中的权益</w:t>
      </w:r>
      <w:r>
        <w:rPr>
          <w:rFonts w:ascii="宋体" w:hAnsi="宋体" w:cs="宋体" w:eastAsia="宋体" w:hint="default"/>
          <w:sz w:val="21"/>
          <w:szCs w:val="21"/>
        </w:rPr>
      </w:r>
    </w:p>
    <w:p>
      <w:pPr>
        <w:pStyle w:val="Heading3"/>
        <w:spacing w:line="240" w:lineRule="auto" w:before="83"/>
        <w:ind w:left="1133" w:right="0"/>
        <w:jc w:val="left"/>
        <w:rPr>
          <w:b w:val="0"/>
          <w:bCs w:val="0"/>
        </w:rPr>
      </w:pPr>
      <w:bookmarkStart w:name="（1）企业集团的构成" w:id="416"/>
      <w:bookmarkEnd w:id="416"/>
      <w:r>
        <w:rPr>
          <w:b w:val="0"/>
          <w:bCs w:val="0"/>
        </w:rPr>
      </w:r>
      <w:r>
        <w:rPr/>
        <w:t>（</w:t>
      </w:r>
      <w:r>
        <w:rPr>
          <w:rFonts w:ascii="Times New Roman" w:hAnsi="Times New Roman" w:cs="Times New Roman" w:eastAsia="Times New Roman" w:hint="default"/>
        </w:rPr>
        <w:t>1</w:t>
      </w:r>
      <w:r>
        <w:rPr/>
        <w:t>）企业集团的构成</w:t>
      </w:r>
      <w:r>
        <w:rPr>
          <w:b w:val="0"/>
          <w:bCs w:val="0"/>
        </w:rPr>
      </w:r>
    </w:p>
    <w:p>
      <w:pPr>
        <w:spacing w:line="240" w:lineRule="auto" w:before="10"/>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402" w:hRule="exact"/>
        </w:trPr>
        <w:tc>
          <w:tcPr>
            <w:tcW w:w="13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1" w:hRule="exact"/>
        </w:trPr>
        <w:tc>
          <w:tcPr>
            <w:tcW w:w="1372"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广州市浩云安防 设备有限公司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广州市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广州市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广州市苏瑞计算 机科技有限公司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广州市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广州市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软件业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both"/>
              <w:rPr>
                <w:rFonts w:ascii="宋体" w:hAnsi="宋体" w:cs="宋体" w:eastAsia="宋体" w:hint="default"/>
                <w:sz w:val="18"/>
                <w:szCs w:val="18"/>
              </w:rPr>
            </w:pPr>
            <w:r>
              <w:rPr>
                <w:rFonts w:ascii="宋体" w:hAnsi="宋体" w:cs="宋体" w:eastAsia="宋体" w:hint="default"/>
                <w:sz w:val="18"/>
                <w:szCs w:val="18"/>
              </w:rPr>
              <w:t>重庆浩云公共安 全物联网技术有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重庆市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重庆市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技术服务业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广州浩昀宏信息 技术有限公司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广州市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广州市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2"/>
              <w:jc w:val="left"/>
              <w:rPr>
                <w:rFonts w:ascii="宋体" w:hAnsi="宋体" w:cs="宋体" w:eastAsia="宋体" w:hint="default"/>
                <w:sz w:val="18"/>
                <w:szCs w:val="18"/>
              </w:rPr>
            </w:pPr>
            <w:r>
              <w:rPr>
                <w:rFonts w:ascii="宋体" w:hAnsi="宋体" w:cs="宋体" w:eastAsia="宋体" w:hint="default"/>
                <w:sz w:val="18"/>
                <w:szCs w:val="18"/>
              </w:rPr>
              <w:t>软件开发及技术 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51.00%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77"/>
              <w:jc w:val="both"/>
              <w:rPr>
                <w:rFonts w:ascii="宋体" w:hAnsi="宋体" w:cs="宋体" w:eastAsia="宋体" w:hint="default"/>
                <w:sz w:val="18"/>
                <w:szCs w:val="18"/>
              </w:rPr>
            </w:pPr>
            <w:r>
              <w:rPr>
                <w:rFonts w:ascii="宋体" w:hAnsi="宋体" w:cs="宋体" w:eastAsia="宋体" w:hint="default"/>
                <w:sz w:val="18"/>
                <w:szCs w:val="18"/>
              </w:rPr>
              <w:t>广州市浩耘元鸿 信息技术有限公 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广州市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广州市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9" w:lineRule="auto"/>
              <w:ind w:left="22" w:right="72"/>
              <w:jc w:val="left"/>
              <w:rPr>
                <w:rFonts w:ascii="宋体" w:hAnsi="宋体" w:cs="宋体" w:eastAsia="宋体" w:hint="default"/>
                <w:sz w:val="18"/>
                <w:szCs w:val="18"/>
              </w:rPr>
            </w:pPr>
            <w:r>
              <w:rPr>
                <w:rFonts w:ascii="宋体" w:hAnsi="宋体" w:cs="宋体" w:eastAsia="宋体" w:hint="default"/>
                <w:sz w:val="18"/>
                <w:szCs w:val="18"/>
              </w:rPr>
              <w:t>软件开发及技术 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西藏浩云创业投 资有限公司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西藏</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西藏</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创业投资</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武汉浩立威保安 服务有限公司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武汉市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武汉市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安保服务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5"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深圳市润安科技 发展有限公司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2"/>
              <w:jc w:val="left"/>
              <w:rPr>
                <w:rFonts w:ascii="宋体" w:hAnsi="宋体" w:cs="宋体" w:eastAsia="宋体" w:hint="default"/>
                <w:sz w:val="18"/>
                <w:szCs w:val="18"/>
              </w:rPr>
            </w:pPr>
            <w:r>
              <w:rPr>
                <w:rFonts w:ascii="宋体" w:hAnsi="宋体" w:cs="宋体" w:eastAsia="宋体" w:hint="default"/>
                <w:sz w:val="18"/>
                <w:szCs w:val="18"/>
              </w:rPr>
              <w:t>信息系统集成服 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51.00%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bl>
    <w:p>
      <w:pPr>
        <w:pStyle w:val="BodyText"/>
        <w:spacing w:line="360" w:lineRule="auto" w:before="51"/>
        <w:ind w:left="1133" w:right="2833"/>
        <w:jc w:val="left"/>
      </w:pPr>
      <w:r>
        <w:rPr/>
        <w:t>在子公司的持股比例不同于表决权比例的说明： 持有半数或以下表决权但仍控制被投资单位、以及持有半数以上表决权但不控制被投资单位的依据： 对于纳入合并范围的重要的结构化主体，控制的依据：</w:t>
      </w:r>
    </w:p>
    <w:p>
      <w:pPr>
        <w:pStyle w:val="BodyText"/>
        <w:spacing w:line="357" w:lineRule="auto" w:before="26"/>
        <w:ind w:right="7692"/>
        <w:jc w:val="left"/>
      </w:pPr>
      <w:r>
        <w:rPr/>
        <w:t>确定公司是代理人还是委托人的依据： 其他说明：</w:t>
      </w:r>
    </w:p>
    <w:p>
      <w:pPr>
        <w:pStyle w:val="BodyText"/>
        <w:spacing w:line="240" w:lineRule="auto" w:before="28"/>
        <w:ind w:right="0"/>
        <w:jc w:val="left"/>
      </w:pPr>
      <w:r>
        <w:rPr/>
        <w:t>截至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日，本公司对广州浩昀宏信息技术有限公司和广州市浩耘元鸿信息技术有限公司均尚未出资。</w:t>
      </w:r>
    </w:p>
    <w:p>
      <w:pPr>
        <w:spacing w:line="240" w:lineRule="auto" w:before="11"/>
        <w:rPr>
          <w:rFonts w:ascii="宋体" w:hAnsi="宋体" w:cs="宋体" w:eastAsia="宋体" w:hint="default"/>
          <w:sz w:val="25"/>
          <w:szCs w:val="25"/>
        </w:rPr>
      </w:pPr>
    </w:p>
    <w:p>
      <w:pPr>
        <w:pStyle w:val="Heading3"/>
        <w:spacing w:line="240" w:lineRule="auto"/>
        <w:ind w:left="1133" w:right="0"/>
        <w:jc w:val="left"/>
        <w:rPr>
          <w:b w:val="0"/>
          <w:bCs w:val="0"/>
        </w:rPr>
      </w:pPr>
      <w:bookmarkStart w:name="（2）重要的非全资子公司" w:id="417"/>
      <w:bookmarkEnd w:id="417"/>
      <w:r>
        <w:rPr>
          <w:b w:val="0"/>
          <w:bCs w:val="0"/>
        </w:rPr>
      </w:r>
      <w:r>
        <w:rPr/>
        <w:t>（</w:t>
      </w:r>
      <w:r>
        <w:rPr>
          <w:rFonts w:ascii="Times New Roman" w:hAnsi="Times New Roman" w:cs="Times New Roman" w:eastAsia="Times New Roman" w:hint="default"/>
        </w:rPr>
        <w:t>2</w:t>
      </w:r>
      <w:r>
        <w:rPr/>
        <w:t>）重要的非全资子公司</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917"/>
        <w:gridCol w:w="1914"/>
        <w:gridCol w:w="1914"/>
        <w:gridCol w:w="1913"/>
        <w:gridCol w:w="1913"/>
      </w:tblGrid>
      <w:tr>
        <w:trPr>
          <w:trHeight w:val="764" w:hRule="exact"/>
        </w:trPr>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503"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76"/>
              <w:ind w:left="771" w:right="50" w:hanging="720"/>
              <w:jc w:val="left"/>
              <w:rPr>
                <w:rFonts w:ascii="宋体" w:hAnsi="宋体" w:cs="宋体" w:eastAsia="宋体" w:hint="default"/>
                <w:sz w:val="18"/>
                <w:szCs w:val="18"/>
              </w:rPr>
            </w:pPr>
            <w:r>
              <w:rPr>
                <w:rFonts w:ascii="宋体" w:hAnsi="宋体" w:cs="宋体" w:eastAsia="宋体" w:hint="default"/>
                <w:sz w:val="18"/>
                <w:szCs w:val="18"/>
              </w:rPr>
              <w:t>本期归属于少数股东的 损益</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76"/>
              <w:ind w:left="591" w:right="51" w:hanging="540"/>
              <w:jc w:val="left"/>
              <w:rPr>
                <w:rFonts w:ascii="宋体" w:hAnsi="宋体" w:cs="宋体" w:eastAsia="宋体" w:hint="default"/>
                <w:sz w:val="18"/>
                <w:szCs w:val="18"/>
              </w:rPr>
            </w:pPr>
            <w:r>
              <w:rPr>
                <w:rFonts w:ascii="宋体" w:hAnsi="宋体" w:cs="宋体" w:eastAsia="宋体" w:hint="default"/>
                <w:sz w:val="18"/>
                <w:szCs w:val="18"/>
              </w:rPr>
              <w:t>本期向少数股东宣告分 派的股利</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51" w:right="0"/>
              <w:jc w:val="left"/>
              <w:rPr>
                <w:rFonts w:ascii="宋体" w:hAnsi="宋体" w:cs="宋体" w:eastAsia="宋体" w:hint="default"/>
                <w:sz w:val="18"/>
                <w:szCs w:val="18"/>
              </w:rPr>
            </w:pPr>
            <w:r>
              <w:rPr>
                <w:rFonts w:ascii="宋体" w:hAnsi="宋体" w:cs="宋体" w:eastAsia="宋体" w:hint="default"/>
                <w:sz w:val="18"/>
                <w:szCs w:val="18"/>
              </w:rPr>
              <w:t>期末少数股东权益余额</w:t>
            </w:r>
          </w:p>
        </w:tc>
      </w:tr>
    </w:tbl>
    <w:p>
      <w:pPr>
        <w:spacing w:after="0" w:line="240" w:lineRule="auto"/>
        <w:jc w:val="left"/>
        <w:rPr>
          <w:rFonts w:ascii="宋体" w:hAnsi="宋体" w:cs="宋体" w:eastAsia="宋体" w:hint="default"/>
          <w:sz w:val="18"/>
          <w:szCs w:val="18"/>
        </w:rPr>
        <w:sectPr>
          <w:pgSz w:w="11910" w:h="16840"/>
          <w:pgMar w:header="787" w:footer="640" w:top="1100" w:bottom="840" w:left="0" w:right="0"/>
        </w:sectPr>
      </w:pPr>
    </w:p>
    <w:p>
      <w:pPr>
        <w:spacing w:line="240" w:lineRule="auto" w:before="5"/>
        <w:rPr>
          <w:rFonts w:ascii="宋体" w:hAnsi="宋体" w:cs="宋体" w:eastAsia="宋体" w:hint="default"/>
          <w:sz w:val="25"/>
          <w:szCs w:val="25"/>
        </w:rPr>
      </w:pPr>
    </w:p>
    <w:tbl>
      <w:tblPr>
        <w:tblW w:w="0" w:type="auto"/>
        <w:jc w:val="left"/>
        <w:tblInd w:w="1129" w:type="dxa"/>
        <w:tblLayout w:type="fixed"/>
        <w:tblCellMar>
          <w:top w:w="0" w:type="dxa"/>
          <w:left w:w="0" w:type="dxa"/>
          <w:bottom w:w="0" w:type="dxa"/>
          <w:right w:w="0" w:type="dxa"/>
        </w:tblCellMar>
        <w:tblLook w:val="01E0"/>
      </w:tblPr>
      <w:tblGrid>
        <w:gridCol w:w="1917"/>
        <w:gridCol w:w="1914"/>
        <w:gridCol w:w="1914"/>
        <w:gridCol w:w="1913"/>
        <w:gridCol w:w="1913"/>
      </w:tblGrid>
      <w:tr>
        <w:trPr>
          <w:trHeight w:val="714"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2"/>
              <w:jc w:val="left"/>
              <w:rPr>
                <w:rFonts w:ascii="宋体" w:hAnsi="宋体" w:cs="宋体" w:eastAsia="宋体" w:hint="default"/>
                <w:sz w:val="18"/>
                <w:szCs w:val="18"/>
              </w:rPr>
            </w:pPr>
            <w:r>
              <w:rPr>
                <w:rFonts w:ascii="宋体" w:hAnsi="宋体" w:cs="宋体" w:eastAsia="宋体" w:hint="default"/>
                <w:sz w:val="18"/>
                <w:szCs w:val="18"/>
              </w:rPr>
              <w:t>深圳市润安科技发展有 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49.00%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36" w:right="0"/>
              <w:jc w:val="left"/>
              <w:rPr>
                <w:rFonts w:ascii="Times New Roman" w:hAnsi="Times New Roman" w:cs="Times New Roman" w:eastAsia="Times New Roman" w:hint="default"/>
                <w:sz w:val="18"/>
                <w:szCs w:val="18"/>
              </w:rPr>
            </w:pPr>
            <w:r>
              <w:rPr>
                <w:rFonts w:ascii="Times New Roman"/>
                <w:sz w:val="18"/>
              </w:rPr>
              <w:t>8,172,940.40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46" w:right="0"/>
              <w:jc w:val="left"/>
              <w:rPr>
                <w:rFonts w:ascii="Times New Roman" w:hAnsi="Times New Roman" w:cs="Times New Roman" w:eastAsia="Times New Roman" w:hint="default"/>
                <w:sz w:val="18"/>
                <w:szCs w:val="18"/>
              </w:rPr>
            </w:pPr>
            <w:r>
              <w:rPr>
                <w:rFonts w:ascii="Times New Roman"/>
                <w:sz w:val="18"/>
              </w:rPr>
              <w:t>33,980,554.58</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重要非全资子公司的主要财务信息" w:id="418"/>
      <w:bookmarkEnd w:id="418"/>
      <w:r>
        <w:rPr>
          <w:b w:val="0"/>
          <w:bCs w:val="0"/>
        </w:rPr>
      </w:r>
      <w:r>
        <w:rPr/>
        <w:t>（</w:t>
      </w:r>
      <w:r>
        <w:rPr>
          <w:rFonts w:ascii="Times New Roman" w:hAnsi="Times New Roman" w:cs="Times New Roman" w:eastAsia="Times New Roman" w:hint="default"/>
        </w:rPr>
        <w:t>3</w:t>
      </w:r>
      <w:r>
        <w:rPr/>
        <w:t>）重要非全资子公司的主要财务信息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736"/>
        <w:gridCol w:w="737"/>
        <w:gridCol w:w="736"/>
        <w:gridCol w:w="736"/>
        <w:gridCol w:w="737"/>
        <w:gridCol w:w="735"/>
        <w:gridCol w:w="736"/>
        <w:gridCol w:w="734"/>
        <w:gridCol w:w="736"/>
        <w:gridCol w:w="735"/>
        <w:gridCol w:w="737"/>
        <w:gridCol w:w="737"/>
        <w:gridCol w:w="736"/>
      </w:tblGrid>
      <w:tr>
        <w:trPr>
          <w:trHeight w:val="402" w:hRule="exact"/>
        </w:trPr>
        <w:tc>
          <w:tcPr>
            <w:tcW w:w="7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182" w:right="93" w:hanging="90"/>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4415"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14"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4" w:hRule="exact"/>
        </w:trPr>
        <w:tc>
          <w:tcPr>
            <w:tcW w:w="736" w:type="dxa"/>
            <w:vMerge/>
            <w:tcBorders>
              <w:left w:val="single" w:sz="4" w:space="0" w:color="000000"/>
              <w:bottom w:val="single" w:sz="4" w:space="0" w:color="000000"/>
              <w:right w:val="single" w:sz="4" w:space="0" w:color="000000"/>
            </w:tcBorders>
            <w:shd w:val="clear" w:color="auto" w:fill="D2D2D2"/>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82" w:right="91" w:hanging="90"/>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2" w:right="91"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82" w:right="90"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2"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2" w:right="90"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82" w:right="91" w:hanging="90"/>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2" w:right="90"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83" w:right="91"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2"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r>
      <w:tr>
        <w:trPr>
          <w:trHeight w:val="1650"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深圳市 润安科 技发展 有限公 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99,813,2</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19.65</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10,568,7</w:t>
            </w:r>
          </w:p>
          <w:p>
            <w:pPr>
              <w:pStyle w:val="TableParagraph"/>
              <w:spacing w:line="240" w:lineRule="auto" w:before="105"/>
              <w:ind w:left="304" w:right="0"/>
              <w:jc w:val="left"/>
              <w:rPr>
                <w:rFonts w:ascii="Times New Roman" w:hAnsi="Times New Roman" w:cs="Times New Roman" w:eastAsia="Times New Roman" w:hint="default"/>
                <w:sz w:val="18"/>
                <w:szCs w:val="18"/>
              </w:rPr>
            </w:pPr>
            <w:r>
              <w:rPr>
                <w:rFonts w:ascii="Times New Roman"/>
                <w:sz w:val="18"/>
              </w:rPr>
              <w:t>74.11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110,381,</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993.76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35,517,9</w:t>
            </w:r>
          </w:p>
          <w:p>
            <w:pPr>
              <w:pStyle w:val="TableParagraph"/>
              <w:spacing w:line="240" w:lineRule="auto" w:before="105"/>
              <w:ind w:left="300" w:right="0"/>
              <w:jc w:val="left"/>
              <w:rPr>
                <w:rFonts w:ascii="Times New Roman" w:hAnsi="Times New Roman" w:cs="Times New Roman" w:eastAsia="Times New Roman" w:hint="default"/>
                <w:sz w:val="18"/>
                <w:szCs w:val="18"/>
              </w:rPr>
            </w:pPr>
            <w:r>
              <w:rPr>
                <w:rFonts w:ascii="Times New Roman"/>
                <w:sz w:val="18"/>
              </w:rPr>
              <w:t>20.98</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5,516,00</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2.20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41,033,9</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23.18</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74,138,3</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28.71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9,984,83</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9.74</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84,123,1</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68.45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23,884,7</w:t>
            </w:r>
          </w:p>
          <w:p>
            <w:pPr>
              <w:pStyle w:val="TableParagraph"/>
              <w:spacing w:line="240" w:lineRule="auto" w:before="105"/>
              <w:ind w:left="300" w:right="0"/>
              <w:jc w:val="left"/>
              <w:rPr>
                <w:rFonts w:ascii="Times New Roman" w:hAnsi="Times New Roman" w:cs="Times New Roman" w:eastAsia="Times New Roman" w:hint="default"/>
                <w:sz w:val="18"/>
                <w:szCs w:val="18"/>
              </w:rPr>
            </w:pPr>
            <w:r>
              <w:rPr>
                <w:rFonts w:ascii="Times New Roman"/>
                <w:sz w:val="18"/>
              </w:rPr>
              <w:t>12.08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7,500,00</w:t>
            </w:r>
          </w:p>
          <w:p>
            <w:pPr>
              <w:pStyle w:val="TableParagraph"/>
              <w:spacing w:line="240" w:lineRule="auto" w:before="105"/>
              <w:ind w:left="389" w:right="0"/>
              <w:jc w:val="lef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31,384,7</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12.08</w:t>
            </w:r>
          </w:p>
        </w:tc>
      </w:tr>
    </w:tbl>
    <w:p>
      <w:pPr>
        <w:pStyle w:val="BodyText"/>
        <w:spacing w:line="240" w:lineRule="auto" w:before="51"/>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061"/>
        <w:gridCol w:w="1061"/>
        <w:gridCol w:w="1062"/>
        <w:gridCol w:w="1066"/>
        <w:gridCol w:w="1064"/>
        <w:gridCol w:w="1063"/>
        <w:gridCol w:w="1064"/>
        <w:gridCol w:w="1063"/>
        <w:gridCol w:w="1066"/>
      </w:tblGrid>
      <w:tr>
        <w:trPr>
          <w:trHeight w:val="402" w:hRule="exact"/>
        </w:trPr>
        <w:tc>
          <w:tcPr>
            <w:tcW w:w="10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75"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425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2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1061" w:type="dxa"/>
            <w:vMerge/>
            <w:tcBorders>
              <w:left w:val="single" w:sz="4" w:space="0" w:color="000000"/>
              <w:bottom w:val="single" w:sz="4" w:space="0" w:color="000000"/>
              <w:right w:val="single" w:sz="4" w:space="0" w:color="000000"/>
            </w:tcBorders>
            <w:shd w:val="clear" w:color="auto" w:fill="D2D2D2"/>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8" w:right="76"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56" w:right="77"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5"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5" w:right="77"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57" w:right="77"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r>
      <w:tr>
        <w:trPr>
          <w:trHeight w:val="1026"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6"/>
              <w:jc w:val="both"/>
              <w:rPr>
                <w:rFonts w:ascii="宋体" w:hAnsi="宋体" w:cs="宋体" w:eastAsia="宋体" w:hint="default"/>
                <w:sz w:val="18"/>
                <w:szCs w:val="18"/>
              </w:rPr>
            </w:pPr>
            <w:r>
              <w:rPr>
                <w:rFonts w:ascii="宋体" w:hAnsi="宋体" w:cs="宋体" w:eastAsia="宋体" w:hint="default"/>
                <w:sz w:val="18"/>
                <w:szCs w:val="18"/>
              </w:rPr>
              <w:t>深圳市润安 科技发展有 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65,342,456.2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16,679,614.2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16,679,614.2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-7,124,900.34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77,172,397.0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12,449,533.0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12,449,533.0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28,177,548.9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4）使用企业集团资产和清偿企业集团债务的重大限制" w:id="419"/>
      <w:bookmarkEnd w:id="419"/>
      <w:r>
        <w:rPr>
          <w:b w:val="0"/>
          <w:bCs w:val="0"/>
        </w:rPr>
      </w:r>
      <w:r>
        <w:rPr/>
        <w:t>（</w:t>
      </w:r>
      <w:r>
        <w:rPr>
          <w:rFonts w:ascii="Times New Roman" w:hAnsi="Times New Roman" w:cs="Times New Roman" w:eastAsia="Times New Roman" w:hint="default"/>
        </w:rPr>
        <w:t>4</w:t>
      </w:r>
      <w:r>
        <w:rPr/>
        <w:t>）使用企业集团资产和清偿企业集团债务的重大限制</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3" w:right="0"/>
        <w:jc w:val="left"/>
      </w:pPr>
      <w:r>
        <w:rPr/>
        <w:t>不适用</w:t>
      </w:r>
    </w:p>
    <w:p>
      <w:pPr>
        <w:spacing w:line="240" w:lineRule="auto" w:before="10"/>
        <w:rPr>
          <w:rFonts w:ascii="宋体" w:hAnsi="宋体" w:cs="宋体" w:eastAsia="宋体" w:hint="default"/>
          <w:sz w:val="26"/>
          <w:szCs w:val="26"/>
        </w:rPr>
      </w:pPr>
    </w:p>
    <w:p>
      <w:pPr>
        <w:pStyle w:val="Heading3"/>
        <w:spacing w:line="240" w:lineRule="auto"/>
        <w:ind w:left="1133" w:right="0"/>
        <w:jc w:val="left"/>
        <w:rPr>
          <w:b w:val="0"/>
          <w:bCs w:val="0"/>
        </w:rPr>
      </w:pPr>
      <w:bookmarkStart w:name="（5）向纳入合并财务报表范围的结构化主体提供的财务支持或其他支持" w:id="420"/>
      <w:bookmarkEnd w:id="420"/>
      <w:r>
        <w:rPr>
          <w:b w:val="0"/>
          <w:bCs w:val="0"/>
        </w:rPr>
      </w:r>
      <w:r>
        <w:rPr/>
        <w:t>（</w:t>
      </w:r>
      <w:r>
        <w:rPr>
          <w:rFonts w:ascii="Times New Roman" w:hAnsi="Times New Roman" w:cs="Times New Roman" w:eastAsia="Times New Roman" w:hint="default"/>
        </w:rPr>
        <w:t>5</w:t>
      </w:r>
      <w:r>
        <w:rPr/>
        <w:t>）向纳入合并财务报表范围的结构化主体提供的财务支持或其他支持</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133" w:right="0"/>
        <w:jc w:val="left"/>
      </w:pPr>
      <w:r>
        <w:rPr/>
        <w:t>不适用</w:t>
      </w:r>
    </w:p>
    <w:p>
      <w:pPr>
        <w:spacing w:line="240" w:lineRule="auto" w:before="11"/>
        <w:rPr>
          <w:rFonts w:ascii="宋体" w:hAnsi="宋体" w:cs="宋体" w:eastAsia="宋体" w:hint="default"/>
          <w:sz w:val="26"/>
          <w:szCs w:val="26"/>
        </w:rPr>
      </w:pPr>
    </w:p>
    <w:p>
      <w:pPr>
        <w:pStyle w:val="Heading3"/>
        <w:spacing w:line="240" w:lineRule="auto"/>
        <w:ind w:left="1133" w:right="0"/>
        <w:jc w:val="left"/>
        <w:rPr>
          <w:b w:val="0"/>
          <w:bCs w:val="0"/>
        </w:rPr>
      </w:pPr>
      <w:bookmarkStart w:name="2、在子公司的所有者权益份额发生变化且仍控制子公司的交易" w:id="421"/>
      <w:bookmarkEnd w:id="421"/>
      <w:r>
        <w:rPr>
          <w:b w:val="0"/>
          <w:bCs w:val="0"/>
        </w:rPr>
      </w:r>
      <w:r>
        <w:rPr>
          <w:rFonts w:ascii="Times New Roman" w:hAnsi="Times New Roman" w:cs="Times New Roman" w:eastAsia="Times New Roman" w:hint="default"/>
        </w:rPr>
        <w:t>2</w:t>
      </w:r>
      <w:r>
        <w:rPr/>
        <w:t>、在子公司的所有者权益份额发生变化且仍控制子公司的交易</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在子公司所有者权益份额发生变化的情况说明" w:id="422"/>
      <w:bookmarkEnd w:id="422"/>
      <w:r>
        <w:rPr>
          <w:b w:val="0"/>
          <w:bCs w:val="0"/>
        </w:rPr>
      </w:r>
      <w:r>
        <w:rPr/>
        <w:t>（</w:t>
      </w:r>
      <w:r>
        <w:rPr>
          <w:rFonts w:ascii="Times New Roman" w:hAnsi="Times New Roman" w:cs="Times New Roman" w:eastAsia="Times New Roman" w:hint="default"/>
        </w:rPr>
        <w:t>1</w:t>
      </w:r>
      <w:r>
        <w:rPr/>
        <w:t>）在子公司所有者权益份额发生变化的情况说明</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不适用</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2）交易对于少数股东权益及归属于母公司所有者权益的影响" w:id="423"/>
      <w:bookmarkEnd w:id="423"/>
      <w:r>
        <w:rPr>
          <w:b w:val="0"/>
          <w:bCs w:val="0"/>
        </w:rPr>
      </w:r>
      <w:r>
        <w:rPr/>
        <w:t>（</w:t>
      </w:r>
      <w:r>
        <w:rPr>
          <w:rFonts w:ascii="Times New Roman" w:hAnsi="Times New Roman" w:cs="Times New Roman" w:eastAsia="Times New Roman" w:hint="default"/>
        </w:rPr>
        <w:t>2</w:t>
      </w:r>
      <w:r>
        <w:rPr/>
        <w:t>）交易对于少数股东权益及归属于母公司所有者权益的影响</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不适用</w:t>
      </w:r>
    </w:p>
    <w:p>
      <w:pPr>
        <w:spacing w:after="0" w:line="240" w:lineRule="auto"/>
        <w:jc w:val="left"/>
        <w:sectPr>
          <w:pgSz w:w="11910" w:h="16840"/>
          <w:pgMar w:header="787" w:footer="640" w:top="1100" w:bottom="840" w:left="0" w:right="0"/>
        </w:sectPr>
      </w:pPr>
    </w:p>
    <w:p>
      <w:pPr>
        <w:spacing w:line="240" w:lineRule="auto" w:before="7"/>
        <w:rPr>
          <w:rFonts w:ascii="宋体" w:hAnsi="宋体" w:cs="宋体" w:eastAsia="宋体" w:hint="default"/>
          <w:sz w:val="21"/>
          <w:szCs w:val="21"/>
        </w:rPr>
      </w:pPr>
    </w:p>
    <w:p>
      <w:pPr>
        <w:pStyle w:val="Heading3"/>
        <w:spacing w:line="240" w:lineRule="auto" w:before="35"/>
        <w:ind w:right="0"/>
        <w:jc w:val="left"/>
        <w:rPr>
          <w:b w:val="0"/>
          <w:bCs w:val="0"/>
        </w:rPr>
      </w:pPr>
      <w:bookmarkStart w:name="3、在合营安排或联营企业中的权益" w:id="424"/>
      <w:bookmarkEnd w:id="424"/>
      <w:r>
        <w:rPr>
          <w:b w:val="0"/>
          <w:bCs w:val="0"/>
        </w:rPr>
      </w:r>
      <w:r>
        <w:rPr>
          <w:rFonts w:ascii="Times New Roman" w:hAnsi="Times New Roman" w:cs="Times New Roman" w:eastAsia="Times New Roman" w:hint="default"/>
        </w:rPr>
        <w:t>3</w:t>
      </w:r>
      <w:r>
        <w:rPr/>
        <w:t>、在合营安排或联营企业中的权益</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重要的合营企业或联营企业" w:id="425"/>
      <w:bookmarkEnd w:id="425"/>
      <w:r>
        <w:rPr>
          <w:b w:val="0"/>
          <w:bCs w:val="0"/>
        </w:rPr>
      </w:r>
      <w:r>
        <w:rPr/>
        <w:t>（</w:t>
      </w:r>
      <w:r>
        <w:rPr>
          <w:rFonts w:ascii="Times New Roman" w:hAnsi="Times New Roman" w:cs="Times New Roman" w:eastAsia="Times New Roman" w:hint="default"/>
        </w:rPr>
        <w:t>1</w:t>
      </w:r>
      <w:r>
        <w:rPr/>
        <w:t>）重要的合营企业或联营企业</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不适用</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2）重要合营企业的主要财务信息" w:id="426"/>
      <w:bookmarkEnd w:id="426"/>
      <w:r>
        <w:rPr>
          <w:b w:val="0"/>
          <w:bCs w:val="0"/>
        </w:rPr>
      </w:r>
      <w:r>
        <w:rPr/>
        <w:t>（</w:t>
      </w:r>
      <w:r>
        <w:rPr>
          <w:rFonts w:ascii="Times New Roman" w:hAnsi="Times New Roman" w:cs="Times New Roman" w:eastAsia="Times New Roman" w:hint="default"/>
        </w:rPr>
        <w:t>2</w:t>
      </w:r>
      <w:r>
        <w:rPr/>
        <w:t>）重要合营企业的主要财务信息</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不适用</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3）重要联营企业的主要财务信息" w:id="427"/>
      <w:bookmarkEnd w:id="427"/>
      <w:r>
        <w:rPr>
          <w:b w:val="0"/>
          <w:bCs w:val="0"/>
        </w:rPr>
      </w:r>
      <w:r>
        <w:rPr/>
        <w:t>（</w:t>
      </w:r>
      <w:r>
        <w:rPr>
          <w:rFonts w:ascii="Times New Roman" w:hAnsi="Times New Roman" w:cs="Times New Roman" w:eastAsia="Times New Roman" w:hint="default"/>
        </w:rPr>
        <w:t>3</w:t>
      </w:r>
      <w:r>
        <w:rPr/>
        <w:t>）重要联营企业的主要财务信息</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不适用</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4）不重要的合营企业和联营企业的汇总财务信息" w:id="428"/>
      <w:bookmarkEnd w:id="428"/>
      <w:r>
        <w:rPr>
          <w:b w:val="0"/>
          <w:bCs w:val="0"/>
        </w:rPr>
      </w:r>
      <w:r>
        <w:rPr/>
        <w:t>（</w:t>
      </w:r>
      <w:r>
        <w:rPr>
          <w:rFonts w:ascii="Times New Roman" w:hAnsi="Times New Roman" w:cs="Times New Roman" w:eastAsia="Times New Roman" w:hint="default"/>
        </w:rPr>
        <w:t>4</w:t>
      </w:r>
      <w:r>
        <w:rPr/>
        <w:t>）不重要的合营企业和联营企业的汇总财务信息</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不适用</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5）合营企业或联营企业向本公司转移资金的能力存在重大限制的说明" w:id="429"/>
      <w:bookmarkEnd w:id="429"/>
      <w:r>
        <w:rPr>
          <w:b w:val="0"/>
          <w:bCs w:val="0"/>
        </w:rPr>
      </w:r>
      <w:r>
        <w:rPr/>
        <w:t>（</w:t>
      </w:r>
      <w:r>
        <w:rPr>
          <w:rFonts w:ascii="Times New Roman" w:hAnsi="Times New Roman" w:cs="Times New Roman" w:eastAsia="Times New Roman" w:hint="default"/>
        </w:rPr>
        <w:t>5</w:t>
      </w:r>
      <w:r>
        <w:rPr/>
        <w:t>）合营企业或联营企业向本公司转移资金的能力存在重大限制的说明</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不适用</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6）合营企业或联营企业发生的超额亏损" w:id="430"/>
      <w:bookmarkEnd w:id="430"/>
      <w:r>
        <w:rPr>
          <w:b w:val="0"/>
          <w:bCs w:val="0"/>
        </w:rPr>
      </w:r>
      <w:r>
        <w:rPr/>
        <w:t>（</w:t>
      </w:r>
      <w:r>
        <w:rPr>
          <w:rFonts w:ascii="Times New Roman" w:hAnsi="Times New Roman" w:cs="Times New Roman" w:eastAsia="Times New Roman" w:hint="default"/>
        </w:rPr>
        <w:t>6</w:t>
      </w:r>
      <w:r>
        <w:rPr/>
        <w:t>）合营企业或联营企业发生的超额亏损</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不适用</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7）与合营企业投资相关的未确认承诺" w:id="431"/>
      <w:bookmarkEnd w:id="431"/>
      <w:r>
        <w:rPr>
          <w:b w:val="0"/>
          <w:bCs w:val="0"/>
        </w:rPr>
      </w:r>
      <w:r>
        <w:rPr/>
        <w:t>（</w:t>
      </w:r>
      <w:r>
        <w:rPr>
          <w:rFonts w:ascii="Times New Roman" w:hAnsi="Times New Roman" w:cs="Times New Roman" w:eastAsia="Times New Roman" w:hint="default"/>
        </w:rPr>
        <w:t>7</w:t>
      </w:r>
      <w:r>
        <w:rPr/>
        <w:t>）与合营企业投资相关的未确认承诺</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不适用</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8）与合营企业或联营企业投资相关的或有负债" w:id="432"/>
      <w:bookmarkEnd w:id="432"/>
      <w:r>
        <w:rPr>
          <w:b w:val="0"/>
          <w:bCs w:val="0"/>
        </w:rPr>
      </w:r>
      <w:r>
        <w:rPr/>
        <w:t>（</w:t>
      </w:r>
      <w:r>
        <w:rPr>
          <w:rFonts w:ascii="Times New Roman" w:hAnsi="Times New Roman" w:cs="Times New Roman" w:eastAsia="Times New Roman" w:hint="default"/>
        </w:rPr>
        <w:t>8</w:t>
      </w:r>
      <w:r>
        <w:rPr/>
        <w:t>）与合营企业或联营企业投资相关的或有负债</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不适用</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4、重要的共同经营" w:id="433"/>
      <w:bookmarkEnd w:id="433"/>
      <w:r>
        <w:rPr>
          <w:b w:val="0"/>
          <w:bCs w:val="0"/>
        </w:rPr>
      </w:r>
      <w:r>
        <w:rPr>
          <w:rFonts w:ascii="Times New Roman" w:hAnsi="Times New Roman" w:cs="Times New Roman" w:eastAsia="Times New Roman" w:hint="default"/>
        </w:rPr>
        <w:t>4</w:t>
      </w:r>
      <w:r>
        <w:rPr/>
        <w:t>、重要的共同经营</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不适用</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5、在未纳入合并财务报表范围的结构化主体中的权益" w:id="434"/>
      <w:bookmarkEnd w:id="434"/>
      <w:r>
        <w:rPr>
          <w:b w:val="0"/>
          <w:bCs w:val="0"/>
        </w:rPr>
      </w:r>
      <w:r>
        <w:rPr>
          <w:rFonts w:ascii="Times New Roman" w:hAnsi="Times New Roman" w:cs="Times New Roman" w:eastAsia="Times New Roman" w:hint="default"/>
        </w:rPr>
        <w:t>5</w:t>
      </w:r>
      <w:r>
        <w:rPr/>
        <w:t>、在未纳入合并财务报表范围的结构化主体中的权益</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不适用</w:t>
      </w:r>
    </w:p>
    <w:p>
      <w:pPr>
        <w:spacing w:after="0" w:line="240" w:lineRule="auto"/>
        <w:jc w:val="left"/>
        <w:sectPr>
          <w:pgSz w:w="11910" w:h="16840"/>
          <w:pgMar w:header="787" w:footer="640" w:top="1100" w:bottom="840" w:left="0" w:right="0"/>
        </w:sectPr>
      </w:pPr>
    </w:p>
    <w:p>
      <w:pPr>
        <w:spacing w:line="240" w:lineRule="auto" w:before="7"/>
        <w:rPr>
          <w:rFonts w:ascii="宋体" w:hAnsi="宋体" w:cs="宋体" w:eastAsia="宋体" w:hint="default"/>
          <w:sz w:val="21"/>
          <w:szCs w:val="21"/>
        </w:rPr>
      </w:pPr>
    </w:p>
    <w:p>
      <w:pPr>
        <w:pStyle w:val="Heading3"/>
        <w:spacing w:line="240" w:lineRule="auto" w:before="35"/>
        <w:ind w:right="0"/>
        <w:jc w:val="left"/>
        <w:rPr>
          <w:b w:val="0"/>
          <w:bCs w:val="0"/>
        </w:rPr>
      </w:pPr>
      <w:bookmarkStart w:name="6、其他" w:id="435"/>
      <w:bookmarkEnd w:id="435"/>
      <w:r>
        <w:rPr>
          <w:b w:val="0"/>
          <w:bCs w:val="0"/>
        </w:rPr>
      </w:r>
      <w:r>
        <w:rPr>
          <w:rFonts w:ascii="Times New Roman" w:hAnsi="Times New Roman" w:cs="Times New Roman" w:eastAsia="Times New Roman" w:hint="default"/>
        </w:rPr>
        <w:t>6</w:t>
      </w:r>
      <w:r>
        <w:rPr/>
        <w:t>、其他</w:t>
      </w:r>
      <w:r>
        <w:rPr>
          <w:b w:val="0"/>
          <w:bCs w:val="0"/>
        </w:rPr>
      </w:r>
    </w:p>
    <w:p>
      <w:pPr>
        <w:spacing w:line="240" w:lineRule="auto" w:before="13"/>
        <w:rPr>
          <w:rFonts w:ascii="宋体" w:hAnsi="宋体" w:cs="宋体" w:eastAsia="宋体" w:hint="default"/>
          <w:b/>
          <w:bCs/>
          <w:sz w:val="22"/>
          <w:szCs w:val="22"/>
        </w:rPr>
      </w:pPr>
    </w:p>
    <w:p>
      <w:pPr>
        <w:pStyle w:val="Heading2"/>
        <w:spacing w:line="240" w:lineRule="auto"/>
        <w:ind w:left="1134" w:right="0"/>
        <w:jc w:val="left"/>
        <w:rPr>
          <w:b w:val="0"/>
          <w:bCs w:val="0"/>
        </w:rPr>
      </w:pPr>
      <w:bookmarkStart w:name="十、与金融工具相关的风险" w:id="436"/>
      <w:bookmarkEnd w:id="436"/>
      <w:r>
        <w:rPr>
          <w:b w:val="0"/>
          <w:bCs w:val="0"/>
        </w:rPr>
      </w:r>
      <w:r>
        <w:rPr/>
        <w:t>十、与金融工具相关的风险</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left="1133" w:right="1131"/>
        <w:jc w:val="both"/>
      </w:pPr>
      <w:r>
        <w:rPr>
          <w:spacing w:val="-2"/>
        </w:rPr>
        <w:t>本公司从事风险管理的目标是在风险和收益之间取得平衡，将风险对本公司经营业绩的负面影响降至最低水平，使股东和其</w:t>
      </w:r>
      <w:r>
        <w:rPr>
          <w:spacing w:val="-64"/>
        </w:rPr>
        <w:t> </w:t>
      </w:r>
      <w:r>
        <w:rPr>
          <w:spacing w:val="-64"/>
        </w:rPr>
      </w:r>
      <w:r>
        <w:rPr>
          <w:spacing w:val="-2"/>
        </w:rPr>
        <w:t>他权益投资者的利益最大化。基于该风险管理目标，本公司风险管理的基本策略是确认和分析本公司面临的各种风险，建立</w:t>
      </w:r>
      <w:r>
        <w:rPr>
          <w:spacing w:val="-66"/>
        </w:rPr>
        <w:t> </w:t>
      </w:r>
      <w:r>
        <w:rPr>
          <w:spacing w:val="-66"/>
        </w:rPr>
      </w:r>
      <w:r>
        <w:rPr/>
        <w:t>适当的风险承受底线和进行风险管理，并及时可靠地对各种风险进行监督，将风险控制在限定的范围内。</w:t>
      </w:r>
    </w:p>
    <w:p>
      <w:pPr>
        <w:pStyle w:val="BodyText"/>
        <w:spacing w:line="319" w:lineRule="auto" w:before="55"/>
        <w:ind w:left="1133" w:right="0"/>
        <w:jc w:val="left"/>
      </w:pPr>
      <w:r>
        <w:rPr>
          <w:spacing w:val="-2"/>
        </w:rPr>
        <w:t>本公司在日常活动中面临各种与金融工具相关的风险，主要包括信用风险、流动风险及市场风险。管理层已审议并批准管理</w:t>
      </w:r>
      <w:r>
        <w:rPr>
          <w:spacing w:val="-66"/>
        </w:rPr>
        <w:t> </w:t>
      </w:r>
      <w:r>
        <w:rPr>
          <w:spacing w:val="-66"/>
        </w:rPr>
      </w:r>
      <w:r>
        <w:rPr/>
        <w:t>这些风险的政策，概括如下。</w:t>
      </w:r>
    </w:p>
    <w:p>
      <w:pPr>
        <w:pStyle w:val="BodyText"/>
        <w:spacing w:line="338" w:lineRule="auto" w:before="58"/>
        <w:ind w:left="1133" w:right="4273"/>
        <w:jc w:val="left"/>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r>
      <w:r>
        <w:rPr>
          <w:rFonts w:ascii="Times New Roman" w:hAnsi="Times New Roman" w:cs="Times New Roman" w:eastAsia="Times New Roman" w:hint="default"/>
          <w:spacing w:val="45"/>
        </w:rPr>
        <w:t> </w:t>
      </w:r>
      <w:r>
        <w:rPr/>
        <w:t>信用风险</w:t>
      </w:r>
      <w:r>
        <w:rPr>
          <w:w w:val="99"/>
        </w:rPr>
        <w:t> </w:t>
      </w:r>
      <w:r>
        <w:rPr/>
        <w:t>信用风险，是指金融工具的一方不能履行义务，造成另一方发生财务损失的风险。</w:t>
      </w:r>
    </w:p>
    <w:p>
      <w:pPr>
        <w:pStyle w:val="BodyText"/>
        <w:spacing w:line="240" w:lineRule="auto" w:before="42"/>
        <w:ind w:left="1133" w:right="0"/>
        <w:jc w:val="left"/>
      </w:pPr>
      <w:r>
        <w:rPr/>
        <w:t>本公司的信用风险主要来自银行存款和应收款项。为控制上述相关风险，本公司分别采取了以下措施。</w:t>
      </w:r>
    </w:p>
    <w:p>
      <w:pPr>
        <w:pStyle w:val="BodyText"/>
        <w:spacing w:line="348" w:lineRule="auto" w:before="117"/>
        <w:ind w:left="1133" w:right="4993"/>
        <w:jc w:val="left"/>
      </w:pPr>
      <w:r>
        <w:rPr>
          <w:rFonts w:ascii="Times New Roman" w:hAnsi="Times New Roman" w:cs="Times New Roman" w:eastAsia="Times New Roman" w:hint="default"/>
        </w:rPr>
        <w:t>1. </w:t>
      </w:r>
      <w:r>
        <w:rPr/>
        <w:t>银行存款 本公司将银行存款存放于信用评级较高的金融机构，故其信用风险较低。 </w:t>
      </w:r>
      <w:r>
        <w:rPr>
          <w:rFonts w:ascii="Times New Roman" w:hAnsi="Times New Roman" w:cs="Times New Roman" w:eastAsia="Times New Roman" w:hint="default"/>
        </w:rPr>
        <w:t>2.  </w:t>
      </w:r>
      <w:r>
        <w:rPr/>
        <w:t>应收款项</w:t>
      </w:r>
    </w:p>
    <w:p>
      <w:pPr>
        <w:pStyle w:val="BodyText"/>
        <w:spacing w:line="338" w:lineRule="auto" w:before="12"/>
        <w:ind w:left="1133" w:right="0"/>
        <w:jc w:val="left"/>
      </w:pPr>
      <w:r>
        <w:rPr>
          <w:spacing w:val="-2"/>
        </w:rPr>
        <w:t>本公司持续对采用信用方式交易的客户进行信用评估。根据信用评估结果，本公司选择与经认可的且信用良好的客户进行交</w:t>
      </w:r>
      <w:r>
        <w:rPr>
          <w:spacing w:val="-64"/>
        </w:rPr>
        <w:t> </w:t>
      </w:r>
      <w:r>
        <w:rPr>
          <w:spacing w:val="-64"/>
        </w:rPr>
      </w:r>
      <w:r>
        <w:rPr/>
        <w:t>易，并对其应收款项余额进行监控，以确保本公司不会面临重大坏账风险。 由于本公司的应收账款风险点分布于多个合作方和多个客户，截至</w:t>
      </w:r>
      <w:r>
        <w:rPr>
          <w:spacing w:val="-45"/>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日，本公司应收账款的</w:t>
      </w:r>
      <w:r>
        <w:rPr>
          <w:spacing w:val="-46"/>
        </w:rPr>
        <w:t> </w:t>
      </w:r>
      <w:r>
        <w:rPr>
          <w:rFonts w:ascii="Times New Roman" w:hAnsi="Times New Roman" w:cs="Times New Roman" w:eastAsia="Times New Roman" w:hint="default"/>
        </w:rPr>
        <w:t>37.42%(2016</w:t>
      </w:r>
      <w:r>
        <w:rPr>
          <w:rFonts w:ascii="Times New Roman" w:hAnsi="Times New Roman" w:cs="Times New Roman" w:eastAsia="Times New Roman" w:hint="default"/>
          <w:spacing w:val="-1"/>
        </w:rPr>
        <w:t> </w:t>
      </w:r>
      <w:r>
        <w:rPr/>
        <w:t>年</w:t>
      </w:r>
    </w:p>
    <w:p>
      <w:pPr>
        <w:pStyle w:val="BodyText"/>
        <w:spacing w:line="231" w:lineRule="exact"/>
        <w:ind w:right="0"/>
        <w:jc w:val="left"/>
      </w:pP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47"/>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w:t>
      </w:r>
      <w:r>
        <w:rPr>
          <w:rFonts w:ascii="Times New Roman" w:hAnsi="Times New Roman" w:cs="Times New Roman" w:eastAsia="Times New Roman" w:hint="default"/>
        </w:rPr>
        <w:t>36.76%)</w:t>
      </w:r>
      <w:r>
        <w:rPr/>
        <w:t>源于余额前五名客户，本公司不存在重大的信用集中风险。</w:t>
      </w:r>
    </w:p>
    <w:p>
      <w:pPr>
        <w:pStyle w:val="BodyText"/>
        <w:spacing w:line="326" w:lineRule="auto" w:before="102"/>
        <w:ind w:left="1133" w:right="1118"/>
        <w:jc w:val="left"/>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45"/>
        </w:rPr>
        <w:t> </w:t>
      </w:r>
      <w:r>
        <w:rPr/>
        <w:t>流动风险</w:t>
      </w:r>
      <w:r>
        <w:rPr>
          <w:w w:val="99"/>
        </w:rPr>
        <w:t> </w:t>
      </w:r>
      <w:r>
        <w:rPr>
          <w:spacing w:val="-2"/>
        </w:rPr>
        <w:t>流动风险，是指本公司在履行以交付现金或其他金融资产的方式结算的义务时发生资金短缺的风险。流动风险可能源于无法</w:t>
      </w:r>
      <w:r>
        <w:rPr>
          <w:spacing w:val="-65"/>
        </w:rPr>
        <w:t> </w:t>
      </w:r>
      <w:r>
        <w:rPr>
          <w:spacing w:val="-65"/>
        </w:rPr>
      </w:r>
      <w:r>
        <w:rPr>
          <w:spacing w:val="-2"/>
        </w:rPr>
        <w:t>尽快以公允价值售出金融资产；或者源于对方无法偿还其合同债务；或者源于提前到期的债务；或者源于无法产生预期的现</w:t>
      </w:r>
      <w:r>
        <w:rPr>
          <w:spacing w:val="-67"/>
        </w:rPr>
        <w:t> </w:t>
      </w:r>
      <w:r>
        <w:rPr>
          <w:spacing w:val="-67"/>
        </w:rPr>
      </w:r>
      <w:r>
        <w:rPr/>
        <w:t>金流量。</w:t>
      </w:r>
    </w:p>
    <w:p>
      <w:pPr>
        <w:pStyle w:val="BodyText"/>
        <w:spacing w:line="338" w:lineRule="auto" w:before="50"/>
        <w:ind w:left="1133" w:right="0"/>
        <w:jc w:val="left"/>
      </w:pPr>
      <w:r>
        <w:rPr>
          <w:spacing w:val="-2"/>
        </w:rPr>
        <w:t>为控制该项风险，本公司综合运用票据结算、银行借款等多种融资手段，并采取长、短期融资方式适当结合，优化融资结构</w:t>
      </w:r>
      <w:r>
        <w:rPr>
          <w:spacing w:val="-66"/>
        </w:rPr>
        <w:t> </w:t>
      </w:r>
      <w:r>
        <w:rPr>
          <w:spacing w:val="-66"/>
        </w:rPr>
      </w:r>
      <w:r>
        <w:rPr>
          <w:spacing w:val="-4"/>
        </w:rPr>
        <w:t>的方法，保持融资持续性与灵活性之间的平衡。本公司已从多家商业银行取得银行授信额度以满足营运资金需求和资本开支。</w:t>
      </w:r>
      <w:r>
        <w:rPr>
          <w:spacing w:val="-44"/>
        </w:rPr>
        <w:t> </w:t>
      </w:r>
      <w:r>
        <w:rPr>
          <w:spacing w:val="-44"/>
        </w:rPr>
      </w:r>
      <w:r>
        <w:rPr/>
        <w:t>金融负债按剩余到期日分类</w:t>
      </w:r>
    </w:p>
    <w:p>
      <w:pPr>
        <w:spacing w:line="240" w:lineRule="auto" w:before="6"/>
        <w:rPr>
          <w:rFonts w:ascii="宋体" w:hAnsi="宋体" w:cs="宋体" w:eastAsia="宋体" w:hint="default"/>
          <w:sz w:val="2"/>
          <w:szCs w:val="2"/>
        </w:rPr>
      </w:pPr>
    </w:p>
    <w:tbl>
      <w:tblPr>
        <w:tblW w:w="0" w:type="auto"/>
        <w:jc w:val="left"/>
        <w:tblInd w:w="1021" w:type="dxa"/>
        <w:tblLayout w:type="fixed"/>
        <w:tblCellMar>
          <w:top w:w="0" w:type="dxa"/>
          <w:left w:w="0" w:type="dxa"/>
          <w:bottom w:w="0" w:type="dxa"/>
          <w:right w:w="0" w:type="dxa"/>
        </w:tblCellMar>
        <w:tblLook w:val="01E0"/>
      </w:tblPr>
      <w:tblGrid>
        <w:gridCol w:w="1222"/>
        <w:gridCol w:w="1255"/>
        <w:gridCol w:w="2921"/>
        <w:gridCol w:w="2049"/>
        <w:gridCol w:w="743"/>
        <w:gridCol w:w="1666"/>
      </w:tblGrid>
      <w:tr>
        <w:trPr>
          <w:trHeight w:val="322" w:hRule="exact"/>
        </w:trPr>
        <w:tc>
          <w:tcPr>
            <w:tcW w:w="122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63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322" w:hRule="exact"/>
        </w:trPr>
        <w:tc>
          <w:tcPr>
            <w:tcW w:w="1222" w:type="dxa"/>
            <w:vMerge/>
            <w:tcBorders>
              <w:left w:val="single" w:sz="4" w:space="0" w:color="000000"/>
              <w:bottom w:val="single" w:sz="4" w:space="0" w:color="000000"/>
              <w:right w:val="single" w:sz="4" w:space="0" w:color="000000"/>
            </w:tcBorders>
            <w:shd w:val="clear" w:color="auto" w:fill="D2D2D2"/>
          </w:tcPr>
          <w:p>
            <w:pPr/>
          </w:p>
        </w:tc>
        <w:tc>
          <w:tcPr>
            <w:tcW w:w="12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825" w:right="0"/>
              <w:jc w:val="left"/>
              <w:rPr>
                <w:rFonts w:ascii="宋体" w:hAnsi="宋体" w:cs="宋体" w:eastAsia="宋体" w:hint="default"/>
                <w:sz w:val="18"/>
                <w:szCs w:val="18"/>
              </w:rPr>
            </w:pPr>
            <w:r>
              <w:rPr>
                <w:rFonts w:ascii="宋体" w:hAnsi="宋体" w:cs="宋体" w:eastAsia="宋体" w:hint="default"/>
                <w:sz w:val="18"/>
                <w:szCs w:val="18"/>
              </w:rPr>
              <w:t>未折现合同金额</w:t>
            </w:r>
          </w:p>
        </w:tc>
        <w:tc>
          <w:tcPr>
            <w:tcW w:w="20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7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8" w:right="0"/>
              <w:jc w:val="left"/>
              <w:rPr>
                <w:rFonts w:ascii="宋体" w:hAnsi="宋体" w:cs="宋体" w:eastAsia="宋体" w:hint="default"/>
                <w:sz w:val="18"/>
                <w:szCs w:val="18"/>
              </w:rPr>
            </w:pPr>
            <w:r>
              <w:rPr>
                <w:rFonts w:ascii="宋体" w:hAnsi="宋体" w:cs="宋体" w:eastAsia="宋体" w:hint="default"/>
                <w:sz w:val="18"/>
                <w:szCs w:val="18"/>
              </w:rPr>
              <w:t>1-3</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6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89"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年以上</w:t>
            </w:r>
          </w:p>
        </w:tc>
      </w:tr>
      <w:tr>
        <w:trPr>
          <w:trHeight w:val="323" w:hRule="exact"/>
        </w:trPr>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短期借款</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 w:right="0"/>
              <w:jc w:val="center"/>
              <w:rPr>
                <w:rFonts w:ascii="Times New Roman" w:hAnsi="Times New Roman" w:cs="Times New Roman" w:eastAsia="Times New Roman" w:hint="default"/>
                <w:sz w:val="18"/>
                <w:szCs w:val="18"/>
              </w:rPr>
            </w:pPr>
            <w:r>
              <w:rPr>
                <w:rFonts w:ascii="Times New Roman"/>
                <w:sz w:val="18"/>
              </w:rPr>
              <w:t>19,450,000.00</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19,770,263.86</w:t>
            </w:r>
          </w:p>
        </w:tc>
        <w:tc>
          <w:tcPr>
            <w:tcW w:w="2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19,770,263.86</w:t>
            </w:r>
          </w:p>
        </w:tc>
        <w:tc>
          <w:tcPr>
            <w:tcW w:w="743" w:type="dxa"/>
            <w:tcBorders>
              <w:top w:val="single" w:sz="4" w:space="0" w:color="000000"/>
              <w:left w:val="single" w:sz="4" w:space="0" w:color="000000"/>
              <w:bottom w:val="single" w:sz="4" w:space="0" w:color="000000"/>
              <w:right w:val="single" w:sz="4" w:space="0" w:color="000000"/>
            </w:tcBorders>
          </w:tcPr>
          <w:p>
            <w:pPr/>
          </w:p>
        </w:tc>
        <w:tc>
          <w:tcPr>
            <w:tcW w:w="166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应付账款</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5" w:right="0"/>
              <w:jc w:val="center"/>
              <w:rPr>
                <w:rFonts w:ascii="Times New Roman" w:hAnsi="Times New Roman" w:cs="Times New Roman" w:eastAsia="Times New Roman" w:hint="default"/>
                <w:sz w:val="18"/>
                <w:szCs w:val="18"/>
              </w:rPr>
            </w:pPr>
            <w:r>
              <w:rPr>
                <w:rFonts w:ascii="Times New Roman"/>
                <w:sz w:val="18"/>
              </w:rPr>
              <w:t>25,471,007.13</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25,471,007.13</w:t>
            </w:r>
          </w:p>
        </w:tc>
        <w:tc>
          <w:tcPr>
            <w:tcW w:w="2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25,471,007.13</w:t>
            </w:r>
          </w:p>
        </w:tc>
        <w:tc>
          <w:tcPr>
            <w:tcW w:w="743" w:type="dxa"/>
            <w:tcBorders>
              <w:top w:val="single" w:sz="4" w:space="0" w:color="000000"/>
              <w:left w:val="single" w:sz="4" w:space="0" w:color="000000"/>
              <w:bottom w:val="single" w:sz="4" w:space="0" w:color="000000"/>
              <w:right w:val="single" w:sz="4" w:space="0" w:color="000000"/>
            </w:tcBorders>
          </w:tcPr>
          <w:p>
            <w:pPr/>
          </w:p>
        </w:tc>
        <w:tc>
          <w:tcPr>
            <w:tcW w:w="166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其他应付款</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5" w:right="0"/>
              <w:jc w:val="center"/>
              <w:rPr>
                <w:rFonts w:ascii="Times New Roman" w:hAnsi="Times New Roman" w:cs="Times New Roman" w:eastAsia="Times New Roman" w:hint="default"/>
                <w:sz w:val="18"/>
                <w:szCs w:val="18"/>
              </w:rPr>
            </w:pPr>
            <w:r>
              <w:rPr>
                <w:rFonts w:ascii="Times New Roman"/>
                <w:sz w:val="18"/>
              </w:rPr>
              <w:t>20,497,138.78</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20,497,138.78</w:t>
            </w:r>
          </w:p>
        </w:tc>
        <w:tc>
          <w:tcPr>
            <w:tcW w:w="2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20,497,138.78</w:t>
            </w:r>
          </w:p>
        </w:tc>
        <w:tc>
          <w:tcPr>
            <w:tcW w:w="743" w:type="dxa"/>
            <w:tcBorders>
              <w:top w:val="single" w:sz="4" w:space="0" w:color="000000"/>
              <w:left w:val="single" w:sz="4" w:space="0" w:color="000000"/>
              <w:bottom w:val="single" w:sz="4" w:space="0" w:color="000000"/>
              <w:right w:val="single" w:sz="4" w:space="0" w:color="000000"/>
            </w:tcBorders>
          </w:tcPr>
          <w:p>
            <w:pPr/>
          </w:p>
        </w:tc>
        <w:tc>
          <w:tcPr>
            <w:tcW w:w="1666"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 w:right="0"/>
              <w:jc w:val="center"/>
              <w:rPr>
                <w:rFonts w:ascii="Times New Roman" w:hAnsi="Times New Roman" w:cs="Times New Roman" w:eastAsia="Times New Roman" w:hint="default"/>
                <w:sz w:val="18"/>
                <w:szCs w:val="18"/>
              </w:rPr>
            </w:pPr>
            <w:r>
              <w:rPr>
                <w:rFonts w:ascii="Times New Roman"/>
                <w:sz w:val="18"/>
              </w:rPr>
              <w:t>65,418,145.91</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65,738,409.77</w:t>
            </w:r>
          </w:p>
        </w:tc>
        <w:tc>
          <w:tcPr>
            <w:tcW w:w="2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65,738,409.77</w:t>
            </w:r>
          </w:p>
        </w:tc>
        <w:tc>
          <w:tcPr>
            <w:tcW w:w="743" w:type="dxa"/>
            <w:tcBorders>
              <w:top w:val="single" w:sz="4" w:space="0" w:color="000000"/>
              <w:left w:val="single" w:sz="4" w:space="0" w:color="000000"/>
              <w:bottom w:val="single" w:sz="4" w:space="0" w:color="000000"/>
              <w:right w:val="single" w:sz="4" w:space="0" w:color="000000"/>
            </w:tcBorders>
          </w:tcPr>
          <w:p>
            <w:pPr/>
          </w:p>
        </w:tc>
        <w:tc>
          <w:tcPr>
            <w:tcW w:w="1666" w:type="dxa"/>
            <w:tcBorders>
              <w:top w:val="single" w:sz="4" w:space="0" w:color="000000"/>
              <w:left w:val="single" w:sz="4" w:space="0" w:color="000000"/>
              <w:bottom w:val="single" w:sz="4" w:space="0" w:color="000000"/>
              <w:right w:val="single" w:sz="4" w:space="0" w:color="000000"/>
            </w:tcBorders>
          </w:tcPr>
          <w:p>
            <w:pPr/>
          </w:p>
        </w:tc>
      </w:tr>
    </w:tbl>
    <w:p>
      <w:pPr>
        <w:spacing w:line="260" w:lineRule="exact" w:before="0"/>
        <w:ind w:left="1554" w:right="0" w:firstLine="0"/>
        <w:jc w:val="left"/>
        <w:rPr>
          <w:rFonts w:ascii="宋体" w:hAnsi="宋体" w:cs="宋体" w:eastAsia="宋体" w:hint="default"/>
          <w:sz w:val="21"/>
          <w:szCs w:val="21"/>
        </w:rPr>
      </w:pPr>
      <w:r>
        <w:rPr>
          <w:rFonts w:ascii="宋体" w:hAnsi="宋体" w:cs="宋体" w:eastAsia="宋体" w:hint="default"/>
          <w:sz w:val="21"/>
          <w:szCs w:val="21"/>
        </w:rPr>
        <w:t>（续上表）</w:t>
      </w:r>
    </w:p>
    <w:p>
      <w:pPr>
        <w:spacing w:line="240" w:lineRule="auto" w:before="13"/>
        <w:rPr>
          <w:rFonts w:ascii="宋体" w:hAnsi="宋体" w:cs="宋体" w:eastAsia="宋体" w:hint="default"/>
          <w:sz w:val="3"/>
          <w:szCs w:val="3"/>
        </w:rPr>
      </w:pPr>
    </w:p>
    <w:tbl>
      <w:tblPr>
        <w:tblW w:w="0" w:type="auto"/>
        <w:jc w:val="left"/>
        <w:tblInd w:w="1021" w:type="dxa"/>
        <w:tblLayout w:type="fixed"/>
        <w:tblCellMar>
          <w:top w:w="0" w:type="dxa"/>
          <w:left w:w="0" w:type="dxa"/>
          <w:bottom w:w="0" w:type="dxa"/>
          <w:right w:w="0" w:type="dxa"/>
        </w:tblCellMar>
        <w:tblLook w:val="01E0"/>
      </w:tblPr>
      <w:tblGrid>
        <w:gridCol w:w="1204"/>
        <w:gridCol w:w="1342"/>
        <w:gridCol w:w="2904"/>
        <w:gridCol w:w="2031"/>
        <w:gridCol w:w="726"/>
        <w:gridCol w:w="1649"/>
      </w:tblGrid>
      <w:tr>
        <w:trPr>
          <w:trHeight w:val="322" w:hRule="exact"/>
        </w:trPr>
        <w:tc>
          <w:tcPr>
            <w:tcW w:w="120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8652"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22" w:hRule="exact"/>
        </w:trPr>
        <w:tc>
          <w:tcPr>
            <w:tcW w:w="1204" w:type="dxa"/>
            <w:vMerge/>
            <w:tcBorders>
              <w:left w:val="single" w:sz="4" w:space="0" w:color="000000"/>
              <w:bottom w:val="single" w:sz="4" w:space="0" w:color="000000"/>
              <w:right w:val="single" w:sz="4" w:space="0" w:color="000000"/>
            </w:tcBorders>
            <w:shd w:val="clear" w:color="auto" w:fill="D2D2D2"/>
          </w:tcPr>
          <w:p>
            <w:pPr/>
          </w:p>
        </w:tc>
        <w:tc>
          <w:tcPr>
            <w:tcW w:w="13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0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2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817" w:right="0"/>
              <w:jc w:val="left"/>
              <w:rPr>
                <w:rFonts w:ascii="宋体" w:hAnsi="宋体" w:cs="宋体" w:eastAsia="宋体" w:hint="default"/>
                <w:sz w:val="18"/>
                <w:szCs w:val="18"/>
              </w:rPr>
            </w:pPr>
            <w:r>
              <w:rPr>
                <w:rFonts w:ascii="宋体" w:hAnsi="宋体" w:cs="宋体" w:eastAsia="宋体" w:hint="default"/>
                <w:sz w:val="18"/>
                <w:szCs w:val="18"/>
              </w:rPr>
              <w:t>未折现合同金额</w:t>
            </w:r>
          </w:p>
        </w:tc>
        <w:tc>
          <w:tcPr>
            <w:tcW w:w="20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67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0" w:right="0"/>
              <w:jc w:val="left"/>
              <w:rPr>
                <w:rFonts w:ascii="宋体" w:hAnsi="宋体" w:cs="宋体" w:eastAsia="宋体" w:hint="default"/>
                <w:sz w:val="18"/>
                <w:szCs w:val="18"/>
              </w:rPr>
            </w:pPr>
            <w:r>
              <w:rPr>
                <w:rFonts w:ascii="宋体" w:hAnsi="宋体" w:cs="宋体" w:eastAsia="宋体" w:hint="default"/>
                <w:sz w:val="18"/>
                <w:szCs w:val="18"/>
              </w:rPr>
              <w:t>1-3</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481"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年以上</w:t>
            </w:r>
          </w:p>
        </w:tc>
      </w:tr>
      <w:tr>
        <w:trPr>
          <w:trHeight w:val="322" w:hRule="exact"/>
        </w:trPr>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短期借款</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10,800,000.00</w:t>
            </w:r>
          </w:p>
        </w:tc>
        <w:tc>
          <w:tcPr>
            <w:tcW w:w="2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11,142,583.89</w:t>
            </w:r>
          </w:p>
        </w:tc>
        <w:tc>
          <w:tcPr>
            <w:tcW w:w="2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11,142,583.89</w:t>
            </w:r>
          </w:p>
        </w:tc>
        <w:tc>
          <w:tcPr>
            <w:tcW w:w="726"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应付票据</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12,648,542.00</w:t>
            </w:r>
          </w:p>
        </w:tc>
        <w:tc>
          <w:tcPr>
            <w:tcW w:w="2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12,648,542.00</w:t>
            </w:r>
          </w:p>
        </w:tc>
        <w:tc>
          <w:tcPr>
            <w:tcW w:w="2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12,648,542.00</w:t>
            </w:r>
          </w:p>
        </w:tc>
        <w:tc>
          <w:tcPr>
            <w:tcW w:w="726"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应付账款</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31,638,045.81</w:t>
            </w:r>
          </w:p>
        </w:tc>
        <w:tc>
          <w:tcPr>
            <w:tcW w:w="2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31,638,045.81</w:t>
            </w:r>
          </w:p>
        </w:tc>
        <w:tc>
          <w:tcPr>
            <w:tcW w:w="2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pacing w:val="-1"/>
                <w:sz w:val="18"/>
              </w:rPr>
              <w:t>31,638,045.81</w:t>
            </w:r>
          </w:p>
        </w:tc>
        <w:tc>
          <w:tcPr>
            <w:tcW w:w="726"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146" w:right="147"/>
              <w:jc w:val="left"/>
              <w:rPr>
                <w:rFonts w:ascii="宋体" w:hAnsi="宋体" w:cs="宋体" w:eastAsia="宋体" w:hint="default"/>
                <w:sz w:val="18"/>
                <w:szCs w:val="18"/>
              </w:rPr>
            </w:pPr>
            <w:r>
              <w:rPr>
                <w:rFonts w:ascii="宋体" w:hAnsi="宋体" w:cs="宋体" w:eastAsia="宋体" w:hint="default"/>
                <w:sz w:val="18"/>
                <w:szCs w:val="18"/>
              </w:rPr>
              <w:t>一年内到期 的长期借款</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1,478,370.12</w:t>
            </w:r>
          </w:p>
        </w:tc>
        <w:tc>
          <w:tcPr>
            <w:tcW w:w="2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1,501,275.81</w:t>
            </w:r>
          </w:p>
        </w:tc>
        <w:tc>
          <w:tcPr>
            <w:tcW w:w="2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1,501,275.81</w:t>
            </w:r>
          </w:p>
        </w:tc>
        <w:tc>
          <w:tcPr>
            <w:tcW w:w="726"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其他应付款</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65,839,017.25</w:t>
            </w:r>
          </w:p>
        </w:tc>
        <w:tc>
          <w:tcPr>
            <w:tcW w:w="2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65,839,017.25</w:t>
            </w:r>
          </w:p>
        </w:tc>
        <w:tc>
          <w:tcPr>
            <w:tcW w:w="2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65,839,017.25</w:t>
            </w:r>
          </w:p>
        </w:tc>
        <w:tc>
          <w:tcPr>
            <w:tcW w:w="726"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小计</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122,403,975.18</w:t>
            </w:r>
          </w:p>
        </w:tc>
        <w:tc>
          <w:tcPr>
            <w:tcW w:w="2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122,769,464.76</w:t>
            </w:r>
          </w:p>
        </w:tc>
        <w:tc>
          <w:tcPr>
            <w:tcW w:w="2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pacing w:val="-1"/>
                <w:sz w:val="18"/>
              </w:rPr>
              <w:t>122,769,464.76</w:t>
            </w:r>
          </w:p>
        </w:tc>
        <w:tc>
          <w:tcPr>
            <w:tcW w:w="726"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87" w:footer="640" w:top="1100" w:bottom="840" w:left="0" w:right="0"/>
        </w:sectPr>
      </w:pPr>
    </w:p>
    <w:p>
      <w:pPr>
        <w:spacing w:line="240" w:lineRule="auto" w:before="11"/>
        <w:rPr>
          <w:rFonts w:ascii="宋体" w:hAnsi="宋体" w:cs="宋体" w:eastAsia="宋体" w:hint="default"/>
          <w:sz w:val="28"/>
          <w:szCs w:val="28"/>
        </w:rPr>
      </w:pPr>
    </w:p>
    <w:p>
      <w:pPr>
        <w:pStyle w:val="BodyText"/>
        <w:spacing w:line="482" w:lineRule="auto" w:before="44"/>
        <w:ind w:left="1133" w:right="1118" w:firstLine="90"/>
        <w:jc w:val="left"/>
      </w:pPr>
      <w:r>
        <w:rPr>
          <w:rFonts w:ascii="Times New Roman" w:hAnsi="Times New Roman" w:cs="Times New Roman" w:eastAsia="Times New Roman" w:hint="default"/>
        </w:rPr>
        <w:t>(</w:t>
      </w:r>
      <w:r>
        <w:rPr/>
        <w:t>三</w:t>
      </w:r>
      <w:r>
        <w:rPr>
          <w:rFonts w:ascii="Times New Roman" w:hAnsi="Times New Roman" w:cs="Times New Roman" w:eastAsia="Times New Roman" w:hint="default"/>
        </w:rPr>
        <w:t>)</w:t>
      </w:r>
      <w:r>
        <w:rPr>
          <w:rFonts w:ascii="Times New Roman" w:hAnsi="Times New Roman" w:cs="Times New Roman" w:eastAsia="Times New Roman" w:hint="default"/>
          <w:spacing w:val="45"/>
        </w:rPr>
        <w:t> </w:t>
      </w:r>
      <w:r>
        <w:rPr/>
        <w:t>市场风险</w:t>
      </w:r>
      <w:r>
        <w:rPr>
          <w:w w:val="99"/>
        </w:rPr>
        <w:t> </w:t>
      </w:r>
      <w:r>
        <w:rPr>
          <w:spacing w:val="-2"/>
        </w:rPr>
        <w:t>市场风险，是指金融工具的公允价值或未来现金流量因市场价格变动而发生波动的风险。市场风险主要包括利率风险和外汇</w:t>
      </w:r>
      <w:r>
        <w:rPr>
          <w:spacing w:val="-65"/>
        </w:rPr>
        <w:t> </w:t>
      </w:r>
      <w:r>
        <w:rPr>
          <w:spacing w:val="-65"/>
        </w:rPr>
      </w:r>
      <w:r>
        <w:rPr/>
        <w:t>风险。</w:t>
      </w:r>
    </w:p>
    <w:p>
      <w:pPr>
        <w:pStyle w:val="BodyText"/>
        <w:spacing w:line="482" w:lineRule="auto" w:before="92"/>
        <w:ind w:left="1133" w:right="1118"/>
        <w:jc w:val="left"/>
      </w:pPr>
      <w:r>
        <w:rPr>
          <w:rFonts w:ascii="Times New Roman" w:hAnsi="Times New Roman" w:cs="Times New Roman" w:eastAsia="Times New Roman" w:hint="default"/>
        </w:rPr>
        <w:t>1. </w:t>
      </w:r>
      <w:r>
        <w:rPr/>
        <w:t>利率风险 </w:t>
      </w:r>
      <w:r>
        <w:rPr>
          <w:spacing w:val="-2"/>
        </w:rPr>
        <w:t>利率风险，是指金融工具的公允价值或未来现金流量因市场利率变动而发生波动的风险。本公司面临的市场利率变动的风险</w:t>
      </w:r>
      <w:r>
        <w:rPr>
          <w:spacing w:val="-64"/>
        </w:rPr>
        <w:t> </w:t>
      </w:r>
      <w:r>
        <w:rPr>
          <w:spacing w:val="-64"/>
        </w:rPr>
      </w:r>
      <w:r>
        <w:rPr/>
        <w:t>主要与本公司以浮动利率计息的借款有关。</w:t>
      </w:r>
    </w:p>
    <w:p>
      <w:pPr>
        <w:pStyle w:val="BodyText"/>
        <w:spacing w:line="240" w:lineRule="auto" w:before="89"/>
        <w:ind w:left="1133" w:right="0"/>
        <w:jc w:val="left"/>
      </w:pPr>
      <w:r>
        <w:rPr/>
        <w:t>截至</w:t>
      </w:r>
      <w:r>
        <w:rPr>
          <w:spacing w:val="-6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21"/>
        </w:rPr>
        <w:t> </w:t>
      </w:r>
      <w:r>
        <w:rPr/>
        <w:t>年</w:t>
      </w:r>
      <w:r>
        <w:rPr>
          <w:spacing w:val="-66"/>
        </w:rPr>
        <w:t> </w:t>
      </w:r>
      <w:r>
        <w:rPr>
          <w:rFonts w:ascii="Times New Roman" w:hAnsi="Times New Roman" w:cs="Times New Roman" w:eastAsia="Times New Roman" w:hint="default"/>
        </w:rPr>
        <w:t>12</w:t>
      </w:r>
      <w:r>
        <w:rPr>
          <w:rFonts w:ascii="Times New Roman" w:hAnsi="Times New Roman" w:cs="Times New Roman" w:eastAsia="Times New Roman" w:hint="default"/>
          <w:spacing w:val="-21"/>
        </w:rPr>
        <w:t> </w:t>
      </w:r>
      <w:r>
        <w:rPr/>
        <w:t>月</w:t>
      </w:r>
      <w:r>
        <w:rPr>
          <w:spacing w:val="-66"/>
        </w:rPr>
        <w:t> </w:t>
      </w:r>
      <w:r>
        <w:rPr>
          <w:rFonts w:ascii="Times New Roman" w:hAnsi="Times New Roman" w:cs="Times New Roman" w:eastAsia="Times New Roman" w:hint="default"/>
        </w:rPr>
        <w:t>31</w:t>
      </w:r>
      <w:r>
        <w:rPr>
          <w:rFonts w:ascii="Times New Roman" w:hAnsi="Times New Roman" w:cs="Times New Roman" w:eastAsia="Times New Roman" w:hint="default"/>
          <w:spacing w:val="-21"/>
        </w:rPr>
        <w:t> </w:t>
      </w:r>
      <w:r>
        <w:rPr/>
        <w:t>日</w:t>
      </w:r>
      <w:r>
        <w:rPr>
          <w:spacing w:val="-90"/>
        </w:rPr>
        <w:t>，</w:t>
      </w:r>
      <w:r>
        <w:rPr/>
        <w:t>本公司以浮动利率计息的银行借款人民币</w:t>
      </w:r>
      <w:r>
        <w:rPr>
          <w:spacing w:val="-66"/>
        </w:rPr>
        <w:t> </w:t>
      </w:r>
      <w:r>
        <w:rPr>
          <w:rFonts w:ascii="Times New Roman" w:hAnsi="Times New Roman" w:cs="Times New Roman" w:eastAsia="Times New Roman" w:hint="default"/>
        </w:rPr>
        <w:t>19,450,</w:t>
      </w:r>
      <w:r>
        <w:rPr>
          <w:rFonts w:ascii="Times New Roman" w:hAnsi="Times New Roman" w:cs="Times New Roman" w:eastAsia="Times New Roman" w:hint="default"/>
          <w:spacing w:val="-2"/>
        </w:rPr>
        <w:t>0</w:t>
      </w:r>
      <w:r>
        <w:rPr>
          <w:rFonts w:ascii="Times New Roman" w:hAnsi="Times New Roman" w:cs="Times New Roman" w:eastAsia="Times New Roman" w:hint="default"/>
        </w:rPr>
        <w:t>00.00</w:t>
      </w:r>
      <w:r>
        <w:rPr>
          <w:rFonts w:ascii="Times New Roman" w:hAnsi="Times New Roman" w:cs="Times New Roman" w:eastAsia="Times New Roman" w:hint="default"/>
          <w:spacing w:val="-21"/>
        </w:rPr>
        <w:t> </w:t>
      </w:r>
      <w:r>
        <w:rPr/>
        <w:t>元</w:t>
      </w:r>
      <w:r>
        <w:rPr>
          <w:rFonts w:ascii="Times New Roman" w:hAnsi="Times New Roman" w:cs="Times New Roman" w:eastAsia="Times New Roman" w:hint="default"/>
        </w:rPr>
        <w:t>(2016</w:t>
      </w:r>
      <w:r>
        <w:rPr>
          <w:rFonts w:ascii="Times New Roman" w:hAnsi="Times New Roman" w:cs="Times New Roman" w:eastAsia="Times New Roman" w:hint="default"/>
          <w:spacing w:val="-22"/>
        </w:rPr>
        <w:t> </w:t>
      </w:r>
      <w:r>
        <w:rPr/>
        <w:t>年</w:t>
      </w:r>
      <w:r>
        <w:rPr>
          <w:spacing w:val="-66"/>
        </w:rPr>
        <w:t> </w:t>
      </w:r>
      <w:r>
        <w:rPr>
          <w:rFonts w:ascii="Times New Roman" w:hAnsi="Times New Roman" w:cs="Times New Roman" w:eastAsia="Times New Roman" w:hint="default"/>
        </w:rPr>
        <w:t>12</w:t>
      </w:r>
      <w:r>
        <w:rPr>
          <w:rFonts w:ascii="Times New Roman" w:hAnsi="Times New Roman" w:cs="Times New Roman" w:eastAsia="Times New Roman" w:hint="default"/>
          <w:spacing w:val="-21"/>
        </w:rPr>
        <w:t> </w:t>
      </w:r>
      <w:r>
        <w:rPr/>
        <w:t>月</w:t>
      </w:r>
      <w:r>
        <w:rPr>
          <w:spacing w:val="-66"/>
        </w:rPr>
        <w:t> </w:t>
      </w:r>
      <w:r>
        <w:rPr>
          <w:rFonts w:ascii="Times New Roman" w:hAnsi="Times New Roman" w:cs="Times New Roman" w:eastAsia="Times New Roman" w:hint="default"/>
        </w:rPr>
        <w:t>31</w:t>
      </w:r>
      <w:r>
        <w:rPr>
          <w:rFonts w:ascii="Times New Roman" w:hAnsi="Times New Roman" w:cs="Times New Roman" w:eastAsia="Times New Roman" w:hint="default"/>
          <w:spacing w:val="-21"/>
        </w:rPr>
        <w:t> </w:t>
      </w:r>
      <w:r>
        <w:rPr/>
        <w:t>日</w:t>
      </w:r>
      <w:r>
        <w:rPr>
          <w:spacing w:val="-90"/>
        </w:rPr>
        <w:t>：</w:t>
      </w:r>
      <w:r>
        <w:rPr/>
        <w:t>人民币</w:t>
      </w:r>
      <w:r>
        <w:rPr>
          <w:spacing w:val="-66"/>
        </w:rPr>
        <w:t> </w:t>
      </w:r>
      <w:r>
        <w:rPr>
          <w:rFonts w:ascii="Times New Roman" w:hAnsi="Times New Roman" w:cs="Times New Roman" w:eastAsia="Times New Roman" w:hint="default"/>
        </w:rPr>
        <w:t>12,278,</w:t>
      </w:r>
      <w:r>
        <w:rPr>
          <w:rFonts w:ascii="Times New Roman" w:hAnsi="Times New Roman" w:cs="Times New Roman" w:eastAsia="Times New Roman" w:hint="default"/>
          <w:spacing w:val="-2"/>
        </w:rPr>
        <w:t>3</w:t>
      </w:r>
      <w:r>
        <w:rPr>
          <w:rFonts w:ascii="Times New Roman" w:hAnsi="Times New Roman" w:cs="Times New Roman" w:eastAsia="Times New Roman" w:hint="default"/>
        </w:rPr>
        <w:t>70.12</w:t>
      </w:r>
      <w:r>
        <w:rPr>
          <w:rFonts w:ascii="Times New Roman" w:hAnsi="Times New Roman" w:cs="Times New Roman" w:eastAsia="Times New Roman" w:hint="default"/>
          <w:spacing w:val="2"/>
        </w:rPr>
        <w:t>)</w:t>
      </w:r>
      <w:r>
        <w:rPr/>
        <w:t>，</w:t>
      </w:r>
    </w:p>
    <w:p>
      <w:pPr>
        <w:spacing w:line="240" w:lineRule="auto" w:before="11"/>
        <w:rPr>
          <w:rFonts w:ascii="宋体" w:hAnsi="宋体" w:cs="宋体" w:eastAsia="宋体" w:hint="default"/>
          <w:sz w:val="16"/>
          <w:szCs w:val="16"/>
        </w:rPr>
      </w:pPr>
    </w:p>
    <w:p>
      <w:pPr>
        <w:pStyle w:val="BodyText"/>
        <w:spacing w:line="240" w:lineRule="auto"/>
        <w:ind w:left="1133" w:right="0"/>
        <w:jc w:val="left"/>
      </w:pPr>
      <w:r>
        <w:rPr/>
        <w:t>在其他变量不变的假设下，假定利率变动</w:t>
      </w:r>
      <w:r>
        <w:rPr>
          <w:spacing w:val="-46"/>
        </w:rPr>
        <w:t> </w:t>
      </w:r>
      <w:r>
        <w:rPr>
          <w:rFonts w:ascii="Times New Roman" w:hAnsi="Times New Roman" w:cs="Times New Roman" w:eastAsia="Times New Roman" w:hint="default"/>
        </w:rPr>
        <w:t>50</w:t>
      </w:r>
      <w:r>
        <w:rPr>
          <w:rFonts w:ascii="Times New Roman" w:hAnsi="Times New Roman" w:cs="Times New Roman" w:eastAsia="Times New Roman" w:hint="default"/>
          <w:spacing w:val="-1"/>
        </w:rPr>
        <w:t> </w:t>
      </w:r>
      <w:r>
        <w:rPr/>
        <w:t>个基准点，不会对本公司的利润总额和股东权益产生重大的影响。</w:t>
      </w:r>
    </w:p>
    <w:p>
      <w:pPr>
        <w:spacing w:line="240" w:lineRule="auto" w:before="11"/>
        <w:rPr>
          <w:rFonts w:ascii="宋体" w:hAnsi="宋体" w:cs="宋体" w:eastAsia="宋体" w:hint="default"/>
          <w:sz w:val="19"/>
          <w:szCs w:val="19"/>
        </w:rPr>
      </w:pPr>
    </w:p>
    <w:p>
      <w:pPr>
        <w:pStyle w:val="BodyText"/>
        <w:spacing w:line="480" w:lineRule="auto"/>
        <w:ind w:left="1133" w:right="1118"/>
        <w:jc w:val="left"/>
      </w:pPr>
      <w:r>
        <w:rPr>
          <w:rFonts w:ascii="Times New Roman" w:hAnsi="Times New Roman" w:cs="Times New Roman" w:eastAsia="Times New Roman" w:hint="default"/>
        </w:rPr>
        <w:t>2. </w:t>
      </w:r>
      <w:r>
        <w:rPr/>
        <w:t>外汇风险 </w:t>
      </w:r>
      <w:r>
        <w:rPr>
          <w:spacing w:val="-2"/>
        </w:rPr>
        <w:t>外汇风险，是指金融工具的公允价值或未来现金流量因外汇汇率变动而发生波动的风险。本公司面临的汇率变动的风险主要</w:t>
      </w:r>
      <w:r>
        <w:rPr>
          <w:spacing w:val="-64"/>
        </w:rPr>
        <w:t> </w:t>
      </w:r>
      <w:r>
        <w:rPr>
          <w:spacing w:val="-64"/>
        </w:rPr>
      </w:r>
      <w:r>
        <w:rPr>
          <w:spacing w:val="-2"/>
        </w:rPr>
        <w:t>与本公司外币货币性资产和负债有关。本公司于中国内地经营，且主要活动以人民币计价。因此，本公司所承担的外汇变动</w:t>
      </w:r>
      <w:r>
        <w:rPr>
          <w:spacing w:val="-66"/>
        </w:rPr>
        <w:t> </w:t>
      </w:r>
      <w:r>
        <w:rPr>
          <w:spacing w:val="-66"/>
        </w:rPr>
      </w:r>
      <w:r>
        <w:rPr/>
        <w:t>市场风险不重大。</w:t>
      </w:r>
    </w:p>
    <w:p>
      <w:pPr>
        <w:spacing w:line="240" w:lineRule="auto" w:before="2"/>
        <w:rPr>
          <w:rFonts w:ascii="宋体" w:hAnsi="宋体" w:cs="宋体" w:eastAsia="宋体" w:hint="default"/>
          <w:sz w:val="23"/>
          <w:szCs w:val="23"/>
        </w:rPr>
      </w:pPr>
    </w:p>
    <w:p>
      <w:pPr>
        <w:pStyle w:val="Heading2"/>
        <w:spacing w:line="240" w:lineRule="auto"/>
        <w:ind w:right="0"/>
        <w:jc w:val="left"/>
        <w:rPr>
          <w:b w:val="0"/>
          <w:bCs w:val="0"/>
        </w:rPr>
      </w:pPr>
      <w:bookmarkStart w:name="十一、公允价值的披露" w:id="437"/>
      <w:bookmarkEnd w:id="437"/>
      <w:r>
        <w:rPr>
          <w:b w:val="0"/>
          <w:bCs w:val="0"/>
        </w:rPr>
      </w:r>
      <w:r>
        <w:rPr/>
        <w:t>十一、公允价值的披露</w:t>
      </w:r>
      <w:r>
        <w:rPr>
          <w:b w:val="0"/>
          <w:bCs w:val="0"/>
        </w:rPr>
      </w:r>
    </w:p>
    <w:p>
      <w:pPr>
        <w:spacing w:line="240" w:lineRule="auto" w:before="0"/>
        <w:rPr>
          <w:rFonts w:ascii="宋体" w:hAnsi="宋体" w:cs="宋体" w:eastAsia="宋体" w:hint="default"/>
          <w:b/>
          <w:bCs/>
          <w:sz w:val="24"/>
          <w:szCs w:val="24"/>
        </w:rPr>
      </w:pPr>
    </w:p>
    <w:p>
      <w:pPr>
        <w:pStyle w:val="Heading3"/>
        <w:spacing w:line="240" w:lineRule="auto" w:before="163"/>
        <w:ind w:left="1133" w:right="0"/>
        <w:jc w:val="left"/>
        <w:rPr>
          <w:b w:val="0"/>
          <w:bCs w:val="0"/>
        </w:rPr>
      </w:pPr>
      <w:bookmarkStart w:name="1、以公允价值计量的资产和负债的期末公允价值" w:id="438"/>
      <w:bookmarkEnd w:id="438"/>
      <w:r>
        <w:rPr>
          <w:b w:val="0"/>
          <w:bCs w:val="0"/>
        </w:rPr>
      </w:r>
      <w:r>
        <w:rPr>
          <w:rFonts w:ascii="Times New Roman" w:hAnsi="Times New Roman" w:cs="Times New Roman" w:eastAsia="Times New Roman" w:hint="default"/>
        </w:rPr>
        <w:t>1</w:t>
      </w:r>
      <w:r>
        <w:rPr/>
        <w:t>、以公允价值计量的资产和负债的期末公允价值</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pStyle w:val="BodyText"/>
        <w:spacing w:line="240" w:lineRule="auto"/>
        <w:ind w:left="1133" w:right="0"/>
        <w:jc w:val="left"/>
      </w:pPr>
      <w:r>
        <w:rPr/>
        <w:t>不适用</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0"/>
          <w:szCs w:val="20"/>
        </w:rPr>
      </w:pPr>
    </w:p>
    <w:p>
      <w:pPr>
        <w:pStyle w:val="Heading3"/>
        <w:spacing w:line="240" w:lineRule="auto"/>
        <w:ind w:left="1133" w:right="0"/>
        <w:jc w:val="left"/>
        <w:rPr>
          <w:b w:val="0"/>
          <w:bCs w:val="0"/>
        </w:rPr>
      </w:pPr>
      <w:bookmarkStart w:name="2、持续和非持续第一层次公允价值计量项目市价的确定依据" w:id="439"/>
      <w:bookmarkEnd w:id="439"/>
      <w:r>
        <w:rPr>
          <w:b w:val="0"/>
          <w:bCs w:val="0"/>
        </w:rPr>
      </w:r>
      <w:r>
        <w:rPr>
          <w:rFonts w:ascii="Times New Roman" w:hAnsi="Times New Roman" w:cs="Times New Roman" w:eastAsia="Times New Roman" w:hint="default"/>
        </w:rPr>
        <w:t>2</w:t>
      </w:r>
      <w:r>
        <w:rPr/>
        <w:t>、持续和非持续第一层次公允价值计量项目市价的确定依据</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pStyle w:val="BodyText"/>
        <w:spacing w:line="240" w:lineRule="auto"/>
        <w:ind w:left="1133" w:right="0"/>
        <w:jc w:val="left"/>
      </w:pPr>
      <w:r>
        <w:rPr/>
        <w:t>不适用</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0"/>
          <w:szCs w:val="20"/>
        </w:rPr>
      </w:pPr>
    </w:p>
    <w:p>
      <w:pPr>
        <w:pStyle w:val="Heading3"/>
        <w:spacing w:line="240" w:lineRule="auto"/>
        <w:ind w:left="1133" w:right="0"/>
        <w:jc w:val="left"/>
        <w:rPr>
          <w:b w:val="0"/>
          <w:bCs w:val="0"/>
        </w:rPr>
      </w:pPr>
      <w:bookmarkStart w:name="3、持续和非持续第二层次公允价值计量项目，采用的估值技术和重要参数的定性及定量信" w:id="440"/>
      <w:bookmarkEnd w:id="440"/>
      <w:r>
        <w:rPr>
          <w:b w:val="0"/>
          <w:bCs w:val="0"/>
        </w:rPr>
      </w:r>
      <w:r>
        <w:rPr>
          <w:rFonts w:ascii="Times New Roman" w:hAnsi="Times New Roman" w:cs="Times New Roman" w:eastAsia="Times New Roman" w:hint="default"/>
        </w:rPr>
        <w:t>3</w:t>
      </w:r>
      <w:r>
        <w:rPr/>
        <w:t>、持续和非持续第二层次公允价值计量项目，采用的估值技术和重要参数的定性及定量信息</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pStyle w:val="BodyText"/>
        <w:spacing w:line="240" w:lineRule="auto"/>
        <w:ind w:right="0"/>
        <w:jc w:val="left"/>
      </w:pPr>
      <w:r>
        <w:rPr/>
        <w:t>不适用</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0"/>
          <w:szCs w:val="20"/>
        </w:rPr>
      </w:pPr>
    </w:p>
    <w:p>
      <w:pPr>
        <w:pStyle w:val="Heading3"/>
        <w:spacing w:line="240" w:lineRule="auto"/>
        <w:ind w:right="0"/>
        <w:jc w:val="left"/>
        <w:rPr>
          <w:b w:val="0"/>
          <w:bCs w:val="0"/>
        </w:rPr>
      </w:pPr>
      <w:bookmarkStart w:name="4、持续和非持续第三层次公允价值计量项目，采用的估值技术和重要参数的定性及定量信" w:id="441"/>
      <w:bookmarkEnd w:id="441"/>
      <w:r>
        <w:rPr>
          <w:b w:val="0"/>
          <w:bCs w:val="0"/>
        </w:rPr>
      </w:r>
      <w:r>
        <w:rPr>
          <w:rFonts w:ascii="Times New Roman" w:hAnsi="Times New Roman" w:cs="Times New Roman" w:eastAsia="Times New Roman" w:hint="default"/>
        </w:rPr>
        <w:t>4</w:t>
      </w:r>
      <w:r>
        <w:rPr/>
        <w:t>、持续和非持续第三层次公允价值计量项目，采用的估值技术和重要参数的定性及定量信息</w:t>
      </w:r>
      <w:r>
        <w:rPr>
          <w:b w:val="0"/>
          <w:bCs w:val="0"/>
        </w:rPr>
      </w:r>
    </w:p>
    <w:p>
      <w:pPr>
        <w:spacing w:after="0" w:line="240" w:lineRule="auto"/>
        <w:jc w:val="left"/>
        <w:sectPr>
          <w:footerReference w:type="default" r:id="rId64"/>
          <w:pgSz w:w="11910" w:h="16840"/>
          <w:pgMar w:footer="2908" w:header="787" w:top="1100" w:bottom="3100" w:left="0" w:right="0"/>
        </w:sectPr>
      </w:pPr>
    </w:p>
    <w:p>
      <w:pPr>
        <w:spacing w:line="240" w:lineRule="auto" w:before="7"/>
        <w:rPr>
          <w:rFonts w:ascii="宋体" w:hAnsi="宋体" w:cs="宋体" w:eastAsia="宋体" w:hint="default"/>
          <w:b/>
          <w:bCs/>
          <w:sz w:val="27"/>
          <w:szCs w:val="27"/>
        </w:rPr>
      </w:pPr>
    </w:p>
    <w:p>
      <w:pPr>
        <w:pStyle w:val="Heading3"/>
        <w:spacing w:line="240" w:lineRule="auto" w:before="35"/>
        <w:ind w:right="0"/>
        <w:jc w:val="left"/>
        <w:rPr>
          <w:b w:val="0"/>
          <w:bCs w:val="0"/>
        </w:rPr>
      </w:pPr>
      <w:bookmarkStart w:name="5、持续的第三层次公允价值计量项目，期初与期末账面价值间的调节信息及不可观察参数" w:id="442"/>
      <w:bookmarkEnd w:id="442"/>
      <w:r>
        <w:rPr>
          <w:b w:val="0"/>
          <w:bCs w:val="0"/>
        </w:rPr>
      </w:r>
      <w:r>
        <w:rPr>
          <w:rFonts w:ascii="Times New Roman" w:hAnsi="Times New Roman" w:cs="Times New Roman" w:eastAsia="Times New Roman" w:hint="default"/>
        </w:rPr>
        <w:t>5</w:t>
      </w:r>
      <w:r>
        <w:rPr/>
        <w:t>、持续的第三层次公允价值计量项目，期初与期末账面价值间的调节信息及不可观察参数敏感性分析</w:t>
      </w:r>
      <w:r>
        <w:rPr>
          <w:b w:val="0"/>
          <w:bCs w:val="0"/>
        </w:rPr>
      </w:r>
    </w:p>
    <w:p>
      <w:pPr>
        <w:spacing w:line="240" w:lineRule="auto" w:before="7"/>
        <w:rPr>
          <w:rFonts w:ascii="宋体" w:hAnsi="宋体" w:cs="宋体" w:eastAsia="宋体" w:hint="default"/>
          <w:b/>
          <w:bCs/>
          <w:sz w:val="32"/>
          <w:szCs w:val="32"/>
        </w:rPr>
      </w:pPr>
    </w:p>
    <w:p>
      <w:pPr>
        <w:pStyle w:val="BodyText"/>
        <w:spacing w:line="240" w:lineRule="auto"/>
        <w:ind w:left="1133" w:right="0"/>
        <w:jc w:val="left"/>
      </w:pPr>
      <w:r>
        <w:rPr/>
        <w:t>不适用</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4"/>
          <w:szCs w:val="14"/>
        </w:rPr>
      </w:pPr>
    </w:p>
    <w:p>
      <w:pPr>
        <w:pStyle w:val="Heading3"/>
        <w:spacing w:line="240" w:lineRule="auto"/>
        <w:ind w:left="1133" w:right="0"/>
        <w:jc w:val="left"/>
        <w:rPr>
          <w:b w:val="0"/>
          <w:bCs w:val="0"/>
        </w:rPr>
      </w:pPr>
      <w:bookmarkStart w:name="6、持续的公允价值计量项目，本期内发生各层级之间转换的，转换的原因及确定转换时点" w:id="443"/>
      <w:bookmarkEnd w:id="443"/>
      <w:r>
        <w:rPr>
          <w:b w:val="0"/>
          <w:bCs w:val="0"/>
        </w:rPr>
      </w:r>
      <w:r>
        <w:rPr>
          <w:rFonts w:ascii="Times New Roman" w:hAnsi="Times New Roman" w:cs="Times New Roman" w:eastAsia="Times New Roman" w:hint="default"/>
        </w:rPr>
        <w:t>6</w:t>
      </w:r>
      <w:r>
        <w:rPr/>
        <w:t>、持续的公允价值计量项目，本期内发生各层级之间转换的，转换的原因及确定转换时点的政策</w:t>
      </w:r>
      <w:r>
        <w:rPr>
          <w:b w:val="0"/>
          <w:bCs w:val="0"/>
        </w:rPr>
      </w:r>
    </w:p>
    <w:p>
      <w:pPr>
        <w:spacing w:line="240" w:lineRule="auto" w:before="7"/>
        <w:rPr>
          <w:rFonts w:ascii="宋体" w:hAnsi="宋体" w:cs="宋体" w:eastAsia="宋体" w:hint="default"/>
          <w:b/>
          <w:bCs/>
          <w:sz w:val="32"/>
          <w:szCs w:val="32"/>
        </w:rPr>
      </w:pPr>
    </w:p>
    <w:p>
      <w:pPr>
        <w:spacing w:line="664" w:lineRule="auto" w:before="0"/>
        <w:ind w:left="1133" w:right="6853" w:firstLine="0"/>
        <w:jc w:val="left"/>
        <w:rPr>
          <w:rFonts w:ascii="宋体" w:hAnsi="宋体" w:cs="宋体" w:eastAsia="宋体" w:hint="default"/>
          <w:sz w:val="18"/>
          <w:szCs w:val="18"/>
        </w:rPr>
      </w:pPr>
      <w:r>
        <w:rPr>
          <w:rFonts w:ascii="宋体" w:hAnsi="宋体" w:cs="宋体" w:eastAsia="宋体" w:hint="default"/>
          <w:sz w:val="18"/>
          <w:szCs w:val="18"/>
        </w:rPr>
        <w:t>不适用 </w:t>
      </w:r>
      <w:bookmarkStart w:name="7、本期内发生的估值技术变更及变更原因" w:id="444"/>
      <w:bookmarkEnd w:id="444"/>
      <w:r>
        <w:rPr>
          <w:rFonts w:ascii="宋体" w:hAnsi="宋体" w:cs="宋体" w:eastAsia="宋体" w:hint="default"/>
          <w:sz w:val="18"/>
          <w:szCs w:val="18"/>
        </w:rPr>
      </w: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、本期内发生的估值技术变更及变更原因</w:t>
      </w:r>
      <w:r>
        <w:rPr>
          <w:rFonts w:ascii="宋体" w:hAnsi="宋体" w:cs="宋体" w:eastAsia="宋体" w:hint="default"/>
          <w:b/>
          <w:bCs/>
          <w:w w:val="99"/>
          <w:sz w:val="21"/>
          <w:szCs w:val="21"/>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14"/>
          <w:szCs w:val="14"/>
        </w:rPr>
      </w:pPr>
    </w:p>
    <w:p>
      <w:pPr>
        <w:pStyle w:val="Heading3"/>
        <w:spacing w:line="240" w:lineRule="auto"/>
        <w:ind w:right="0"/>
        <w:jc w:val="left"/>
        <w:rPr>
          <w:b w:val="0"/>
          <w:bCs w:val="0"/>
        </w:rPr>
      </w:pPr>
      <w:bookmarkStart w:name="8、不以公允价值计量的金融资产和金融负债的公允价值情况" w:id="445"/>
      <w:bookmarkEnd w:id="445"/>
      <w:r>
        <w:rPr>
          <w:b w:val="0"/>
          <w:bCs w:val="0"/>
        </w:rPr>
      </w:r>
      <w:r>
        <w:rPr>
          <w:rFonts w:ascii="Times New Roman" w:hAnsi="Times New Roman" w:cs="Times New Roman" w:eastAsia="Times New Roman" w:hint="default"/>
        </w:rPr>
        <w:t>8</w:t>
      </w:r>
      <w:r>
        <w:rPr/>
        <w:t>、不以公允价值计量的金融资产和金融负债的公允价值情况</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pStyle w:val="BodyText"/>
        <w:spacing w:line="240" w:lineRule="auto"/>
        <w:ind w:right="0"/>
        <w:jc w:val="left"/>
      </w:pPr>
      <w:r>
        <w:rPr/>
        <w:t>不适用</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0"/>
          <w:szCs w:val="20"/>
        </w:rPr>
      </w:pPr>
    </w:p>
    <w:p>
      <w:pPr>
        <w:spacing w:line="609" w:lineRule="auto" w:before="0"/>
        <w:ind w:left="1134" w:right="7692" w:firstLine="0"/>
        <w:jc w:val="left"/>
        <w:rPr>
          <w:rFonts w:ascii="宋体" w:hAnsi="宋体" w:cs="宋体" w:eastAsia="宋体" w:hint="default"/>
          <w:sz w:val="21"/>
          <w:szCs w:val="21"/>
        </w:rPr>
      </w:pPr>
      <w:bookmarkStart w:name="9、其他" w:id="446"/>
      <w:bookmarkEnd w:id="446"/>
      <w:r>
        <w:rPr/>
      </w:r>
      <w:r>
        <w:rPr>
          <w:rFonts w:ascii="Times New Roman" w:hAnsi="Times New Roman" w:cs="Times New Roman" w:eastAsia="Times New Roman" w:hint="default"/>
          <w:b/>
          <w:bCs/>
          <w:sz w:val="21"/>
          <w:szCs w:val="21"/>
        </w:rPr>
        <w:t>9</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二、关联方及关联交易" w:id="447"/>
      <w:bookmarkEnd w:id="447"/>
      <w:r>
        <w:rPr>
          <w:rFonts w:ascii="宋体" w:hAnsi="宋体" w:cs="宋体" w:eastAsia="宋体" w:hint="default"/>
          <w:b/>
          <w:bCs/>
          <w:spacing w:val="1"/>
          <w:w w:val="99"/>
          <w:sz w:val="21"/>
          <w:szCs w:val="21"/>
        </w:rPr>
      </w:r>
      <w:r>
        <w:rPr>
          <w:rFonts w:ascii="宋体" w:hAnsi="宋体" w:cs="宋体" w:eastAsia="宋体" w:hint="default"/>
          <w:b/>
          <w:bCs/>
          <w:w w:val="95"/>
          <w:sz w:val="24"/>
          <w:szCs w:val="24"/>
        </w:rPr>
        <w:t>十二、关联方及关联交易</w:t>
      </w:r>
      <w:r>
        <w:rPr>
          <w:rFonts w:ascii="宋体" w:hAnsi="宋体" w:cs="宋体" w:eastAsia="宋体" w:hint="default"/>
          <w:b/>
          <w:bCs/>
          <w:spacing w:val="7"/>
          <w:w w:val="95"/>
          <w:sz w:val="24"/>
          <w:szCs w:val="24"/>
        </w:rPr>
        <w:t> </w:t>
      </w:r>
      <w:r>
        <w:rPr>
          <w:rFonts w:ascii="宋体" w:hAnsi="宋体" w:cs="宋体" w:eastAsia="宋体" w:hint="default"/>
          <w:b/>
          <w:bCs/>
          <w:spacing w:val="7"/>
          <w:w w:val="95"/>
          <w:sz w:val="24"/>
          <w:szCs w:val="24"/>
        </w:rPr>
      </w:r>
      <w:bookmarkStart w:name="1、本企业的母公司情况" w:id="448"/>
      <w:bookmarkEnd w:id="448"/>
      <w:r>
        <w:rPr>
          <w:rFonts w:ascii="宋体" w:hAnsi="宋体" w:cs="宋体" w:eastAsia="宋体" w:hint="default"/>
          <w:b/>
          <w:bCs/>
          <w:spacing w:val="7"/>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、本企业的母公司情况</w:t>
      </w:r>
      <w:r>
        <w:rPr>
          <w:rFonts w:ascii="宋体" w:hAnsi="宋体" w:cs="宋体" w:eastAsia="宋体" w:hint="default"/>
          <w:sz w:val="21"/>
          <w:szCs w:val="21"/>
        </w:rPr>
      </w:r>
    </w:p>
    <w:p>
      <w:pPr>
        <w:pStyle w:val="BodyText"/>
        <w:spacing w:line="451" w:lineRule="auto" w:before="144"/>
        <w:ind w:right="1171"/>
        <w:jc w:val="both"/>
      </w:pPr>
      <w:r>
        <w:rPr/>
        <w:t>茅庆江先生直接持有本公司</w:t>
      </w:r>
      <w:r>
        <w:rPr>
          <w:spacing w:val="-48"/>
        </w:rPr>
        <w:t> </w:t>
      </w:r>
      <w:r>
        <w:rPr>
          <w:rFonts w:ascii="Times New Roman" w:hAnsi="Times New Roman" w:cs="Times New Roman" w:eastAsia="Times New Roman" w:hint="default"/>
        </w:rPr>
        <w:t>36.14%</w:t>
      </w:r>
      <w:r>
        <w:rPr/>
        <w:t>股权，并通过广州市常森投资咨询有限责任公司和广州市碧天投资咨询有限公司间接持 有本公司</w:t>
      </w:r>
      <w:r>
        <w:rPr>
          <w:spacing w:val="-49"/>
        </w:rPr>
        <w:t> </w:t>
      </w:r>
      <w:r>
        <w:rPr>
          <w:rFonts w:ascii="Times New Roman" w:hAnsi="Times New Roman" w:cs="Times New Roman" w:eastAsia="Times New Roman" w:hint="default"/>
        </w:rPr>
        <w:t>0.11%</w:t>
      </w:r>
      <w:r>
        <w:rPr/>
        <w:t>的股权，直接和间接合计持有本公司</w:t>
      </w:r>
      <w:r>
        <w:rPr>
          <w:spacing w:val="-49"/>
        </w:rPr>
        <w:t> </w:t>
      </w:r>
      <w:r>
        <w:rPr>
          <w:rFonts w:ascii="Times New Roman" w:hAnsi="Times New Roman" w:cs="Times New Roman" w:eastAsia="Times New Roman" w:hint="default"/>
        </w:rPr>
        <w:t>36.25%</w:t>
      </w:r>
      <w:r>
        <w:rPr/>
        <w:t>的股权，茅庆江先生可以实际支配公司股份表决权超过</w:t>
      </w:r>
      <w:r>
        <w:rPr>
          <w:spacing w:val="-49"/>
        </w:rPr>
        <w:t> </w:t>
      </w:r>
      <w:r>
        <w:rPr>
          <w:rFonts w:ascii="Times New Roman" w:hAnsi="Times New Roman" w:cs="Times New Roman" w:eastAsia="Times New Roman" w:hint="default"/>
        </w:rPr>
        <w:t>30%</w:t>
      </w:r>
      <w:r>
        <w:rPr/>
        <w:t>， 认定为本公司控股股东。</w:t>
      </w:r>
    </w:p>
    <w:p>
      <w:pPr>
        <w:spacing w:line="240" w:lineRule="auto" w:before="7"/>
        <w:rPr>
          <w:rFonts w:ascii="宋体" w:hAnsi="宋体" w:cs="宋体" w:eastAsia="宋体" w:hint="default"/>
          <w:sz w:val="26"/>
          <w:szCs w:val="26"/>
        </w:rPr>
      </w:pPr>
    </w:p>
    <w:p>
      <w:pPr>
        <w:pStyle w:val="Heading3"/>
        <w:spacing w:line="240" w:lineRule="auto"/>
        <w:ind w:right="0"/>
        <w:jc w:val="left"/>
        <w:rPr>
          <w:b w:val="0"/>
          <w:bCs w:val="0"/>
        </w:rPr>
      </w:pPr>
      <w:bookmarkStart w:name="2、本企业的子公司情况" w:id="449"/>
      <w:bookmarkEnd w:id="449"/>
      <w:r>
        <w:rPr>
          <w:b w:val="0"/>
          <w:bCs w:val="0"/>
        </w:rPr>
      </w:r>
      <w:r>
        <w:rPr>
          <w:rFonts w:ascii="Times New Roman" w:hAnsi="Times New Roman" w:cs="Times New Roman" w:eastAsia="Times New Roman" w:hint="default"/>
        </w:rPr>
        <w:t>2</w:t>
      </w:r>
      <w:r>
        <w:rPr/>
        <w:t>、本企业的子公司情况</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pStyle w:val="BodyText"/>
        <w:spacing w:line="240" w:lineRule="auto"/>
        <w:ind w:right="0"/>
        <w:jc w:val="left"/>
      </w:pPr>
      <w:r>
        <w:rPr/>
        <w:t>本企业子公司的情况详见附注在其他主体中的权益之说明。</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0"/>
          <w:szCs w:val="20"/>
        </w:rPr>
      </w:pPr>
    </w:p>
    <w:p>
      <w:pPr>
        <w:pStyle w:val="Heading3"/>
        <w:spacing w:line="240" w:lineRule="auto"/>
        <w:ind w:right="0"/>
        <w:jc w:val="left"/>
        <w:rPr>
          <w:b w:val="0"/>
          <w:bCs w:val="0"/>
        </w:rPr>
      </w:pPr>
      <w:bookmarkStart w:name="3、本企业合营和联营企业情况" w:id="450"/>
      <w:bookmarkEnd w:id="450"/>
      <w:r>
        <w:rPr>
          <w:b w:val="0"/>
          <w:bCs w:val="0"/>
        </w:rPr>
      </w:r>
      <w:r>
        <w:rPr>
          <w:rFonts w:ascii="Times New Roman" w:hAnsi="Times New Roman" w:cs="Times New Roman" w:eastAsia="Times New Roman" w:hint="default"/>
        </w:rPr>
        <w:t>3</w:t>
      </w:r>
      <w:r>
        <w:rPr/>
        <w:t>、本企业合营和联营企业情况</w:t>
      </w:r>
      <w:r>
        <w:rPr>
          <w:b w:val="0"/>
          <w:bCs w:val="0"/>
        </w:rPr>
      </w:r>
    </w:p>
    <w:p>
      <w:pPr>
        <w:spacing w:after="0" w:line="240" w:lineRule="auto"/>
        <w:jc w:val="left"/>
        <w:sectPr>
          <w:pgSz w:w="11910" w:h="16840"/>
          <w:pgMar w:header="787" w:footer="2908" w:top="1100" w:bottom="3100" w:left="0" w:right="0"/>
        </w:sectPr>
      </w:pPr>
    </w:p>
    <w:p>
      <w:pPr>
        <w:spacing w:line="240" w:lineRule="auto" w:before="7"/>
        <w:rPr>
          <w:rFonts w:ascii="宋体" w:hAnsi="宋体" w:cs="宋体" w:eastAsia="宋体" w:hint="default"/>
          <w:b/>
          <w:bCs/>
          <w:sz w:val="27"/>
          <w:szCs w:val="27"/>
        </w:rPr>
      </w:pPr>
    </w:p>
    <w:p>
      <w:pPr>
        <w:pStyle w:val="Heading3"/>
        <w:spacing w:line="240" w:lineRule="auto" w:before="35"/>
        <w:ind w:right="0"/>
        <w:jc w:val="left"/>
        <w:rPr>
          <w:b w:val="0"/>
          <w:bCs w:val="0"/>
        </w:rPr>
      </w:pPr>
      <w:bookmarkStart w:name="4、其他关联方情况" w:id="451"/>
      <w:bookmarkEnd w:id="451"/>
      <w:r>
        <w:rPr>
          <w:b w:val="0"/>
          <w:bCs w:val="0"/>
        </w:rPr>
      </w:r>
      <w:r>
        <w:rPr>
          <w:rFonts w:ascii="Times New Roman" w:hAnsi="Times New Roman" w:cs="Times New Roman" w:eastAsia="Times New Roman" w:hint="default"/>
        </w:rPr>
        <w:t>4</w:t>
      </w:r>
      <w:r>
        <w:rPr/>
        <w:t>、其他关联方情况</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23"/>
          <w:szCs w:val="23"/>
        </w:rPr>
      </w:pPr>
    </w:p>
    <w:p>
      <w:pPr>
        <w:pStyle w:val="BodyText"/>
        <w:spacing w:line="240" w:lineRule="auto" w:before="44"/>
        <w:ind w:left="0" w:right="1139"/>
        <w:jc w:val="right"/>
      </w:pPr>
      <w:r>
        <w:rPr/>
        <w:pict>
          <v:shape style="position:absolute;margin-left:56.459999pt;margin-top:-20.968254pt;width:479.2pt;height:591.85pt;mso-position-horizontal-relative:page;mso-position-vertical-relative:paragraph;z-index:306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97"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714"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海博伦（苏州）环境科技股份有限公司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1"/>
                          <w:jc w:val="left"/>
                          <w:rPr>
                            <w:rFonts w:ascii="宋体" w:hAnsi="宋体" w:cs="宋体" w:eastAsia="宋体" w:hint="default"/>
                            <w:sz w:val="18"/>
                            <w:szCs w:val="18"/>
                          </w:rPr>
                        </w:pPr>
                        <w:r>
                          <w:rPr>
                            <w:rFonts w:ascii="宋体" w:hAnsi="宋体" w:cs="宋体" w:eastAsia="宋体" w:hint="default"/>
                            <w:spacing w:val="-2"/>
                            <w:sz w:val="18"/>
                            <w:szCs w:val="18"/>
                          </w:rPr>
                          <w:t>海博伦（苏州）环境科技股份有限公司为浩云科技副总经理</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董秘陈翩任职董事的企业</w:t>
                        </w:r>
                      </w:p>
                    </w:tc>
                  </w:tr>
                  <w:tr>
                    <w:trPr>
                      <w:trHeight w:val="714"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广州酷游娱乐科技股份有限公司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广州酷游娱乐科技股份有限公司为浩云科技副总经理、董秘 陈翩任职独立董事的企业</w:t>
                        </w:r>
                      </w:p>
                    </w:tc>
                  </w:tr>
                  <w:tr>
                    <w:trPr>
                      <w:trHeight w:val="714"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广州中瀚法律咨询服务有限公司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广州中瀚法律咨询服务有限公司为浩云科技董事黄洋任职总 经理的企业</w:t>
                        </w:r>
                      </w:p>
                    </w:tc>
                  </w:tr>
                  <w:tr>
                    <w:trPr>
                      <w:trHeight w:val="714"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广州中瀚专利商标事务所（普通合伙）</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广州中瀚专利商标事务所（普通合伙）为浩云科技董事黄洋 任职执行事务合伙人的企业</w:t>
                        </w:r>
                      </w:p>
                    </w:tc>
                  </w:tr>
                  <w:tr>
                    <w:trPr>
                      <w:trHeight w:val="714"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广东天高矿业股份有限公司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广东天高矿业股份有限公司为浩云科技独立董事王朝曦任职 董事的企业</w:t>
                        </w:r>
                      </w:p>
                    </w:tc>
                  </w:tr>
                  <w:tr>
                    <w:trPr>
                      <w:trHeight w:val="714"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河源市紫金天鸥矿业有限公司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河源市紫金天鸥矿业有限公司为浩云科技独立董事王朝曦任 职董事的企业</w:t>
                        </w:r>
                      </w:p>
                    </w:tc>
                  </w:tr>
                  <w:tr>
                    <w:trPr>
                      <w:trHeight w:val="714"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广州市宝山贸易有限公司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广州市宝山贸易有限公司为浩云科技独立董事王朝曦任职董 事的企业</w:t>
                        </w:r>
                      </w:p>
                    </w:tc>
                  </w:tr>
                  <w:tr>
                    <w:trPr>
                      <w:trHeight w:val="714"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吉水县谊达物资有限责任公司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吉水县谊达物资有限责任公司为浩云科技独立董事王朝曦任 职董事长的企业</w:t>
                        </w:r>
                      </w:p>
                    </w:tc>
                  </w:tr>
                  <w:tr>
                    <w:trPr>
                      <w:trHeight w:val="714"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深圳华信资源投资管理股份有限公司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深圳华信资源投资管理股份有限公司为浩云科技独立董事王 朝曦任职董事的企业</w:t>
                        </w:r>
                      </w:p>
                    </w:tc>
                  </w:tr>
                  <w:tr>
                    <w:trPr>
                      <w:trHeight w:val="714"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大富时基金管理（深圳）有限公司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大富时基金管理（深圳）有限公司为浩云科技独立董事王朝 曦任职总经理的企业</w:t>
                        </w:r>
                      </w:p>
                    </w:tc>
                  </w:tr>
                  <w:tr>
                    <w:trPr>
                      <w:trHeight w:val="714"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广州大富时投资有限公司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广州大富时投资有限公司为浩云科技独立董事王朝曦任职合 伙人的企业</w:t>
                        </w:r>
                      </w:p>
                    </w:tc>
                  </w:tr>
                  <w:tr>
                    <w:trPr>
                      <w:trHeight w:val="714"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广州市骏宝投资有限公司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广州市骏宝投资有限公司为浩云科技独立董事王朝曦任职监 事的企业</w:t>
                        </w:r>
                      </w:p>
                    </w:tc>
                  </w:tr>
                  <w:tr>
                    <w:trPr>
                      <w:trHeight w:val="714"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深圳大富时投资有限公司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深圳大富时投资有限公司为浩云科技独立董事王朝曦任职执 行董事的企业</w:t>
                        </w:r>
                      </w:p>
                    </w:tc>
                  </w:tr>
                  <w:tr>
                    <w:trPr>
                      <w:trHeight w:val="714"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广州市浩荣贸易有限公司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广州市浩荣贸易有限公司为浩云科技独立董事王朝曦任职监 事的企业</w:t>
                        </w:r>
                      </w:p>
                    </w:tc>
                  </w:tr>
                  <w:tr>
                    <w:trPr>
                      <w:trHeight w:val="714"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得富基金管理（深圳）有限公司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得富基金管理（深圳）有限公司为浩云科技独立董事王朝曦 任职执行董事的企业</w:t>
                        </w:r>
                      </w:p>
                    </w:tc>
                  </w:tr>
                  <w:tr>
                    <w:trPr>
                      <w:trHeight w:val="714"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广东峰山投资有限公司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广东峰山投资有限公司为浩云科技独立董事王朝曦任职董事 的企业</w:t>
                        </w:r>
                      </w:p>
                    </w:tc>
                  </w:tr>
                </w:tbl>
                <w:p>
                  <w:pPr/>
                </w:p>
              </w:txbxContent>
            </v:textbox>
            <w10:wrap type="none"/>
          </v:shape>
        </w:pict>
      </w:r>
      <w:r>
        <w:rPr/>
        <w:t>、</w:t>
      </w:r>
    </w:p>
    <w:p>
      <w:pPr>
        <w:spacing w:after="0" w:line="240" w:lineRule="auto"/>
        <w:jc w:val="right"/>
        <w:sectPr>
          <w:footerReference w:type="default" r:id="rId65"/>
          <w:pgSz w:w="11910" w:h="16840"/>
          <w:pgMar w:footer="640" w:header="787" w:top="1100" w:bottom="840" w:left="0" w:right="0"/>
        </w:sectPr>
      </w:pPr>
    </w:p>
    <w:p>
      <w:pPr>
        <w:spacing w:line="240" w:lineRule="auto" w:before="8"/>
        <w:rPr>
          <w:rFonts w:ascii="宋体" w:hAnsi="宋体" w:cs="宋体" w:eastAsia="宋体" w:hint="default"/>
          <w:sz w:val="21"/>
          <w:szCs w:val="21"/>
        </w:rPr>
      </w:pPr>
    </w:p>
    <w:p>
      <w:pPr>
        <w:pStyle w:val="Heading3"/>
        <w:spacing w:line="240" w:lineRule="auto" w:before="35"/>
        <w:ind w:right="0"/>
        <w:jc w:val="left"/>
        <w:rPr>
          <w:b w:val="0"/>
          <w:bCs w:val="0"/>
        </w:rPr>
      </w:pPr>
      <w:bookmarkStart w:name="5、关联交易情况" w:id="452"/>
      <w:bookmarkEnd w:id="452"/>
      <w:r>
        <w:rPr>
          <w:b w:val="0"/>
          <w:bCs w:val="0"/>
        </w:rPr>
      </w:r>
      <w:r>
        <w:rPr>
          <w:rFonts w:ascii="Times New Roman" w:hAnsi="Times New Roman" w:cs="Times New Roman" w:eastAsia="Times New Roman" w:hint="default"/>
        </w:rPr>
        <w:t>5</w:t>
      </w:r>
      <w:r>
        <w:rPr/>
        <w:t>、关联交易情况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购销商品、提供和接受劳务的关联交易" w:id="453"/>
      <w:bookmarkEnd w:id="453"/>
      <w:r>
        <w:rPr>
          <w:b w:val="0"/>
          <w:bCs w:val="0"/>
        </w:rPr>
      </w: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8"/>
        <w:rPr>
          <w:rFonts w:ascii="宋体" w:hAnsi="宋体" w:cs="宋体" w:eastAsia="宋体" w:hint="default"/>
          <w:b/>
          <w:bCs/>
          <w:sz w:val="32"/>
          <w:szCs w:val="32"/>
        </w:rPr>
      </w:pPr>
    </w:p>
    <w:p>
      <w:pPr>
        <w:pStyle w:val="BodyText"/>
        <w:spacing w:line="240" w:lineRule="auto"/>
        <w:ind w:right="0"/>
        <w:jc w:val="left"/>
      </w:pPr>
      <w:r>
        <w:rPr/>
        <w:t>不适用</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0"/>
          <w:szCs w:val="20"/>
        </w:rPr>
      </w:pPr>
    </w:p>
    <w:p>
      <w:pPr>
        <w:pStyle w:val="Heading3"/>
        <w:spacing w:line="240" w:lineRule="auto"/>
        <w:ind w:right="0"/>
        <w:jc w:val="left"/>
        <w:rPr>
          <w:b w:val="0"/>
          <w:bCs w:val="0"/>
        </w:rPr>
      </w:pPr>
      <w:bookmarkStart w:name="（2）关联受托管理/承包及委托管理/出包情况" w:id="454"/>
      <w:bookmarkEnd w:id="454"/>
      <w:r>
        <w:rPr>
          <w:b w:val="0"/>
          <w:bCs w:val="0"/>
        </w:rPr>
      </w:r>
      <w:r>
        <w:rPr/>
        <w:t>（</w:t>
      </w:r>
      <w:r>
        <w:rPr>
          <w:rFonts w:ascii="Times New Roman" w:hAnsi="Times New Roman" w:cs="Times New Roman" w:eastAsia="Times New Roman" w:hint="default"/>
        </w:rPr>
        <w:t>2</w:t>
      </w:r>
      <w:r>
        <w:rPr/>
        <w:t>）关联受托管理</w:t>
      </w:r>
      <w:r>
        <w:rPr>
          <w:rFonts w:ascii="Times New Roman" w:hAnsi="Times New Roman" w:cs="Times New Roman" w:eastAsia="Times New Roman" w:hint="default"/>
        </w:rPr>
        <w:t>/</w:t>
      </w:r>
      <w:r>
        <w:rPr/>
        <w:t>承包及委托管理</w:t>
      </w:r>
      <w:r>
        <w:rPr>
          <w:rFonts w:ascii="Times New Roman" w:hAnsi="Times New Roman" w:cs="Times New Roman" w:eastAsia="Times New Roman" w:hint="default"/>
        </w:rPr>
        <w:t>/</w:t>
      </w:r>
      <w:r>
        <w:rPr/>
        <w:t>出包情况</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pStyle w:val="BodyText"/>
        <w:spacing w:line="240" w:lineRule="auto"/>
        <w:ind w:right="0"/>
        <w:jc w:val="left"/>
      </w:pPr>
      <w:r>
        <w:rPr/>
        <w:t>不适用</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0"/>
          <w:szCs w:val="20"/>
        </w:rPr>
      </w:pPr>
    </w:p>
    <w:p>
      <w:pPr>
        <w:pStyle w:val="Heading3"/>
        <w:spacing w:line="240" w:lineRule="auto"/>
        <w:ind w:right="0"/>
        <w:jc w:val="left"/>
        <w:rPr>
          <w:b w:val="0"/>
          <w:bCs w:val="0"/>
        </w:rPr>
      </w:pPr>
      <w:bookmarkStart w:name="（3）关联租赁情况" w:id="455"/>
      <w:bookmarkEnd w:id="455"/>
      <w:r>
        <w:rPr>
          <w:b w:val="0"/>
          <w:bCs w:val="0"/>
        </w:rPr>
      </w:r>
      <w:r>
        <w:rPr/>
        <w:t>（</w:t>
      </w:r>
      <w:r>
        <w:rPr>
          <w:rFonts w:ascii="Times New Roman" w:hAnsi="Times New Roman" w:cs="Times New Roman" w:eastAsia="Times New Roman" w:hint="default"/>
        </w:rPr>
        <w:t>3</w:t>
      </w:r>
      <w:r>
        <w:rPr/>
        <w:t>）关联租赁情况</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pStyle w:val="BodyText"/>
        <w:spacing w:line="518" w:lineRule="auto"/>
        <w:ind w:right="9132"/>
        <w:jc w:val="left"/>
      </w:pPr>
      <w:r>
        <w:rPr/>
        <w:t>本公司作为出租方： 不适用 本公司作为承租方：</w:t>
      </w:r>
    </w:p>
    <w:p>
      <w:pPr>
        <w:pStyle w:val="BodyText"/>
        <w:spacing w:line="240" w:lineRule="auto" w:before="63"/>
        <w:ind w:left="0" w:right="1130"/>
        <w:jc w:val="right"/>
      </w:pPr>
      <w:r>
        <w:rPr/>
        <w:t>单位： 元</w:t>
      </w:r>
    </w:p>
    <w:p>
      <w:pPr>
        <w:spacing w:line="240" w:lineRule="auto" w:before="13"/>
        <w:rPr>
          <w:rFonts w:ascii="宋体" w:hAnsi="宋体" w:cs="宋体" w:eastAsia="宋体" w:hint="default"/>
          <w:sz w:val="13"/>
          <w:szCs w:val="13"/>
        </w:rPr>
      </w:pPr>
    </w:p>
    <w:tbl>
      <w:tblPr>
        <w:tblW w:w="0" w:type="auto"/>
        <w:jc w:val="left"/>
        <w:tblInd w:w="1129" w:type="dxa"/>
        <w:tblLayout w:type="fixed"/>
        <w:tblCellMar>
          <w:top w:w="0" w:type="dxa"/>
          <w:left w:w="0" w:type="dxa"/>
          <w:bottom w:w="0" w:type="dxa"/>
          <w:right w:w="0" w:type="dxa"/>
        </w:tblCellMar>
        <w:tblLook w:val="01E0"/>
      </w:tblPr>
      <w:tblGrid>
        <w:gridCol w:w="2392"/>
        <w:gridCol w:w="2393"/>
        <w:gridCol w:w="2392"/>
        <w:gridCol w:w="2392"/>
      </w:tblGrid>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40" w:right="0"/>
              <w:jc w:val="left"/>
              <w:rPr>
                <w:rFonts w:ascii="宋体" w:hAnsi="宋体" w:cs="宋体" w:eastAsia="宋体" w:hint="default"/>
                <w:sz w:val="18"/>
                <w:szCs w:val="18"/>
              </w:rPr>
            </w:pPr>
            <w:r>
              <w:rPr>
                <w:rFonts w:ascii="宋体" w:hAnsi="宋体" w:cs="宋体" w:eastAsia="宋体" w:hint="default"/>
                <w:sz w:val="18"/>
                <w:szCs w:val="18"/>
              </w:rPr>
              <w:t>出租方名称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1"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70" w:right="0"/>
              <w:jc w:val="left"/>
              <w:rPr>
                <w:rFonts w:ascii="宋体" w:hAnsi="宋体" w:cs="宋体" w:eastAsia="宋体" w:hint="default"/>
                <w:sz w:val="18"/>
                <w:szCs w:val="18"/>
              </w:rPr>
            </w:pPr>
            <w:r>
              <w:rPr>
                <w:rFonts w:ascii="宋体" w:hAnsi="宋体" w:cs="宋体" w:eastAsia="宋体" w:hint="default"/>
                <w:sz w:val="18"/>
                <w:szCs w:val="18"/>
              </w:rPr>
              <w:t>本期确认的租赁费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70" w:right="0"/>
              <w:jc w:val="left"/>
              <w:rPr>
                <w:rFonts w:ascii="宋体" w:hAnsi="宋体" w:cs="宋体" w:eastAsia="宋体" w:hint="default"/>
                <w:sz w:val="18"/>
                <w:szCs w:val="18"/>
              </w:rPr>
            </w:pPr>
            <w:r>
              <w:rPr>
                <w:rFonts w:ascii="宋体" w:hAnsi="宋体" w:cs="宋体" w:eastAsia="宋体" w:hint="default"/>
                <w:sz w:val="18"/>
                <w:szCs w:val="18"/>
              </w:rPr>
              <w:t>上期确认的租赁费</w:t>
            </w:r>
          </w:p>
        </w:tc>
      </w:tr>
      <w:tr>
        <w:trPr>
          <w:trHeight w:val="40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茅庆江</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员工宿舍租赁</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556" w:right="0"/>
              <w:jc w:val="left"/>
              <w:rPr>
                <w:rFonts w:ascii="Times New Roman" w:hAnsi="Times New Roman" w:cs="Times New Roman" w:eastAsia="Times New Roman" w:hint="default"/>
                <w:sz w:val="18"/>
                <w:szCs w:val="18"/>
              </w:rPr>
            </w:pPr>
            <w:r>
              <w:rPr>
                <w:rFonts w:ascii="Times New Roman"/>
                <w:sz w:val="18"/>
              </w:rPr>
              <w:t>112,800.00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556" w:right="0"/>
              <w:jc w:val="left"/>
              <w:rPr>
                <w:rFonts w:ascii="Times New Roman" w:hAnsi="Times New Roman" w:cs="Times New Roman" w:eastAsia="Times New Roman" w:hint="default"/>
                <w:sz w:val="18"/>
                <w:szCs w:val="18"/>
              </w:rPr>
            </w:pPr>
            <w:r>
              <w:rPr>
                <w:rFonts w:ascii="Times New Roman"/>
                <w:sz w:val="18"/>
              </w:rPr>
              <w:t>112,800.00</w:t>
            </w:r>
          </w:p>
        </w:tc>
      </w:tr>
    </w:tbl>
    <w:p>
      <w:pPr>
        <w:pStyle w:val="BodyText"/>
        <w:spacing w:line="240" w:lineRule="auto" w:before="51"/>
        <w:ind w:right="0"/>
        <w:jc w:val="left"/>
      </w:pPr>
      <w:r>
        <w:rPr/>
        <w:t>关联租赁情况说明</w:t>
      </w:r>
    </w:p>
    <w:p>
      <w:pPr>
        <w:pStyle w:val="BodyText"/>
        <w:spacing w:line="240" w:lineRule="auto" w:before="115"/>
        <w:ind w:left="0" w:right="1132"/>
        <w:jc w:val="right"/>
      </w:pPr>
      <w:r>
        <w:rPr>
          <w:rFonts w:ascii="Times New Roman" w:hAnsi="Times New Roman" w:cs="Times New Roman" w:eastAsia="Times New Roman" w:hint="default"/>
          <w:spacing w:val="-1"/>
        </w:rPr>
        <w:t>2016</w:t>
      </w:r>
      <w:r>
        <w:rPr>
          <w:spacing w:val="-1"/>
        </w:rPr>
        <w:t>年</w:t>
      </w:r>
      <w:r>
        <w:rPr>
          <w:rFonts w:ascii="Times New Roman" w:hAnsi="Times New Roman" w:cs="Times New Roman" w:eastAsia="Times New Roman" w:hint="default"/>
          <w:spacing w:val="-1"/>
        </w:rPr>
        <w:t>5</w:t>
      </w:r>
      <w:r>
        <w:rPr>
          <w:spacing w:val="-1"/>
        </w:rPr>
        <w:t>月</w:t>
      </w:r>
      <w:r>
        <w:rPr>
          <w:rFonts w:ascii="Times New Roman" w:hAnsi="Times New Roman" w:cs="Times New Roman" w:eastAsia="Times New Roman" w:hint="default"/>
          <w:spacing w:val="-1"/>
        </w:rPr>
        <w:t>1</w:t>
      </w:r>
      <w:r>
        <w:rPr>
          <w:spacing w:val="-1"/>
        </w:rPr>
        <w:t>日，茅庆江与公司签订了《广州市房屋租赁合同》，该合同约定茅庆江将其个人名下位于番禺区番禺大道北</w:t>
      </w:r>
    </w:p>
    <w:p>
      <w:pPr>
        <w:pStyle w:val="BodyText"/>
        <w:spacing w:line="300" w:lineRule="auto" w:before="63"/>
        <w:ind w:left="1133" w:right="0"/>
        <w:jc w:val="left"/>
      </w:pPr>
      <w:r>
        <w:rPr>
          <w:rFonts w:ascii="Times New Roman" w:hAnsi="Times New Roman" w:cs="Times New Roman" w:eastAsia="Times New Roman" w:hint="default"/>
          <w:spacing w:val="-2"/>
        </w:rPr>
        <w:t>555</w:t>
      </w:r>
      <w:r>
        <w:rPr>
          <w:spacing w:val="-2"/>
        </w:rPr>
        <w:t>号番禺节能科技园内天安菁华公寓</w:t>
      </w:r>
      <w:r>
        <w:rPr>
          <w:rFonts w:ascii="Times New Roman" w:hAnsi="Times New Roman" w:cs="Times New Roman" w:eastAsia="Times New Roman" w:hint="default"/>
          <w:spacing w:val="-2"/>
        </w:rPr>
        <w:t>2</w:t>
      </w:r>
      <w:r>
        <w:rPr>
          <w:spacing w:val="-2"/>
        </w:rPr>
        <w:t>栋</w:t>
      </w:r>
      <w:r>
        <w:rPr>
          <w:rFonts w:ascii="Times New Roman" w:hAnsi="Times New Roman" w:cs="Times New Roman" w:eastAsia="Times New Roman" w:hint="default"/>
          <w:spacing w:val="-2"/>
        </w:rPr>
        <w:t>1701</w:t>
      </w:r>
      <w:r>
        <w:rPr>
          <w:spacing w:val="-2"/>
        </w:rPr>
        <w:t>号、</w:t>
      </w:r>
      <w:r>
        <w:rPr>
          <w:rFonts w:ascii="Times New Roman" w:hAnsi="Times New Roman" w:cs="Times New Roman" w:eastAsia="Times New Roman" w:hint="default"/>
          <w:spacing w:val="-2"/>
        </w:rPr>
        <w:t>1702</w:t>
      </w:r>
      <w:r>
        <w:rPr>
          <w:spacing w:val="-2"/>
        </w:rPr>
        <w:t>号、</w:t>
      </w:r>
      <w:r>
        <w:rPr>
          <w:rFonts w:ascii="Times New Roman" w:hAnsi="Times New Roman" w:cs="Times New Roman" w:eastAsia="Times New Roman" w:hint="default"/>
          <w:spacing w:val="-2"/>
        </w:rPr>
        <w:t>1703</w:t>
      </w:r>
      <w:r>
        <w:rPr>
          <w:spacing w:val="-2"/>
        </w:rPr>
        <w:t>号、</w:t>
      </w:r>
      <w:r>
        <w:rPr>
          <w:rFonts w:ascii="Times New Roman" w:hAnsi="Times New Roman" w:cs="Times New Roman" w:eastAsia="Times New Roman" w:hint="default"/>
          <w:spacing w:val="-2"/>
        </w:rPr>
        <w:t>1717</w:t>
      </w:r>
      <w:r>
        <w:rPr>
          <w:spacing w:val="-2"/>
        </w:rPr>
        <w:t>号、</w:t>
      </w:r>
      <w:r>
        <w:rPr>
          <w:rFonts w:ascii="Times New Roman" w:hAnsi="Times New Roman" w:cs="Times New Roman" w:eastAsia="Times New Roman" w:hint="default"/>
          <w:spacing w:val="-2"/>
        </w:rPr>
        <w:t>1718</w:t>
      </w:r>
      <w:r>
        <w:rPr>
          <w:spacing w:val="-2"/>
        </w:rPr>
        <w:t>号及</w:t>
      </w:r>
      <w:r>
        <w:rPr>
          <w:rFonts w:ascii="Times New Roman" w:hAnsi="Times New Roman" w:cs="Times New Roman" w:eastAsia="Times New Roman" w:hint="default"/>
          <w:spacing w:val="-2"/>
        </w:rPr>
        <w:t>1719</w:t>
      </w:r>
      <w:r>
        <w:rPr>
          <w:spacing w:val="-2"/>
        </w:rPr>
        <w:t>号的房产出租给公司作为住宅用</w:t>
      </w:r>
      <w:r>
        <w:rPr>
          <w:spacing w:val="-37"/>
        </w:rPr>
        <w:t> </w:t>
      </w:r>
      <w:r>
        <w:rPr/>
        <w:t>途使用。租赁期限从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30</w:t>
      </w:r>
      <w:r>
        <w:rPr/>
        <w:t>日，租金共计</w:t>
      </w:r>
      <w:r>
        <w:rPr>
          <w:rFonts w:ascii="Times New Roman" w:hAnsi="Times New Roman" w:cs="Times New Roman" w:eastAsia="Times New Roman" w:hint="default"/>
        </w:rPr>
        <w:t>9,400</w:t>
      </w:r>
      <w:r>
        <w:rPr>
          <w:rFonts w:ascii="Times New Roman" w:hAnsi="Times New Roman" w:cs="Times New Roman" w:eastAsia="Times New Roman" w:hint="default"/>
          <w:spacing w:val="25"/>
        </w:rPr>
        <w:t> </w:t>
      </w:r>
      <w:r>
        <w:rPr/>
        <w:t>元</w:t>
      </w:r>
      <w:r>
        <w:rPr>
          <w:rFonts w:ascii="Times New Roman" w:hAnsi="Times New Roman" w:cs="Times New Roman" w:eastAsia="Times New Roman" w:hint="default"/>
        </w:rPr>
        <w:t>/</w:t>
      </w:r>
      <w:r>
        <w:rPr/>
        <w:t>月。</w:t>
      </w:r>
    </w:p>
    <w:p>
      <w:pPr>
        <w:spacing w:line="240" w:lineRule="auto" w:before="1"/>
        <w:rPr>
          <w:rFonts w:ascii="宋体" w:hAnsi="宋体" w:cs="宋体" w:eastAsia="宋体" w:hint="default"/>
          <w:sz w:val="22"/>
          <w:szCs w:val="22"/>
        </w:rPr>
      </w:pPr>
    </w:p>
    <w:p>
      <w:pPr>
        <w:pStyle w:val="Heading3"/>
        <w:spacing w:line="240" w:lineRule="auto"/>
        <w:ind w:left="1133" w:right="0"/>
        <w:jc w:val="left"/>
        <w:rPr>
          <w:b w:val="0"/>
          <w:bCs w:val="0"/>
        </w:rPr>
      </w:pPr>
      <w:bookmarkStart w:name="（4）关联担保情况" w:id="456"/>
      <w:bookmarkEnd w:id="456"/>
      <w:r>
        <w:rPr>
          <w:b w:val="0"/>
          <w:bCs w:val="0"/>
        </w:rPr>
      </w:r>
      <w:r>
        <w:rPr/>
        <w:t>（</w:t>
      </w:r>
      <w:r>
        <w:rPr>
          <w:rFonts w:ascii="Times New Roman" w:hAnsi="Times New Roman" w:cs="Times New Roman" w:eastAsia="Times New Roman" w:hint="default"/>
        </w:rPr>
        <w:t>4</w:t>
      </w:r>
      <w:r>
        <w:rPr/>
        <w:t>）关联担保情况</w:t>
      </w:r>
      <w:r>
        <w:rPr>
          <w:b w:val="0"/>
          <w:bCs w:val="0"/>
        </w:rPr>
      </w:r>
    </w:p>
    <w:p>
      <w:pPr>
        <w:spacing w:line="240" w:lineRule="auto" w:before="8"/>
        <w:rPr>
          <w:rFonts w:ascii="宋体" w:hAnsi="宋体" w:cs="宋体" w:eastAsia="宋体" w:hint="default"/>
          <w:b/>
          <w:bCs/>
          <w:sz w:val="32"/>
          <w:szCs w:val="32"/>
        </w:rPr>
      </w:pPr>
    </w:p>
    <w:p>
      <w:pPr>
        <w:pStyle w:val="BodyText"/>
        <w:spacing w:line="516" w:lineRule="auto"/>
        <w:ind w:right="9132"/>
        <w:jc w:val="left"/>
      </w:pPr>
      <w:r>
        <w:rPr/>
        <w:t>本公司作为担保方 不适用 本公司作为被担保方</w:t>
      </w:r>
    </w:p>
    <w:p>
      <w:pPr>
        <w:pStyle w:val="BodyText"/>
        <w:spacing w:line="240" w:lineRule="auto" w:before="65"/>
        <w:ind w:left="0" w:right="1130"/>
        <w:jc w:val="right"/>
      </w:pPr>
      <w:r>
        <w:rPr/>
        <w:t>单位： 元</w:t>
      </w:r>
    </w:p>
    <w:p>
      <w:pPr>
        <w:spacing w:line="240" w:lineRule="auto" w:before="0"/>
        <w:rPr>
          <w:rFonts w:ascii="宋体" w:hAnsi="宋体" w:cs="宋体" w:eastAsia="宋体" w:hint="default"/>
          <w:sz w:val="14"/>
          <w:szCs w:val="14"/>
        </w:rPr>
      </w:pPr>
    </w:p>
    <w:tbl>
      <w:tblPr>
        <w:tblW w:w="0" w:type="auto"/>
        <w:jc w:val="left"/>
        <w:tblInd w:w="1129" w:type="dxa"/>
        <w:tblLayout w:type="fixed"/>
        <w:tblCellMar>
          <w:top w:w="0" w:type="dxa"/>
          <w:left w:w="0" w:type="dxa"/>
          <w:bottom w:w="0" w:type="dxa"/>
          <w:right w:w="0" w:type="dxa"/>
        </w:tblCellMar>
        <w:tblLook w:val="01E0"/>
      </w:tblPr>
      <w:tblGrid>
        <w:gridCol w:w="1913"/>
        <w:gridCol w:w="1916"/>
        <w:gridCol w:w="1914"/>
        <w:gridCol w:w="1914"/>
        <w:gridCol w:w="1914"/>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雷洪文</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茅庆江</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line="240" w:lineRule="auto" w:before="6"/>
        <w:rPr>
          <w:rFonts w:ascii="宋体" w:hAnsi="宋体" w:cs="宋体" w:eastAsia="宋体" w:hint="default"/>
          <w:sz w:val="6"/>
          <w:szCs w:val="6"/>
        </w:rPr>
      </w:pPr>
    </w:p>
    <w:p>
      <w:pPr>
        <w:pStyle w:val="BodyText"/>
        <w:spacing w:line="240" w:lineRule="auto" w:before="44"/>
        <w:ind w:right="0"/>
        <w:jc w:val="left"/>
      </w:pPr>
      <w:r>
        <w:rPr/>
        <w:t>关联担保情况说明</w:t>
      </w:r>
    </w:p>
    <w:p>
      <w:pPr>
        <w:spacing w:line="240" w:lineRule="auto" w:before="10"/>
        <w:rPr>
          <w:rFonts w:ascii="宋体" w:hAnsi="宋体" w:cs="宋体" w:eastAsia="宋体" w:hint="default"/>
          <w:sz w:val="20"/>
          <w:szCs w:val="20"/>
        </w:rPr>
      </w:pPr>
    </w:p>
    <w:p>
      <w:pPr>
        <w:pStyle w:val="BodyText"/>
        <w:spacing w:line="240" w:lineRule="auto"/>
        <w:ind w:right="0"/>
        <w:jc w:val="left"/>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13</w:t>
      </w:r>
      <w:r>
        <w:rPr/>
        <w:t>日，茅庆江与中国银行广州番禺支行签订了《最高额保证合同》（编号为</w:t>
      </w:r>
      <w:r>
        <w:rPr>
          <w:rFonts w:ascii="Times New Roman" w:hAnsi="Times New Roman" w:cs="Times New Roman" w:eastAsia="Times New Roman" w:hint="default"/>
        </w:rPr>
        <w:t>GBZ476780120170141</w:t>
      </w:r>
      <w:r>
        <w:rPr/>
        <w:t>），约定茅</w:t>
      </w:r>
    </w:p>
    <w:p>
      <w:pPr>
        <w:spacing w:after="0" w:line="240" w:lineRule="auto"/>
        <w:jc w:val="left"/>
        <w:sectPr>
          <w:pgSz w:w="11910" w:h="16840"/>
          <w:pgMar w:header="787" w:footer="640" w:top="1100" w:bottom="840" w:left="0" w:right="0"/>
        </w:sectPr>
      </w:pPr>
    </w:p>
    <w:p>
      <w:pPr>
        <w:spacing w:line="240" w:lineRule="auto" w:before="10"/>
        <w:rPr>
          <w:rFonts w:ascii="宋体" w:hAnsi="宋体" w:cs="宋体" w:eastAsia="宋体" w:hint="default"/>
          <w:sz w:val="28"/>
          <w:szCs w:val="28"/>
        </w:rPr>
      </w:pPr>
    </w:p>
    <w:p>
      <w:pPr>
        <w:pStyle w:val="BodyText"/>
        <w:spacing w:line="451" w:lineRule="auto" w:before="44"/>
        <w:ind w:left="1133" w:right="1123"/>
        <w:jc w:val="left"/>
      </w:pPr>
      <w:r>
        <w:rPr/>
        <w:t>庆江为本公司向中国银行广州番禺支行申请银行授信项下借款提供担保，担保的最高债权额为</w:t>
      </w:r>
      <w:r>
        <w:rPr>
          <w:rFonts w:ascii="Times New Roman" w:hAnsi="Times New Roman" w:cs="Times New Roman" w:eastAsia="Times New Roman" w:hint="default"/>
        </w:rPr>
        <w:t>3,000</w:t>
      </w:r>
      <w:r>
        <w:rPr/>
        <w:t>万元，担保期间为</w:t>
      </w:r>
      <w:r>
        <w:rPr>
          <w:rFonts w:ascii="Times New Roman" w:hAnsi="Times New Roman" w:cs="Times New Roman" w:eastAsia="Times New Roman" w:hint="default"/>
        </w:rPr>
        <w:t>2016 </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5</w:t>
      </w:r>
      <w:r>
        <w:rPr/>
        <w:t>日至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28</w:t>
      </w:r>
      <w:r>
        <w:rPr/>
        <w:t>日，担保方式为连带责任保证。 </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13</w:t>
      </w:r>
      <w:r>
        <w:rPr/>
        <w:t>日，雷洪文与中国银行广州番禺支行签订了《最高额保证合同》（编号为</w:t>
      </w:r>
      <w:r>
        <w:rPr>
          <w:rFonts w:ascii="Times New Roman" w:hAnsi="Times New Roman" w:cs="Times New Roman" w:eastAsia="Times New Roman" w:hint="default"/>
        </w:rPr>
        <w:t>GBZ476780120170140</w:t>
      </w:r>
      <w:r>
        <w:rPr/>
        <w:t>），约定雷 洪文为本公司向中国银行广州番禺支行申请银行授信项下借款提供担保，担保的最高债权额为</w:t>
      </w:r>
      <w:r>
        <w:rPr>
          <w:rFonts w:ascii="Times New Roman" w:hAnsi="Times New Roman" w:cs="Times New Roman" w:eastAsia="Times New Roman" w:hint="default"/>
        </w:rPr>
        <w:t>3,000</w:t>
      </w:r>
      <w:r>
        <w:rPr/>
        <w:t>万元，担保期间为</w:t>
      </w:r>
      <w:r>
        <w:rPr>
          <w:rFonts w:ascii="Times New Roman" w:hAnsi="Times New Roman" w:cs="Times New Roman" w:eastAsia="Times New Roman" w:hint="default"/>
        </w:rPr>
        <w:t>2016 </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5</w:t>
      </w:r>
      <w:r>
        <w:rPr/>
        <w:t>日至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28</w:t>
      </w:r>
      <w:r>
        <w:rPr/>
        <w:t>日，担保方式为连带责任保证。</w:t>
      </w:r>
    </w:p>
    <w:p>
      <w:pPr>
        <w:spacing w:line="240" w:lineRule="auto" w:before="6"/>
        <w:rPr>
          <w:rFonts w:ascii="宋体" w:hAnsi="宋体" w:cs="宋体" w:eastAsia="宋体" w:hint="default"/>
          <w:sz w:val="18"/>
          <w:szCs w:val="18"/>
        </w:rPr>
      </w:pPr>
    </w:p>
    <w:p>
      <w:pPr>
        <w:pStyle w:val="Heading3"/>
        <w:spacing w:line="240" w:lineRule="auto"/>
        <w:ind w:right="0"/>
        <w:jc w:val="left"/>
        <w:rPr>
          <w:b w:val="0"/>
          <w:bCs w:val="0"/>
        </w:rPr>
      </w:pPr>
      <w:bookmarkStart w:name="（5）关联方资金拆借" w:id="457"/>
      <w:bookmarkEnd w:id="457"/>
      <w:r>
        <w:rPr>
          <w:b w:val="0"/>
          <w:bCs w:val="0"/>
        </w:rPr>
      </w:r>
      <w:r>
        <w:rPr/>
        <w:t>（</w:t>
      </w:r>
      <w:r>
        <w:rPr>
          <w:rFonts w:ascii="Times New Roman" w:hAnsi="Times New Roman" w:cs="Times New Roman" w:eastAsia="Times New Roman" w:hint="default"/>
        </w:rPr>
        <w:t>5</w:t>
      </w:r>
      <w:r>
        <w:rPr/>
        <w:t>）关联方资金拆借</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不适用</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6）关联方资产转让、债务重组情况" w:id="458"/>
      <w:bookmarkEnd w:id="458"/>
      <w:r>
        <w:rPr>
          <w:b w:val="0"/>
          <w:bCs w:val="0"/>
        </w:rPr>
      </w:r>
      <w:r>
        <w:rPr/>
        <w:t>（</w:t>
      </w:r>
      <w:r>
        <w:rPr>
          <w:rFonts w:ascii="Times New Roman" w:hAnsi="Times New Roman" w:cs="Times New Roman" w:eastAsia="Times New Roman" w:hint="default"/>
        </w:rPr>
        <w:t>6</w:t>
      </w:r>
      <w:r>
        <w:rPr/>
        <w:t>）关联方资产转让、债务重组情况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不适用</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7）关键管理人员报酬" w:id="459"/>
      <w:bookmarkEnd w:id="459"/>
      <w:r>
        <w:rPr>
          <w:b w:val="0"/>
          <w:bCs w:val="0"/>
        </w:rPr>
      </w:r>
      <w:r>
        <w:rPr/>
        <w:t>（</w:t>
      </w:r>
      <w:r>
        <w:rPr>
          <w:rFonts w:ascii="Times New Roman" w:hAnsi="Times New Roman" w:cs="Times New Roman" w:eastAsia="Times New Roman" w:hint="default"/>
        </w:rPr>
        <w:t>7</w:t>
      </w:r>
      <w:r>
        <w:rPr/>
        <w:t>）关键管理人员报酬</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9"/>
        <w:gridCol w:w="3190"/>
        <w:gridCol w:w="3191"/>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关键管理人员报酬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3,211,432.72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3,818,660.50</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8）其他关联交易" w:id="460"/>
      <w:bookmarkEnd w:id="460"/>
      <w:r>
        <w:rPr>
          <w:b w:val="0"/>
          <w:bCs w:val="0"/>
        </w:rPr>
      </w:r>
      <w:r>
        <w:rPr/>
        <w:t>（</w:t>
      </w:r>
      <w:r>
        <w:rPr>
          <w:rFonts w:ascii="Times New Roman" w:hAnsi="Times New Roman" w:cs="Times New Roman" w:eastAsia="Times New Roman" w:hint="default"/>
        </w:rPr>
        <w:t>8</w:t>
      </w:r>
      <w:r>
        <w:rPr/>
        <w:t>）其他关联交易</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不适用</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6、关联方应收应付款项" w:id="461"/>
      <w:bookmarkEnd w:id="461"/>
      <w:r>
        <w:rPr>
          <w:b w:val="0"/>
          <w:bCs w:val="0"/>
        </w:rPr>
      </w:r>
      <w:r>
        <w:rPr>
          <w:rFonts w:ascii="Times New Roman" w:hAnsi="Times New Roman" w:cs="Times New Roman" w:eastAsia="Times New Roman" w:hint="default"/>
        </w:rPr>
        <w:t>6</w:t>
      </w:r>
      <w:r>
        <w:rPr/>
        <w:t>、关联方应收应付款项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应收项目" w:id="462"/>
      <w:bookmarkEnd w:id="462"/>
      <w:r>
        <w:rPr>
          <w:b w:val="0"/>
          <w:bCs w:val="0"/>
        </w:rPr>
      </w:r>
      <w:r>
        <w:rPr/>
        <w:t>（</w:t>
      </w:r>
      <w:r>
        <w:rPr>
          <w:rFonts w:ascii="Times New Roman" w:hAnsi="Times New Roman" w:cs="Times New Roman" w:eastAsia="Times New Roman" w:hint="default"/>
        </w:rPr>
        <w:t>1</w:t>
      </w:r>
      <w:r>
        <w:rPr/>
        <w:t>）应收项目</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不适用</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2）应付项目" w:id="463"/>
      <w:bookmarkEnd w:id="463"/>
      <w:r>
        <w:rPr>
          <w:b w:val="0"/>
          <w:bCs w:val="0"/>
        </w:rPr>
      </w:r>
      <w:r>
        <w:rPr/>
        <w:t>（</w:t>
      </w:r>
      <w:r>
        <w:rPr>
          <w:rFonts w:ascii="Times New Roman" w:hAnsi="Times New Roman" w:cs="Times New Roman" w:eastAsia="Times New Roman" w:hint="default"/>
        </w:rPr>
        <w:t>2</w:t>
      </w:r>
      <w:r>
        <w:rPr/>
        <w:t>）应付项目</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不适用</w:t>
      </w:r>
    </w:p>
    <w:p>
      <w:pPr>
        <w:spacing w:after="0" w:line="240" w:lineRule="auto"/>
        <w:jc w:val="left"/>
        <w:sectPr>
          <w:pgSz w:w="11910" w:h="16840"/>
          <w:pgMar w:header="787" w:footer="640" w:top="1100" w:bottom="840" w:left="0" w:right="0"/>
        </w:sectPr>
      </w:pPr>
    </w:p>
    <w:p>
      <w:pPr>
        <w:spacing w:line="240" w:lineRule="auto" w:before="7"/>
        <w:rPr>
          <w:rFonts w:ascii="宋体" w:hAnsi="宋体" w:cs="宋体" w:eastAsia="宋体" w:hint="default"/>
          <w:sz w:val="21"/>
          <w:szCs w:val="21"/>
        </w:rPr>
      </w:pPr>
    </w:p>
    <w:p>
      <w:pPr>
        <w:pStyle w:val="Heading3"/>
        <w:spacing w:line="240" w:lineRule="auto" w:before="35"/>
        <w:ind w:right="0"/>
        <w:jc w:val="left"/>
        <w:rPr>
          <w:b w:val="0"/>
          <w:bCs w:val="0"/>
        </w:rPr>
      </w:pPr>
      <w:bookmarkStart w:name="7、关联方承诺" w:id="464"/>
      <w:bookmarkEnd w:id="464"/>
      <w:r>
        <w:rPr>
          <w:b w:val="0"/>
          <w:bCs w:val="0"/>
        </w:rPr>
      </w:r>
      <w:r>
        <w:rPr>
          <w:rFonts w:ascii="Times New Roman" w:hAnsi="Times New Roman" w:cs="Times New Roman" w:eastAsia="Times New Roman" w:hint="default"/>
        </w:rPr>
        <w:t>7</w:t>
      </w:r>
      <w:r>
        <w:rPr/>
        <w:t>、关联方承诺</w:t>
      </w:r>
      <w:r>
        <w:rPr>
          <w:b w:val="0"/>
          <w:bCs w:val="0"/>
        </w:rPr>
      </w:r>
    </w:p>
    <w:p>
      <w:pPr>
        <w:spacing w:line="240" w:lineRule="auto" w:before="10"/>
        <w:rPr>
          <w:rFonts w:ascii="宋体" w:hAnsi="宋体" w:cs="宋体" w:eastAsia="宋体" w:hint="default"/>
          <w:b/>
          <w:bCs/>
          <w:sz w:val="24"/>
          <w:szCs w:val="24"/>
        </w:rPr>
      </w:pPr>
    </w:p>
    <w:p>
      <w:pPr>
        <w:spacing w:line="487" w:lineRule="auto" w:before="0"/>
        <w:ind w:left="1133" w:right="8751" w:firstLine="0"/>
        <w:jc w:val="left"/>
        <w:rPr>
          <w:rFonts w:ascii="宋体" w:hAnsi="宋体" w:cs="宋体" w:eastAsia="宋体" w:hint="default"/>
          <w:sz w:val="21"/>
          <w:szCs w:val="21"/>
        </w:rPr>
      </w:pPr>
      <w:bookmarkStart w:name="8、其他" w:id="465"/>
      <w:bookmarkEnd w:id="465"/>
      <w:r>
        <w:rPr/>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三、股份支付" w:id="466"/>
      <w:bookmarkEnd w:id="466"/>
      <w:r>
        <w:rPr>
          <w:rFonts w:ascii="宋体" w:hAnsi="宋体" w:cs="宋体" w:eastAsia="宋体" w:hint="default"/>
          <w:b/>
          <w:bCs/>
          <w:spacing w:val="1"/>
          <w:w w:val="99"/>
          <w:sz w:val="21"/>
          <w:szCs w:val="21"/>
        </w:rPr>
      </w:r>
      <w:r>
        <w:rPr>
          <w:rFonts w:ascii="宋体" w:hAnsi="宋体" w:cs="宋体" w:eastAsia="宋体" w:hint="default"/>
          <w:b/>
          <w:bCs/>
          <w:sz w:val="24"/>
          <w:szCs w:val="24"/>
        </w:rPr>
        <w:t>十三、股份支付</w:t>
      </w:r>
      <w:r>
        <w:rPr>
          <w:rFonts w:ascii="宋体" w:hAnsi="宋体" w:cs="宋体" w:eastAsia="宋体" w:hint="default"/>
          <w:b/>
          <w:bCs/>
          <w:w w:val="99"/>
          <w:sz w:val="24"/>
          <w:szCs w:val="24"/>
        </w:rPr>
        <w:t> </w:t>
      </w:r>
      <w:bookmarkStart w:name="1、股份支付总体情况" w:id="467"/>
      <w:bookmarkEnd w:id="467"/>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、股份支付总体情况</w:t>
      </w:r>
      <w:r>
        <w:rPr>
          <w:rFonts w:ascii="宋体" w:hAnsi="宋体" w:cs="宋体" w:eastAsia="宋体" w:hint="default"/>
          <w:sz w:val="21"/>
          <w:szCs w:val="21"/>
        </w:rPr>
      </w:r>
    </w:p>
    <w:p>
      <w:pPr>
        <w:pStyle w:val="BodyText"/>
        <w:spacing w:line="240" w:lineRule="auto" w:before="108"/>
        <w:ind w:left="113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5455"/>
        <w:gridCol w:w="4114"/>
      </w:tblGrid>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公司本期授予的各项权益工具总额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149,400.00</w:t>
            </w:r>
          </w:p>
        </w:tc>
      </w:tr>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公司本期行权的各项权益工具总额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1,009,987.00</w:t>
            </w:r>
          </w:p>
        </w:tc>
      </w:tr>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公司本期失效的各项权益工具总额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125,551.00</w:t>
            </w:r>
          </w:p>
        </w:tc>
      </w:tr>
      <w:tr>
        <w:trPr>
          <w:trHeight w:val="714"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公司期末发行在外的股票期权行权价格的范围和合同剩余期限</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tabs>
                <w:tab w:pos="2000" w:val="left" w:leader="none"/>
              </w:tabs>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11.03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个月</w:t>
              <w:tab/>
            </w:r>
            <w:r>
              <w:rPr>
                <w:rFonts w:ascii="Times New Roman" w:hAnsi="Times New Roman" w:cs="Times New Roman" w:eastAsia="Times New Roman" w:hint="default"/>
                <w:sz w:val="18"/>
                <w:szCs w:val="18"/>
              </w:rPr>
              <w:t>13.51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r>
              <w:rPr>
                <w:rFonts w:ascii="Times New Roman" w:hAnsi="Times New Roman" w:cs="Times New Roman" w:eastAsia="Times New Roman" w:hint="default"/>
                <w:sz w:val="18"/>
                <w:szCs w:val="18"/>
              </w:rPr>
              <w:t>28 </w:t>
            </w:r>
            <w:r>
              <w:rPr>
                <w:rFonts w:ascii="宋体" w:hAnsi="宋体" w:cs="宋体" w:eastAsia="宋体" w:hint="default"/>
                <w:sz w:val="18"/>
                <w:szCs w:val="18"/>
              </w:rPr>
              <w:t>个月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15.05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r>
              <w:rPr>
                <w:rFonts w:ascii="Times New Roman" w:hAnsi="Times New Roman" w:cs="Times New Roman" w:eastAsia="Times New Roman" w:hint="default"/>
                <w:sz w:val="18"/>
                <w:szCs w:val="18"/>
              </w:rPr>
              <w:t>23 </w:t>
            </w:r>
            <w:r>
              <w:rPr>
                <w:rFonts w:ascii="宋体" w:hAnsi="宋体" w:cs="宋体" w:eastAsia="宋体" w:hint="default"/>
                <w:sz w:val="18"/>
                <w:szCs w:val="18"/>
              </w:rPr>
              <w:t>个月  </w:t>
            </w:r>
            <w:r>
              <w:rPr>
                <w:rFonts w:ascii="Times New Roman" w:hAnsi="Times New Roman" w:cs="Times New Roman" w:eastAsia="Times New Roman" w:hint="default"/>
                <w:sz w:val="18"/>
                <w:szCs w:val="18"/>
              </w:rPr>
              <w:t>12.16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个月</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以权益结算的股份支付情况" w:id="468"/>
      <w:bookmarkEnd w:id="468"/>
      <w:r>
        <w:rPr>
          <w:b w:val="0"/>
          <w:bCs w:val="0"/>
        </w:rPr>
      </w:r>
      <w:r>
        <w:rPr>
          <w:rFonts w:ascii="Times New Roman" w:hAnsi="Times New Roman" w:cs="Times New Roman" w:eastAsia="Times New Roman" w:hint="default"/>
        </w:rPr>
        <w:t>2</w:t>
      </w:r>
      <w:r>
        <w:rPr/>
        <w:t>、以权益结算的股份支付情况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4984"/>
        <w:gridCol w:w="4585"/>
      </w:tblGrid>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授予日权益工具公允价值的确定方法</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布莱克</w:t>
            </w:r>
            <w:r>
              <w:rPr>
                <w:rFonts w:ascii="Times New Roman" w:hAnsi="Times New Roman" w:cs="Times New Roman" w:eastAsia="Times New Roman" w:hint="default"/>
                <w:sz w:val="18"/>
                <w:szCs w:val="18"/>
              </w:rPr>
              <w:t>-</w:t>
            </w:r>
            <w:r>
              <w:rPr>
                <w:rFonts w:ascii="宋体" w:hAnsi="宋体" w:cs="宋体" w:eastAsia="宋体" w:hint="default"/>
                <w:sz w:val="18"/>
                <w:szCs w:val="18"/>
              </w:rPr>
              <w:t>斯科尔斯期权定价模型（</w:t>
            </w:r>
            <w:r>
              <w:rPr>
                <w:rFonts w:ascii="Times New Roman" w:hAnsi="Times New Roman" w:cs="Times New Roman" w:eastAsia="Times New Roman" w:hint="default"/>
                <w:sz w:val="18"/>
                <w:szCs w:val="18"/>
              </w:rPr>
              <w:t>B-S</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模型）</w:t>
            </w:r>
          </w:p>
        </w:tc>
      </w:tr>
      <w:tr>
        <w:trPr>
          <w:trHeight w:val="714"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可行权权益工具数量的确定依据</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51"/>
              <w:jc w:val="left"/>
              <w:rPr>
                <w:rFonts w:ascii="宋体" w:hAnsi="宋体" w:cs="宋体" w:eastAsia="宋体" w:hint="default"/>
                <w:sz w:val="18"/>
                <w:szCs w:val="18"/>
              </w:rPr>
            </w:pPr>
            <w:r>
              <w:rPr>
                <w:rFonts w:ascii="宋体" w:hAnsi="宋体" w:cs="宋体" w:eastAsia="宋体" w:hint="default"/>
                <w:sz w:val="18"/>
                <w:szCs w:val="18"/>
              </w:rPr>
              <w:t>公司根据在职激励对象对应的权益工具、公司业绩以及对 未来年度公司业绩的预测进行确定</w:t>
            </w:r>
          </w:p>
        </w:tc>
      </w:tr>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以权益结算的股份支付计入资本公积的累计金额</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16,490,930.00</w:t>
            </w:r>
          </w:p>
        </w:tc>
      </w:tr>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本期以权益结算的股份支付确认的费用总额</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5,789,730.00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以现金结算的股份支付情况" w:id="469"/>
      <w:bookmarkEnd w:id="469"/>
      <w:r>
        <w:rPr>
          <w:b w:val="0"/>
          <w:bCs w:val="0"/>
        </w:rPr>
      </w:r>
      <w:r>
        <w:rPr>
          <w:rFonts w:ascii="Times New Roman" w:hAnsi="Times New Roman" w:cs="Times New Roman" w:eastAsia="Times New Roman" w:hint="default"/>
        </w:rPr>
        <w:t>3</w:t>
      </w:r>
      <w:r>
        <w:rPr/>
        <w:t>、以现金结算的股份支付情况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left="1133" w:right="0"/>
        <w:jc w:val="left"/>
        <w:rPr>
          <w:b w:val="0"/>
          <w:bCs w:val="0"/>
        </w:rPr>
      </w:pPr>
      <w:bookmarkStart w:name="4、股份支付的修改、终止情况" w:id="470"/>
      <w:bookmarkEnd w:id="470"/>
      <w:r>
        <w:rPr>
          <w:b w:val="0"/>
          <w:bCs w:val="0"/>
        </w:rPr>
      </w:r>
      <w:r>
        <w:rPr>
          <w:rFonts w:ascii="Times New Roman" w:hAnsi="Times New Roman" w:cs="Times New Roman" w:eastAsia="Times New Roman" w:hint="default"/>
        </w:rPr>
        <w:t>4</w:t>
      </w:r>
      <w:r>
        <w:rPr/>
        <w:t>、股份支付的修改、终止情况</w:t>
      </w:r>
      <w:r>
        <w:rPr>
          <w:b w:val="0"/>
          <w:bCs w:val="0"/>
        </w:rPr>
      </w:r>
    </w:p>
    <w:p>
      <w:pPr>
        <w:spacing w:line="240" w:lineRule="auto" w:before="10"/>
        <w:rPr>
          <w:rFonts w:ascii="宋体" w:hAnsi="宋体" w:cs="宋体" w:eastAsia="宋体" w:hint="default"/>
          <w:b/>
          <w:bCs/>
          <w:sz w:val="24"/>
          <w:szCs w:val="24"/>
        </w:rPr>
      </w:pPr>
    </w:p>
    <w:p>
      <w:pPr>
        <w:spacing w:line="487" w:lineRule="auto" w:before="0"/>
        <w:ind w:left="1133" w:right="8344" w:firstLine="0"/>
        <w:jc w:val="left"/>
        <w:rPr>
          <w:rFonts w:ascii="宋体" w:hAnsi="宋体" w:cs="宋体" w:eastAsia="宋体" w:hint="default"/>
          <w:sz w:val="21"/>
          <w:szCs w:val="21"/>
        </w:rPr>
      </w:pPr>
      <w:bookmarkStart w:name="5、其他" w:id="471"/>
      <w:bookmarkEnd w:id="471"/>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四、承诺及或有事项" w:id="472"/>
      <w:bookmarkEnd w:id="472"/>
      <w:r>
        <w:rPr>
          <w:rFonts w:ascii="宋体" w:hAnsi="宋体" w:cs="宋体" w:eastAsia="宋体" w:hint="default"/>
          <w:b/>
          <w:bCs/>
          <w:spacing w:val="1"/>
          <w:w w:val="99"/>
          <w:sz w:val="21"/>
          <w:szCs w:val="21"/>
        </w:rPr>
      </w:r>
      <w:r>
        <w:rPr>
          <w:rFonts w:ascii="宋体" w:hAnsi="宋体" w:cs="宋体" w:eastAsia="宋体" w:hint="default"/>
          <w:b/>
          <w:bCs/>
          <w:sz w:val="24"/>
          <w:szCs w:val="24"/>
        </w:rPr>
        <w:t>十四、承诺及或有事项</w:t>
      </w:r>
      <w:r>
        <w:rPr>
          <w:rFonts w:ascii="宋体" w:hAnsi="宋体" w:cs="宋体" w:eastAsia="宋体" w:hint="default"/>
          <w:b/>
          <w:bCs/>
          <w:w w:val="99"/>
          <w:sz w:val="24"/>
          <w:szCs w:val="24"/>
        </w:rPr>
        <w:t> </w:t>
      </w:r>
      <w:bookmarkStart w:name="1、重要承诺事项" w:id="473"/>
      <w:bookmarkEnd w:id="473"/>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、重要承诺事项</w:t>
      </w:r>
      <w:r>
        <w:rPr>
          <w:rFonts w:ascii="宋体" w:hAnsi="宋体" w:cs="宋体" w:eastAsia="宋体" w:hint="default"/>
          <w:sz w:val="21"/>
          <w:szCs w:val="21"/>
        </w:rPr>
      </w:r>
    </w:p>
    <w:p>
      <w:pPr>
        <w:pStyle w:val="BodyText"/>
        <w:spacing w:line="357" w:lineRule="auto" w:before="109"/>
        <w:ind w:right="5892"/>
        <w:jc w:val="left"/>
      </w:pPr>
      <w:r>
        <w:rPr/>
        <w:t>资产负债表日存在的重要承诺 截至资产负债表日，公司不存在需要披露的承诺及或有事项。</w:t>
      </w:r>
    </w:p>
    <w:p>
      <w:pPr>
        <w:spacing w:after="0" w:line="357" w:lineRule="auto"/>
        <w:jc w:val="left"/>
        <w:sectPr>
          <w:pgSz w:w="11910" w:h="16840"/>
          <w:pgMar w:header="787" w:footer="640" w:top="1100" w:bottom="840" w:left="0" w:right="0"/>
        </w:sectPr>
      </w:pPr>
    </w:p>
    <w:p>
      <w:pPr>
        <w:spacing w:line="240" w:lineRule="auto" w:before="7"/>
        <w:rPr>
          <w:rFonts w:ascii="宋体" w:hAnsi="宋体" w:cs="宋体" w:eastAsia="宋体" w:hint="default"/>
          <w:sz w:val="21"/>
          <w:szCs w:val="21"/>
        </w:rPr>
      </w:pPr>
    </w:p>
    <w:p>
      <w:pPr>
        <w:pStyle w:val="Heading3"/>
        <w:spacing w:line="240" w:lineRule="auto" w:before="35"/>
        <w:ind w:right="0"/>
        <w:jc w:val="left"/>
        <w:rPr>
          <w:b w:val="0"/>
          <w:bCs w:val="0"/>
        </w:rPr>
      </w:pPr>
      <w:bookmarkStart w:name="2、或有事项" w:id="474"/>
      <w:bookmarkEnd w:id="474"/>
      <w:r>
        <w:rPr>
          <w:b w:val="0"/>
          <w:bCs w:val="0"/>
        </w:rPr>
      </w:r>
      <w:r>
        <w:rPr>
          <w:rFonts w:ascii="Times New Roman" w:hAnsi="Times New Roman" w:cs="Times New Roman" w:eastAsia="Times New Roman" w:hint="default"/>
        </w:rPr>
        <w:t>2</w:t>
      </w:r>
      <w:r>
        <w:rPr/>
        <w:t>、或有事项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资产负债表日存在的重要或有事项" w:id="475"/>
      <w:bookmarkEnd w:id="475"/>
      <w:r>
        <w:rPr>
          <w:b w:val="0"/>
          <w:bCs w:val="0"/>
        </w:rPr>
      </w:r>
      <w:r>
        <w:rPr/>
        <w:t>（</w:t>
      </w:r>
      <w:r>
        <w:rPr>
          <w:rFonts w:ascii="Times New Roman" w:hAnsi="Times New Roman" w:cs="Times New Roman" w:eastAsia="Times New Roman" w:hint="default"/>
        </w:rPr>
        <w:t>1</w:t>
      </w:r>
      <w:r>
        <w:rPr/>
        <w:t>）资产负债表日存在的重要或有事项</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不适用</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2）公司没有需要披露的重要或有事项，也应予以说明" w:id="476"/>
      <w:bookmarkEnd w:id="476"/>
      <w:r>
        <w:rPr>
          <w:b w:val="0"/>
          <w:bCs w:val="0"/>
        </w:rPr>
      </w:r>
      <w:r>
        <w:rPr/>
        <w:t>（</w:t>
      </w:r>
      <w:r>
        <w:rPr>
          <w:rFonts w:ascii="Times New Roman" w:hAnsi="Times New Roman" w:cs="Times New Roman" w:eastAsia="Times New Roman" w:hint="default"/>
        </w:rPr>
        <w:t>2</w:t>
      </w:r>
      <w:r>
        <w:rPr/>
        <w:t>）公司没有需要披露的重要或有事项，也应予以说明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133" w:right="0"/>
        <w:jc w:val="left"/>
      </w:pPr>
      <w:r>
        <w:rPr/>
        <w:t>公司不存在需要披露的重要或有事项。</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4"/>
          <w:szCs w:val="14"/>
        </w:rPr>
      </w:pPr>
    </w:p>
    <w:p>
      <w:pPr>
        <w:spacing w:line="609" w:lineRule="auto" w:before="0"/>
        <w:ind w:left="1133" w:right="7692" w:firstLine="0"/>
        <w:jc w:val="left"/>
        <w:rPr>
          <w:rFonts w:ascii="宋体" w:hAnsi="宋体" w:cs="宋体" w:eastAsia="宋体" w:hint="default"/>
          <w:sz w:val="21"/>
          <w:szCs w:val="21"/>
        </w:rPr>
      </w:pPr>
      <w:bookmarkStart w:name="3、其他" w:id="477"/>
      <w:bookmarkEnd w:id="477"/>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五、资产负债表日后事项" w:id="478"/>
      <w:bookmarkEnd w:id="478"/>
      <w:r>
        <w:rPr>
          <w:rFonts w:ascii="宋体" w:hAnsi="宋体" w:cs="宋体" w:eastAsia="宋体" w:hint="default"/>
          <w:b/>
          <w:bCs/>
          <w:spacing w:val="1"/>
          <w:w w:val="99"/>
          <w:sz w:val="21"/>
          <w:szCs w:val="21"/>
        </w:rPr>
      </w:r>
      <w:r>
        <w:rPr>
          <w:rFonts w:ascii="宋体" w:hAnsi="宋体" w:cs="宋体" w:eastAsia="宋体" w:hint="default"/>
          <w:b/>
          <w:bCs/>
          <w:w w:val="95"/>
          <w:sz w:val="24"/>
          <w:szCs w:val="24"/>
        </w:rPr>
        <w:t>十五、资产负债表日后事项</w:t>
      </w:r>
      <w:r>
        <w:rPr>
          <w:rFonts w:ascii="宋体" w:hAnsi="宋体" w:cs="宋体" w:eastAsia="宋体" w:hint="default"/>
          <w:b/>
          <w:bCs/>
          <w:spacing w:val="18"/>
          <w:w w:val="95"/>
          <w:sz w:val="24"/>
          <w:szCs w:val="24"/>
        </w:rPr>
        <w:t> </w:t>
      </w:r>
      <w:r>
        <w:rPr>
          <w:rFonts w:ascii="宋体" w:hAnsi="宋体" w:cs="宋体" w:eastAsia="宋体" w:hint="default"/>
          <w:b/>
          <w:bCs/>
          <w:spacing w:val="18"/>
          <w:w w:val="95"/>
          <w:sz w:val="24"/>
          <w:szCs w:val="24"/>
        </w:rPr>
      </w:r>
      <w:bookmarkStart w:name="1、重要的非调整事项" w:id="479"/>
      <w:bookmarkEnd w:id="479"/>
      <w:r>
        <w:rPr>
          <w:rFonts w:ascii="宋体" w:hAnsi="宋体" w:cs="宋体" w:eastAsia="宋体" w:hint="default"/>
          <w:b/>
          <w:bCs/>
          <w:spacing w:val="18"/>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、重要的非调整事项</w:t>
      </w:r>
      <w:r>
        <w:rPr>
          <w:rFonts w:ascii="宋体" w:hAnsi="宋体" w:cs="宋体" w:eastAsia="宋体" w:hint="default"/>
          <w:sz w:val="21"/>
          <w:szCs w:val="21"/>
        </w:rPr>
      </w:r>
    </w:p>
    <w:p>
      <w:pPr>
        <w:pStyle w:val="BodyText"/>
        <w:spacing w:line="240" w:lineRule="auto" w:before="146"/>
        <w:ind w:left="1133" w:right="0"/>
        <w:jc w:val="left"/>
      </w:pPr>
      <w:r>
        <w:rPr/>
        <w:t>不适用</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0"/>
          <w:szCs w:val="20"/>
        </w:rPr>
      </w:pPr>
    </w:p>
    <w:p>
      <w:pPr>
        <w:pStyle w:val="Heading3"/>
        <w:spacing w:line="240" w:lineRule="auto"/>
        <w:ind w:left="1133" w:right="0"/>
        <w:jc w:val="left"/>
        <w:rPr>
          <w:b w:val="0"/>
          <w:bCs w:val="0"/>
        </w:rPr>
      </w:pPr>
      <w:bookmarkStart w:name="2、利润分配情况" w:id="480"/>
      <w:bookmarkEnd w:id="480"/>
      <w:r>
        <w:rPr>
          <w:b w:val="0"/>
          <w:bCs w:val="0"/>
        </w:rPr>
      </w:r>
      <w:r>
        <w:rPr>
          <w:rFonts w:ascii="Times New Roman" w:hAnsi="Times New Roman" w:cs="Times New Roman" w:eastAsia="Times New Roman" w:hint="default"/>
        </w:rPr>
        <w:t>2</w:t>
      </w:r>
      <w:r>
        <w:rPr/>
        <w:t>、利润分配情况</w:t>
      </w:r>
      <w:r>
        <w:rPr>
          <w:b w:val="0"/>
          <w:bCs w:val="0"/>
        </w:rPr>
      </w:r>
    </w:p>
    <w:p>
      <w:pPr>
        <w:spacing w:line="240" w:lineRule="auto" w:before="0"/>
        <w:rPr>
          <w:rFonts w:ascii="宋体" w:hAnsi="宋体" w:cs="宋体" w:eastAsia="宋体" w:hint="default"/>
          <w:b/>
          <w:bCs/>
          <w:sz w:val="22"/>
          <w:szCs w:val="22"/>
        </w:rPr>
      </w:pPr>
    </w:p>
    <w:p>
      <w:pPr>
        <w:spacing w:line="240" w:lineRule="auto" w:before="6"/>
        <w:rPr>
          <w:rFonts w:ascii="宋体" w:hAnsi="宋体" w:cs="宋体" w:eastAsia="宋体" w:hint="default"/>
          <w:b/>
          <w:bCs/>
          <w:sz w:val="16"/>
          <w:szCs w:val="16"/>
        </w:rPr>
      </w:pPr>
    </w:p>
    <w:p>
      <w:pPr>
        <w:pStyle w:val="BodyText"/>
        <w:spacing w:line="240" w:lineRule="auto"/>
        <w:ind w:right="0"/>
        <w:jc w:val="left"/>
      </w:pPr>
      <w:r>
        <w:rPr/>
        <w:t>不适用</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0"/>
          <w:szCs w:val="20"/>
        </w:rPr>
      </w:pPr>
    </w:p>
    <w:p>
      <w:pPr>
        <w:pStyle w:val="Heading3"/>
        <w:spacing w:line="240" w:lineRule="auto"/>
        <w:ind w:right="0"/>
        <w:jc w:val="left"/>
        <w:rPr>
          <w:b w:val="0"/>
          <w:bCs w:val="0"/>
        </w:rPr>
      </w:pPr>
      <w:bookmarkStart w:name="3、销售退回" w:id="481"/>
      <w:bookmarkEnd w:id="481"/>
      <w:r>
        <w:rPr>
          <w:b w:val="0"/>
          <w:bCs w:val="0"/>
        </w:rPr>
      </w:r>
      <w:r>
        <w:rPr>
          <w:rFonts w:ascii="Times New Roman" w:hAnsi="Times New Roman" w:cs="Times New Roman" w:eastAsia="Times New Roman" w:hint="default"/>
        </w:rPr>
        <w:t>3</w:t>
      </w:r>
      <w:r>
        <w:rPr/>
        <w:t>、销售退回</w:t>
      </w:r>
      <w:r>
        <w:rPr>
          <w:b w:val="0"/>
          <w:bCs w:val="0"/>
        </w:rPr>
      </w:r>
    </w:p>
    <w:p>
      <w:pPr>
        <w:spacing w:line="240" w:lineRule="auto" w:before="0"/>
        <w:rPr>
          <w:rFonts w:ascii="宋体" w:hAnsi="宋体" w:cs="宋体" w:eastAsia="宋体" w:hint="default"/>
          <w:b/>
          <w:bCs/>
          <w:sz w:val="22"/>
          <w:szCs w:val="22"/>
        </w:rPr>
      </w:pPr>
    </w:p>
    <w:p>
      <w:pPr>
        <w:spacing w:line="240" w:lineRule="auto" w:before="5"/>
        <w:rPr>
          <w:rFonts w:ascii="宋体" w:hAnsi="宋体" w:cs="宋体" w:eastAsia="宋体" w:hint="default"/>
          <w:b/>
          <w:bCs/>
          <w:sz w:val="16"/>
          <w:szCs w:val="16"/>
        </w:rPr>
      </w:pPr>
    </w:p>
    <w:p>
      <w:pPr>
        <w:pStyle w:val="BodyText"/>
        <w:spacing w:line="240" w:lineRule="auto"/>
        <w:ind w:right="0"/>
        <w:jc w:val="left"/>
      </w:pPr>
      <w:r>
        <w:rPr/>
        <w:t>不适用</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0"/>
          <w:szCs w:val="20"/>
        </w:rPr>
      </w:pPr>
    </w:p>
    <w:p>
      <w:pPr>
        <w:pStyle w:val="Heading3"/>
        <w:spacing w:line="240" w:lineRule="auto"/>
        <w:ind w:right="0"/>
        <w:jc w:val="left"/>
        <w:rPr>
          <w:b w:val="0"/>
          <w:bCs w:val="0"/>
        </w:rPr>
      </w:pPr>
      <w:bookmarkStart w:name="4、其他资产负债表日后事项说明" w:id="482"/>
      <w:bookmarkEnd w:id="482"/>
      <w:r>
        <w:rPr>
          <w:b w:val="0"/>
          <w:bCs w:val="0"/>
        </w:rPr>
      </w:r>
      <w:r>
        <w:rPr>
          <w:rFonts w:ascii="Times New Roman" w:hAnsi="Times New Roman" w:cs="Times New Roman" w:eastAsia="Times New Roman" w:hint="default"/>
        </w:rPr>
        <w:t>4</w:t>
      </w:r>
      <w:r>
        <w:rPr/>
        <w:t>、其他资产负债表日后事项说明</w:t>
      </w:r>
      <w:r>
        <w:rPr>
          <w:b w:val="0"/>
          <w:bCs w:val="0"/>
        </w:rPr>
      </w:r>
    </w:p>
    <w:p>
      <w:pPr>
        <w:spacing w:line="240" w:lineRule="auto" w:before="0"/>
        <w:rPr>
          <w:rFonts w:ascii="宋体" w:hAnsi="宋体" w:cs="宋体" w:eastAsia="宋体" w:hint="default"/>
          <w:b/>
          <w:bCs/>
          <w:sz w:val="22"/>
          <w:szCs w:val="22"/>
        </w:rPr>
      </w:pPr>
    </w:p>
    <w:p>
      <w:pPr>
        <w:spacing w:line="240" w:lineRule="auto" w:before="4"/>
        <w:rPr>
          <w:rFonts w:ascii="宋体" w:hAnsi="宋体" w:cs="宋体" w:eastAsia="宋体" w:hint="default"/>
          <w:b/>
          <w:bCs/>
          <w:sz w:val="16"/>
          <w:szCs w:val="16"/>
        </w:rPr>
      </w:pPr>
    </w:p>
    <w:p>
      <w:pPr>
        <w:pStyle w:val="BodyText"/>
        <w:spacing w:line="477" w:lineRule="auto"/>
        <w:ind w:right="1024" w:firstLine="270"/>
        <w:jc w:val="left"/>
      </w:pPr>
      <w:r>
        <w:rPr/>
        <w:t>公司与湖南源鸿科技股份有限公司共同出资设立的广州市浩耘元鸿信息技术有限公司</w:t>
      </w:r>
      <w:r>
        <w:rPr>
          <w:spacing w:val="-82"/>
        </w:rPr>
        <w:t>，</w:t>
      </w:r>
      <w:r>
        <w:rPr/>
        <w:t>因成立后未能如期实际开展业务，</w:t>
      </w:r>
      <w:r>
        <w:rPr/>
        <w:t> 为优化公司资产结构</w:t>
      </w:r>
      <w:r>
        <w:rPr>
          <w:spacing w:val="-87"/>
        </w:rPr>
        <w:t>，</w:t>
      </w:r>
      <w:r>
        <w:rPr/>
        <w:t>降低运营成本</w:t>
      </w:r>
      <w:r>
        <w:rPr>
          <w:spacing w:val="-87"/>
        </w:rPr>
        <w:t>，</w:t>
      </w:r>
      <w:r>
        <w:rPr/>
        <w:t>公司决定注销广州市浩耘元鸿信息技术有限公司并于</w:t>
      </w:r>
      <w:r>
        <w:rPr>
          <w:spacing w:val="-45"/>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1 </w:t>
      </w:r>
      <w:r>
        <w:rPr/>
        <w:t>月</w:t>
      </w:r>
      <w:r>
        <w:rPr>
          <w:spacing w:val="-46"/>
        </w:rPr>
        <w:t> </w:t>
      </w:r>
      <w:r>
        <w:rPr>
          <w:rFonts w:ascii="Times New Roman" w:hAnsi="Times New Roman" w:cs="Times New Roman" w:eastAsia="Times New Roman" w:hint="default"/>
        </w:rPr>
        <w:t>26</w:t>
      </w:r>
      <w:r>
        <w:rPr>
          <w:rFonts w:ascii="Times New Roman" w:hAnsi="Times New Roman" w:cs="Times New Roman" w:eastAsia="Times New Roman" w:hint="default"/>
          <w:spacing w:val="-1"/>
        </w:rPr>
        <w:t> </w:t>
      </w:r>
      <w:r>
        <w:rPr/>
        <w:t>日完成</w:t>
      </w:r>
      <w:r>
        <w:rPr>
          <w:spacing w:val="1"/>
        </w:rPr>
        <w:t>工</w:t>
      </w:r>
      <w:r>
        <w:rPr/>
        <w:t>商登记。</w:t>
      </w:r>
    </w:p>
    <w:p>
      <w:pPr>
        <w:pStyle w:val="BodyText"/>
        <w:spacing w:line="240" w:lineRule="auto" w:before="62"/>
        <w:ind w:left="1404" w:right="0"/>
        <w:jc w:val="left"/>
      </w:pPr>
      <w:r>
        <w:rPr/>
        <w:t>本次注销将使公司合并报表范围发生相应变化，但不会对公司合并报表和财务情况产生实质性影响。</w:t>
      </w:r>
    </w:p>
    <w:p>
      <w:pPr>
        <w:spacing w:after="0" w:line="240" w:lineRule="auto"/>
        <w:jc w:val="left"/>
        <w:sectPr>
          <w:pgSz w:w="11910" w:h="16840"/>
          <w:pgMar w:header="787" w:footer="640" w:top="1100" w:bottom="840" w:left="0" w:right="0"/>
        </w:sectPr>
      </w:pPr>
    </w:p>
    <w:p>
      <w:pPr>
        <w:spacing w:line="240" w:lineRule="auto" w:before="6"/>
        <w:rPr>
          <w:rFonts w:ascii="宋体" w:hAnsi="宋体" w:cs="宋体" w:eastAsia="宋体" w:hint="default"/>
          <w:sz w:val="26"/>
          <w:szCs w:val="26"/>
        </w:rPr>
      </w:pPr>
    </w:p>
    <w:p>
      <w:pPr>
        <w:pStyle w:val="Heading2"/>
        <w:spacing w:line="240" w:lineRule="auto" w:before="26"/>
        <w:ind w:left="1134" w:right="0"/>
        <w:jc w:val="left"/>
        <w:rPr>
          <w:b w:val="0"/>
          <w:bCs w:val="0"/>
        </w:rPr>
      </w:pPr>
      <w:bookmarkStart w:name="十六、其他重要事项" w:id="483"/>
      <w:bookmarkEnd w:id="483"/>
      <w:r>
        <w:rPr>
          <w:b w:val="0"/>
          <w:bCs w:val="0"/>
        </w:rPr>
      </w:r>
      <w:r>
        <w:rPr/>
        <w:t>十六、其他重要事项</w:t>
      </w:r>
      <w:r>
        <w:rPr>
          <w:b w:val="0"/>
          <w:bCs w:val="0"/>
        </w:rPr>
      </w:r>
    </w:p>
    <w:p>
      <w:pPr>
        <w:spacing w:line="240" w:lineRule="auto" w:before="0"/>
        <w:rPr>
          <w:rFonts w:ascii="宋体" w:hAnsi="宋体" w:cs="宋体" w:eastAsia="宋体" w:hint="default"/>
          <w:b/>
          <w:bCs/>
          <w:sz w:val="24"/>
          <w:szCs w:val="24"/>
        </w:rPr>
      </w:pPr>
    </w:p>
    <w:p>
      <w:pPr>
        <w:pStyle w:val="Heading3"/>
        <w:spacing w:line="240" w:lineRule="auto" w:before="163"/>
        <w:ind w:left="1133" w:right="0"/>
        <w:jc w:val="left"/>
        <w:rPr>
          <w:b w:val="0"/>
          <w:bCs w:val="0"/>
        </w:rPr>
      </w:pPr>
      <w:bookmarkStart w:name="1、前期会计差错更正" w:id="484"/>
      <w:bookmarkEnd w:id="484"/>
      <w:r>
        <w:rPr>
          <w:b w:val="0"/>
          <w:bCs w:val="0"/>
        </w:rPr>
      </w:r>
      <w:r>
        <w:rPr>
          <w:rFonts w:ascii="Times New Roman" w:hAnsi="Times New Roman" w:cs="Times New Roman" w:eastAsia="Times New Roman" w:hint="default"/>
        </w:rPr>
        <w:t>1</w:t>
      </w:r>
      <w:r>
        <w:rPr/>
        <w:t>、前期会计差错更正</w:t>
      </w:r>
      <w:r>
        <w:rPr>
          <w:b w:val="0"/>
          <w:bCs w:val="0"/>
        </w:rPr>
      </w:r>
    </w:p>
    <w:p>
      <w:pPr>
        <w:spacing w:line="240" w:lineRule="auto" w:before="0"/>
        <w:rPr>
          <w:rFonts w:ascii="宋体" w:hAnsi="宋体" w:cs="宋体" w:eastAsia="宋体" w:hint="default"/>
          <w:b/>
          <w:bCs/>
          <w:sz w:val="22"/>
          <w:szCs w:val="22"/>
        </w:rPr>
      </w:pPr>
    </w:p>
    <w:p>
      <w:pPr>
        <w:pStyle w:val="Heading3"/>
        <w:spacing w:line="240" w:lineRule="auto" w:before="190"/>
        <w:ind w:left="1133" w:right="0"/>
        <w:jc w:val="left"/>
        <w:rPr>
          <w:b w:val="0"/>
          <w:bCs w:val="0"/>
        </w:rPr>
      </w:pPr>
      <w:bookmarkStart w:name="（1）追溯重述法" w:id="485"/>
      <w:bookmarkEnd w:id="485"/>
      <w:r>
        <w:rPr>
          <w:b w:val="0"/>
          <w:bCs w:val="0"/>
        </w:rPr>
      </w:r>
      <w:r>
        <w:rPr/>
        <w:t>（</w:t>
      </w:r>
      <w:r>
        <w:rPr>
          <w:rFonts w:ascii="Times New Roman" w:hAnsi="Times New Roman" w:cs="Times New Roman" w:eastAsia="Times New Roman" w:hint="default"/>
        </w:rPr>
        <w:t>1</w:t>
      </w:r>
      <w:r>
        <w:rPr/>
        <w:t>）追溯重述法</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pStyle w:val="BodyText"/>
        <w:spacing w:line="240" w:lineRule="auto"/>
        <w:ind w:right="0"/>
        <w:jc w:val="left"/>
      </w:pPr>
      <w:r>
        <w:rPr/>
        <w:t>不适用</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0"/>
          <w:szCs w:val="20"/>
        </w:rPr>
      </w:pPr>
    </w:p>
    <w:p>
      <w:pPr>
        <w:pStyle w:val="Heading3"/>
        <w:spacing w:line="240" w:lineRule="auto"/>
        <w:ind w:right="0"/>
        <w:jc w:val="left"/>
        <w:rPr>
          <w:b w:val="0"/>
          <w:bCs w:val="0"/>
        </w:rPr>
      </w:pPr>
      <w:bookmarkStart w:name="（2）未来适用法" w:id="486"/>
      <w:bookmarkEnd w:id="486"/>
      <w:r>
        <w:rPr>
          <w:b w:val="0"/>
          <w:bCs w:val="0"/>
        </w:rPr>
      </w:r>
      <w:r>
        <w:rPr/>
        <w:t>（</w:t>
      </w:r>
      <w:r>
        <w:rPr>
          <w:rFonts w:ascii="Times New Roman" w:hAnsi="Times New Roman" w:cs="Times New Roman" w:eastAsia="Times New Roman" w:hint="default"/>
        </w:rPr>
        <w:t>2</w:t>
      </w:r>
      <w:r>
        <w:rPr/>
        <w:t>）未来适用法</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pStyle w:val="BodyText"/>
        <w:spacing w:line="240" w:lineRule="auto"/>
        <w:ind w:right="0"/>
        <w:jc w:val="left"/>
      </w:pPr>
      <w:r>
        <w:rPr/>
        <w:t>不适用</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4"/>
          <w:szCs w:val="14"/>
        </w:rPr>
      </w:pPr>
    </w:p>
    <w:p>
      <w:pPr>
        <w:pStyle w:val="Heading3"/>
        <w:spacing w:line="240" w:lineRule="auto"/>
        <w:ind w:right="0"/>
        <w:jc w:val="left"/>
        <w:rPr>
          <w:b w:val="0"/>
          <w:bCs w:val="0"/>
        </w:rPr>
      </w:pPr>
      <w:bookmarkStart w:name="2、债务重组" w:id="487"/>
      <w:bookmarkEnd w:id="487"/>
      <w:r>
        <w:rPr>
          <w:b w:val="0"/>
          <w:bCs w:val="0"/>
        </w:rPr>
      </w:r>
      <w:r>
        <w:rPr>
          <w:rFonts w:ascii="Times New Roman" w:hAnsi="Times New Roman" w:cs="Times New Roman" w:eastAsia="Times New Roman" w:hint="default"/>
        </w:rPr>
        <w:t>2</w:t>
      </w:r>
      <w:r>
        <w:rPr/>
        <w:t>、债务重组</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不适用</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3、资产置换" w:id="488"/>
      <w:bookmarkEnd w:id="488"/>
      <w:r>
        <w:rPr>
          <w:b w:val="0"/>
          <w:bCs w:val="0"/>
        </w:rPr>
      </w:r>
      <w:r>
        <w:rPr>
          <w:rFonts w:ascii="Times New Roman" w:hAnsi="Times New Roman" w:cs="Times New Roman" w:eastAsia="Times New Roman" w:hint="default"/>
        </w:rPr>
        <w:t>3</w:t>
      </w:r>
      <w:r>
        <w:rPr/>
        <w:t>、资产置换</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非货币性资产交换" w:id="489"/>
      <w:bookmarkEnd w:id="489"/>
      <w:r>
        <w:rPr>
          <w:b w:val="0"/>
          <w:bCs w:val="0"/>
        </w:rPr>
      </w:r>
      <w:r>
        <w:rPr/>
        <w:t>（</w:t>
      </w:r>
      <w:r>
        <w:rPr>
          <w:rFonts w:ascii="Times New Roman" w:hAnsi="Times New Roman" w:cs="Times New Roman" w:eastAsia="Times New Roman" w:hint="default"/>
        </w:rPr>
        <w:t>1</w:t>
      </w:r>
      <w:r>
        <w:rPr/>
        <w:t>）非货币性资产交换</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不适用</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2）其他资产置换" w:id="490"/>
      <w:bookmarkEnd w:id="490"/>
      <w:r>
        <w:rPr>
          <w:b w:val="0"/>
          <w:bCs w:val="0"/>
        </w:rPr>
      </w:r>
      <w:r>
        <w:rPr/>
        <w:t>（</w:t>
      </w:r>
      <w:r>
        <w:rPr>
          <w:rFonts w:ascii="Times New Roman" w:hAnsi="Times New Roman" w:cs="Times New Roman" w:eastAsia="Times New Roman" w:hint="default"/>
        </w:rPr>
        <w:t>2</w:t>
      </w:r>
      <w:r>
        <w:rPr/>
        <w:t>）其他资产置换</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不适用</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4、年金计划" w:id="491"/>
      <w:bookmarkEnd w:id="491"/>
      <w:r>
        <w:rPr>
          <w:b w:val="0"/>
          <w:bCs w:val="0"/>
        </w:rPr>
      </w:r>
      <w:r>
        <w:rPr>
          <w:rFonts w:ascii="Times New Roman" w:hAnsi="Times New Roman" w:cs="Times New Roman" w:eastAsia="Times New Roman" w:hint="default"/>
        </w:rPr>
        <w:t>4</w:t>
      </w:r>
      <w:r>
        <w:rPr/>
        <w:t>、年金计划</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不适用</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5、终止经营" w:id="492"/>
      <w:bookmarkEnd w:id="492"/>
      <w:r>
        <w:rPr>
          <w:b w:val="0"/>
          <w:bCs w:val="0"/>
        </w:rPr>
      </w:r>
      <w:r>
        <w:rPr>
          <w:rFonts w:ascii="Times New Roman" w:hAnsi="Times New Roman" w:cs="Times New Roman" w:eastAsia="Times New Roman" w:hint="default"/>
        </w:rPr>
        <w:t>5</w:t>
      </w:r>
      <w:r>
        <w:rPr/>
        <w:t>、终止经营</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不适用</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6、分部信息" w:id="493"/>
      <w:bookmarkEnd w:id="493"/>
      <w:r>
        <w:rPr>
          <w:b w:val="0"/>
          <w:bCs w:val="0"/>
        </w:rPr>
      </w:r>
      <w:r>
        <w:rPr>
          <w:rFonts w:ascii="Times New Roman" w:hAnsi="Times New Roman" w:cs="Times New Roman" w:eastAsia="Times New Roman" w:hint="default"/>
        </w:rPr>
        <w:t>6</w:t>
      </w:r>
      <w:r>
        <w:rPr/>
        <w:t>、分部信息</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报告分部的确定依据与会计政策" w:id="494"/>
      <w:bookmarkEnd w:id="494"/>
      <w:r>
        <w:rPr>
          <w:b w:val="0"/>
          <w:bCs w:val="0"/>
        </w:rPr>
      </w:r>
      <w:r>
        <w:rPr/>
        <w:t>（</w:t>
      </w:r>
      <w:r>
        <w:rPr>
          <w:rFonts w:ascii="Times New Roman" w:hAnsi="Times New Roman" w:cs="Times New Roman" w:eastAsia="Times New Roman" w:hint="default"/>
        </w:rPr>
        <w:t>1</w:t>
      </w:r>
      <w:r>
        <w:rPr/>
        <w:t>）报告分部的确定依据与会计政策</w:t>
      </w:r>
      <w:r>
        <w:rPr>
          <w:b w:val="0"/>
          <w:bCs w:val="0"/>
        </w:rPr>
      </w:r>
    </w:p>
    <w:p>
      <w:pPr>
        <w:spacing w:line="240" w:lineRule="auto" w:before="6"/>
        <w:rPr>
          <w:rFonts w:ascii="宋体" w:hAnsi="宋体" w:cs="宋体" w:eastAsia="宋体" w:hint="default"/>
          <w:b/>
          <w:bCs/>
          <w:sz w:val="32"/>
          <w:szCs w:val="32"/>
        </w:rPr>
      </w:pPr>
    </w:p>
    <w:p>
      <w:pPr>
        <w:pStyle w:val="BodyText"/>
        <w:spacing w:line="477" w:lineRule="auto"/>
        <w:ind w:right="0"/>
        <w:jc w:val="left"/>
      </w:pPr>
      <w:r>
        <w:rPr>
          <w:spacing w:val="-2"/>
        </w:rPr>
        <w:t>公司以内部组织结构、管理要求、内部报告制度等为依据确定报告分部，并以产品分部为基础确定报告分部。与各分部共同</w:t>
      </w:r>
      <w:r>
        <w:rPr>
          <w:spacing w:val="-66"/>
        </w:rPr>
        <w:t> </w:t>
      </w:r>
      <w:r>
        <w:rPr>
          <w:spacing w:val="-66"/>
        </w:rPr>
      </w:r>
      <w:r>
        <w:rPr/>
        <w:t>使用的资产、负债按照规模比例在不同的分部之间分配。</w:t>
      </w:r>
    </w:p>
    <w:p>
      <w:pPr>
        <w:spacing w:after="0" w:line="477" w:lineRule="auto"/>
        <w:jc w:val="left"/>
        <w:sectPr>
          <w:pgSz w:w="11910" w:h="16840"/>
          <w:pgMar w:header="787" w:footer="640" w:top="1100" w:bottom="840" w:left="0" w:right="0"/>
        </w:sectPr>
      </w:pPr>
    </w:p>
    <w:p>
      <w:pPr>
        <w:spacing w:line="240" w:lineRule="auto" w:before="7"/>
        <w:rPr>
          <w:rFonts w:ascii="宋体" w:hAnsi="宋体" w:cs="宋体" w:eastAsia="宋体" w:hint="default"/>
          <w:sz w:val="21"/>
          <w:szCs w:val="21"/>
        </w:rPr>
      </w:pPr>
    </w:p>
    <w:p>
      <w:pPr>
        <w:pStyle w:val="Heading3"/>
        <w:spacing w:line="240" w:lineRule="auto" w:before="35"/>
        <w:ind w:right="0"/>
        <w:jc w:val="left"/>
        <w:rPr>
          <w:b w:val="0"/>
          <w:bCs w:val="0"/>
        </w:rPr>
      </w:pPr>
      <w:bookmarkStart w:name="（2）报告分部的财务信息" w:id="495"/>
      <w:bookmarkEnd w:id="495"/>
      <w:r>
        <w:rPr>
          <w:b w:val="0"/>
          <w:bCs w:val="0"/>
        </w:rPr>
      </w:r>
      <w:r>
        <w:rPr/>
        <w:t>（</w:t>
      </w:r>
      <w:r>
        <w:rPr>
          <w:rFonts w:ascii="Times New Roman" w:hAnsi="Times New Roman" w:cs="Times New Roman" w:eastAsia="Times New Roman" w:hint="default"/>
        </w:rPr>
        <w:t>2</w:t>
      </w:r>
      <w:r>
        <w:rPr/>
        <w:t>）报告分部的财务信息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583"/>
        <w:gridCol w:w="1606"/>
        <w:gridCol w:w="1594"/>
        <w:gridCol w:w="1594"/>
        <w:gridCol w:w="1595"/>
        <w:gridCol w:w="1594"/>
      </w:tblGrid>
      <w:tr>
        <w:trPr>
          <w:trHeight w:val="402" w:hRule="exact"/>
        </w:trPr>
        <w:tc>
          <w:tcPr>
            <w:tcW w:w="1583" w:type="dxa"/>
            <w:tcBorders>
              <w:top w:val="single" w:sz="4" w:space="0" w:color="000000"/>
              <w:left w:val="single" w:sz="4" w:space="0" w:color="000000"/>
              <w:bottom w:val="single" w:sz="4" w:space="0" w:color="000000"/>
              <w:right w:val="single" w:sz="13" w:space="0" w:color="E0FFFF"/>
            </w:tcBorders>
            <w:shd w:val="clear" w:color="auto" w:fill="D2D2D2"/>
          </w:tcPr>
          <w:p>
            <w:pPr>
              <w:pStyle w:val="TableParagraph"/>
              <w:spacing w:line="240" w:lineRule="auto" w:before="52"/>
              <w:ind w:left="23"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6" w:type="dxa"/>
            <w:tcBorders>
              <w:top w:val="single" w:sz="4" w:space="0" w:color="000000"/>
              <w:left w:val="single" w:sz="9" w:space="0" w:color="D2D2D2"/>
              <w:bottom w:val="single" w:sz="4" w:space="0" w:color="000000"/>
              <w:right w:val="single" w:sz="4" w:space="0" w:color="000000"/>
            </w:tcBorders>
            <w:shd w:val="clear" w:color="auto" w:fill="E0FFFF"/>
          </w:tcPr>
          <w:p>
            <w:pPr>
              <w:pStyle w:val="TableParagraph"/>
              <w:spacing w:line="240" w:lineRule="auto" w:before="52"/>
              <w:ind w:left="438" w:right="0"/>
              <w:jc w:val="left"/>
              <w:rPr>
                <w:rFonts w:ascii="宋体" w:hAnsi="宋体" w:cs="宋体" w:eastAsia="宋体" w:hint="default"/>
                <w:sz w:val="18"/>
                <w:szCs w:val="18"/>
              </w:rPr>
            </w:pPr>
            <w:r>
              <w:rPr>
                <w:rFonts w:ascii="宋体" w:hAnsi="宋体" w:cs="宋体" w:eastAsia="宋体" w:hint="default"/>
                <w:sz w:val="18"/>
                <w:szCs w:val="18"/>
              </w:rPr>
              <w:t>安防系统</w:t>
            </w:r>
          </w:p>
        </w:tc>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安防设备</w:t>
            </w:r>
          </w:p>
        </w:tc>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71" w:right="0"/>
              <w:jc w:val="left"/>
              <w:rPr>
                <w:rFonts w:ascii="宋体" w:hAnsi="宋体" w:cs="宋体" w:eastAsia="宋体" w:hint="default"/>
                <w:sz w:val="18"/>
                <w:szCs w:val="18"/>
              </w:rPr>
            </w:pPr>
            <w:r>
              <w:rPr>
                <w:rFonts w:ascii="宋体" w:hAnsi="宋体" w:cs="宋体" w:eastAsia="宋体" w:hint="default"/>
                <w:sz w:val="18"/>
                <w:szCs w:val="18"/>
              </w:rPr>
              <w:t>平安城市运营服务</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43" w:right="0"/>
              <w:jc w:val="left"/>
              <w:rPr>
                <w:rFonts w:ascii="宋体" w:hAnsi="宋体" w:cs="宋体" w:eastAsia="宋体" w:hint="default"/>
                <w:sz w:val="18"/>
                <w:szCs w:val="18"/>
              </w:rPr>
            </w:pPr>
            <w:r>
              <w:rPr>
                <w:rFonts w:ascii="宋体" w:hAnsi="宋体" w:cs="宋体" w:eastAsia="宋体" w:hint="default"/>
                <w:sz w:val="18"/>
                <w:szCs w:val="18"/>
              </w:rPr>
              <w:t>分部间抵销</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1606" w:type="dxa"/>
            <w:tcBorders>
              <w:top w:val="single" w:sz="4" w:space="0" w:color="000000"/>
              <w:left w:val="single" w:sz="9" w:space="0" w:color="E0FFFF"/>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382,991,297.76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176,525,980.57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42,234,644.37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-33,301,144.33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568,450,778.37</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主营业务成本</w:t>
            </w:r>
          </w:p>
        </w:tc>
        <w:tc>
          <w:tcPr>
            <w:tcW w:w="1606" w:type="dxa"/>
            <w:tcBorders>
              <w:top w:val="single" w:sz="4" w:space="0" w:color="000000"/>
              <w:left w:val="single" w:sz="9" w:space="0" w:color="E0FFFF"/>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232,530,485.34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66,812,649.12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2"/>
                <w:sz w:val="18"/>
              </w:rPr>
              <w:t>25,111,458.59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-35,598,241.04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288,856,352.01</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资产总额</w:t>
            </w:r>
          </w:p>
        </w:tc>
        <w:tc>
          <w:tcPr>
            <w:tcW w:w="1606" w:type="dxa"/>
            <w:tcBorders>
              <w:top w:val="single" w:sz="4" w:space="0" w:color="000000"/>
              <w:left w:val="single" w:sz="9" w:space="0" w:color="E0FFFF"/>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1,233,838,211.62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385,176,927.68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132,167,960.28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-401,799,103.73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1,349,383,995.85</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负债总额</w:t>
            </w:r>
          </w:p>
        </w:tc>
        <w:tc>
          <w:tcPr>
            <w:tcW w:w="1606" w:type="dxa"/>
            <w:tcBorders>
              <w:top w:val="single" w:sz="4" w:space="0" w:color="000000"/>
              <w:left w:val="single" w:sz="9" w:space="0" w:color="E0FFFF"/>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435,605,007.23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22,621,578.31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14,729,191.88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-288,915,657.46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184,040,119.96</w:t>
            </w:r>
          </w:p>
        </w:tc>
      </w:tr>
      <w:tr>
        <w:trPr>
          <w:trHeight w:val="403"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所有者权益总额</w:t>
            </w:r>
          </w:p>
        </w:tc>
        <w:tc>
          <w:tcPr>
            <w:tcW w:w="1606" w:type="dxa"/>
            <w:tcBorders>
              <w:top w:val="single" w:sz="4" w:space="0" w:color="000000"/>
              <w:left w:val="single" w:sz="9" w:space="0" w:color="E0FFFF"/>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798,233,204.39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362,555,349.37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117,438,768.40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-112,883,446.27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1,165,343,875.89</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公司无报告分部的，或者不能披露各报告分部的资产总额和负债总额的，应说明原因" w:id="496"/>
      <w:bookmarkEnd w:id="496"/>
      <w:r>
        <w:rPr>
          <w:b w:val="0"/>
          <w:bCs w:val="0"/>
        </w:rPr>
      </w:r>
      <w:r>
        <w:rPr/>
        <w:t>（</w:t>
      </w:r>
      <w:r>
        <w:rPr>
          <w:rFonts w:ascii="Times New Roman" w:hAnsi="Times New Roman" w:cs="Times New Roman" w:eastAsia="Times New Roman" w:hint="default"/>
        </w:rPr>
        <w:t>3</w:t>
      </w:r>
      <w:r>
        <w:rPr/>
        <w:t>）公司无报告分部的，或者不能披露各报告分部的资产总额和负债总额的，应说明原因</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不适用</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4）其他说明" w:id="497"/>
      <w:bookmarkEnd w:id="497"/>
      <w:r>
        <w:rPr>
          <w:b w:val="0"/>
          <w:bCs w:val="0"/>
        </w:rPr>
      </w:r>
      <w:r>
        <w:rPr/>
        <w:t>（</w:t>
      </w:r>
      <w:r>
        <w:rPr>
          <w:rFonts w:ascii="Times New Roman" w:hAnsi="Times New Roman" w:cs="Times New Roman" w:eastAsia="Times New Roman" w:hint="default"/>
        </w:rPr>
        <w:t>4</w:t>
      </w:r>
      <w:r>
        <w:rPr/>
        <w:t>）其他说明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不适用</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7、其他对投资者决策有影响的重要交易和事项" w:id="498"/>
      <w:bookmarkEnd w:id="498"/>
      <w:r>
        <w:rPr>
          <w:b w:val="0"/>
          <w:bCs w:val="0"/>
        </w:rPr>
      </w:r>
      <w:r>
        <w:rPr>
          <w:rFonts w:ascii="Times New Roman" w:hAnsi="Times New Roman" w:cs="Times New Roman" w:eastAsia="Times New Roman" w:hint="default"/>
        </w:rPr>
        <w:t>7</w:t>
      </w:r>
      <w:r>
        <w:rPr/>
        <w:t>、其他对投资者决策有影响的重要交易和事项</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不适用</w:t>
      </w:r>
    </w:p>
    <w:p>
      <w:pPr>
        <w:spacing w:line="240" w:lineRule="auto" w:before="10"/>
        <w:rPr>
          <w:rFonts w:ascii="宋体" w:hAnsi="宋体" w:cs="宋体" w:eastAsia="宋体" w:hint="default"/>
          <w:sz w:val="26"/>
          <w:szCs w:val="26"/>
        </w:rPr>
      </w:pPr>
    </w:p>
    <w:p>
      <w:pPr>
        <w:spacing w:line="487" w:lineRule="auto" w:before="0"/>
        <w:ind w:left="1134" w:right="6972" w:firstLine="0"/>
        <w:jc w:val="left"/>
        <w:rPr>
          <w:rFonts w:ascii="宋体" w:hAnsi="宋体" w:cs="宋体" w:eastAsia="宋体" w:hint="default"/>
          <w:sz w:val="21"/>
          <w:szCs w:val="21"/>
        </w:rPr>
      </w:pPr>
      <w:bookmarkStart w:name="8、其他" w:id="499"/>
      <w:bookmarkEnd w:id="499"/>
      <w:r>
        <w:rPr/>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七、母公司财务报表主要项目注释" w:id="500"/>
      <w:bookmarkEnd w:id="500"/>
      <w:r>
        <w:rPr>
          <w:rFonts w:ascii="宋体" w:hAnsi="宋体" w:cs="宋体" w:eastAsia="宋体" w:hint="default"/>
          <w:b/>
          <w:bCs/>
          <w:spacing w:val="1"/>
          <w:w w:val="99"/>
          <w:sz w:val="21"/>
          <w:szCs w:val="21"/>
        </w:rPr>
      </w:r>
      <w:r>
        <w:rPr>
          <w:rFonts w:ascii="宋体" w:hAnsi="宋体" w:cs="宋体" w:eastAsia="宋体" w:hint="default"/>
          <w:b/>
          <w:bCs/>
          <w:w w:val="95"/>
          <w:sz w:val="24"/>
          <w:szCs w:val="24"/>
        </w:rPr>
        <w:t>十七、母公司财务报表主要项目注释</w:t>
      </w:r>
      <w:r>
        <w:rPr>
          <w:rFonts w:ascii="宋体" w:hAnsi="宋体" w:cs="宋体" w:eastAsia="宋体" w:hint="default"/>
          <w:b/>
          <w:bCs/>
          <w:spacing w:val="62"/>
          <w:w w:val="95"/>
          <w:sz w:val="24"/>
          <w:szCs w:val="24"/>
        </w:rPr>
        <w:t> </w:t>
      </w:r>
      <w:r>
        <w:rPr>
          <w:rFonts w:ascii="宋体" w:hAnsi="宋体" w:cs="宋体" w:eastAsia="宋体" w:hint="default"/>
          <w:b/>
          <w:bCs/>
          <w:spacing w:val="62"/>
          <w:w w:val="95"/>
          <w:sz w:val="24"/>
          <w:szCs w:val="24"/>
        </w:rPr>
      </w:r>
      <w:bookmarkStart w:name="1、应收账款" w:id="501"/>
      <w:bookmarkEnd w:id="501"/>
      <w:r>
        <w:rPr>
          <w:rFonts w:ascii="宋体" w:hAnsi="宋体" w:cs="宋体" w:eastAsia="宋体" w:hint="default"/>
          <w:b/>
          <w:bCs/>
          <w:spacing w:val="62"/>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、应收账款</w:t>
      </w:r>
      <w:r>
        <w:rPr>
          <w:rFonts w:ascii="宋体" w:hAnsi="宋体" w:cs="宋体" w:eastAsia="宋体" w:hint="default"/>
          <w:sz w:val="21"/>
          <w:szCs w:val="21"/>
        </w:rPr>
      </w:r>
    </w:p>
    <w:p>
      <w:pPr>
        <w:pStyle w:val="Heading3"/>
        <w:spacing w:line="240" w:lineRule="auto" w:before="83"/>
        <w:ind w:right="0"/>
        <w:jc w:val="left"/>
        <w:rPr>
          <w:b w:val="0"/>
          <w:bCs w:val="0"/>
        </w:rPr>
      </w:pPr>
      <w:bookmarkStart w:name="（1）应收账款分类披露" w:id="502"/>
      <w:bookmarkEnd w:id="502"/>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635"/>
        <w:gridCol w:w="763"/>
        <w:gridCol w:w="762"/>
        <w:gridCol w:w="762"/>
        <w:gridCol w:w="762"/>
        <w:gridCol w:w="790"/>
        <w:gridCol w:w="654"/>
        <w:gridCol w:w="762"/>
        <w:gridCol w:w="813"/>
        <w:gridCol w:w="932"/>
        <w:gridCol w:w="932"/>
      </w:tblGrid>
      <w:tr>
        <w:trPr>
          <w:trHeight w:val="397" w:hRule="exact"/>
        </w:trPr>
        <w:tc>
          <w:tcPr>
            <w:tcW w:w="1635"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35"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3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35"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35"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35"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193,139,</w:t>
            </w:r>
          </w:p>
          <w:p>
            <w:pPr>
              <w:pStyle w:val="TableParagraph"/>
              <w:spacing w:line="240" w:lineRule="auto" w:before="105"/>
              <w:ind w:left="200" w:right="0"/>
              <w:jc w:val="center"/>
              <w:rPr>
                <w:rFonts w:ascii="Times New Roman" w:hAnsi="Times New Roman" w:cs="Times New Roman" w:eastAsia="Times New Roman" w:hint="default"/>
                <w:sz w:val="18"/>
                <w:szCs w:val="18"/>
              </w:rPr>
            </w:pPr>
            <w:r>
              <w:rPr>
                <w:rFonts w:ascii="Times New Roman"/>
                <w:sz w:val="18"/>
              </w:rPr>
              <w:t>770.36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13,959,2</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07.69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7.23%</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179,180,5</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62.67</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176,325</w:t>
            </w:r>
          </w:p>
          <w:p>
            <w:pPr>
              <w:pStyle w:val="TableParagraph"/>
              <w:spacing w:line="240" w:lineRule="auto" w:before="105"/>
              <w:ind w:left="87" w:right="0"/>
              <w:jc w:val="left"/>
              <w:rPr>
                <w:rFonts w:ascii="Times New Roman" w:hAnsi="Times New Roman" w:cs="Times New Roman" w:eastAsia="Times New Roman" w:hint="default"/>
                <w:sz w:val="18"/>
                <w:szCs w:val="18"/>
              </w:rPr>
            </w:pPr>
            <w:r>
              <w:rPr>
                <w:rFonts w:ascii="Times New Roman"/>
                <w:sz w:val="18"/>
              </w:rPr>
              <w:t>,341.11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14,683,52</w:t>
            </w:r>
          </w:p>
          <w:p>
            <w:pPr>
              <w:pStyle w:val="TableParagraph"/>
              <w:spacing w:line="240" w:lineRule="auto" w:before="105"/>
              <w:ind w:left="466" w:right="0"/>
              <w:jc w:val="left"/>
              <w:rPr>
                <w:rFonts w:ascii="Times New Roman" w:hAnsi="Times New Roman" w:cs="Times New Roman" w:eastAsia="Times New Roman" w:hint="default"/>
                <w:sz w:val="18"/>
                <w:szCs w:val="18"/>
              </w:rPr>
            </w:pPr>
            <w:r>
              <w:rPr>
                <w:rFonts w:ascii="Times New Roman"/>
                <w:sz w:val="18"/>
              </w:rPr>
              <w:t>9.71</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8.33%</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5" w:right="0"/>
              <w:jc w:val="left"/>
              <w:rPr>
                <w:rFonts w:ascii="Times New Roman" w:hAnsi="Times New Roman" w:cs="Times New Roman" w:eastAsia="Times New Roman" w:hint="default"/>
                <w:sz w:val="18"/>
                <w:szCs w:val="18"/>
              </w:rPr>
            </w:pPr>
            <w:r>
              <w:rPr>
                <w:rFonts w:ascii="Times New Roman"/>
                <w:sz w:val="18"/>
              </w:rPr>
              <w:t>161,641,81</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1.40</w:t>
            </w:r>
          </w:p>
        </w:tc>
      </w:tr>
      <w:tr>
        <w:trPr>
          <w:trHeight w:val="161" w:hRule="exact"/>
        </w:trPr>
        <w:tc>
          <w:tcPr>
            <w:tcW w:w="1635"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9" w:space="0" w:color="D2D2D2"/>
              <w:right w:val="single" w:sz="4" w:space="0" w:color="000000"/>
            </w:tcBorders>
          </w:tcPr>
          <w:p>
            <w:pPr>
              <w:pStyle w:val="TableParagraph"/>
              <w:spacing w:line="240" w:lineRule="auto" w:before="91"/>
              <w:ind w:left="69" w:right="0"/>
              <w:jc w:val="center"/>
              <w:rPr>
                <w:rFonts w:ascii="Times New Roman" w:hAnsi="Times New Roman" w:cs="Times New Roman" w:eastAsia="Times New Roman" w:hint="default"/>
                <w:sz w:val="18"/>
                <w:szCs w:val="18"/>
              </w:rPr>
            </w:pPr>
            <w:r>
              <w:rPr>
                <w:rFonts w:ascii="Times New Roman"/>
                <w:sz w:val="18"/>
              </w:rPr>
              <w:t>193,139,</w:t>
            </w:r>
          </w:p>
          <w:p>
            <w:pPr>
              <w:pStyle w:val="TableParagraph"/>
              <w:spacing w:line="240" w:lineRule="auto" w:before="105"/>
              <w:ind w:left="205" w:right="0"/>
              <w:jc w:val="center"/>
              <w:rPr>
                <w:rFonts w:ascii="Times New Roman" w:hAnsi="Times New Roman" w:cs="Times New Roman" w:eastAsia="Times New Roman" w:hint="default"/>
                <w:sz w:val="18"/>
                <w:szCs w:val="18"/>
              </w:rPr>
            </w:pPr>
            <w:r>
              <w:rPr>
                <w:rFonts w:ascii="Times New Roman"/>
                <w:sz w:val="18"/>
              </w:rPr>
              <w:t>770.36</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13,959,2</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07.69</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7.23%</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179,180,5</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62.67</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176,325</w:t>
            </w:r>
          </w:p>
          <w:p>
            <w:pPr>
              <w:pStyle w:val="TableParagraph"/>
              <w:spacing w:line="240" w:lineRule="auto" w:before="105"/>
              <w:ind w:left="87" w:right="0"/>
              <w:jc w:val="left"/>
              <w:rPr>
                <w:rFonts w:ascii="Times New Roman" w:hAnsi="Times New Roman" w:cs="Times New Roman" w:eastAsia="Times New Roman" w:hint="default"/>
                <w:sz w:val="18"/>
                <w:szCs w:val="18"/>
              </w:rPr>
            </w:pPr>
            <w:r>
              <w:rPr>
                <w:rFonts w:ascii="Times New Roman"/>
                <w:sz w:val="18"/>
              </w:rPr>
              <w:t>,341.11</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1"/>
              <w:ind w:left="60" w:right="0"/>
              <w:jc w:val="left"/>
              <w:rPr>
                <w:rFonts w:ascii="Times New Roman" w:hAnsi="Times New Roman" w:cs="Times New Roman" w:eastAsia="Times New Roman" w:hint="default"/>
                <w:sz w:val="18"/>
                <w:szCs w:val="18"/>
              </w:rPr>
            </w:pPr>
            <w:r>
              <w:rPr>
                <w:rFonts w:ascii="Times New Roman"/>
                <w:sz w:val="18"/>
              </w:rPr>
              <w:t>14,683,52</w:t>
            </w:r>
          </w:p>
          <w:p>
            <w:pPr>
              <w:pStyle w:val="TableParagraph"/>
              <w:spacing w:line="240" w:lineRule="auto" w:before="105"/>
              <w:ind w:left="466" w:right="0"/>
              <w:jc w:val="left"/>
              <w:rPr>
                <w:rFonts w:ascii="Times New Roman" w:hAnsi="Times New Roman" w:cs="Times New Roman" w:eastAsia="Times New Roman" w:hint="default"/>
                <w:sz w:val="18"/>
                <w:szCs w:val="18"/>
              </w:rPr>
            </w:pPr>
            <w:r>
              <w:rPr>
                <w:rFonts w:ascii="Times New Roman"/>
                <w:sz w:val="18"/>
              </w:rPr>
              <w:t>9.71</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8.33%</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left="95" w:right="0"/>
              <w:jc w:val="left"/>
              <w:rPr>
                <w:rFonts w:ascii="Times New Roman" w:hAnsi="Times New Roman" w:cs="Times New Roman" w:eastAsia="Times New Roman" w:hint="default"/>
                <w:sz w:val="18"/>
                <w:szCs w:val="18"/>
              </w:rPr>
            </w:pPr>
            <w:r>
              <w:rPr>
                <w:rFonts w:ascii="Times New Roman"/>
                <w:sz w:val="18"/>
              </w:rPr>
              <w:t>161,641,81</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1.40</w:t>
            </w:r>
          </w:p>
        </w:tc>
      </w:tr>
      <w:tr>
        <w:trPr>
          <w:trHeight w:val="392" w:hRule="exact"/>
        </w:trPr>
        <w:tc>
          <w:tcPr>
            <w:tcW w:w="163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3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pStyle w:val="BodyText"/>
        <w:spacing w:line="240" w:lineRule="auto" w:before="51"/>
        <w:ind w:right="0"/>
        <w:jc w:val="left"/>
      </w:pPr>
      <w:r>
        <w:rPr/>
        <w:t>期末单项金额重大并单项计提坏账准备的应收账款：</w:t>
      </w:r>
    </w:p>
    <w:p>
      <w:pPr>
        <w:spacing w:after="0" w:line="240" w:lineRule="auto"/>
        <w:jc w:val="left"/>
        <w:sectPr>
          <w:pgSz w:w="11910" w:h="16840"/>
          <w:pgMar w:header="787" w:footer="640" w:top="1100" w:bottom="840" w:left="0" w:right="0"/>
        </w:sectPr>
      </w:pPr>
    </w:p>
    <w:p>
      <w:pPr>
        <w:spacing w:line="240" w:lineRule="auto" w:before="11"/>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787" w:footer="640" w:top="1100" w:bottom="840" w:left="0" w:right="0"/>
        </w:sectPr>
      </w:pPr>
    </w:p>
    <w:p>
      <w:pPr>
        <w:pStyle w:val="BodyText"/>
        <w:spacing w:line="338" w:lineRule="auto" w:before="44"/>
        <w:ind w:left="1133" w:right="-1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组合中，按账龄分析法计提坏账准备的应收账款：</w:t>
      </w:r>
    </w:p>
    <w:p>
      <w:pPr>
        <w:pStyle w:val="BodyText"/>
        <w:spacing w:line="240" w:lineRule="auto" w:before="43"/>
        <w:ind w:left="1133" w:right="-1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58"/>
        <w:ind w:left="1113" w:right="1112"/>
        <w:jc w:val="center"/>
      </w:pPr>
      <w:r>
        <w:rPr/>
        <w:t>单位： 元</w:t>
      </w:r>
    </w:p>
    <w:p>
      <w:pPr>
        <w:spacing w:after="0" w:line="240" w:lineRule="auto"/>
        <w:jc w:val="center"/>
        <w:sectPr>
          <w:type w:val="continuous"/>
          <w:pgSz w:w="11910" w:h="16840"/>
          <w:pgMar w:top="1100" w:bottom="840" w:left="0" w:right="0"/>
          <w:cols w:num="2" w:equalWidth="0">
            <w:col w:w="5095" w:space="3735"/>
            <w:col w:w="3080"/>
          </w:cols>
        </w:sectPr>
      </w:pP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2476"/>
        <w:gridCol w:w="2301"/>
        <w:gridCol w:w="2391"/>
        <w:gridCol w:w="2390"/>
      </w:tblGrid>
      <w:tr>
        <w:trPr>
          <w:trHeight w:val="206" w:hRule="exact"/>
        </w:trPr>
        <w:tc>
          <w:tcPr>
            <w:tcW w:w="2476" w:type="dxa"/>
            <w:tcBorders>
              <w:top w:val="single" w:sz="4" w:space="0" w:color="000000"/>
              <w:left w:val="single" w:sz="4" w:space="0" w:color="000000"/>
              <w:bottom w:val="nil" w:sz="6" w:space="0" w:color="auto"/>
              <w:right w:val="single" w:sz="4" w:space="0" w:color="000000"/>
            </w:tcBorders>
            <w:shd w:val="clear" w:color="auto" w:fill="D2D2D2"/>
          </w:tcPr>
          <w:p>
            <w:pPr/>
          </w:p>
        </w:tc>
        <w:tc>
          <w:tcPr>
            <w:tcW w:w="7081"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5"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6" w:hRule="exact"/>
        </w:trPr>
        <w:tc>
          <w:tcPr>
            <w:tcW w:w="247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sz w:val="18"/>
                <w:szCs w:val="18"/>
              </w:rPr>
              <w:t>账龄</w:t>
            </w:r>
          </w:p>
        </w:tc>
        <w:tc>
          <w:tcPr>
            <w:tcW w:w="7081"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2476" w:type="dxa"/>
            <w:vMerge/>
            <w:tcBorders>
              <w:left w:val="single" w:sz="4" w:space="0" w:color="000000"/>
              <w:bottom w:val="nil" w:sz="6" w:space="0" w:color="auto"/>
              <w:right w:val="single" w:sz="4" w:space="0" w:color="000000"/>
            </w:tcBorders>
            <w:shd w:val="clear" w:color="auto" w:fill="D2D2D2"/>
          </w:tcPr>
          <w:p>
            <w:pPr/>
          </w:p>
        </w:tc>
        <w:tc>
          <w:tcPr>
            <w:tcW w:w="23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5"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47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01" w:type="dxa"/>
            <w:vMerge/>
            <w:tcBorders>
              <w:left w:val="single" w:sz="4" w:space="0" w:color="000000"/>
              <w:bottom w:val="single" w:sz="4" w:space="0" w:color="000000"/>
              <w:right w:val="single" w:sz="4" w:space="0" w:color="000000"/>
            </w:tcBorders>
            <w:shd w:val="clear" w:color="auto" w:fill="D2D2D2"/>
          </w:tcPr>
          <w:p>
            <w:pPr/>
          </w:p>
        </w:tc>
        <w:tc>
          <w:tcPr>
            <w:tcW w:w="2391" w:type="dxa"/>
            <w:vMerge/>
            <w:tcBorders>
              <w:left w:val="single" w:sz="4" w:space="0" w:color="000000"/>
              <w:bottom w:val="single" w:sz="4" w:space="0" w:color="000000"/>
              <w:right w:val="single" w:sz="4" w:space="0" w:color="000000"/>
            </w:tcBorders>
            <w:shd w:val="clear" w:color="auto" w:fill="D2D2D2"/>
          </w:tcPr>
          <w:p>
            <w:pPr/>
          </w:p>
        </w:tc>
        <w:tc>
          <w:tcPr>
            <w:tcW w:w="2390" w:type="dxa"/>
            <w:vMerge/>
            <w:tcBorders>
              <w:left w:val="single" w:sz="4" w:space="0" w:color="000000"/>
              <w:bottom w:val="single" w:sz="4" w:space="0" w:color="000000"/>
              <w:right w:val="single" w:sz="4" w:space="0" w:color="000000"/>
            </w:tcBorders>
            <w:shd w:val="clear" w:color="auto" w:fill="D2D2D2"/>
          </w:tcPr>
          <w:p>
            <w:pPr/>
          </w:p>
        </w:tc>
      </w:tr>
      <w:tr>
        <w:trPr>
          <w:trHeight w:val="396"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141,329,670.15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4,239,890.10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3.00%</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31,608,079.11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3,160,807.91</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13,269,395.43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2,653,879.09</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4,463,026.18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2,231,513.09</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1,592,963.98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796,481.99</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876,635.51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876,635.51</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3"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193,139,770.36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13,959,207.69</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7.23%</w:t>
            </w:r>
          </w:p>
        </w:tc>
      </w:tr>
    </w:tbl>
    <w:p>
      <w:pPr>
        <w:pStyle w:val="BodyText"/>
        <w:spacing w:line="357" w:lineRule="auto" w:before="51"/>
        <w:ind w:right="6432"/>
        <w:jc w:val="left"/>
      </w:pPr>
      <w:r>
        <w:rPr/>
        <w:t>确定该组合依据的说明： 组合中，采用余额百分比法计提坏账准备的应收账款：</w:t>
      </w:r>
    </w:p>
    <w:p>
      <w:pPr>
        <w:pStyle w:val="BodyText"/>
        <w:spacing w:line="338" w:lineRule="auto" w:before="29"/>
        <w:ind w:left="1133"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组合中，采用其他方法计提坏账准备的应收账款：</w:t>
      </w:r>
    </w:p>
    <w:p>
      <w:pPr>
        <w:spacing w:line="240" w:lineRule="auto" w:before="2"/>
        <w:rPr>
          <w:rFonts w:ascii="宋体" w:hAnsi="宋体" w:cs="宋体" w:eastAsia="宋体" w:hint="default"/>
          <w:sz w:val="21"/>
          <w:szCs w:val="21"/>
        </w:rPr>
      </w:pPr>
    </w:p>
    <w:p>
      <w:pPr>
        <w:pStyle w:val="Heading3"/>
        <w:spacing w:line="240" w:lineRule="auto"/>
        <w:ind w:left="1133" w:right="0"/>
        <w:jc w:val="left"/>
        <w:rPr>
          <w:b w:val="0"/>
          <w:bCs w:val="0"/>
        </w:rPr>
      </w:pPr>
      <w:bookmarkStart w:name="（2）本期计提、收回或转回的坏账准备情况" w:id="503"/>
      <w:bookmarkEnd w:id="503"/>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本期计提坏账准备金额</w:t>
      </w:r>
      <w:r>
        <w:rPr>
          <w:rFonts w:ascii="Times New Roman" w:hAnsi="Times New Roman" w:cs="Times New Roman" w:eastAsia="Times New Roman" w:hint="default"/>
        </w:rPr>
        <w:t>-724,322.02</w:t>
      </w:r>
      <w:r>
        <w:rPr>
          <w:rFonts w:ascii="Times New Roman" w:hAnsi="Times New Roman" w:cs="Times New Roman" w:eastAsia="Times New Roman" w:hint="default"/>
          <w:spacing w:val="-1"/>
        </w:rPr>
        <w:t> </w:t>
      </w:r>
      <w:r>
        <w:rPr/>
        <w:t>元；本期收回或转回坏账准备金额</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10"/>
        </w:rPr>
        <w:t> </w:t>
      </w:r>
      <w:r>
        <w:rPr/>
        <w:t>元。</w:t>
      </w:r>
    </w:p>
    <w:p>
      <w:pPr>
        <w:spacing w:line="240" w:lineRule="auto" w:before="9"/>
        <w:rPr>
          <w:rFonts w:ascii="宋体" w:hAnsi="宋体" w:cs="宋体" w:eastAsia="宋体" w:hint="default"/>
          <w:sz w:val="25"/>
          <w:szCs w:val="25"/>
        </w:rPr>
      </w:pPr>
    </w:p>
    <w:p>
      <w:pPr>
        <w:pStyle w:val="Heading3"/>
        <w:spacing w:line="240" w:lineRule="auto"/>
        <w:ind w:left="1133" w:right="0"/>
        <w:jc w:val="left"/>
        <w:rPr>
          <w:b w:val="0"/>
          <w:bCs w:val="0"/>
        </w:rPr>
      </w:pPr>
      <w:bookmarkStart w:name="（3）本期实际核销的应收账款情况" w:id="504"/>
      <w:bookmarkEnd w:id="504"/>
      <w:r>
        <w:rPr>
          <w:b w:val="0"/>
          <w:bCs w:val="0"/>
        </w:rPr>
      </w: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133" w:right="0"/>
        <w:jc w:val="left"/>
      </w:pPr>
      <w:r>
        <w:rPr/>
        <w:t>不适用</w:t>
      </w:r>
    </w:p>
    <w:p>
      <w:pPr>
        <w:spacing w:line="240" w:lineRule="auto" w:before="10"/>
        <w:rPr>
          <w:rFonts w:ascii="宋体" w:hAnsi="宋体" w:cs="宋体" w:eastAsia="宋体" w:hint="default"/>
          <w:sz w:val="26"/>
          <w:szCs w:val="26"/>
        </w:rPr>
      </w:pPr>
    </w:p>
    <w:p>
      <w:pPr>
        <w:pStyle w:val="Heading3"/>
        <w:spacing w:line="240" w:lineRule="auto"/>
        <w:ind w:left="1133" w:right="0"/>
        <w:jc w:val="left"/>
        <w:rPr>
          <w:b w:val="0"/>
          <w:bCs w:val="0"/>
        </w:rPr>
      </w:pPr>
      <w:bookmarkStart w:name="（4）按欠款方归集的期末余额前五名的应收账款情况" w:id="505"/>
      <w:bookmarkEnd w:id="505"/>
      <w:r>
        <w:rPr>
          <w:b w:val="0"/>
          <w:bCs w:val="0"/>
        </w:rPr>
      </w: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949"/>
        <w:jc w:val="right"/>
      </w:pPr>
      <w:r>
        <w:rPr/>
        <w:t>单位：元</w:t>
      </w:r>
    </w:p>
    <w:p>
      <w:pPr>
        <w:spacing w:line="240" w:lineRule="auto" w:before="1"/>
        <w:rPr>
          <w:rFonts w:ascii="宋体" w:hAnsi="宋体" w:cs="宋体" w:eastAsia="宋体" w:hint="default"/>
          <w:sz w:val="5"/>
          <w:szCs w:val="5"/>
        </w:rPr>
      </w:pPr>
    </w:p>
    <w:tbl>
      <w:tblPr>
        <w:tblW w:w="0" w:type="auto"/>
        <w:jc w:val="left"/>
        <w:tblInd w:w="1113" w:type="dxa"/>
        <w:tblLayout w:type="fixed"/>
        <w:tblCellMar>
          <w:top w:w="0" w:type="dxa"/>
          <w:left w:w="0" w:type="dxa"/>
          <w:bottom w:w="0" w:type="dxa"/>
          <w:right w:w="0" w:type="dxa"/>
        </w:tblCellMar>
        <w:tblLook w:val="01E0"/>
      </w:tblPr>
      <w:tblGrid>
        <w:gridCol w:w="1481"/>
        <w:gridCol w:w="1520"/>
        <w:gridCol w:w="3540"/>
        <w:gridCol w:w="2480"/>
      </w:tblGrid>
      <w:tr>
        <w:trPr>
          <w:trHeight w:val="322" w:hRule="exact"/>
        </w:trPr>
        <w:tc>
          <w:tcPr>
            <w:tcW w:w="14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9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3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638" w:right="0"/>
              <w:jc w:val="left"/>
              <w:rPr>
                <w:rFonts w:ascii="宋体" w:hAnsi="宋体" w:cs="宋体" w:eastAsia="宋体" w:hint="default"/>
                <w:sz w:val="18"/>
                <w:szCs w:val="18"/>
              </w:rPr>
            </w:pPr>
            <w:r>
              <w:rPr>
                <w:rFonts w:ascii="宋体" w:hAnsi="宋体" w:cs="宋体" w:eastAsia="宋体" w:hint="default"/>
                <w:sz w:val="18"/>
                <w:szCs w:val="18"/>
              </w:rPr>
              <w:t>占应收账款余额的比例（</w:t>
            </w:r>
            <w:r>
              <w:rPr>
                <w:rFonts w:ascii="宋体" w:hAnsi="宋体" w:cs="宋体" w:eastAsia="宋体" w:hint="default"/>
                <w:sz w:val="18"/>
                <w:szCs w:val="18"/>
              </w:rPr>
              <w:t>%</w:t>
            </w:r>
            <w:r>
              <w:rPr>
                <w:rFonts w:ascii="宋体" w:hAnsi="宋体" w:cs="宋体" w:eastAsia="宋体" w:hint="default"/>
                <w:sz w:val="18"/>
                <w:szCs w:val="18"/>
              </w:rPr>
              <w:t>）</w:t>
            </w:r>
          </w:p>
        </w:tc>
        <w:tc>
          <w:tcPr>
            <w:tcW w:w="24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r>
      <w:tr>
        <w:trPr>
          <w:trHeight w:val="322" w:hRule="exact"/>
        </w:trPr>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单位一</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29,620,105.75</w:t>
            </w:r>
          </w:p>
        </w:tc>
        <w:tc>
          <w:tcPr>
            <w:tcW w:w="3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15.34</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2,320,445.94</w:t>
            </w:r>
          </w:p>
        </w:tc>
      </w:tr>
      <w:tr>
        <w:trPr>
          <w:trHeight w:val="322" w:hRule="exact"/>
        </w:trPr>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单位二</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24,833,136.75</w:t>
            </w:r>
          </w:p>
        </w:tc>
        <w:tc>
          <w:tcPr>
            <w:tcW w:w="3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12.86</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2,382,750.96</w:t>
            </w:r>
          </w:p>
        </w:tc>
      </w:tr>
      <w:tr>
        <w:trPr>
          <w:trHeight w:val="323" w:hRule="exact"/>
        </w:trPr>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单位三</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21,087,513.62</w:t>
            </w:r>
          </w:p>
        </w:tc>
        <w:tc>
          <w:tcPr>
            <w:tcW w:w="3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z w:val="18"/>
              </w:rPr>
              <w:t>10.92</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1,540,725.39</w:t>
            </w:r>
          </w:p>
        </w:tc>
      </w:tr>
      <w:tr>
        <w:trPr>
          <w:trHeight w:val="322" w:hRule="exact"/>
        </w:trPr>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单位四</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7,265,935.17</w:t>
            </w:r>
          </w:p>
        </w:tc>
        <w:tc>
          <w:tcPr>
            <w:tcW w:w="3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3.76</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217,978.06</w:t>
            </w:r>
          </w:p>
        </w:tc>
      </w:tr>
      <w:tr>
        <w:trPr>
          <w:trHeight w:val="322" w:hRule="exact"/>
        </w:trPr>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单位五</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5,801,439.60</w:t>
            </w:r>
          </w:p>
        </w:tc>
        <w:tc>
          <w:tcPr>
            <w:tcW w:w="3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3.00</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197,848.32</w:t>
            </w:r>
          </w:p>
        </w:tc>
      </w:tr>
      <w:tr>
        <w:trPr>
          <w:trHeight w:val="323" w:hRule="exact"/>
        </w:trPr>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
              <w:jc w:val="center"/>
              <w:rPr>
                <w:rFonts w:ascii="宋体" w:hAnsi="宋体" w:cs="宋体" w:eastAsia="宋体" w:hint="default"/>
                <w:sz w:val="18"/>
                <w:szCs w:val="18"/>
              </w:rPr>
            </w:pPr>
            <w:r>
              <w:rPr>
                <w:rFonts w:ascii="宋体" w:hAnsi="宋体" w:cs="宋体" w:eastAsia="宋体" w:hint="default"/>
                <w:sz w:val="18"/>
                <w:szCs w:val="18"/>
              </w:rPr>
              <w:t>小计</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88,608,130.89</w:t>
            </w:r>
          </w:p>
        </w:tc>
        <w:tc>
          <w:tcPr>
            <w:tcW w:w="3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z w:val="18"/>
              </w:rPr>
              <w:t>45.88</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6,659,748.67</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100" w:bottom="840" w:left="0" w:right="0"/>
        </w:sectPr>
      </w:pPr>
    </w:p>
    <w:p>
      <w:pPr>
        <w:spacing w:line="240" w:lineRule="auto" w:before="8"/>
        <w:rPr>
          <w:rFonts w:ascii="宋体" w:hAnsi="宋体" w:cs="宋体" w:eastAsia="宋体" w:hint="default"/>
          <w:sz w:val="21"/>
          <w:szCs w:val="21"/>
        </w:rPr>
      </w:pPr>
    </w:p>
    <w:p>
      <w:pPr>
        <w:pStyle w:val="Heading3"/>
        <w:spacing w:line="240" w:lineRule="auto" w:before="35"/>
        <w:ind w:right="0"/>
        <w:jc w:val="left"/>
        <w:rPr>
          <w:b w:val="0"/>
          <w:bCs w:val="0"/>
        </w:rPr>
      </w:pPr>
      <w:bookmarkStart w:name="（5）因金融资产转移而终止确认的应收账款" w:id="506"/>
      <w:bookmarkEnd w:id="506"/>
      <w:r>
        <w:rPr>
          <w:b w:val="0"/>
          <w:bCs w:val="0"/>
        </w:rPr>
      </w:r>
      <w:r>
        <w:rPr/>
        <w:t>（</w:t>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不适用</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6）转移应收账款且继续涉入形成的资产、负债金额" w:id="507"/>
      <w:bookmarkEnd w:id="507"/>
      <w:r>
        <w:rPr>
          <w:b w:val="0"/>
          <w:bCs w:val="0"/>
        </w:rPr>
      </w:r>
      <w:r>
        <w:rPr/>
        <w:t>（</w:t>
      </w:r>
      <w:r>
        <w:rPr>
          <w:rFonts w:ascii="Times New Roman" w:hAnsi="Times New Roman" w:cs="Times New Roman" w:eastAsia="Times New Roman" w:hint="default"/>
        </w:rPr>
        <w:t>6</w:t>
      </w:r>
      <w:r>
        <w:rPr/>
        <w:t>）转移应收账款且继续涉入形成的资产、负债金额</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不适用</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2、其他应收款" w:id="508"/>
      <w:bookmarkEnd w:id="508"/>
      <w:r>
        <w:rPr>
          <w:b w:val="0"/>
          <w:bCs w:val="0"/>
        </w:rPr>
      </w:r>
      <w:r>
        <w:rPr>
          <w:rFonts w:ascii="Times New Roman" w:hAnsi="Times New Roman" w:cs="Times New Roman" w:eastAsia="Times New Roman" w:hint="default"/>
        </w:rPr>
        <w:t>2</w:t>
      </w:r>
      <w:r>
        <w:rPr/>
        <w:t>、其他应收款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其他应收款分类披露" w:id="509"/>
      <w:bookmarkEnd w:id="509"/>
      <w:r>
        <w:rPr>
          <w:b w:val="0"/>
          <w:bCs w:val="0"/>
        </w:rPr>
      </w:r>
      <w:r>
        <w:rPr/>
        <w:t>（</w:t>
      </w:r>
      <w:r>
        <w:rPr>
          <w:rFonts w:ascii="Times New Roman" w:hAnsi="Times New Roman" w:cs="Times New Roman" w:eastAsia="Times New Roman" w:hint="default"/>
        </w:rPr>
        <w:t>1</w:t>
      </w:r>
      <w:r>
        <w:rPr/>
        <w:t>）其他应收款分类披露</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1623"/>
        <w:gridCol w:w="763"/>
        <w:gridCol w:w="762"/>
        <w:gridCol w:w="762"/>
        <w:gridCol w:w="762"/>
        <w:gridCol w:w="790"/>
        <w:gridCol w:w="654"/>
        <w:gridCol w:w="762"/>
        <w:gridCol w:w="813"/>
        <w:gridCol w:w="932"/>
        <w:gridCol w:w="932"/>
      </w:tblGrid>
      <w:tr>
        <w:trPr>
          <w:trHeight w:val="397" w:hRule="exact"/>
        </w:trPr>
        <w:tc>
          <w:tcPr>
            <w:tcW w:w="1623"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23"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23"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23"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23"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23"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7" w:right="0"/>
              <w:jc w:val="left"/>
              <w:rPr>
                <w:rFonts w:ascii="Times New Roman" w:hAnsi="Times New Roman" w:cs="Times New Roman" w:eastAsia="Times New Roman" w:hint="default"/>
                <w:sz w:val="18"/>
                <w:szCs w:val="18"/>
              </w:rPr>
            </w:pPr>
            <w:r>
              <w:rPr>
                <w:rFonts w:ascii="Times New Roman"/>
                <w:sz w:val="18"/>
              </w:rPr>
              <w:t>17,867,2</w:t>
            </w:r>
          </w:p>
          <w:p>
            <w:pPr>
              <w:pStyle w:val="TableParagraph"/>
              <w:spacing w:line="240" w:lineRule="auto" w:before="105"/>
              <w:ind w:left="313" w:right="0"/>
              <w:jc w:val="left"/>
              <w:rPr>
                <w:rFonts w:ascii="Times New Roman" w:hAnsi="Times New Roman" w:cs="Times New Roman" w:eastAsia="Times New Roman" w:hint="default"/>
                <w:sz w:val="18"/>
                <w:szCs w:val="18"/>
              </w:rPr>
            </w:pPr>
            <w:r>
              <w:rPr>
                <w:rFonts w:ascii="Times New Roman"/>
                <w:sz w:val="18"/>
              </w:rPr>
              <w:t>46.78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w w:val="95"/>
                <w:sz w:val="18"/>
              </w:rPr>
              <w:t>933,911.</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89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5.23%</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16,933,33</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4.89</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7" w:right="0"/>
              <w:jc w:val="left"/>
              <w:rPr>
                <w:rFonts w:ascii="Times New Roman" w:hAnsi="Times New Roman" w:cs="Times New Roman" w:eastAsia="Times New Roman" w:hint="default"/>
                <w:sz w:val="18"/>
                <w:szCs w:val="18"/>
              </w:rPr>
            </w:pPr>
            <w:r>
              <w:rPr>
                <w:rFonts w:ascii="Times New Roman"/>
                <w:sz w:val="18"/>
              </w:rPr>
              <w:t>11,760,</w:t>
            </w:r>
          </w:p>
          <w:p>
            <w:pPr>
              <w:pStyle w:val="TableParagraph"/>
              <w:spacing w:line="240" w:lineRule="auto" w:before="105"/>
              <w:ind w:left="125" w:right="0"/>
              <w:jc w:val="left"/>
              <w:rPr>
                <w:rFonts w:ascii="Times New Roman" w:hAnsi="Times New Roman" w:cs="Times New Roman" w:eastAsia="Times New Roman" w:hint="default"/>
                <w:sz w:val="18"/>
                <w:szCs w:val="18"/>
              </w:rPr>
            </w:pPr>
            <w:r>
              <w:rPr>
                <w:rFonts w:ascii="Times New Roman"/>
                <w:sz w:val="18"/>
              </w:rPr>
              <w:t>218.90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1,079,360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.81</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9.18%</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10,680,858.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09</w:t>
            </w:r>
          </w:p>
        </w:tc>
      </w:tr>
      <w:tr>
        <w:trPr>
          <w:trHeight w:val="161" w:hRule="exact"/>
        </w:trPr>
        <w:tc>
          <w:tcPr>
            <w:tcW w:w="1623"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9" w:space="0" w:color="D2D2D2"/>
              <w:right w:val="single" w:sz="4" w:space="0" w:color="000000"/>
            </w:tcBorders>
          </w:tcPr>
          <w:p>
            <w:pPr>
              <w:pStyle w:val="TableParagraph"/>
              <w:spacing w:line="240" w:lineRule="auto" w:before="91"/>
              <w:ind w:left="93" w:right="0"/>
              <w:jc w:val="left"/>
              <w:rPr>
                <w:rFonts w:ascii="Times New Roman" w:hAnsi="Times New Roman" w:cs="Times New Roman" w:eastAsia="Times New Roman" w:hint="default"/>
                <w:sz w:val="18"/>
                <w:szCs w:val="18"/>
              </w:rPr>
            </w:pPr>
            <w:r>
              <w:rPr>
                <w:rFonts w:ascii="Times New Roman"/>
                <w:sz w:val="18"/>
              </w:rPr>
              <w:t>17,867,2</w:t>
            </w:r>
          </w:p>
          <w:p>
            <w:pPr>
              <w:pStyle w:val="TableParagraph"/>
              <w:spacing w:line="240" w:lineRule="auto" w:before="105"/>
              <w:ind w:left="318" w:right="0"/>
              <w:jc w:val="left"/>
              <w:rPr>
                <w:rFonts w:ascii="Times New Roman" w:hAnsi="Times New Roman" w:cs="Times New Roman" w:eastAsia="Times New Roman" w:hint="default"/>
                <w:sz w:val="18"/>
                <w:szCs w:val="18"/>
              </w:rPr>
            </w:pPr>
            <w:r>
              <w:rPr>
                <w:rFonts w:ascii="Times New Roman"/>
                <w:sz w:val="18"/>
              </w:rPr>
              <w:t>46.78</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w w:val="95"/>
                <w:sz w:val="18"/>
              </w:rPr>
              <w:t>933,911.</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89</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5.23%</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16,933,33</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4.89</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87" w:right="0"/>
              <w:jc w:val="left"/>
              <w:rPr>
                <w:rFonts w:ascii="Times New Roman" w:hAnsi="Times New Roman" w:cs="Times New Roman" w:eastAsia="Times New Roman" w:hint="default"/>
                <w:sz w:val="18"/>
                <w:szCs w:val="18"/>
              </w:rPr>
            </w:pPr>
            <w:r>
              <w:rPr>
                <w:rFonts w:ascii="Times New Roman"/>
                <w:sz w:val="18"/>
              </w:rPr>
              <w:t>11,760,</w:t>
            </w:r>
          </w:p>
          <w:p>
            <w:pPr>
              <w:pStyle w:val="TableParagraph"/>
              <w:spacing w:line="240" w:lineRule="auto" w:before="105"/>
              <w:ind w:left="125" w:right="0"/>
              <w:jc w:val="left"/>
              <w:rPr>
                <w:rFonts w:ascii="Times New Roman" w:hAnsi="Times New Roman" w:cs="Times New Roman" w:eastAsia="Times New Roman" w:hint="default"/>
                <w:sz w:val="18"/>
                <w:szCs w:val="18"/>
              </w:rPr>
            </w:pPr>
            <w:r>
              <w:rPr>
                <w:rFonts w:ascii="Times New Roman"/>
                <w:sz w:val="18"/>
              </w:rPr>
              <w:t>218.90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1,079,360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.81</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9.18%</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10,680,858.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09</w:t>
            </w:r>
          </w:p>
        </w:tc>
      </w:tr>
      <w:tr>
        <w:trPr>
          <w:trHeight w:val="393" w:hRule="exact"/>
        </w:trPr>
        <w:tc>
          <w:tcPr>
            <w:tcW w:w="16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2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line="240" w:lineRule="auto" w:before="6"/>
        <w:rPr>
          <w:rFonts w:ascii="宋体" w:hAnsi="宋体" w:cs="宋体" w:eastAsia="宋体" w:hint="default"/>
          <w:sz w:val="6"/>
          <w:szCs w:val="6"/>
        </w:rPr>
      </w:pPr>
    </w:p>
    <w:p>
      <w:pPr>
        <w:pStyle w:val="BodyText"/>
        <w:spacing w:line="240" w:lineRule="auto" w:before="44"/>
        <w:ind w:right="0"/>
        <w:jc w:val="left"/>
      </w:pPr>
      <w:r>
        <w:rPr/>
        <w:t>期末单项金额重大并单项计提坏账准备的其他应收款：</w:t>
      </w:r>
    </w:p>
    <w:p>
      <w:pPr>
        <w:spacing w:line="240" w:lineRule="auto" w:before="12"/>
        <w:rPr>
          <w:rFonts w:ascii="宋体" w:hAnsi="宋体" w:cs="宋体" w:eastAsia="宋体" w:hint="default"/>
          <w:sz w:val="20"/>
          <w:szCs w:val="20"/>
        </w:rPr>
      </w:pPr>
    </w:p>
    <w:p>
      <w:pPr>
        <w:pStyle w:val="BodyText"/>
        <w:spacing w:line="489" w:lineRule="auto"/>
        <w:ind w:left="1133" w:right="66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组合中，按账龄分析法计提坏账准备的其他应收款：</w:t>
      </w:r>
    </w:p>
    <w:p>
      <w:pPr>
        <w:pStyle w:val="BodyText"/>
        <w:spacing w:line="240" w:lineRule="auto" w:before="85"/>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6"/>
        <w:rPr>
          <w:rFonts w:ascii="宋体" w:hAnsi="宋体" w:cs="宋体" w:eastAsia="宋体" w:hint="default"/>
          <w:sz w:val="10"/>
          <w:szCs w:val="10"/>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2482"/>
        <w:gridCol w:w="2295"/>
        <w:gridCol w:w="2391"/>
        <w:gridCol w:w="2390"/>
      </w:tblGrid>
      <w:tr>
        <w:trPr>
          <w:trHeight w:val="206" w:hRule="exact"/>
        </w:trPr>
        <w:tc>
          <w:tcPr>
            <w:tcW w:w="2482" w:type="dxa"/>
            <w:tcBorders>
              <w:top w:val="single" w:sz="4" w:space="0" w:color="000000"/>
              <w:left w:val="single" w:sz="4" w:space="0" w:color="000000"/>
              <w:bottom w:val="nil" w:sz="6" w:space="0" w:color="auto"/>
              <w:right w:val="single" w:sz="4" w:space="0" w:color="000000"/>
            </w:tcBorders>
            <w:shd w:val="clear" w:color="auto" w:fill="D2D2D2"/>
          </w:tcPr>
          <w:p>
            <w:pPr/>
          </w:p>
        </w:tc>
        <w:tc>
          <w:tcPr>
            <w:tcW w:w="707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1" w:hRule="exact"/>
        </w:trPr>
        <w:tc>
          <w:tcPr>
            <w:tcW w:w="248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账龄</w:t>
            </w:r>
          </w:p>
        </w:tc>
        <w:tc>
          <w:tcPr>
            <w:tcW w:w="7075"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482" w:type="dxa"/>
            <w:vMerge/>
            <w:tcBorders>
              <w:left w:val="single" w:sz="4" w:space="0" w:color="000000"/>
              <w:bottom w:val="nil" w:sz="6" w:space="0" w:color="auto"/>
              <w:right w:val="single" w:sz="4" w:space="0" w:color="000000"/>
            </w:tcBorders>
            <w:shd w:val="clear" w:color="auto" w:fill="D2D2D2"/>
          </w:tcPr>
          <w:p>
            <w:pPr/>
          </w:p>
        </w:tc>
        <w:tc>
          <w:tcPr>
            <w:tcW w:w="22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69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482" w:type="dxa"/>
            <w:tcBorders>
              <w:top w:val="nil" w:sz="6" w:space="0" w:color="auto"/>
              <w:left w:val="single" w:sz="4" w:space="0" w:color="000000"/>
              <w:bottom w:val="single" w:sz="4" w:space="0" w:color="000000"/>
              <w:right w:val="single" w:sz="4" w:space="0" w:color="000000"/>
            </w:tcBorders>
            <w:shd w:val="clear" w:color="auto" w:fill="D2D2D2"/>
          </w:tcPr>
          <w:p>
            <w:pPr/>
          </w:p>
        </w:tc>
        <w:tc>
          <w:tcPr>
            <w:tcW w:w="2295" w:type="dxa"/>
            <w:vMerge/>
            <w:tcBorders>
              <w:left w:val="single" w:sz="4" w:space="0" w:color="000000"/>
              <w:bottom w:val="single" w:sz="4" w:space="0" w:color="000000"/>
              <w:right w:val="single" w:sz="4" w:space="0" w:color="000000"/>
            </w:tcBorders>
            <w:shd w:val="clear" w:color="auto" w:fill="D2D2D2"/>
          </w:tcPr>
          <w:p>
            <w:pPr/>
          </w:p>
        </w:tc>
        <w:tc>
          <w:tcPr>
            <w:tcW w:w="2391" w:type="dxa"/>
            <w:vMerge/>
            <w:tcBorders>
              <w:left w:val="single" w:sz="4" w:space="0" w:color="000000"/>
              <w:bottom w:val="single" w:sz="4" w:space="0" w:color="000000"/>
              <w:right w:val="single" w:sz="4" w:space="0" w:color="000000"/>
            </w:tcBorders>
            <w:shd w:val="clear" w:color="auto" w:fill="D2D2D2"/>
          </w:tcPr>
          <w:p>
            <w:pPr/>
          </w:p>
        </w:tc>
        <w:tc>
          <w:tcPr>
            <w:tcW w:w="2390" w:type="dxa"/>
            <w:vMerge/>
            <w:tcBorders>
              <w:left w:val="single" w:sz="4" w:space="0" w:color="000000"/>
              <w:bottom w:val="single" w:sz="4" w:space="0" w:color="000000"/>
              <w:right w:val="single" w:sz="4" w:space="0" w:color="000000"/>
            </w:tcBorders>
            <w:shd w:val="clear" w:color="auto" w:fill="D2D2D2"/>
          </w:tcPr>
          <w:p>
            <w:pPr/>
          </w:p>
        </w:tc>
      </w:tr>
      <w:tr>
        <w:trPr>
          <w:trHeight w:val="397"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9,883,151.24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296,494.52</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1,732,595.64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173,259.58</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492,788.95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98,557.79</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271,000.00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135,500.00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260,000.00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130,000.00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100,100.00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100,100.00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12,739,635.83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933,911.89</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7.33%</w:t>
            </w:r>
          </w:p>
        </w:tc>
      </w:tr>
    </w:tbl>
    <w:p>
      <w:pPr>
        <w:spacing w:after="0" w:line="240" w:lineRule="auto"/>
        <w:jc w:val="right"/>
        <w:rPr>
          <w:rFonts w:ascii="Times New Roman" w:hAnsi="Times New Roman" w:cs="Times New Roman" w:eastAsia="Times New Roman" w:hint="default"/>
          <w:sz w:val="18"/>
          <w:szCs w:val="18"/>
        </w:rPr>
        <w:sectPr>
          <w:footerReference w:type="default" r:id="rId66"/>
          <w:pgSz w:w="11910" w:h="16840"/>
          <w:pgMar w:footer="640" w:header="787" w:top="1100" w:bottom="840" w:left="0" w:right="0"/>
        </w:sectPr>
      </w:pPr>
    </w:p>
    <w:p>
      <w:pPr>
        <w:spacing w:line="240" w:lineRule="auto" w:before="11"/>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787" w:footer="640" w:top="1100" w:bottom="840" w:left="0" w:right="0"/>
        </w:sectPr>
      </w:pPr>
    </w:p>
    <w:p>
      <w:pPr>
        <w:pStyle w:val="BodyText"/>
        <w:spacing w:line="357" w:lineRule="auto" w:before="44"/>
        <w:ind w:right="-20"/>
        <w:jc w:val="left"/>
      </w:pPr>
      <w:r>
        <w:rPr/>
        <w:t>确定该组合依据的说明： 组合中，采用余额百分比法计提坏账准备的其他应收款：</w:t>
      </w:r>
    </w:p>
    <w:p>
      <w:pPr>
        <w:pStyle w:val="BodyText"/>
        <w:spacing w:line="338" w:lineRule="auto" w:before="29"/>
        <w:ind w:left="1133" w:right="34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组合中，采用其他方法计提坏账准备的其他应收款：</w:t>
      </w:r>
    </w:p>
    <w:p>
      <w:pPr>
        <w:pStyle w:val="BodyText"/>
        <w:spacing w:line="340" w:lineRule="auto" w:before="42"/>
        <w:ind w:left="1133" w:right="34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组合中，采用个别认定法计提坏账准备的其他应收款</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0"/>
          <w:szCs w:val="20"/>
        </w:rPr>
      </w:pPr>
    </w:p>
    <w:p>
      <w:pPr>
        <w:pStyle w:val="BodyText"/>
        <w:spacing w:line="240" w:lineRule="auto"/>
        <w:ind w:left="1133" w:right="0"/>
        <w:jc w:val="left"/>
      </w:pPr>
      <w:r>
        <w:rPr/>
        <w:t>单位：元</w:t>
      </w:r>
    </w:p>
    <w:p>
      <w:pPr>
        <w:spacing w:after="0" w:line="240" w:lineRule="auto"/>
        <w:jc w:val="left"/>
        <w:sectPr>
          <w:type w:val="continuous"/>
          <w:pgSz w:w="11910" w:h="16840"/>
          <w:pgMar w:top="1100" w:bottom="840" w:left="0" w:right="0"/>
          <w:cols w:num="2" w:equalWidth="0">
            <w:col w:w="5635" w:space="2467"/>
            <w:col w:w="3808"/>
          </w:cols>
        </w:sectPr>
      </w:pPr>
    </w:p>
    <w:p>
      <w:pPr>
        <w:spacing w:line="240" w:lineRule="auto" w:before="0"/>
        <w:rPr>
          <w:rFonts w:ascii="宋体" w:hAnsi="宋体" w:cs="宋体" w:eastAsia="宋体" w:hint="default"/>
          <w:sz w:val="5"/>
          <w:szCs w:val="5"/>
        </w:rPr>
      </w:pPr>
    </w:p>
    <w:tbl>
      <w:tblPr>
        <w:tblW w:w="0" w:type="auto"/>
        <w:jc w:val="left"/>
        <w:tblInd w:w="1113" w:type="dxa"/>
        <w:tblLayout w:type="fixed"/>
        <w:tblCellMar>
          <w:top w:w="0" w:type="dxa"/>
          <w:left w:w="0" w:type="dxa"/>
          <w:bottom w:w="0" w:type="dxa"/>
          <w:right w:w="0" w:type="dxa"/>
        </w:tblCellMar>
        <w:tblLook w:val="01E0"/>
      </w:tblPr>
      <w:tblGrid>
        <w:gridCol w:w="1481"/>
        <w:gridCol w:w="1520"/>
        <w:gridCol w:w="3540"/>
        <w:gridCol w:w="2480"/>
      </w:tblGrid>
      <w:tr>
        <w:trPr>
          <w:trHeight w:val="322" w:hRule="exact"/>
        </w:trPr>
        <w:tc>
          <w:tcPr>
            <w:tcW w:w="148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374" w:right="0"/>
              <w:jc w:val="left"/>
              <w:rPr>
                <w:rFonts w:ascii="宋体" w:hAnsi="宋体" w:cs="宋体" w:eastAsia="宋体" w:hint="default"/>
                <w:sz w:val="18"/>
                <w:szCs w:val="18"/>
              </w:rPr>
            </w:pPr>
            <w:r>
              <w:rPr>
                <w:rFonts w:ascii="宋体" w:hAnsi="宋体" w:cs="宋体" w:eastAsia="宋体" w:hint="default"/>
                <w:sz w:val="18"/>
                <w:szCs w:val="18"/>
              </w:rPr>
              <w:t>组合名称</w:t>
            </w:r>
          </w:p>
        </w:tc>
        <w:tc>
          <w:tcPr>
            <w:tcW w:w="754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323" w:hRule="exact"/>
        </w:trPr>
        <w:tc>
          <w:tcPr>
            <w:tcW w:w="1481" w:type="dxa"/>
            <w:vMerge/>
            <w:tcBorders>
              <w:left w:val="single" w:sz="4" w:space="0" w:color="000000"/>
              <w:bottom w:val="single" w:sz="4" w:space="0" w:color="000000"/>
              <w:right w:val="single" w:sz="4" w:space="0" w:color="000000"/>
            </w:tcBorders>
            <w:shd w:val="clear" w:color="auto" w:fill="D2D2D2"/>
          </w:tcPr>
          <w:p>
            <w:pP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3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4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649"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宋体" w:hAnsi="宋体" w:cs="宋体" w:eastAsia="宋体" w:hint="default"/>
                <w:sz w:val="18"/>
                <w:szCs w:val="18"/>
              </w:rPr>
              <w:t>%</w:t>
            </w:r>
            <w:r>
              <w:rPr>
                <w:rFonts w:ascii="宋体" w:hAnsi="宋体" w:cs="宋体" w:eastAsia="宋体" w:hint="default"/>
                <w:sz w:val="18"/>
                <w:szCs w:val="18"/>
              </w:rPr>
              <w:t>）</w:t>
            </w:r>
          </w:p>
        </w:tc>
      </w:tr>
      <w:tr>
        <w:trPr>
          <w:trHeight w:val="634" w:hRule="exact"/>
        </w:trPr>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84" w:right="105" w:hanging="180"/>
              <w:jc w:val="left"/>
              <w:rPr>
                <w:rFonts w:ascii="宋体" w:hAnsi="宋体" w:cs="宋体" w:eastAsia="宋体" w:hint="default"/>
                <w:sz w:val="18"/>
                <w:szCs w:val="18"/>
              </w:rPr>
            </w:pPr>
            <w:r>
              <w:rPr>
                <w:rFonts w:ascii="宋体" w:hAnsi="宋体" w:cs="宋体" w:eastAsia="宋体" w:hint="default"/>
                <w:sz w:val="18"/>
                <w:szCs w:val="18"/>
              </w:rPr>
              <w:t>纳入合并范围的 关联方欠款</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5,127,610.95</w:t>
            </w:r>
          </w:p>
        </w:tc>
        <w:tc>
          <w:tcPr>
            <w:tcW w:w="3540"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小计</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5,127,610.95</w:t>
            </w:r>
          </w:p>
        </w:tc>
        <w:tc>
          <w:tcPr>
            <w:tcW w:w="3540"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本期计提、收回或转回的坏账准备情况" w:id="510"/>
      <w:bookmarkEnd w:id="510"/>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本期计提坏账准备金额</w:t>
      </w:r>
      <w:r>
        <w:rPr>
          <w:rFonts w:ascii="Times New Roman" w:hAnsi="Times New Roman" w:cs="Times New Roman" w:eastAsia="Times New Roman" w:hint="default"/>
        </w:rPr>
        <w:t>-145,448.92</w:t>
      </w:r>
      <w:r>
        <w:rPr>
          <w:rFonts w:ascii="Times New Roman" w:hAnsi="Times New Roman" w:cs="Times New Roman" w:eastAsia="Times New Roman" w:hint="default"/>
          <w:spacing w:val="-1"/>
        </w:rPr>
        <w:t> </w:t>
      </w:r>
      <w:r>
        <w:rPr/>
        <w:t>元；本期收回或转回坏账准备金额</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10"/>
        </w:rPr>
        <w:t> </w:t>
      </w:r>
      <w:r>
        <w:rPr/>
        <w:t>元。</w:t>
      </w:r>
    </w:p>
    <w:p>
      <w:pPr>
        <w:spacing w:line="240" w:lineRule="auto" w:before="9"/>
        <w:rPr>
          <w:rFonts w:ascii="宋体" w:hAnsi="宋体" w:cs="宋体" w:eastAsia="宋体" w:hint="default"/>
          <w:sz w:val="25"/>
          <w:szCs w:val="25"/>
        </w:rPr>
      </w:pPr>
    </w:p>
    <w:p>
      <w:pPr>
        <w:pStyle w:val="Heading3"/>
        <w:spacing w:line="240" w:lineRule="auto"/>
        <w:ind w:left="1133" w:right="0"/>
        <w:jc w:val="left"/>
        <w:rPr>
          <w:b w:val="0"/>
          <w:bCs w:val="0"/>
        </w:rPr>
      </w:pPr>
      <w:bookmarkStart w:name="（3）本期实际核销的其他应收款情况" w:id="511"/>
      <w:bookmarkEnd w:id="511"/>
      <w:r>
        <w:rPr>
          <w:b w:val="0"/>
          <w:bCs w:val="0"/>
        </w:rPr>
      </w:r>
      <w:r>
        <w:rPr/>
        <w:t>（</w:t>
      </w:r>
      <w:r>
        <w:rPr>
          <w:rFonts w:ascii="Times New Roman" w:hAnsi="Times New Roman" w:cs="Times New Roman" w:eastAsia="Times New Roman" w:hint="default"/>
        </w:rPr>
        <w:t>3</w:t>
      </w:r>
      <w:r>
        <w:rPr/>
        <w:t>）本期实际核销的其他应收款情况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133" w:right="0"/>
        <w:jc w:val="left"/>
      </w:pPr>
      <w:r>
        <w:rPr/>
        <w:t>不适用</w:t>
      </w:r>
    </w:p>
    <w:p>
      <w:pPr>
        <w:spacing w:line="240" w:lineRule="auto" w:before="10"/>
        <w:rPr>
          <w:rFonts w:ascii="宋体" w:hAnsi="宋体" w:cs="宋体" w:eastAsia="宋体" w:hint="default"/>
          <w:sz w:val="26"/>
          <w:szCs w:val="26"/>
        </w:rPr>
      </w:pPr>
    </w:p>
    <w:p>
      <w:pPr>
        <w:pStyle w:val="Heading3"/>
        <w:spacing w:line="240" w:lineRule="auto"/>
        <w:ind w:left="1133" w:right="0"/>
        <w:jc w:val="left"/>
        <w:rPr>
          <w:b w:val="0"/>
          <w:bCs w:val="0"/>
        </w:rPr>
      </w:pPr>
      <w:bookmarkStart w:name="（4）其他应收款按款项性质分类情况" w:id="512"/>
      <w:bookmarkEnd w:id="512"/>
      <w:r>
        <w:rPr>
          <w:b w:val="0"/>
          <w:bCs w:val="0"/>
        </w:rPr>
      </w:r>
      <w:r>
        <w:rPr/>
        <w:t>（</w:t>
      </w:r>
      <w:r>
        <w:rPr>
          <w:rFonts w:ascii="Times New Roman" w:hAnsi="Times New Roman" w:cs="Times New Roman" w:eastAsia="Times New Roman" w:hint="default"/>
        </w:rPr>
        <w:t>4</w:t>
      </w:r>
      <w:r>
        <w:rPr/>
        <w:t>）其他应收款按款项性质分类情况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369"/>
        <w:gridCol w:w="3100"/>
        <w:gridCol w:w="3100"/>
      </w:tblGrid>
      <w:tr>
        <w:trPr>
          <w:trHeight w:val="401"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04"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0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关联方往来款</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5,127,610.95</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2,636,991.84</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11,350,040.41</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6,102,846.71</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1,389,595.42</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3,020,380.35</w:t>
            </w:r>
          </w:p>
        </w:tc>
      </w:tr>
      <w:tr>
        <w:trPr>
          <w:trHeight w:val="403"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17,867,246.78</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11,760,218.90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5）按欠款方归集的期末余额前五名的其他应收款情况" w:id="513"/>
      <w:bookmarkEnd w:id="513"/>
      <w:r>
        <w:rPr>
          <w:b w:val="0"/>
          <w:bCs w:val="0"/>
        </w:rPr>
      </w:r>
      <w:r>
        <w:rPr/>
        <w:t>（</w:t>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684"/>
        <w:gridCol w:w="1552"/>
        <w:gridCol w:w="1552"/>
        <w:gridCol w:w="1553"/>
        <w:gridCol w:w="1614"/>
        <w:gridCol w:w="1615"/>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81" w:right="8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80"/>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单位一</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关联方资金往来</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4,060,208.95</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22.72%</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单位二</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3,655,127.49</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20.46%</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109,653.82</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单位三</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关联方资金往来</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1,067,402.00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5.97%</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单位四</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817,220.00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4.57%</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24,516.60</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单位五</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700,000.00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3.92%</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70,000.00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100" w:bottom="840" w:left="0" w:right="0"/>
        </w:sectPr>
      </w:pPr>
    </w:p>
    <w:p>
      <w:pPr>
        <w:spacing w:line="240" w:lineRule="auto" w:before="5"/>
        <w:rPr>
          <w:rFonts w:ascii="宋体" w:hAnsi="宋体" w:cs="宋体" w:eastAsia="宋体" w:hint="default"/>
          <w:sz w:val="25"/>
          <w:szCs w:val="25"/>
        </w:rPr>
      </w:pPr>
    </w:p>
    <w:tbl>
      <w:tblPr>
        <w:tblW w:w="0" w:type="auto"/>
        <w:jc w:val="left"/>
        <w:tblInd w:w="1129" w:type="dxa"/>
        <w:tblLayout w:type="fixed"/>
        <w:tblCellMar>
          <w:top w:w="0" w:type="dxa"/>
          <w:left w:w="0" w:type="dxa"/>
          <w:bottom w:w="0" w:type="dxa"/>
          <w:right w:w="0" w:type="dxa"/>
        </w:tblCellMar>
        <w:tblLook w:val="01E0"/>
      </w:tblPr>
      <w:tblGrid>
        <w:gridCol w:w="1685"/>
        <w:gridCol w:w="1551"/>
        <w:gridCol w:w="1552"/>
        <w:gridCol w:w="1552"/>
        <w:gridCol w:w="1615"/>
        <w:gridCol w:w="1615"/>
      </w:tblGrid>
      <w:tr>
        <w:trPr>
          <w:trHeight w:val="402" w:hRule="exact"/>
        </w:trPr>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4" w:right="0"/>
              <w:jc w:val="left"/>
              <w:rPr>
                <w:rFonts w:ascii="Times New Roman" w:hAnsi="Times New Roman" w:cs="Times New Roman" w:eastAsia="Times New Roman" w:hint="default"/>
                <w:sz w:val="18"/>
                <w:szCs w:val="18"/>
              </w:rPr>
            </w:pPr>
            <w:r>
              <w:rPr>
                <w:rFonts w:ascii="Times New Roman"/>
                <w:sz w:val="18"/>
              </w:rPr>
              <w:t>10,299,958.44</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28" w:right="0"/>
              <w:jc w:val="left"/>
              <w:rPr>
                <w:rFonts w:ascii="Times New Roman" w:hAnsi="Times New Roman" w:cs="Times New Roman" w:eastAsia="Times New Roman" w:hint="default"/>
                <w:sz w:val="18"/>
                <w:szCs w:val="18"/>
              </w:rPr>
            </w:pPr>
            <w:r>
              <w:rPr>
                <w:rFonts w:ascii="Times New Roman"/>
                <w:sz w:val="18"/>
              </w:rPr>
              <w:t>57.64%</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72" w:right="0"/>
              <w:jc w:val="left"/>
              <w:rPr>
                <w:rFonts w:ascii="Times New Roman" w:hAnsi="Times New Roman" w:cs="Times New Roman" w:eastAsia="Times New Roman" w:hint="default"/>
                <w:sz w:val="18"/>
                <w:szCs w:val="18"/>
              </w:rPr>
            </w:pPr>
            <w:r>
              <w:rPr>
                <w:rFonts w:ascii="Times New Roman"/>
                <w:sz w:val="18"/>
              </w:rPr>
              <w:t>204,170.42</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6）涉及政府补助的应收款项" w:id="514"/>
      <w:bookmarkEnd w:id="514"/>
      <w:r>
        <w:rPr>
          <w:b w:val="0"/>
          <w:bCs w:val="0"/>
        </w:rPr>
      </w:r>
      <w:r>
        <w:rPr/>
        <w:t>（</w:t>
      </w:r>
      <w:r>
        <w:rPr>
          <w:rFonts w:ascii="Times New Roman" w:hAnsi="Times New Roman" w:cs="Times New Roman" w:eastAsia="Times New Roman" w:hint="default"/>
        </w:rPr>
        <w:t>6</w:t>
      </w:r>
      <w:r>
        <w:rPr/>
        <w:t>）涉及政府补助的应收款项</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不适用</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7）因金融资产转移而终止确认的其他应收款" w:id="515"/>
      <w:bookmarkEnd w:id="515"/>
      <w:r>
        <w:rPr>
          <w:b w:val="0"/>
          <w:bCs w:val="0"/>
        </w:rPr>
      </w:r>
      <w:r>
        <w:rPr/>
        <w:t>（</w:t>
      </w: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不适用</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8）转移其他应收款且继续涉入形成的资产、负债金额" w:id="516"/>
      <w:bookmarkEnd w:id="516"/>
      <w:r>
        <w:rPr>
          <w:b w:val="0"/>
          <w:bCs w:val="0"/>
        </w:rPr>
      </w:r>
      <w:r>
        <w:rPr/>
        <w:t>（</w:t>
      </w:r>
      <w:r>
        <w:rPr>
          <w:rFonts w:ascii="Times New Roman" w:hAnsi="Times New Roman" w:cs="Times New Roman" w:eastAsia="Times New Roman" w:hint="default"/>
        </w:rPr>
        <w:t>8</w:t>
      </w:r>
      <w:r>
        <w:rPr/>
        <w:t>）转移其他应收款且继续涉入形成的资产、负债金额</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133" w:right="0"/>
        <w:jc w:val="left"/>
      </w:pPr>
      <w:r>
        <w:rPr/>
        <w:t>不适用</w:t>
      </w:r>
    </w:p>
    <w:p>
      <w:pPr>
        <w:spacing w:line="240" w:lineRule="auto" w:before="10"/>
        <w:rPr>
          <w:rFonts w:ascii="宋体" w:hAnsi="宋体" w:cs="宋体" w:eastAsia="宋体" w:hint="default"/>
          <w:sz w:val="26"/>
          <w:szCs w:val="26"/>
        </w:rPr>
      </w:pPr>
    </w:p>
    <w:p>
      <w:pPr>
        <w:pStyle w:val="Heading3"/>
        <w:spacing w:line="240" w:lineRule="auto"/>
        <w:ind w:left="1133" w:right="0"/>
        <w:jc w:val="left"/>
        <w:rPr>
          <w:b w:val="0"/>
          <w:bCs w:val="0"/>
        </w:rPr>
      </w:pPr>
      <w:bookmarkStart w:name="3、长期股权投资" w:id="517"/>
      <w:bookmarkEnd w:id="517"/>
      <w:r>
        <w:rPr>
          <w:b w:val="0"/>
          <w:bCs w:val="0"/>
        </w:rPr>
      </w:r>
      <w:r>
        <w:rPr>
          <w:rFonts w:ascii="Times New Roman" w:hAnsi="Times New Roman" w:cs="Times New Roman" w:eastAsia="Times New Roman" w:hint="default"/>
        </w:rPr>
        <w:t>3</w:t>
      </w:r>
      <w:r>
        <w:rPr/>
        <w:t>、长期股权投资</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206"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368" w:type="dxa"/>
            <w:vMerge/>
            <w:tcBorders>
              <w:left w:val="single" w:sz="4" w:space="0" w:color="000000"/>
              <w:bottom w:val="nil" w:sz="6" w:space="0" w:color="auto"/>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194,362,871.87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193,362,871.87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169,362,871.87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168,362,871.87</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194,362,871.87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193,362,871.87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169,362,871.87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168,362,871.87</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1）对子公司投资" w:id="518"/>
      <w:bookmarkEnd w:id="518"/>
      <w:r>
        <w:rPr>
          <w:b w:val="0"/>
          <w:bCs w:val="0"/>
        </w:rPr>
      </w:r>
      <w:r>
        <w:rPr/>
        <w:t>（</w:t>
      </w:r>
      <w:r>
        <w:rPr>
          <w:rFonts w:ascii="Times New Roman" w:hAnsi="Times New Roman" w:cs="Times New Roman" w:eastAsia="Times New Roman" w:hint="default"/>
        </w:rPr>
        <w:t>1</w:t>
      </w:r>
      <w:r>
        <w:rPr/>
        <w:t>）对子公司投资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448"/>
        <w:gridCol w:w="1336"/>
        <w:gridCol w:w="1336"/>
        <w:gridCol w:w="1334"/>
        <w:gridCol w:w="1336"/>
        <w:gridCol w:w="1389"/>
        <w:gridCol w:w="1390"/>
      </w:tblGrid>
      <w:tr>
        <w:trPr>
          <w:trHeight w:val="714"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7"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99" w:right="58" w:hanging="541"/>
              <w:jc w:val="left"/>
              <w:rPr>
                <w:rFonts w:ascii="宋体" w:hAnsi="宋体" w:cs="宋体" w:eastAsia="宋体" w:hint="default"/>
                <w:sz w:val="18"/>
                <w:szCs w:val="18"/>
              </w:rPr>
            </w:pPr>
            <w:r>
              <w:rPr>
                <w:rFonts w:ascii="宋体" w:hAnsi="宋体" w:cs="宋体" w:eastAsia="宋体" w:hint="default"/>
                <w:sz w:val="18"/>
                <w:szCs w:val="18"/>
              </w:rPr>
              <w:t>本期计提减值准 备</w:t>
            </w:r>
          </w:p>
        </w:tc>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98" w:right="59" w:hanging="540"/>
              <w:jc w:val="left"/>
              <w:rPr>
                <w:rFonts w:ascii="宋体" w:hAnsi="宋体" w:cs="宋体" w:eastAsia="宋体" w:hint="default"/>
                <w:sz w:val="18"/>
                <w:szCs w:val="18"/>
              </w:rPr>
            </w:pPr>
            <w:r>
              <w:rPr>
                <w:rFonts w:ascii="宋体" w:hAnsi="宋体" w:cs="宋体" w:eastAsia="宋体" w:hint="default"/>
                <w:sz w:val="18"/>
                <w:szCs w:val="18"/>
              </w:rPr>
              <w:t>减值准备期末余 额</w:t>
            </w: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广州市浩云安防 设备有限公司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8" w:right="0"/>
              <w:jc w:val="left"/>
              <w:rPr>
                <w:rFonts w:ascii="Times New Roman" w:hAnsi="Times New Roman" w:cs="Times New Roman" w:eastAsia="Times New Roman" w:hint="default"/>
                <w:sz w:val="18"/>
                <w:szCs w:val="18"/>
              </w:rPr>
            </w:pPr>
            <w:r>
              <w:rPr>
                <w:rFonts w:ascii="Times New Roman"/>
                <w:sz w:val="18"/>
              </w:rPr>
              <w:t>10,237,071.87</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10,237,071.87</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广州市苏瑞计算 机科技有限公司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8" w:right="0"/>
              <w:jc w:val="left"/>
              <w:rPr>
                <w:rFonts w:ascii="Times New Roman" w:hAnsi="Times New Roman" w:cs="Times New Roman" w:eastAsia="Times New Roman" w:hint="default"/>
                <w:sz w:val="18"/>
                <w:szCs w:val="18"/>
              </w:rPr>
            </w:pPr>
            <w:r>
              <w:rPr>
                <w:rFonts w:ascii="Times New Roman"/>
                <w:sz w:val="18"/>
              </w:rPr>
              <w:t>1,000,000.00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11" w:right="0"/>
              <w:jc w:val="left"/>
              <w:rPr>
                <w:rFonts w:ascii="Times New Roman" w:hAnsi="Times New Roman" w:cs="Times New Roman" w:eastAsia="Times New Roman" w:hint="default"/>
                <w:sz w:val="18"/>
                <w:szCs w:val="18"/>
              </w:rPr>
            </w:pPr>
            <w:r>
              <w:rPr>
                <w:rFonts w:ascii="Times New Roman"/>
                <w:sz w:val="18"/>
              </w:rPr>
              <w:t>1,000,000.00</w:t>
            </w:r>
          </w:p>
        </w:tc>
      </w:tr>
      <w:tr>
        <w:trPr>
          <w:trHeight w:val="1026"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both"/>
              <w:rPr>
                <w:rFonts w:ascii="宋体" w:hAnsi="宋体" w:cs="宋体" w:eastAsia="宋体" w:hint="default"/>
                <w:sz w:val="18"/>
                <w:szCs w:val="18"/>
              </w:rPr>
            </w:pPr>
            <w:r>
              <w:rPr>
                <w:rFonts w:ascii="宋体" w:hAnsi="宋体" w:cs="宋体" w:eastAsia="宋体" w:hint="default"/>
                <w:sz w:val="18"/>
                <w:szCs w:val="18"/>
              </w:rPr>
              <w:t>重庆浩云公共安 全物联网技术有 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8" w:right="0"/>
              <w:jc w:val="left"/>
              <w:rPr>
                <w:rFonts w:ascii="Times New Roman" w:hAnsi="Times New Roman" w:cs="Times New Roman" w:eastAsia="Times New Roman" w:hint="default"/>
                <w:sz w:val="18"/>
                <w:szCs w:val="18"/>
              </w:rPr>
            </w:pPr>
            <w:r>
              <w:rPr>
                <w:rFonts w:ascii="Times New Roman"/>
                <w:sz w:val="18"/>
              </w:rPr>
              <w:t>80,000,000.00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103,000,000.00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深圳市润安科技 发展有限公司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8" w:right="0"/>
              <w:jc w:val="left"/>
              <w:rPr>
                <w:rFonts w:ascii="Times New Roman" w:hAnsi="Times New Roman" w:cs="Times New Roman" w:eastAsia="Times New Roman" w:hint="default"/>
                <w:sz w:val="18"/>
                <w:szCs w:val="18"/>
              </w:rPr>
            </w:pPr>
            <w:r>
              <w:rPr>
                <w:rFonts w:ascii="Times New Roman"/>
                <w:sz w:val="18"/>
              </w:rPr>
              <w:t>68,125,800.00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68,125,800.00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西藏浩云创业投 资有限公司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8" w:right="0"/>
              <w:jc w:val="left"/>
              <w:rPr>
                <w:rFonts w:ascii="Times New Roman" w:hAnsi="Times New Roman" w:cs="Times New Roman" w:eastAsia="Times New Roman" w:hint="default"/>
                <w:sz w:val="18"/>
                <w:szCs w:val="18"/>
              </w:rPr>
            </w:pPr>
            <w:r>
              <w:rPr>
                <w:rFonts w:ascii="Times New Roman"/>
                <w:sz w:val="18"/>
              </w:rPr>
              <w:t>10,000,000.00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武汉浩立威保安 服务有限公司</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67"/>
          <w:pgSz w:w="11910" w:h="16840"/>
          <w:pgMar w:footer="640" w:header="787" w:top="1100" w:bottom="840" w:left="0" w:right="0"/>
        </w:sectPr>
      </w:pPr>
    </w:p>
    <w:p>
      <w:pPr>
        <w:spacing w:line="240" w:lineRule="auto" w:before="5"/>
        <w:rPr>
          <w:rFonts w:ascii="宋体" w:hAnsi="宋体" w:cs="宋体" w:eastAsia="宋体" w:hint="default"/>
          <w:sz w:val="25"/>
          <w:szCs w:val="25"/>
        </w:rPr>
      </w:pPr>
    </w:p>
    <w:tbl>
      <w:tblPr>
        <w:tblW w:w="0" w:type="auto"/>
        <w:jc w:val="left"/>
        <w:tblInd w:w="1129" w:type="dxa"/>
        <w:tblLayout w:type="fixed"/>
        <w:tblCellMar>
          <w:top w:w="0" w:type="dxa"/>
          <w:left w:w="0" w:type="dxa"/>
          <w:bottom w:w="0" w:type="dxa"/>
          <w:right w:w="0" w:type="dxa"/>
        </w:tblCellMar>
        <w:tblLook w:val="01E0"/>
      </w:tblPr>
      <w:tblGrid>
        <w:gridCol w:w="1436"/>
        <w:gridCol w:w="1348"/>
        <w:gridCol w:w="1336"/>
        <w:gridCol w:w="1334"/>
        <w:gridCol w:w="1336"/>
        <w:gridCol w:w="1389"/>
        <w:gridCol w:w="1390"/>
      </w:tblGrid>
      <w:tr>
        <w:trPr>
          <w:trHeight w:val="402"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4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83" w:right="0"/>
              <w:jc w:val="left"/>
              <w:rPr>
                <w:rFonts w:ascii="Times New Roman" w:hAnsi="Times New Roman" w:cs="Times New Roman" w:eastAsia="Times New Roman" w:hint="default"/>
                <w:sz w:val="18"/>
                <w:szCs w:val="18"/>
              </w:rPr>
            </w:pPr>
            <w:r>
              <w:rPr>
                <w:rFonts w:ascii="Times New Roman"/>
                <w:sz w:val="18"/>
              </w:rPr>
              <w:t>169,362,871.87</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7" w:right="0"/>
              <w:jc w:val="left"/>
              <w:rPr>
                <w:rFonts w:ascii="Times New Roman" w:hAnsi="Times New Roman" w:cs="Times New Roman" w:eastAsia="Times New Roman" w:hint="default"/>
                <w:sz w:val="18"/>
                <w:szCs w:val="18"/>
              </w:rPr>
            </w:pPr>
            <w:r>
              <w:rPr>
                <w:rFonts w:ascii="Times New Roman"/>
                <w:sz w:val="18"/>
              </w:rPr>
              <w:t>25,000,000.00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7" w:right="0"/>
              <w:jc w:val="left"/>
              <w:rPr>
                <w:rFonts w:ascii="Times New Roman" w:hAnsi="Times New Roman" w:cs="Times New Roman" w:eastAsia="Times New Roman" w:hint="default"/>
                <w:sz w:val="18"/>
                <w:szCs w:val="18"/>
              </w:rPr>
            </w:pPr>
            <w:r>
              <w:rPr>
                <w:rFonts w:ascii="Times New Roman"/>
                <w:sz w:val="18"/>
              </w:rPr>
              <w:t>194,362,871.87</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11" w:right="0"/>
              <w:jc w:val="left"/>
              <w:rPr>
                <w:rFonts w:ascii="Times New Roman" w:hAnsi="Times New Roman" w:cs="Times New Roman" w:eastAsia="Times New Roman" w:hint="default"/>
                <w:sz w:val="18"/>
                <w:szCs w:val="18"/>
              </w:rPr>
            </w:pPr>
            <w:r>
              <w:rPr>
                <w:rFonts w:ascii="Times New Roman"/>
                <w:sz w:val="18"/>
              </w:rPr>
              <w:t>1,000,000.00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对联营、合营企业投资" w:id="519"/>
      <w:bookmarkEnd w:id="519"/>
      <w:r>
        <w:rPr>
          <w:b w:val="0"/>
          <w:bCs w:val="0"/>
        </w:rPr>
      </w:r>
      <w:r>
        <w:rPr/>
        <w:t>（</w:t>
      </w:r>
      <w:r>
        <w:rPr>
          <w:rFonts w:ascii="Times New Roman" w:hAnsi="Times New Roman" w:cs="Times New Roman" w:eastAsia="Times New Roman" w:hint="default"/>
        </w:rPr>
        <w:t>2</w:t>
      </w:r>
      <w:r>
        <w:rPr/>
        <w:t>）对联营、合营企业投资</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不适用</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3）其他说明" w:id="520"/>
      <w:bookmarkEnd w:id="520"/>
      <w:r>
        <w:rPr>
          <w:b w:val="0"/>
          <w:bCs w:val="0"/>
        </w:rPr>
      </w:r>
      <w:r>
        <w:rPr/>
        <w:t>（</w:t>
      </w:r>
      <w:r>
        <w:rPr>
          <w:rFonts w:ascii="Times New Roman" w:hAnsi="Times New Roman" w:cs="Times New Roman" w:eastAsia="Times New Roman" w:hint="default"/>
        </w:rPr>
        <w:t>3</w:t>
      </w:r>
      <w:r>
        <w:rPr/>
        <w:t>）其他说明</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不适用</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4、营业收入和营业成本" w:id="521"/>
      <w:bookmarkEnd w:id="521"/>
      <w:r>
        <w:rPr>
          <w:b w:val="0"/>
          <w:bCs w:val="0"/>
        </w:rPr>
      </w:r>
      <w:r>
        <w:rPr>
          <w:rFonts w:ascii="Times New Roman" w:hAnsi="Times New Roman" w:cs="Times New Roman" w:eastAsia="Times New Roman" w:hint="default"/>
        </w:rPr>
        <w:t>4</w:t>
      </w:r>
      <w:r>
        <w:rPr/>
        <w:t>、营业收入和营业成本</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995"/>
        <w:gridCol w:w="1838"/>
        <w:gridCol w:w="1913"/>
        <w:gridCol w:w="1913"/>
        <w:gridCol w:w="1913"/>
      </w:tblGrid>
      <w:tr>
        <w:trPr>
          <w:trHeight w:val="206" w:hRule="exact"/>
        </w:trPr>
        <w:tc>
          <w:tcPr>
            <w:tcW w:w="1995" w:type="dxa"/>
            <w:tcBorders>
              <w:top w:val="single" w:sz="4" w:space="0" w:color="000000"/>
              <w:left w:val="single" w:sz="4" w:space="0" w:color="000000"/>
              <w:bottom w:val="nil" w:sz="6" w:space="0" w:color="auto"/>
              <w:right w:val="single" w:sz="4" w:space="0" w:color="000000"/>
            </w:tcBorders>
            <w:shd w:val="clear" w:color="auto" w:fill="D2D2D2"/>
          </w:tcPr>
          <w:p>
            <w:pPr/>
          </w:p>
        </w:tc>
        <w:tc>
          <w:tcPr>
            <w:tcW w:w="375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1" w:hRule="exact"/>
        </w:trPr>
        <w:tc>
          <w:tcPr>
            <w:tcW w:w="199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750" w:type="dxa"/>
            <w:gridSpan w:val="2"/>
            <w:vMerge/>
            <w:tcBorders>
              <w:left w:val="single" w:sz="4" w:space="0" w:color="000000"/>
              <w:bottom w:val="single" w:sz="4" w:space="0" w:color="000000"/>
              <w:right w:val="single" w:sz="4" w:space="0" w:color="000000"/>
            </w:tcBorders>
            <w:shd w:val="clear" w:color="auto" w:fill="D2D2D2"/>
          </w:tcPr>
          <w:p>
            <w:pP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995" w:type="dxa"/>
            <w:vMerge/>
            <w:tcBorders>
              <w:left w:val="single" w:sz="4" w:space="0" w:color="000000"/>
              <w:bottom w:val="nil" w:sz="6" w:space="0" w:color="auto"/>
              <w:right w:val="single" w:sz="4" w:space="0" w:color="000000"/>
            </w:tcBorders>
            <w:shd w:val="clear" w:color="auto" w:fill="D2D2D2"/>
          </w:tcPr>
          <w:p>
            <w:pPr/>
          </w:p>
        </w:tc>
        <w:tc>
          <w:tcPr>
            <w:tcW w:w="18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6" w:hRule="exact"/>
        </w:trPr>
        <w:tc>
          <w:tcPr>
            <w:tcW w:w="1995" w:type="dxa"/>
            <w:tcBorders>
              <w:top w:val="nil" w:sz="6" w:space="0" w:color="auto"/>
              <w:left w:val="single" w:sz="4" w:space="0" w:color="000000"/>
              <w:bottom w:val="single" w:sz="4" w:space="0" w:color="000000"/>
              <w:right w:val="single" w:sz="4" w:space="0" w:color="000000"/>
            </w:tcBorders>
            <w:shd w:val="clear" w:color="auto" w:fill="D2D2D2"/>
          </w:tcPr>
          <w:p>
            <w:pPr/>
          </w:p>
        </w:tc>
        <w:tc>
          <w:tcPr>
            <w:tcW w:w="1838"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451,760,005.61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259,340,147.48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458,999,142.34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269,529,753.73</w:t>
            </w: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1,400,997.60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1,346,961.52</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453,161,003.21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260,687,109.00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458,999,142.34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269,529,753.73</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5、投资收益" w:id="522"/>
      <w:bookmarkEnd w:id="522"/>
      <w:r>
        <w:rPr>
          <w:b w:val="0"/>
          <w:bCs w:val="0"/>
        </w:rPr>
      </w:r>
      <w:r>
        <w:rPr>
          <w:rFonts w:ascii="Times New Roman" w:hAnsi="Times New Roman" w:cs="Times New Roman" w:eastAsia="Times New Roman" w:hint="default"/>
        </w:rPr>
        <w:t>5</w:t>
      </w:r>
      <w:r>
        <w:rPr/>
        <w:t>、投资收益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324"/>
        <w:gridCol w:w="3059"/>
        <w:gridCol w:w="3186"/>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059" w:type="dxa"/>
            <w:tcBorders>
              <w:top w:val="single" w:sz="4" w:space="0" w:color="000000"/>
              <w:left w:val="single" w:sz="13" w:space="0" w:color="D2D2D2"/>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420.37</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理财产品利息收入</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665,230.04</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665,230.04</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420.37</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6、其他" w:id="523"/>
      <w:bookmarkEnd w:id="523"/>
      <w:r>
        <w:rPr>
          <w:b w:val="0"/>
          <w:bCs w:val="0"/>
        </w:rPr>
      </w:r>
      <w:r>
        <w:rPr>
          <w:rFonts w:ascii="Times New Roman" w:hAnsi="Times New Roman" w:cs="Times New Roman" w:eastAsia="Times New Roman" w:hint="default"/>
        </w:rPr>
        <w:t>6</w:t>
      </w:r>
      <w:r>
        <w:rPr/>
        <w:t>、其他</w:t>
      </w:r>
      <w:r>
        <w:rPr>
          <w:b w:val="0"/>
          <w:bCs w:val="0"/>
        </w:rPr>
      </w:r>
    </w:p>
    <w:p>
      <w:pPr>
        <w:spacing w:line="240" w:lineRule="auto" w:before="12"/>
        <w:rPr>
          <w:rFonts w:ascii="宋体" w:hAnsi="宋体" w:cs="宋体" w:eastAsia="宋体" w:hint="default"/>
          <w:b/>
          <w:bCs/>
          <w:sz w:val="22"/>
          <w:szCs w:val="22"/>
        </w:rPr>
      </w:pPr>
    </w:p>
    <w:p>
      <w:pPr>
        <w:pStyle w:val="Heading2"/>
        <w:spacing w:line="240" w:lineRule="auto"/>
        <w:ind w:left="1134" w:right="0"/>
        <w:jc w:val="left"/>
        <w:rPr>
          <w:b w:val="0"/>
          <w:bCs w:val="0"/>
        </w:rPr>
      </w:pPr>
      <w:bookmarkStart w:name="十八、补充资料" w:id="524"/>
      <w:bookmarkEnd w:id="524"/>
      <w:r>
        <w:rPr>
          <w:b w:val="0"/>
          <w:bCs w:val="0"/>
        </w:rPr>
      </w:r>
      <w:r>
        <w:rPr/>
        <w:t>十八、补充资料</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3" w:right="0"/>
        <w:jc w:val="left"/>
        <w:rPr>
          <w:b w:val="0"/>
          <w:bCs w:val="0"/>
        </w:rPr>
      </w:pPr>
      <w:bookmarkStart w:name="1、当期非经常性损益明细表" w:id="525"/>
      <w:bookmarkEnd w:id="525"/>
      <w:r>
        <w:rPr>
          <w:b w:val="0"/>
          <w:bCs w:val="0"/>
        </w:rPr>
      </w:r>
      <w:r>
        <w:rPr>
          <w:rFonts w:ascii="Times New Roman" w:hAnsi="Times New Roman" w:cs="Times New Roman" w:eastAsia="Times New Roman" w:hint="default"/>
        </w:rPr>
        <w:t>1</w:t>
      </w:r>
      <w:r>
        <w:rPr/>
        <w:t>、当期非经常性损益明细表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13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302"/>
        <w:gridCol w:w="3071"/>
        <w:gridCol w:w="3186"/>
      </w:tblGrid>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-18,400.37</w:t>
            </w:r>
            <w:r>
              <w:rPr>
                <w:rFonts w:ascii="Times New Roman"/>
                <w:sz w:val="18"/>
              </w:rPr>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38"/>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6,486,230.09</w:t>
            </w:r>
          </w:p>
        </w:tc>
        <w:tc>
          <w:tcPr>
            <w:tcW w:w="318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87" w:footer="640" w:top="1100" w:bottom="840" w:left="0" w:right="0"/>
        </w:sectPr>
      </w:pPr>
    </w:p>
    <w:p>
      <w:pPr>
        <w:spacing w:line="240" w:lineRule="auto" w:before="5"/>
        <w:rPr>
          <w:rFonts w:ascii="宋体" w:hAnsi="宋体" w:cs="宋体" w:eastAsia="宋体" w:hint="default"/>
          <w:sz w:val="25"/>
          <w:szCs w:val="25"/>
        </w:rPr>
      </w:pPr>
    </w:p>
    <w:tbl>
      <w:tblPr>
        <w:tblW w:w="0" w:type="auto"/>
        <w:jc w:val="left"/>
        <w:tblInd w:w="1129" w:type="dxa"/>
        <w:tblLayout w:type="fixed"/>
        <w:tblCellMar>
          <w:top w:w="0" w:type="dxa"/>
          <w:left w:w="0" w:type="dxa"/>
          <w:bottom w:w="0" w:type="dxa"/>
          <w:right w:w="0" w:type="dxa"/>
        </w:tblCellMar>
        <w:tblLook w:val="01E0"/>
      </w:tblPr>
      <w:tblGrid>
        <w:gridCol w:w="3324"/>
        <w:gridCol w:w="3059"/>
        <w:gridCol w:w="3186"/>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276,977.05</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705,677.70</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系理财产品收益</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773,060.84</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1,290,117.02</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5,387,306.61</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spacing w:val="-3"/>
        </w:rPr>
        <w:t>对公司根据《公开发行证券的公司信息披露解释性公告第</w:t>
      </w:r>
      <w:r>
        <w:rPr>
          <w:spacing w:val="-39"/>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2" w:lineRule="auto" w:before="63"/>
        <w:ind w:right="1118"/>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69"/>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left="1133" w:right="0"/>
        <w:jc w:val="left"/>
        <w:rPr>
          <w:b w:val="0"/>
          <w:bCs w:val="0"/>
        </w:rPr>
      </w:pPr>
      <w:bookmarkStart w:name="2、净资产收益率及每股收益" w:id="526"/>
      <w:bookmarkEnd w:id="526"/>
      <w:r>
        <w:rPr>
          <w:b w:val="0"/>
          <w:bCs w:val="0"/>
        </w:rPr>
      </w:r>
      <w:r>
        <w:rPr>
          <w:rFonts w:ascii="Times New Roman" w:hAnsi="Times New Roman" w:cs="Times New Roman" w:eastAsia="Times New Roman" w:hint="default"/>
        </w:rPr>
        <w:t>2</w:t>
      </w:r>
      <w:r>
        <w:rPr/>
        <w:t>、净资产收益率及每股收益</w:t>
      </w:r>
      <w:r>
        <w:rPr>
          <w:b w:val="0"/>
          <w:bCs w:val="0"/>
        </w:rPr>
      </w:r>
    </w:p>
    <w:p>
      <w:pPr>
        <w:spacing w:line="240" w:lineRule="auto" w:before="10"/>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2662"/>
        <w:gridCol w:w="3081"/>
        <w:gridCol w:w="1913"/>
        <w:gridCol w:w="1913"/>
      </w:tblGrid>
      <w:tr>
        <w:trPr>
          <w:trHeight w:val="206" w:hRule="exact"/>
        </w:trPr>
        <w:tc>
          <w:tcPr>
            <w:tcW w:w="2662" w:type="dxa"/>
            <w:tcBorders>
              <w:top w:val="single" w:sz="4" w:space="0" w:color="000000"/>
              <w:left w:val="single" w:sz="4" w:space="0" w:color="000000"/>
              <w:bottom w:val="nil" w:sz="6" w:space="0" w:color="auto"/>
              <w:right w:val="single" w:sz="4" w:space="0" w:color="000000"/>
            </w:tcBorders>
            <w:shd w:val="clear" w:color="auto" w:fill="D2D2D2"/>
          </w:tcPr>
          <w:p>
            <w:pPr/>
          </w:p>
        </w:tc>
        <w:tc>
          <w:tcPr>
            <w:tcW w:w="308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1" w:hRule="exact"/>
        </w:trPr>
        <w:tc>
          <w:tcPr>
            <w:tcW w:w="26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76"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35"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662" w:type="dxa"/>
            <w:vMerge/>
            <w:tcBorders>
              <w:left w:val="single" w:sz="4" w:space="0" w:color="000000"/>
              <w:bottom w:val="nil" w:sz="6" w:space="0" w:color="auto"/>
              <w:right w:val="single" w:sz="4" w:space="0" w:color="000000"/>
            </w:tcBorders>
            <w:shd w:val="clear" w:color="auto" w:fill="D2D2D2"/>
          </w:tcPr>
          <w:p>
            <w:pPr/>
          </w:p>
        </w:tc>
        <w:tc>
          <w:tcPr>
            <w:tcW w:w="3081" w:type="dxa"/>
            <w:vMerge/>
            <w:tcBorders>
              <w:left w:val="single" w:sz="4" w:space="0" w:color="000000"/>
              <w:bottom w:val="nil" w:sz="6" w:space="0" w:color="auto"/>
              <w:right w:val="single" w:sz="4" w:space="0" w:color="000000"/>
            </w:tcBorders>
            <w:shd w:val="clear" w:color="auto" w:fill="D2D2D2"/>
          </w:tcPr>
          <w:p>
            <w:pP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6"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6"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205" w:hRule="exact"/>
        </w:trPr>
        <w:tc>
          <w:tcPr>
            <w:tcW w:w="2662" w:type="dxa"/>
            <w:tcBorders>
              <w:top w:val="nil" w:sz="6" w:space="0" w:color="auto"/>
              <w:left w:val="single" w:sz="4" w:space="0" w:color="000000"/>
              <w:bottom w:val="single" w:sz="4" w:space="0" w:color="000000"/>
              <w:right w:val="single" w:sz="4" w:space="0" w:color="000000"/>
            </w:tcBorders>
            <w:shd w:val="clear" w:color="auto" w:fill="D2D2D2"/>
          </w:tcPr>
          <w:p>
            <w:pPr/>
          </w:p>
        </w:tc>
        <w:tc>
          <w:tcPr>
            <w:tcW w:w="308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12.77%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0.54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0.54</w:t>
            </w:r>
          </w:p>
        </w:tc>
      </w:tr>
      <w:tr>
        <w:trPr>
          <w:trHeight w:val="714"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07"/>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12.15%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0.51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0.51</w:t>
            </w: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left"/>
        <w:rPr>
          <w:b w:val="0"/>
          <w:bCs w:val="0"/>
        </w:rPr>
      </w:pPr>
      <w:bookmarkStart w:name="3、境内外会计准则下会计数据差异" w:id="527"/>
      <w:bookmarkEnd w:id="527"/>
      <w:r>
        <w:rPr>
          <w:b w:val="0"/>
          <w:bCs w:val="0"/>
        </w:rPr>
      </w:r>
      <w:r>
        <w:rPr>
          <w:rFonts w:ascii="Times New Roman" w:hAnsi="Times New Roman" w:cs="Times New Roman" w:eastAsia="Times New Roman" w:hint="default"/>
        </w:rPr>
        <w:t>3</w:t>
      </w:r>
      <w:r>
        <w:rPr/>
        <w:t>、境内外会计准则下会计数据差异</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同时按照国际会计准则与按中国会计准则披露的财务报告中净利润和净资产差异情况" w:id="528"/>
      <w:bookmarkEnd w:id="528"/>
      <w:r>
        <w:rPr>
          <w:b w:val="0"/>
          <w:bCs w:val="0"/>
        </w:rPr>
      </w:r>
      <w:r>
        <w:rPr/>
        <w:t>（</w:t>
      </w:r>
      <w:r>
        <w:rPr>
          <w:rFonts w:ascii="Times New Roman" w:hAnsi="Times New Roman" w:cs="Times New Roman" w:eastAsia="Times New Roman" w:hint="default"/>
        </w:rPr>
        <w:t>1</w:t>
      </w:r>
      <w:r>
        <w:rPr/>
        <w:t>）同时按照国际会计准则与按中国会计准则披露的财务报告中净利润和净资产差异情况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left="1133" w:right="0"/>
        <w:jc w:val="left"/>
        <w:rPr>
          <w:b w:val="0"/>
          <w:bCs w:val="0"/>
        </w:rPr>
      </w:pPr>
      <w:bookmarkStart w:name="（2）同时按照境外会计准则与按中国会计准则披露的财务报告中净利润和净资产差异情况" w:id="529"/>
      <w:bookmarkEnd w:id="529"/>
      <w:r>
        <w:rPr>
          <w:b w:val="0"/>
          <w:bCs w:val="0"/>
        </w:rPr>
      </w:r>
      <w:r>
        <w:rPr/>
        <w:t>（</w:t>
      </w:r>
      <w:r>
        <w:rPr>
          <w:rFonts w:ascii="Times New Roman" w:hAnsi="Times New Roman" w:cs="Times New Roman" w:eastAsia="Times New Roman" w:hint="default"/>
        </w:rPr>
        <w:t>2</w:t>
      </w:r>
      <w:r>
        <w:rPr/>
        <w:t>）同时按照境外会计准则与按中国会计准则披露的财务报告中净利润和净资产差异情况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59" w:lineRule="auto"/>
        <w:ind w:left="1133" w:right="0"/>
        <w:jc w:val="left"/>
        <w:rPr>
          <w:b w:val="0"/>
          <w:bCs w:val="0"/>
        </w:rPr>
      </w:pPr>
      <w:bookmarkStart w:name="（3）境内外会计准则下会计数据差异原因说明，对已经境外审计机构审计的数据进行差异" w:id="530"/>
      <w:bookmarkEnd w:id="530"/>
      <w:r>
        <w:rPr>
          <w:b w:val="0"/>
          <w:bCs w:val="0"/>
        </w:rPr>
      </w:r>
      <w:r>
        <w:rPr/>
        <w:t>（</w:t>
      </w:r>
      <w:r>
        <w:rPr>
          <w:rFonts w:ascii="Times New Roman" w:hAnsi="Times New Roman" w:cs="Times New Roman" w:eastAsia="Times New Roman" w:hint="default"/>
        </w:rPr>
        <w:t>3</w:t>
      </w:r>
      <w:r>
        <w:rPr/>
        <w:t>）境内外会计准则下会计数据差异原因说明，对已经境外审计机构审计的数据进行差异调节的，应注</w:t>
      </w:r>
      <w:r>
        <w:rPr>
          <w:spacing w:val="-74"/>
        </w:rPr>
        <w:t> </w:t>
      </w:r>
      <w:r>
        <w:rPr>
          <w:spacing w:val="-74"/>
        </w:rPr>
      </w:r>
      <w:r>
        <w:rPr/>
        <w:t>明该境外机构的名称</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3" w:right="0"/>
        <w:jc w:val="left"/>
        <w:rPr>
          <w:b w:val="0"/>
          <w:bCs w:val="0"/>
        </w:rPr>
      </w:pPr>
      <w:bookmarkStart w:name="4、其他" w:id="531"/>
      <w:bookmarkEnd w:id="531"/>
      <w:r>
        <w:rPr>
          <w:b w:val="0"/>
          <w:bCs w:val="0"/>
        </w:rPr>
      </w:r>
      <w:r>
        <w:rPr>
          <w:rFonts w:ascii="Times New Roman" w:hAnsi="Times New Roman" w:cs="Times New Roman" w:eastAsia="Times New Roman" w:hint="default"/>
        </w:rPr>
        <w:t>4</w:t>
      </w:r>
      <w:r>
        <w:rPr/>
        <w:t>、其他</w:t>
      </w:r>
      <w:r>
        <w:rPr>
          <w:b w:val="0"/>
          <w:bCs w:val="0"/>
        </w:rPr>
      </w:r>
    </w:p>
    <w:p>
      <w:pPr>
        <w:spacing w:after="0" w:line="240" w:lineRule="auto"/>
        <w:jc w:val="left"/>
        <w:sectPr>
          <w:pgSz w:w="11910" w:h="16840"/>
          <w:pgMar w:header="787" w:footer="640" w:top="1100" w:bottom="840" w:left="0" w:right="0"/>
        </w:sect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7"/>
          <w:szCs w:val="17"/>
        </w:rPr>
      </w:pPr>
    </w:p>
    <w:p>
      <w:pPr>
        <w:pStyle w:val="Heading1"/>
        <w:spacing w:line="240" w:lineRule="auto"/>
        <w:ind w:left="4089" w:right="4090"/>
        <w:jc w:val="center"/>
        <w:rPr>
          <w:b w:val="0"/>
          <w:bCs w:val="0"/>
        </w:rPr>
      </w:pPr>
      <w:bookmarkStart w:name="第十二节 备查文件目录" w:id="532"/>
      <w:bookmarkEnd w:id="532"/>
      <w:r>
        <w:rPr>
          <w:b w:val="0"/>
          <w:bCs w:val="0"/>
        </w:rPr>
      </w:r>
      <w:bookmarkStart w:name="_bookmark10" w:id="533"/>
      <w:bookmarkEnd w:id="533"/>
      <w:r>
        <w:rPr>
          <w:b w:val="0"/>
          <w:bCs w:val="0"/>
        </w:rPr>
      </w:r>
      <w:r>
        <w:rPr/>
        <w:t>第十二节</w:t>
      </w:r>
      <w:r>
        <w:rPr>
          <w:spacing w:val="-8"/>
        </w:rPr>
        <w:t> </w:t>
      </w:r>
      <w:r>
        <w:rPr/>
        <w:t>备查文件目录</w:t>
      </w:r>
      <w:r>
        <w:rPr>
          <w:b w:val="0"/>
          <w:bCs w:val="0"/>
        </w:rPr>
      </w:r>
    </w:p>
    <w:p>
      <w:pPr>
        <w:spacing w:line="240" w:lineRule="auto" w:before="6"/>
        <w:rPr>
          <w:rFonts w:ascii="宋体" w:hAnsi="宋体" w:cs="宋体" w:eastAsia="宋体" w:hint="default"/>
          <w:b/>
          <w:bCs/>
          <w:sz w:val="42"/>
          <w:szCs w:val="42"/>
        </w:rPr>
      </w:pPr>
    </w:p>
    <w:p>
      <w:pPr>
        <w:pStyle w:val="BodyText"/>
        <w:spacing w:line="312" w:lineRule="auto"/>
        <w:ind w:right="0"/>
        <w:jc w:val="left"/>
      </w:pPr>
      <w:r>
        <w:rPr/>
        <w:t>一、经公司法定代表人雷洪文先生签名的</w:t>
      </w:r>
      <w:r>
        <w:rPr>
          <w:rFonts w:ascii="Times New Roman" w:hAnsi="Times New Roman" w:cs="Times New Roman" w:eastAsia="Times New Roman" w:hint="default"/>
        </w:rPr>
        <w:t>2017</w:t>
      </w:r>
      <w:r>
        <w:rPr/>
        <w:t>年年度报告文本。 </w:t>
      </w:r>
      <w:r>
        <w:rPr>
          <w:spacing w:val="-4"/>
        </w:rPr>
        <w:t>二、载有公司法定代表人雷洪文先生、主管会计工作负责人王汉晖先生、会计机构负责人简玉琴女士签名并盖章的财务报表。</w:t>
      </w:r>
      <w:r>
        <w:rPr>
          <w:spacing w:val="-44"/>
        </w:rPr>
        <w:t> </w:t>
      </w:r>
      <w:r>
        <w:rPr>
          <w:spacing w:val="-44"/>
        </w:rPr>
      </w:r>
      <w:r>
        <w:rPr/>
        <w:t>三、载有会计师事务所盖章、注册会计师签名并盖章的审计报告原件。 四、报告期内在中国证监会指定网站上公开披露过的所有公司文件的正本及公告的原稿。</w:t>
      </w:r>
    </w:p>
    <w:p>
      <w:pPr>
        <w:pStyle w:val="BodyText"/>
        <w:spacing w:line="316" w:lineRule="auto" w:before="22"/>
        <w:ind w:right="5712"/>
        <w:jc w:val="left"/>
      </w:pPr>
      <w:r>
        <w:rPr/>
        <w:t>五、其他有关资料。 以上备查文件的备置地点：深圳证券交易所、公司董事会办公室</w:t>
      </w:r>
    </w:p>
    <w:sectPr>
      <w:pgSz w:w="11910" w:h="16840"/>
      <w:pgMar w:header="787" w:footer="640" w:top="1100" w:bottom="84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1171432" type="#_x0000_t75" stroked="false">
          <v:imagedata r:id="rId1" o:titl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1171192" type="#_x0000_t75" stroked="false">
          <v:imagedata r:id="rId1" o:titl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1171168" type="#_x0000_t75" stroked="false">
          <v:imagedata r:id="rId1" o:title=""/>
        </v:shape>
      </w:pict>
    </w:r>
    <w:r>
      <w:rPr/>
      <w:pict>
        <v:shape style="position:absolute;margin-left:55.700001pt;margin-top:757.285583pt;width:484pt;height:11pt;mso-position-horizontal-relative:page;mso-position-vertical-relative:page;z-index:-1171144" type="#_x0000_t202" filled="false" stroked="false">
          <v:textbox inset="0,0,0,0">
            <w:txbxContent>
              <w:p>
                <w:pPr>
                  <w:pStyle w:val="BodyText"/>
                  <w:spacing w:line="200" w:lineRule="exact"/>
                  <w:ind w:left="20" w:right="0"/>
                  <w:jc w:val="left"/>
                </w:pPr>
                <w:r>
                  <w:rPr>
                    <w:spacing w:val="-2"/>
                  </w:rPr>
                  <w:t>敏捷实施为核心能力持续在智慧金融、智慧城市、智慧司法、智慧教育、智慧口岸、智能交通、智慧水利等各个行业进行拓</w:t>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1171120" type="#_x0000_t75" stroked="false">
          <v:imagedata r:id="rId1" o:title=""/>
        </v:shape>
      </w:pict>
    </w:r>
    <w:r>
      <w:rPr/>
      <w:pict>
        <v:shape style="position:absolute;margin-left:55.700001pt;margin-top:756.865601pt;width:483.9pt;height:11pt;mso-position-horizontal-relative:page;mso-position-vertical-relative:page;z-index:-1171096" type="#_x0000_t202" filled="false" stroked="false">
          <v:textbox inset="0,0,0,0">
            <w:txbxContent>
              <w:p>
                <w:pPr>
                  <w:pStyle w:val="BodyText"/>
                  <w:spacing w:line="200" w:lineRule="exact"/>
                  <w:ind w:left="20" w:right="0"/>
                  <w:jc w:val="left"/>
                </w:pPr>
                <w:r>
                  <w:rPr>
                    <w:spacing w:val="-2"/>
                  </w:rPr>
                  <w:t>公司坚持以市场为导向，跟随前沿技术热点并结合行业发展趋势及客户新需求，持续创新投入，加快云计算、大数据、人工</w:t>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1171072" type="#_x0000_t75" stroked="false">
          <v:imagedata r:id="rId1" o:titl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1171048" type="#_x0000_t75" stroked="false">
          <v:imagedata r:id="rId1" o:titl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1171024" type="#_x0000_t75" stroked="false">
          <v:imagedata r:id="rId1" o:titl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1171000" type="#_x0000_t75" stroked="false">
          <v:imagedata r:id="rId1" o:titl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1170976" type="#_x0000_t75" stroked="false">
          <v:imagedata r:id="rId1" o:titl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1170952" type="#_x0000_t75" stroked="false">
          <v:imagedata r:id="rId1" o:title=""/>
        </v:shape>
      </w:pict>
    </w:r>
    <w:r>
      <w:rPr/>
      <w:pict>
        <v:shape style="position:absolute;margin-left:55.700001pt;margin-top:756.865601pt;width:125.05pt;height:11.5pt;mso-position-horizontal-relative:page;mso-position-vertical-relative:page;z-index:-1170928" type="#_x0000_t202" filled="false" stroked="false">
          <v:textbox inset="0,0,0,0">
            <w:txbxContent>
              <w:p>
                <w:pPr>
                  <w:pStyle w:val="BodyText"/>
                  <w:spacing w:line="214" w:lineRule="exact"/>
                  <w:ind w:left="20" w:right="0"/>
                  <w:jc w:val="left"/>
                </w:pPr>
                <w:r>
                  <w:rPr/>
                  <w:t>编号：</w:t>
                </w:r>
                <w:r>
                  <w:rPr>
                    <w:rFonts w:ascii="Times New Roman" w:hAnsi="Times New Roman" w:cs="Times New Roman" w:eastAsia="Times New Roman" w:hint="default"/>
                  </w:rPr>
                  <w:t>2017-027</w:t>
                </w:r>
                <w:r>
                  <w:rPr/>
                  <w:t>；</w:t>
                </w:r>
                <w:r>
                  <w:rPr>
                    <w:rFonts w:ascii="Times New Roman" w:hAnsi="Times New Roman" w:cs="Times New Roman" w:eastAsia="Times New Roman" w:hint="default"/>
                  </w:rPr>
                  <w:t>2017-028</w:t>
                </w:r>
                <w:r>
                  <w:rPr/>
                  <w:t>）。</w:t>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1170904" type="#_x0000_t75" stroked="false">
          <v:imagedata r:id="rId1" o:title=""/>
        </v:shape>
      </w:pict>
    </w:r>
    <w:r>
      <w:rPr/>
      <w:pict>
        <v:shape style="position:absolute;margin-left:55.700001pt;margin-top:756.865601pt;width:483.6pt;height:11.5pt;mso-position-horizontal-relative:page;mso-position-vertical-relative:page;z-index:-1170880" type="#_x0000_t202" filled="false" stroked="false">
          <v:textbox inset="0,0,0,0">
            <w:txbxContent>
              <w:p>
                <w:pPr>
                  <w:pStyle w:val="BodyText"/>
                  <w:spacing w:line="214" w:lineRule="exact"/>
                  <w:ind w:left="20" w:right="0"/>
                  <w:jc w:val="left"/>
                </w:pPr>
                <w:r>
                  <w:rPr>
                    <w:rFonts w:ascii="Times New Roman" w:hAnsi="Times New Roman" w:cs="Times New Roman" w:eastAsia="Times New Roman" w:hint="default"/>
                  </w:rPr>
                  <w:t>35</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15</w:t>
                </w:r>
                <w:r>
                  <w:rPr/>
                  <w:t>日，公司披露了《关于公司部分限制性股票回购注销完成的公告》，因公司两期股权激励计划有部分激励</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1171408" type="#_x0000_t75" stroked="false">
          <v:imagedata r:id="rId1" o:titl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1170856" type="#_x0000_t75" stroked="false">
          <v:imagedata r:id="rId1" o:title=""/>
        </v:shape>
      </w:pict>
    </w:r>
    <w:r>
      <w:rPr/>
      <w:pict>
        <v:shape style="position:absolute;margin-left:55.700001pt;margin-top:756.865601pt;width:270.55pt;height:11.5pt;mso-position-horizontal-relative:page;mso-position-vertical-relative:page;z-index:-1170832" type="#_x0000_t202" filled="false" stroked="false">
          <v:textbox inset="0,0,0,0">
            <w:txbxContent>
              <w:p>
                <w:pPr>
                  <w:pStyle w:val="BodyText"/>
                  <w:spacing w:line="214" w:lineRule="exact"/>
                  <w:ind w:left="20" w:right="0"/>
                  <w:jc w:val="left"/>
                </w:pP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18</w:t>
                </w:r>
                <w:r>
                  <w:rPr/>
                  <w:t>日披露于巨潮资讯网的相关公告（公告编号：</w:t>
                </w:r>
                <w:r>
                  <w:rPr>
                    <w:rFonts w:ascii="Times New Roman" w:hAnsi="Times New Roman" w:cs="Times New Roman" w:eastAsia="Times New Roman" w:hint="default"/>
                  </w:rPr>
                  <w:t>2017-046</w:t>
                </w:r>
                <w:r>
                  <w:rPr/>
                  <w:t>）。</w:t>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1170808" type="#_x0000_t75" stroked="false">
          <v:imagedata r:id="rId1" o:title=""/>
        </v:shape>
      </w:pict>
    </w:r>
    <w:r>
      <w:rPr/>
      <w:pict>
        <v:shape style="position:absolute;margin-left:55.700001pt;margin-top:756.865601pt;width:108.55pt;height:11.5pt;mso-position-horizontal-relative:page;mso-position-vertical-relative:page;z-index:-1170784" type="#_x0000_t202" filled="false" stroked="false">
          <v:textbox inset="0,0,0,0">
            <w:txbxContent>
              <w:p>
                <w:pPr>
                  <w:pStyle w:val="BodyText"/>
                  <w:spacing w:line="214" w:lineRule="exact"/>
                  <w:ind w:left="20" w:right="0"/>
                  <w:jc w:val="left"/>
                </w:pPr>
                <w:r>
                  <w:rPr/>
                  <w:t>（公告编号：</w:t>
                </w:r>
                <w:r>
                  <w:rPr>
                    <w:rFonts w:ascii="Times New Roman" w:hAnsi="Times New Roman" w:cs="Times New Roman" w:eastAsia="Times New Roman" w:hint="default"/>
                  </w:rPr>
                  <w:t>2017-055</w:t>
                </w:r>
                <w:r>
                  <w:rPr/>
                  <w:t>）。</w:t>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1170760" type="#_x0000_t75" stroked="false">
          <v:imagedata r:id="rId1" o:titl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1170736" type="#_x0000_t75" stroked="false">
          <v:imagedata r:id="rId1" o:titl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1170712" type="#_x0000_t75" stroked="false">
          <v:imagedata r:id="rId1" o:titl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1170688" type="#_x0000_t75" stroked="false">
          <v:imagedata r:id="rId1" o:title=""/>
        </v:shape>
      </w:pict>
    </w:r>
    <w:r>
      <w:rPr/>
      <w:pict>
        <v:shape style="position:absolute;margin-left:55.700001pt;margin-top:742.045593pt;width:484pt;height:11.5pt;mso-position-horizontal-relative:page;mso-position-vertical-relative:page;z-index:-1170664" type="#_x0000_t202" filled="false" stroked="false">
          <v:textbox inset="0,0,0,0">
            <w:txbxContent>
              <w:p>
                <w:pPr>
                  <w:pStyle w:val="BodyText"/>
                  <w:spacing w:line="214" w:lineRule="exact"/>
                  <w:ind w:left="20" w:right="0"/>
                  <w:jc w:val="left"/>
                </w:pPr>
                <w:r>
                  <w:rPr>
                    <w:spacing w:val="-1"/>
                  </w:rPr>
                  <w:t>期解锁条件达成，</w:t>
                </w:r>
                <w:r>
                  <w:rPr>
                    <w:rFonts w:ascii="Times New Roman" w:hAnsi="Times New Roman" w:cs="Times New Roman" w:eastAsia="Times New Roman" w:hint="default"/>
                    <w:spacing w:val="-1"/>
                  </w:rPr>
                  <w:t>109</w:t>
                </w:r>
                <w:r>
                  <w:rPr>
                    <w:spacing w:val="-1"/>
                  </w:rPr>
                  <w:t>名激励对象持有的共</w:t>
                </w:r>
                <w:r>
                  <w:rPr>
                    <w:rFonts w:ascii="Times New Roman" w:hAnsi="Times New Roman" w:cs="Times New Roman" w:eastAsia="Times New Roman" w:hint="default"/>
                    <w:spacing w:val="-1"/>
                  </w:rPr>
                  <w:t>571,575</w:t>
                </w:r>
                <w:r>
                  <w:rPr>
                    <w:spacing w:val="-1"/>
                  </w:rPr>
                  <w:t>股股票上市流通，公司股本结构由限售股股东占比</w:t>
                </w:r>
                <w:r>
                  <w:rPr>
                    <w:rFonts w:ascii="Times New Roman" w:hAnsi="Times New Roman" w:cs="Times New Roman" w:eastAsia="Times New Roman" w:hint="default"/>
                    <w:spacing w:val="-1"/>
                  </w:rPr>
                  <w:t>63.14%</w:t>
                </w:r>
                <w:r>
                  <w:rPr>
                    <w:spacing w:val="-1"/>
                  </w:rPr>
                  <w:t>，无限售条件流</w:t>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1170640" type="#_x0000_t75" stroked="false">
          <v:imagedata r:id="rId1" o:titl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1170616" type="#_x0000_t75" stroked="false">
          <v:imagedata r:id="rId1" o:title=""/>
        </v:shape>
      </w:pic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1170592" type="#_x0000_t75" stroked="false">
          <v:imagedata r:id="rId1" o:title=""/>
        </v:shape>
      </w:pict>
    </w:r>
    <w:r>
      <w:rPr/>
      <w:pict>
        <v:shape style="position:absolute;margin-left:55.700001pt;margin-top:756.865601pt;width:483.6pt;height:11.5pt;mso-position-horizontal-relative:page;mso-position-vertical-relative:page;z-index:-1170568" type="#_x0000_t202" filled="false" stroked="false">
          <v:textbox inset="0,0,0,0">
            <w:txbxContent>
              <w:p>
                <w:pPr>
                  <w:pStyle w:val="BodyText"/>
                  <w:spacing w:line="214" w:lineRule="exact"/>
                  <w:ind w:left="20" w:right="0"/>
                  <w:jc w:val="left"/>
                </w:pPr>
                <w:r>
                  <w:rPr/>
                  <w:t>工程公司工作，</w:t>
                </w:r>
                <w:r>
                  <w:rPr>
                    <w:rFonts w:ascii="Times New Roman" w:hAnsi="Times New Roman" w:cs="Times New Roman" w:eastAsia="Times New Roman" w:hint="default"/>
                  </w:rPr>
                  <w:t>2001</w:t>
                </w:r>
                <w:r>
                  <w:rPr/>
                  <w:t>年至</w:t>
                </w:r>
                <w:r>
                  <w:rPr>
                    <w:rFonts w:ascii="Times New Roman" w:hAnsi="Times New Roman" w:cs="Times New Roman" w:eastAsia="Times New Roman" w:hint="default"/>
                  </w:rPr>
                  <w:t>2011</w:t>
                </w:r>
                <w:r>
                  <w:rPr/>
                  <w:t>年就职于广州市浩云安防科技工程有限公司，担任副董事长；</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9</w:t>
                </w:r>
                <w:r>
                  <w:rPr/>
                  <w:t>月至今，担任本公司副</w:t>
                </w:r>
              </w:p>
            </w:txbxContent>
          </v:textbox>
          <w10:wrap type="none"/>
        </v:shape>
      </w:pict>
    </w: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1170544" type="#_x0000_t75" stroked="false">
          <v:imagedata r:id="rId1" o:titl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1171384" type="#_x0000_t75" stroked="false">
          <v:imagedata r:id="rId1" o:title=""/>
        </v:shape>
      </w:pict>
    </w: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1170520" type="#_x0000_t75" stroked="false">
          <v:imagedata r:id="rId1" o:title=""/>
        </v:shape>
      </w:pict>
    </w:r>
    <w:r>
      <w:rPr/>
      <w:pict>
        <v:shape style="position:absolute;margin-left:55.700001pt;margin-top:757.465637pt;width:484pt;height:11.5pt;mso-position-horizontal-relative:page;mso-position-vertical-relative:page;z-index:-1170496" type="#_x0000_t202" filled="false" stroked="false">
          <v:textbox inset="0,0,0,0">
            <w:txbxContent>
              <w:p>
                <w:pPr>
                  <w:pStyle w:val="BodyText"/>
                  <w:spacing w:line="214" w:lineRule="exact"/>
                  <w:ind w:left="20" w:right="0"/>
                  <w:jc w:val="left"/>
                  <w:rPr>
                    <w:rFonts w:ascii="Times New Roman" w:hAnsi="Times New Roman" w:cs="Times New Roman" w:eastAsia="Times New Roman" w:hint="default"/>
                  </w:rPr>
                </w:pP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w:t>
                </w:r>
                <w:r>
                  <w:rPr>
                    <w:spacing w:val="-2"/>
                  </w:rPr>
                  <w:t>公司从业务发展的实际出发，结合员工能力素质及培训需求情况，除了每月开展新员工培训，还先后组织开展了</w:t>
                </w:r>
                <w:r>
                  <w:rPr>
                    <w:rFonts w:ascii="Times New Roman" w:hAnsi="Times New Roman" w:cs="Times New Roman" w:eastAsia="Times New Roman" w:hint="default"/>
                    <w:spacing w:val="-2"/>
                  </w:rPr>
                  <w:t>CT1</w:t>
                </w:r>
              </w:p>
            </w:txbxContent>
          </v:textbox>
          <w10:wrap type="none"/>
        </v:shape>
      </w:pict>
    </w: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1170472" type="#_x0000_t75" stroked="false">
          <v:imagedata r:id="rId1" o:title=""/>
        </v:shape>
      </w:pict>
    </w: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1170448" type="#_x0000_t75" stroked="false">
          <v:imagedata r:id="rId1" o:title=""/>
        </v:shape>
      </w:pict>
    </w:r>
  </w:p>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1170424" type="#_x0000_t75" stroked="false">
          <v:imagedata r:id="rId1" o:title=""/>
        </v:shape>
      </w:pict>
    </w:r>
    <w:r>
      <w:rPr/>
      <w:pict>
        <v:shape style="position:absolute;margin-left:55.700001pt;margin-top:749.545593pt;width:483.95pt;height:11pt;mso-position-horizontal-relative:page;mso-position-vertical-relative:page;z-index:-1170400" type="#_x0000_t202" filled="false" stroked="false">
          <v:textbox inset="0,0,0,0">
            <w:txbxContent>
              <w:p>
                <w:pPr>
                  <w:pStyle w:val="BodyText"/>
                  <w:spacing w:line="200" w:lineRule="exact"/>
                  <w:ind w:left="20" w:right="0"/>
                  <w:jc w:val="left"/>
                </w:pPr>
                <w:r>
                  <w:rPr/>
                  <w:t>建立了高级管理人员的薪酬与公司业绩挂钩的绩效考核与激励约束机制</w:t>
                </w:r>
                <w:r>
                  <w:rPr>
                    <w:spacing w:val="-82"/>
                  </w:rPr>
                  <w:t>，</w:t>
                </w:r>
                <w:r>
                  <w:rPr/>
                  <w:t>公司高级管理人员实行固定薪酬和年终绩效考核相</w:t>
                </w:r>
              </w:p>
            </w:txbxContent>
          </v:textbox>
          <w10:wrap type="none"/>
        </v:shape>
      </w:pict>
    </w: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1170376" type="#_x0000_t75" stroked="false">
          <v:imagedata r:id="rId1" o:title=""/>
        </v:shape>
      </w:pict>
    </w: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1170352" type="#_x0000_t75" stroked="false">
          <v:imagedata r:id="rId1" o:title=""/>
        </v:shape>
      </w:pict>
    </w:r>
  </w:p>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1170328" type="#_x0000_t75" stroked="false">
          <v:imagedata r:id="rId1" o:title=""/>
        </v:shape>
      </w:pict>
    </w: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1170304" type="#_x0000_t75" stroked="false">
          <v:imagedata r:id="rId1" o:title=""/>
        </v:shape>
      </w:pict>
    </w: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1170280" type="#_x0000_t75" stroked="false">
          <v:imagedata r:id="rId1" o:title=""/>
        </v:shape>
      </w:pict>
    </w:r>
  </w:p>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1170256" type="#_x0000_t75" stroked="false">
          <v:imagedata r:id="rId1" o:titl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1171360" type="#_x0000_t75" stroked="false">
          <v:imagedata r:id="rId1" o:title=""/>
        </v:shape>
      </w:pict>
    </w: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1170232" type="#_x0000_t75" stroked="false">
          <v:imagedata r:id="rId1" o:title=""/>
        </v:shape>
      </w:pict>
    </w: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1170208" type="#_x0000_t75" stroked="false">
          <v:imagedata r:id="rId1" o:title=""/>
        </v:shape>
      </w:pict>
    </w:r>
  </w:p>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1170184" type="#_x0000_t75" stroked="false">
          <v:imagedata r:id="rId1" o:title=""/>
        </v:shape>
      </w:pict>
    </w: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1170160" type="#_x0000_t75" stroked="false">
          <v:imagedata r:id="rId1" o:title=""/>
        </v:shape>
      </w:pict>
    </w:r>
    <w:r>
      <w:rPr/>
      <w:pict>
        <v:shape style="position:absolute;margin-left:55.700001pt;margin-top:751.045593pt;width:29pt;height:11pt;mso-position-horizontal-relative:page;mso-position-vertical-relative:page;z-index:-1170136" type="#_x0000_t202" filled="false" stroked="false">
          <v:textbox inset="0,0,0,0">
            <w:txbxContent>
              <w:p>
                <w:pPr>
                  <w:pStyle w:val="BodyText"/>
                  <w:spacing w:line="200" w:lineRule="exact"/>
                  <w:ind w:left="20" w:right="0"/>
                  <w:jc w:val="left"/>
                </w:pPr>
                <w:r>
                  <w:rPr/>
                  <w:t>不适用</w:t>
                </w:r>
              </w:p>
            </w:txbxContent>
          </v:textbox>
          <w10:wrap type="none"/>
        </v:shape>
      </w:pict>
    </w:r>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1170112" type="#_x0000_t75" stroked="false">
          <v:imagedata r:id="rId1" o:title=""/>
        </v:shape>
      </w:pict>
    </w:r>
  </w:p>
</w:ftr>
</file>

<file path=word/footer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1170088" type="#_x0000_t75" stroked="false">
          <v:imagedata r:id="rId1" o:title=""/>
        </v:shape>
      </w:pict>
    </w:r>
  </w:p>
</w:ftr>
</file>

<file path=word/footer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1170064" type="#_x0000_t75" stroked="false">
          <v:imagedata r:id="rId1" o:title=""/>
        </v:shape>
      </w:pict>
    </w:r>
  </w:p>
</w:ftr>
</file>

<file path=word/footer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1170040" type="#_x0000_t75" stroked="false">
          <v:imagedata r:id="rId1" o:title=""/>
        </v:shape>
      </w:pict>
    </w:r>
  </w:p>
</w:ftr>
</file>

<file path=word/footer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1170016" type="#_x0000_t75" stroked="false">
          <v:imagedata r:id="rId1" o:title=""/>
        </v:shape>
      </w:pict>
    </w:r>
  </w:p>
</w:ftr>
</file>

<file path=word/footer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1169992" type="#_x0000_t75" stroked="false">
          <v:imagedata r:id="rId1" o:titl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1171336" type="#_x0000_t75" stroked="false">
          <v:imagedata r:id="rId1" o:title=""/>
        </v:shape>
      </w:pict>
    </w:r>
    <w:r>
      <w:rPr/>
      <w:pict>
        <v:shape style="position:absolute;margin-left:55.700001pt;margin-top:756.865601pt;width:483.9pt;height:11pt;mso-position-horizontal-relative:page;mso-position-vertical-relative:page;z-index:-1171312" type="#_x0000_t202" filled="false" stroked="false">
          <v:textbox inset="0,0,0,0">
            <w:txbxContent>
              <w:p>
                <w:pPr>
                  <w:pStyle w:val="BodyText"/>
                  <w:spacing w:line="200" w:lineRule="exact"/>
                  <w:ind w:left="20" w:right="0"/>
                  <w:jc w:val="left"/>
                </w:pPr>
                <w:r>
                  <w:rPr>
                    <w:spacing w:val="-2"/>
                  </w:rPr>
                  <w:t>户的需求，为不同的客户群体的不同需求提供高效优质的整体解决方案和专业的售后及维保服务。同时，随着公司首发募集</w:t>
                </w:r>
              </w:p>
            </w:txbxContent>
          </v:textbox>
          <w10:wrap type="none"/>
        </v:shape>
      </w:pict>
    </w:r>
  </w:p>
</w:ftr>
</file>

<file path=word/footer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1169968" type="#_x0000_t75" stroked="false">
          <v:imagedata r:id="rId1" o:title=""/>
        </v:shape>
      </w:pict>
    </w:r>
  </w:p>
</w:ftr>
</file>

<file path=word/footer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1169944" type="#_x0000_t75" stroked="false">
          <v:imagedata r:id="rId1" o:title=""/>
        </v:shape>
      </w:pict>
    </w:r>
  </w:p>
</w:ftr>
</file>

<file path=word/footer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1169920" type="#_x0000_t75" stroked="false">
          <v:imagedata r:id="rId1" o:title=""/>
        </v:shape>
      </w:pict>
    </w:r>
    <w:r>
      <w:rPr/>
      <w:pict>
        <v:shape style="position:absolute;margin-left:55.700001pt;margin-top:693.325623pt;width:29pt;height:11pt;mso-position-horizontal-relative:page;mso-position-vertical-relative:page;z-index:-1169896" type="#_x0000_t202" filled="false" stroked="false">
          <v:textbox inset="0,0,0,0">
            <w:txbxContent>
              <w:p>
                <w:pPr>
                  <w:pStyle w:val="BodyText"/>
                  <w:spacing w:line="200" w:lineRule="exact"/>
                  <w:ind w:left="20" w:right="0"/>
                  <w:jc w:val="left"/>
                </w:pPr>
                <w:r>
                  <w:rPr/>
                  <w:t>不适用</w:t>
                </w:r>
              </w:p>
            </w:txbxContent>
          </v:textbox>
          <w10:wrap type="none"/>
        </v:shape>
      </w:pict>
    </w:r>
  </w:p>
</w:ftr>
</file>

<file path=word/footer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1169872" type="#_x0000_t75" stroked="false">
          <v:imagedata r:id="rId1" o:title=""/>
        </v:shape>
      </w:pict>
    </w:r>
  </w:p>
</w:ftr>
</file>

<file path=word/footer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1169848" type="#_x0000_t75" stroked="false">
          <v:imagedata r:id="rId1" o:title=""/>
        </v:shape>
      </w:pict>
    </w:r>
  </w:p>
</w:ftr>
</file>

<file path=word/footer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1169824" type="#_x0000_t75" stroked="false">
          <v:imagedata r:id="rId1" o:titl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1171288" type="#_x0000_t75" stroked="false">
          <v:imagedata r:id="rId1" o:titl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1171264" type="#_x0000_t75" stroked="false">
          <v:imagedata r:id="rId1" o:titl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1171240" type="#_x0000_t75" stroked="false">
          <v:imagedata r:id="rId1" o:titl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1171216" type="#_x0000_t75" stroked="false">
          <v:imagedata r:id="rId1" o:titl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59.299999pt;margin-top:38.365608pt;width:92pt;height:11pt;mso-position-horizontal-relative:page;mso-position-vertical-relative:page;z-index:-1171480" type="#_x0000_t202" filled="false" stroked="false">
          <v:textbox inset="0,0,0,0">
            <w:txbxContent>
              <w:p>
                <w:pPr>
                  <w:pStyle w:val="BodyText"/>
                  <w:spacing w:line="200" w:lineRule="exact"/>
                  <w:ind w:left="20" w:right="0"/>
                  <w:jc w:val="left"/>
                </w:pPr>
                <w:r>
                  <w:rPr/>
                  <w:t>浩云科技股份有限公司</w:t>
                </w:r>
              </w:p>
            </w:txbxContent>
          </v:textbox>
          <w10:wrap type="none"/>
        </v:shape>
      </w:pict>
    </w:r>
    <w:r>
      <w:rPr/>
      <w:pict>
        <v:shape style="position:absolute;margin-left:450.859985pt;margin-top:38.365608pt;width:85.25pt;height:11.5pt;mso-position-horizontal-relative:page;mso-position-vertical-relative:page;z-index:-1171456" type="#_x0000_t202" filled="false" stroked="false">
          <v:textbox inset="0,0,0,0">
            <w:txbxContent>
              <w:p>
                <w:pPr>
                  <w:pStyle w:val="BodyText"/>
                  <w:spacing w:line="214" w:lineRule="exact"/>
                  <w:ind w:left="20" w:right="0"/>
                  <w:jc w:val="left"/>
                </w:pP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59"/>
      <w:ind w:left="1133"/>
    </w:pPr>
    <w:rPr>
      <w:rFonts w:ascii="宋体" w:hAnsi="宋体" w:eastAsia="宋体"/>
      <w:b/>
      <w:bCs/>
      <w:sz w:val="24"/>
      <w:szCs w:val="24"/>
    </w:rPr>
  </w:style>
  <w:style w:styleId="BodyText" w:type="paragraph">
    <w:name w:val="Body Text"/>
    <w:basedOn w:val="Normal"/>
    <w:uiPriority w:val="1"/>
    <w:qFormat/>
    <w:pPr>
      <w:ind w:left="1134"/>
    </w:pPr>
    <w:rPr>
      <w:rFonts w:ascii="宋体" w:hAnsi="宋体" w:eastAsia="宋体"/>
      <w:sz w:val="18"/>
      <w:szCs w:val="18"/>
    </w:rPr>
  </w:style>
  <w:style w:styleId="Heading1" w:type="paragraph">
    <w:name w:val="Heading 1"/>
    <w:basedOn w:val="Normal"/>
    <w:uiPriority w:val="1"/>
    <w:qFormat/>
    <w:pPr>
      <w:spacing w:before="1"/>
      <w:ind w:left="4090"/>
      <w:outlineLvl w:val="1"/>
    </w:pPr>
    <w:rPr>
      <w:rFonts w:ascii="宋体" w:hAnsi="宋体" w:eastAsia="宋体"/>
      <w:b/>
      <w:bCs/>
      <w:sz w:val="32"/>
      <w:szCs w:val="32"/>
    </w:rPr>
  </w:style>
  <w:style w:styleId="Heading2" w:type="paragraph">
    <w:name w:val="Heading 2"/>
    <w:basedOn w:val="Normal"/>
    <w:uiPriority w:val="1"/>
    <w:qFormat/>
    <w:pPr>
      <w:ind w:left="1133"/>
      <w:outlineLvl w:val="2"/>
    </w:pPr>
    <w:rPr>
      <w:rFonts w:ascii="宋体" w:hAnsi="宋体" w:eastAsia="宋体"/>
      <w:b/>
      <w:bCs/>
      <w:sz w:val="24"/>
      <w:szCs w:val="24"/>
    </w:rPr>
  </w:style>
  <w:style w:styleId="Heading3" w:type="paragraph">
    <w:name w:val="Heading 3"/>
    <w:basedOn w:val="Normal"/>
    <w:uiPriority w:val="1"/>
    <w:qFormat/>
    <w:pPr>
      <w:ind w:left="1134"/>
      <w:outlineLvl w:val="3"/>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png"/><Relationship Id="rId8" Type="http://schemas.openxmlformats.org/officeDocument/2006/relationships/footer" Target="footer2.xml"/><Relationship Id="rId9" Type="http://schemas.openxmlformats.org/officeDocument/2006/relationships/hyperlink" Target="http://www.haoyuntech.com/" TargetMode="External"/><Relationship Id="rId10" Type="http://schemas.openxmlformats.org/officeDocument/2006/relationships/hyperlink" Target="mailto:zqb@haoyuntech.com" TargetMode="External"/><Relationship Id="rId11" Type="http://schemas.openxmlformats.org/officeDocument/2006/relationships/footer" Target="footer3.xml"/><Relationship Id="rId12" Type="http://schemas.openxmlformats.org/officeDocument/2006/relationships/footer" Target="footer4.xml"/><Relationship Id="rId13" Type="http://schemas.openxmlformats.org/officeDocument/2006/relationships/footer" Target="footer5.xml"/><Relationship Id="rId14" Type="http://schemas.openxmlformats.org/officeDocument/2006/relationships/footer" Target="footer6.xml"/><Relationship Id="rId15" Type="http://schemas.openxmlformats.org/officeDocument/2006/relationships/footer" Target="footer7.xml"/><Relationship Id="rId16" Type="http://schemas.openxmlformats.org/officeDocument/2006/relationships/footer" Target="footer8.xml"/><Relationship Id="rId17" Type="http://schemas.openxmlformats.org/officeDocument/2006/relationships/footer" Target="footer9.xml"/><Relationship Id="rId18" Type="http://schemas.openxmlformats.org/officeDocument/2006/relationships/hyperlink" Target="http://w/" TargetMode="External"/><Relationship Id="rId19" Type="http://schemas.openxmlformats.org/officeDocument/2006/relationships/footer" Target="footer10.xml"/><Relationship Id="rId20" Type="http://schemas.openxmlformats.org/officeDocument/2006/relationships/footer" Target="footer11.xml"/><Relationship Id="rId21" Type="http://schemas.openxmlformats.org/officeDocument/2006/relationships/footer" Target="footer12.xml"/><Relationship Id="rId22" Type="http://schemas.openxmlformats.org/officeDocument/2006/relationships/footer" Target="footer13.xml"/><Relationship Id="rId23" Type="http://schemas.openxmlformats.org/officeDocument/2006/relationships/footer" Target="footer14.xml"/><Relationship Id="rId24" Type="http://schemas.openxmlformats.org/officeDocument/2006/relationships/footer" Target="footer15.xml"/><Relationship Id="rId25" Type="http://schemas.openxmlformats.org/officeDocument/2006/relationships/hyperlink" Target="http://www.cninfo.com.cn/" TargetMode="External"/><Relationship Id="rId26" Type="http://schemas.openxmlformats.org/officeDocument/2006/relationships/footer" Target="footer16.xml"/><Relationship Id="rId27" Type="http://schemas.openxmlformats.org/officeDocument/2006/relationships/footer" Target="footer17.xml"/><Relationship Id="rId28" Type="http://schemas.openxmlformats.org/officeDocument/2006/relationships/hyperlink" Target="http://www/" TargetMode="External"/><Relationship Id="rId29" Type="http://schemas.openxmlformats.org/officeDocument/2006/relationships/footer" Target="footer18.xml"/><Relationship Id="rId30" Type="http://schemas.openxmlformats.org/officeDocument/2006/relationships/footer" Target="footer19.xml"/><Relationship Id="rId31" Type="http://schemas.openxmlformats.org/officeDocument/2006/relationships/footer" Target="footer20.xml"/><Relationship Id="rId32" Type="http://schemas.openxmlformats.org/officeDocument/2006/relationships/footer" Target="footer21.xml"/><Relationship Id="rId33" Type="http://schemas.openxmlformats.org/officeDocument/2006/relationships/footer" Target="footer22.xml"/><Relationship Id="rId34" Type="http://schemas.openxmlformats.org/officeDocument/2006/relationships/footer" Target="footer23.xml"/><Relationship Id="rId35" Type="http://schemas.openxmlformats.org/officeDocument/2006/relationships/footer" Target="footer24.xml"/><Relationship Id="rId36" Type="http://schemas.openxmlformats.org/officeDocument/2006/relationships/footer" Target="footer25.xml"/><Relationship Id="rId37" Type="http://schemas.openxmlformats.org/officeDocument/2006/relationships/footer" Target="footer26.xml"/><Relationship Id="rId38" Type="http://schemas.openxmlformats.org/officeDocument/2006/relationships/footer" Target="footer27.xml"/><Relationship Id="rId39" Type="http://schemas.openxmlformats.org/officeDocument/2006/relationships/image" Target="media/image3.jpeg"/><Relationship Id="rId40" Type="http://schemas.openxmlformats.org/officeDocument/2006/relationships/footer" Target="footer28.xml"/><Relationship Id="rId41" Type="http://schemas.openxmlformats.org/officeDocument/2006/relationships/footer" Target="footer29.xml"/><Relationship Id="rId42" Type="http://schemas.openxmlformats.org/officeDocument/2006/relationships/footer" Target="footer30.xml"/><Relationship Id="rId43" Type="http://schemas.openxmlformats.org/officeDocument/2006/relationships/footer" Target="footer31.xml"/><Relationship Id="rId44" Type="http://schemas.openxmlformats.org/officeDocument/2006/relationships/footer" Target="footer32.xml"/><Relationship Id="rId45" Type="http://schemas.openxmlformats.org/officeDocument/2006/relationships/footer" Target="footer33.xml"/><Relationship Id="rId46" Type="http://schemas.openxmlformats.org/officeDocument/2006/relationships/footer" Target="footer34.xml"/><Relationship Id="rId47" Type="http://schemas.openxmlformats.org/officeDocument/2006/relationships/footer" Target="footer35.xml"/><Relationship Id="rId48" Type="http://schemas.openxmlformats.org/officeDocument/2006/relationships/footer" Target="footer36.xml"/><Relationship Id="rId49" Type="http://schemas.openxmlformats.org/officeDocument/2006/relationships/footer" Target="footer37.xml"/><Relationship Id="rId50" Type="http://schemas.openxmlformats.org/officeDocument/2006/relationships/footer" Target="footer38.xml"/><Relationship Id="rId51" Type="http://schemas.openxmlformats.org/officeDocument/2006/relationships/footer" Target="footer39.xml"/><Relationship Id="rId52" Type="http://schemas.openxmlformats.org/officeDocument/2006/relationships/footer" Target="footer40.xml"/><Relationship Id="rId53" Type="http://schemas.openxmlformats.org/officeDocument/2006/relationships/footer" Target="footer41.xml"/><Relationship Id="rId54" Type="http://schemas.openxmlformats.org/officeDocument/2006/relationships/footer" Target="footer42.xml"/><Relationship Id="rId55" Type="http://schemas.openxmlformats.org/officeDocument/2006/relationships/footer" Target="footer43.xml"/><Relationship Id="rId56" Type="http://schemas.openxmlformats.org/officeDocument/2006/relationships/footer" Target="footer44.xml"/><Relationship Id="rId57" Type="http://schemas.openxmlformats.org/officeDocument/2006/relationships/footer" Target="footer45.xml"/><Relationship Id="rId58" Type="http://schemas.openxmlformats.org/officeDocument/2006/relationships/footer" Target="footer46.xml"/><Relationship Id="rId59" Type="http://schemas.openxmlformats.org/officeDocument/2006/relationships/footer" Target="footer47.xml"/><Relationship Id="rId60" Type="http://schemas.openxmlformats.org/officeDocument/2006/relationships/footer" Target="footer48.xml"/><Relationship Id="rId61" Type="http://schemas.openxmlformats.org/officeDocument/2006/relationships/footer" Target="footer49.xml"/><Relationship Id="rId62" Type="http://schemas.openxmlformats.org/officeDocument/2006/relationships/footer" Target="footer50.xml"/><Relationship Id="rId63" Type="http://schemas.openxmlformats.org/officeDocument/2006/relationships/footer" Target="footer51.xml"/><Relationship Id="rId64" Type="http://schemas.openxmlformats.org/officeDocument/2006/relationships/footer" Target="footer52.xml"/><Relationship Id="rId65" Type="http://schemas.openxmlformats.org/officeDocument/2006/relationships/footer" Target="footer53.xml"/><Relationship Id="rId66" Type="http://schemas.openxmlformats.org/officeDocument/2006/relationships/footer" Target="footer54.xml"/><Relationship Id="rId67" Type="http://schemas.openxmlformats.org/officeDocument/2006/relationships/footer" Target="footer55.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10.xml.rels><?xml version="1.0" encoding="UTF-8" standalone="yes"?>
<Relationships xmlns="http://schemas.openxmlformats.org/package/2006/relationships"><Relationship Id="rId1" Type="http://schemas.openxmlformats.org/officeDocument/2006/relationships/image" Target="media/image1.png"/></Relationships>

</file>

<file path=word/_rels/footer11.xml.rels><?xml version="1.0" encoding="UTF-8" standalone="yes"?>
<Relationships xmlns="http://schemas.openxmlformats.org/package/2006/relationships"><Relationship Id="rId1" Type="http://schemas.openxmlformats.org/officeDocument/2006/relationships/image" Target="media/image1.png"/></Relationships>

</file>

<file path=word/_rels/footer12.xml.rels><?xml version="1.0" encoding="UTF-8" standalone="yes"?>
<Relationships xmlns="http://schemas.openxmlformats.org/package/2006/relationships"><Relationship Id="rId1" Type="http://schemas.openxmlformats.org/officeDocument/2006/relationships/image" Target="media/image1.png"/></Relationships>

</file>

<file path=word/_rels/footer13.xml.rels><?xml version="1.0" encoding="UTF-8" standalone="yes"?>
<Relationships xmlns="http://schemas.openxmlformats.org/package/2006/relationships"><Relationship Id="rId1" Type="http://schemas.openxmlformats.org/officeDocument/2006/relationships/image" Target="media/image1.png"/></Relationships>

</file>

<file path=word/_rels/footer14.xml.rels><?xml version="1.0" encoding="UTF-8" standalone="yes"?>
<Relationships xmlns="http://schemas.openxmlformats.org/package/2006/relationships"><Relationship Id="rId1" Type="http://schemas.openxmlformats.org/officeDocument/2006/relationships/image" Target="media/image1.png"/></Relationships>

</file>

<file path=word/_rels/footer15.xml.rels><?xml version="1.0" encoding="UTF-8" standalone="yes"?>
<Relationships xmlns="http://schemas.openxmlformats.org/package/2006/relationships"><Relationship Id="rId1" Type="http://schemas.openxmlformats.org/officeDocument/2006/relationships/image" Target="media/image1.png"/></Relationships>

</file>

<file path=word/_rels/footer16.xml.rels><?xml version="1.0" encoding="UTF-8" standalone="yes"?>
<Relationships xmlns="http://schemas.openxmlformats.org/package/2006/relationships"><Relationship Id="rId1" Type="http://schemas.openxmlformats.org/officeDocument/2006/relationships/image" Target="media/image1.png"/></Relationships>

</file>

<file path=word/_rels/footer17.xml.rels><?xml version="1.0" encoding="UTF-8" standalone="yes"?>
<Relationships xmlns="http://schemas.openxmlformats.org/package/2006/relationships"><Relationship Id="rId1" Type="http://schemas.openxmlformats.org/officeDocument/2006/relationships/image" Target="media/image1.png"/></Relationships>

</file>

<file path=word/_rels/footer18.xml.rels><?xml version="1.0" encoding="UTF-8" standalone="yes"?>
<Relationships xmlns="http://schemas.openxmlformats.org/package/2006/relationships"><Relationship Id="rId1" Type="http://schemas.openxmlformats.org/officeDocument/2006/relationships/image" Target="media/image1.png"/></Relationships>

</file>

<file path=word/_rels/footer19.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20.xml.rels><?xml version="1.0" encoding="UTF-8" standalone="yes"?>
<Relationships xmlns="http://schemas.openxmlformats.org/package/2006/relationships"><Relationship Id="rId1" Type="http://schemas.openxmlformats.org/officeDocument/2006/relationships/image" Target="media/image1.png"/></Relationships>

</file>

<file path=word/_rels/footer21.xml.rels><?xml version="1.0" encoding="UTF-8" standalone="yes"?>
<Relationships xmlns="http://schemas.openxmlformats.org/package/2006/relationships"><Relationship Id="rId1" Type="http://schemas.openxmlformats.org/officeDocument/2006/relationships/image" Target="media/image1.png"/></Relationships>

</file>

<file path=word/_rels/footer22.xml.rels><?xml version="1.0" encoding="UTF-8" standalone="yes"?>
<Relationships xmlns="http://schemas.openxmlformats.org/package/2006/relationships"><Relationship Id="rId1" Type="http://schemas.openxmlformats.org/officeDocument/2006/relationships/image" Target="media/image1.png"/></Relationships>

</file>

<file path=word/_rels/footer23.xml.rels><?xml version="1.0" encoding="UTF-8" standalone="yes"?>
<Relationships xmlns="http://schemas.openxmlformats.org/package/2006/relationships"><Relationship Id="rId1" Type="http://schemas.openxmlformats.org/officeDocument/2006/relationships/image" Target="media/image1.png"/></Relationships>

</file>

<file path=word/_rels/footer24.xml.rels><?xml version="1.0" encoding="UTF-8" standalone="yes"?>
<Relationships xmlns="http://schemas.openxmlformats.org/package/2006/relationships"><Relationship Id="rId1" Type="http://schemas.openxmlformats.org/officeDocument/2006/relationships/image" Target="media/image1.png"/></Relationships>

</file>

<file path=word/_rels/footer25.xml.rels><?xml version="1.0" encoding="UTF-8" standalone="yes"?>
<Relationships xmlns="http://schemas.openxmlformats.org/package/2006/relationships"><Relationship Id="rId1" Type="http://schemas.openxmlformats.org/officeDocument/2006/relationships/image" Target="media/image1.png"/></Relationships>

</file>

<file path=word/_rels/footer26.xml.rels><?xml version="1.0" encoding="UTF-8" standalone="yes"?>
<Relationships xmlns="http://schemas.openxmlformats.org/package/2006/relationships"><Relationship Id="rId1" Type="http://schemas.openxmlformats.org/officeDocument/2006/relationships/image" Target="media/image1.png"/></Relationships>

</file>

<file path=word/_rels/footer27.xml.rels><?xml version="1.0" encoding="UTF-8" standalone="yes"?>
<Relationships xmlns="http://schemas.openxmlformats.org/package/2006/relationships"><Relationship Id="rId1" Type="http://schemas.openxmlformats.org/officeDocument/2006/relationships/image" Target="media/image1.png"/></Relationships>

</file>

<file path=word/_rels/footer28.xml.rels><?xml version="1.0" encoding="UTF-8" standalone="yes"?>
<Relationships xmlns="http://schemas.openxmlformats.org/package/2006/relationships"><Relationship Id="rId1" Type="http://schemas.openxmlformats.org/officeDocument/2006/relationships/image" Target="media/image1.png"/></Relationships>

</file>

<file path=word/_rels/footer29.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er30.xml.rels><?xml version="1.0" encoding="UTF-8" standalone="yes"?>
<Relationships xmlns="http://schemas.openxmlformats.org/package/2006/relationships"><Relationship Id="rId1" Type="http://schemas.openxmlformats.org/officeDocument/2006/relationships/image" Target="media/image1.png"/></Relationships>

</file>

<file path=word/_rels/footer31.xml.rels><?xml version="1.0" encoding="UTF-8" standalone="yes"?>
<Relationships xmlns="http://schemas.openxmlformats.org/package/2006/relationships"><Relationship Id="rId1" Type="http://schemas.openxmlformats.org/officeDocument/2006/relationships/image" Target="media/image1.png"/></Relationships>

</file>

<file path=word/_rels/footer32.xml.rels><?xml version="1.0" encoding="UTF-8" standalone="yes"?>
<Relationships xmlns="http://schemas.openxmlformats.org/package/2006/relationships"><Relationship Id="rId1" Type="http://schemas.openxmlformats.org/officeDocument/2006/relationships/image" Target="media/image1.png"/></Relationships>

</file>

<file path=word/_rels/footer33.xml.rels><?xml version="1.0" encoding="UTF-8" standalone="yes"?>
<Relationships xmlns="http://schemas.openxmlformats.org/package/2006/relationships"><Relationship Id="rId1" Type="http://schemas.openxmlformats.org/officeDocument/2006/relationships/image" Target="media/image1.png"/></Relationships>

</file>

<file path=word/_rels/footer34.xml.rels><?xml version="1.0" encoding="UTF-8" standalone="yes"?>
<Relationships xmlns="http://schemas.openxmlformats.org/package/2006/relationships"><Relationship Id="rId1" Type="http://schemas.openxmlformats.org/officeDocument/2006/relationships/image" Target="media/image1.png"/></Relationships>

</file>

<file path=word/_rels/footer35.xml.rels><?xml version="1.0" encoding="UTF-8" standalone="yes"?>
<Relationships xmlns="http://schemas.openxmlformats.org/package/2006/relationships"><Relationship Id="rId1" Type="http://schemas.openxmlformats.org/officeDocument/2006/relationships/image" Target="media/image1.png"/></Relationships>

</file>

<file path=word/_rels/footer36.xml.rels><?xml version="1.0" encoding="UTF-8" standalone="yes"?>
<Relationships xmlns="http://schemas.openxmlformats.org/package/2006/relationships"><Relationship Id="rId1" Type="http://schemas.openxmlformats.org/officeDocument/2006/relationships/image" Target="media/image1.png"/></Relationships>

</file>

<file path=word/_rels/footer37.xml.rels><?xml version="1.0" encoding="UTF-8" standalone="yes"?>
<Relationships xmlns="http://schemas.openxmlformats.org/package/2006/relationships"><Relationship Id="rId1" Type="http://schemas.openxmlformats.org/officeDocument/2006/relationships/image" Target="media/image1.png"/></Relationships>

</file>

<file path=word/_rels/footer38.xml.rels><?xml version="1.0" encoding="UTF-8" standalone="yes"?>
<Relationships xmlns="http://schemas.openxmlformats.org/package/2006/relationships"><Relationship Id="rId1" Type="http://schemas.openxmlformats.org/officeDocument/2006/relationships/image" Target="media/image1.png"/></Relationships>

</file>

<file path=word/_rels/footer39.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_rels/footer40.xml.rels><?xml version="1.0" encoding="UTF-8" standalone="yes"?>
<Relationships xmlns="http://schemas.openxmlformats.org/package/2006/relationships"><Relationship Id="rId1" Type="http://schemas.openxmlformats.org/officeDocument/2006/relationships/image" Target="media/image1.png"/></Relationships>

</file>

<file path=word/_rels/footer41.xml.rels><?xml version="1.0" encoding="UTF-8" standalone="yes"?>
<Relationships xmlns="http://schemas.openxmlformats.org/package/2006/relationships"><Relationship Id="rId1" Type="http://schemas.openxmlformats.org/officeDocument/2006/relationships/image" Target="media/image1.png"/></Relationships>

</file>

<file path=word/_rels/footer42.xml.rels><?xml version="1.0" encoding="UTF-8" standalone="yes"?>
<Relationships xmlns="http://schemas.openxmlformats.org/package/2006/relationships"><Relationship Id="rId1" Type="http://schemas.openxmlformats.org/officeDocument/2006/relationships/image" Target="media/image1.png"/></Relationships>

</file>

<file path=word/_rels/footer43.xml.rels><?xml version="1.0" encoding="UTF-8" standalone="yes"?>
<Relationships xmlns="http://schemas.openxmlformats.org/package/2006/relationships"><Relationship Id="rId1" Type="http://schemas.openxmlformats.org/officeDocument/2006/relationships/image" Target="media/image1.png"/></Relationships>

</file>

<file path=word/_rels/footer44.xml.rels><?xml version="1.0" encoding="UTF-8" standalone="yes"?>
<Relationships xmlns="http://schemas.openxmlformats.org/package/2006/relationships"><Relationship Id="rId1" Type="http://schemas.openxmlformats.org/officeDocument/2006/relationships/image" Target="media/image1.png"/></Relationships>

</file>

<file path=word/_rels/footer45.xml.rels><?xml version="1.0" encoding="UTF-8" standalone="yes"?>
<Relationships xmlns="http://schemas.openxmlformats.org/package/2006/relationships"><Relationship Id="rId1" Type="http://schemas.openxmlformats.org/officeDocument/2006/relationships/image" Target="media/image1.png"/></Relationships>

</file>

<file path=word/_rels/footer46.xml.rels><?xml version="1.0" encoding="UTF-8" standalone="yes"?>
<Relationships xmlns="http://schemas.openxmlformats.org/package/2006/relationships"><Relationship Id="rId1" Type="http://schemas.openxmlformats.org/officeDocument/2006/relationships/image" Target="media/image1.png"/></Relationships>

</file>

<file path=word/_rels/footer47.xml.rels><?xml version="1.0" encoding="UTF-8" standalone="yes"?>
<Relationships xmlns="http://schemas.openxmlformats.org/package/2006/relationships"><Relationship Id="rId1" Type="http://schemas.openxmlformats.org/officeDocument/2006/relationships/image" Target="media/image1.png"/></Relationships>

</file>

<file path=word/_rels/footer48.xml.rels><?xml version="1.0" encoding="UTF-8" standalone="yes"?>
<Relationships xmlns="http://schemas.openxmlformats.org/package/2006/relationships"><Relationship Id="rId1" Type="http://schemas.openxmlformats.org/officeDocument/2006/relationships/image" Target="media/image1.png"/></Relationships>

</file>

<file path=word/_rels/footer49.xml.rels><?xml version="1.0" encoding="UTF-8" standalone="yes"?>
<Relationships xmlns="http://schemas.openxmlformats.org/package/2006/relationships"><Relationship Id="rId1" Type="http://schemas.openxmlformats.org/officeDocument/2006/relationships/image" Target="media/image1.png"/></Relationships>

</file>

<file path=word/_rels/footer5.xml.rels><?xml version="1.0" encoding="UTF-8" standalone="yes"?>
<Relationships xmlns="http://schemas.openxmlformats.org/package/2006/relationships"><Relationship Id="rId1" Type="http://schemas.openxmlformats.org/officeDocument/2006/relationships/image" Target="media/image1.png"/></Relationships>

</file>

<file path=word/_rels/footer50.xml.rels><?xml version="1.0" encoding="UTF-8" standalone="yes"?>
<Relationships xmlns="http://schemas.openxmlformats.org/package/2006/relationships"><Relationship Id="rId1" Type="http://schemas.openxmlformats.org/officeDocument/2006/relationships/image" Target="media/image1.png"/></Relationships>

</file>

<file path=word/_rels/footer51.xml.rels><?xml version="1.0" encoding="UTF-8" standalone="yes"?>
<Relationships xmlns="http://schemas.openxmlformats.org/package/2006/relationships"><Relationship Id="rId1" Type="http://schemas.openxmlformats.org/officeDocument/2006/relationships/image" Target="media/image1.png"/></Relationships>

</file>

<file path=word/_rels/footer52.xml.rels><?xml version="1.0" encoding="UTF-8" standalone="yes"?>
<Relationships xmlns="http://schemas.openxmlformats.org/package/2006/relationships"><Relationship Id="rId1" Type="http://schemas.openxmlformats.org/officeDocument/2006/relationships/image" Target="media/image1.png"/></Relationships>

</file>

<file path=word/_rels/footer53.xml.rels><?xml version="1.0" encoding="UTF-8" standalone="yes"?>
<Relationships xmlns="http://schemas.openxmlformats.org/package/2006/relationships"><Relationship Id="rId1" Type="http://schemas.openxmlformats.org/officeDocument/2006/relationships/image" Target="media/image1.png"/></Relationships>

</file>

<file path=word/_rels/footer54.xml.rels><?xml version="1.0" encoding="UTF-8" standalone="yes"?>
<Relationships xmlns="http://schemas.openxmlformats.org/package/2006/relationships"><Relationship Id="rId1" Type="http://schemas.openxmlformats.org/officeDocument/2006/relationships/image" Target="media/image1.png"/></Relationships>

</file>

<file path=word/_rels/footer55.xml.rels><?xml version="1.0" encoding="UTF-8" standalone="yes"?>
<Relationships xmlns="http://schemas.openxmlformats.org/package/2006/relationships"><Relationship Id="rId1" Type="http://schemas.openxmlformats.org/officeDocument/2006/relationships/image" Target="media/image1.png"/></Relationships>

</file>

<file path=word/_rels/footer6.xml.rels><?xml version="1.0" encoding="UTF-8" standalone="yes"?>
<Relationships xmlns="http://schemas.openxmlformats.org/package/2006/relationships"><Relationship Id="rId1" Type="http://schemas.openxmlformats.org/officeDocument/2006/relationships/image" Target="media/image1.png"/></Relationships>

</file>

<file path=word/_rels/footer7.xml.rels><?xml version="1.0" encoding="UTF-8" standalone="yes"?>
<Relationships xmlns="http://schemas.openxmlformats.org/package/2006/relationships"><Relationship Id="rId1" Type="http://schemas.openxmlformats.org/officeDocument/2006/relationships/image" Target="media/image1.png"/></Relationships>

</file>

<file path=word/_rels/footer8.xml.rels><?xml version="1.0" encoding="UTF-8" standalone="yes"?>
<Relationships xmlns="http://schemas.openxmlformats.org/package/2006/relationships"><Relationship Id="rId1" Type="http://schemas.openxmlformats.org/officeDocument/2006/relationships/image" Target="media/image1.png"/></Relationships>

</file>

<file path=word/_rels/footer9.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jyq</dc:creator>
  <dcterms:created xsi:type="dcterms:W3CDTF">2020-05-03T00:49:01Z</dcterms:created>
  <dcterms:modified xsi:type="dcterms:W3CDTF">2020-05-03T00:49:01Z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2018-04-17T00:00:00Z</vt:filetime>
  </property>
  <property fmtid="{D5CDD505-2E9C-101B-9397-08002B2CF9AE}" pid="3" name="Creator">
    <vt:lpwstr>Microsoft® Office Word 2007</vt:lpwstr>
  </property>
  <property fmtid="{D5CDD505-2E9C-101B-9397-08002B2CF9AE}" pid="4" name="LastSaved">
    <vt:filetime>2020-05-02T00:00:00Z</vt:filetime>
  </property>
</Properties>
</file>