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87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drawing>
          <wp:inline distT="0" distB="0" distL="0" distR="0">
            <wp:extent cx="1410334" cy="5524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0334" cy="552450"/>
                    </a:xfrm>
                    <a:prstGeom prst="rect">
                      <a:avLst/>
                    </a:prstGeom>
                  </pic:spPr>
                </pic:pic>
              </a:graphicData>
            </a:graphic>
          </wp:inline>
        </w:drawing>
      </w:r>
      <w:r>
        <w:rPr>
          <w:rFonts w:ascii="Times New Roman" w:hAnsi="Times New Roman" w:cs="Times New Roman" w:eastAsia="Times New Roman" w:hint="default"/>
          <w:position w:val="-16"/>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浩云科技股份有限公司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0" w:right="977" w:firstLine="0"/>
        <w:jc w:val="center"/>
        <w:rPr>
          <w:rFonts w:ascii="Times New Roman" w:hAnsi="Times New Roman" w:cs="Times New Roman" w:eastAsia="Times New Roman" w:hint="default"/>
          <w:sz w:val="22"/>
          <w:szCs w:val="22"/>
        </w:rPr>
      </w:pPr>
      <w:r>
        <w:rPr>
          <w:rFonts w:ascii="Times New Roman"/>
          <w:b/>
          <w:sz w:val="22"/>
        </w:rPr>
        <w:t>2019-032</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8"/>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30"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36"/>
          <w:w w:val="95"/>
          <w:sz w:val="28"/>
          <w:szCs w:val="28"/>
        </w:rPr>
        <w:t> </w:t>
      </w:r>
      <w:r>
        <w:rPr>
          <w:rFonts w:ascii="宋体" w:hAnsi="宋体" w:cs="宋体" w:eastAsia="宋体" w:hint="default"/>
          <w:b/>
          <w:bCs/>
          <w:spacing w:val="36"/>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公司负责人雷洪文、主管会计工作负责人王汉晖及会计机构负责人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简玉琴声明：保证年度报告中财务报告的真实、准确、完整。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本报告中涉及的未来发展规划及事项的陈述，属于计划性事项，不构成公</w:t>
      </w:r>
      <w:r>
        <w:rPr>
          <w:rFonts w:ascii="宋体" w:hAnsi="宋体" w:cs="宋体" w:eastAsia="宋体" w:hint="default"/>
          <w:spacing w:val="3"/>
          <w:sz w:val="28"/>
          <w:szCs w:val="28"/>
        </w:rPr>
      </w:r>
    </w:p>
    <w:p>
      <w:pPr>
        <w:spacing w:line="386" w:lineRule="auto" w:before="0"/>
        <w:ind w:left="154" w:right="1133" w:firstLine="0"/>
        <w:jc w:val="both"/>
        <w:rPr>
          <w:rFonts w:ascii="宋体" w:hAnsi="宋体" w:cs="宋体" w:eastAsia="宋体" w:hint="default"/>
          <w:sz w:val="28"/>
          <w:szCs w:val="28"/>
        </w:rPr>
      </w:pPr>
      <w:r>
        <w:rPr>
          <w:rFonts w:ascii="宋体" w:hAnsi="宋体" w:cs="宋体" w:eastAsia="宋体" w:hint="default"/>
          <w:b/>
          <w:bCs/>
          <w:spacing w:val="-1"/>
          <w:w w:val="95"/>
          <w:sz w:val="28"/>
          <w:szCs w:val="28"/>
        </w:rPr>
        <w:t>司对投资者的实质承诺，请投资者注意投资风险。公司在本报告第四节</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经营情</w:t>
      </w:r>
      <w:r>
        <w:rPr>
          <w:rFonts w:ascii="宋体" w:hAnsi="宋体" w:cs="宋体" w:eastAsia="宋体" w:hint="default"/>
          <w:b/>
          <w:bCs/>
          <w:spacing w:val="34"/>
          <w:w w:val="95"/>
          <w:sz w:val="28"/>
          <w:szCs w:val="28"/>
        </w:rPr>
        <w:t> </w:t>
      </w:r>
      <w:r>
        <w:rPr>
          <w:rFonts w:ascii="宋体" w:hAnsi="宋体" w:cs="宋体" w:eastAsia="宋体" w:hint="default"/>
          <w:b/>
          <w:bCs/>
          <w:spacing w:val="7"/>
          <w:w w:val="95"/>
          <w:sz w:val="28"/>
          <w:szCs w:val="28"/>
        </w:rPr>
        <w:t>况讨论与分析</w:t>
      </w:r>
      <w:r>
        <w:rPr>
          <w:rFonts w:ascii="Times New Roman" w:hAnsi="Times New Roman" w:cs="Times New Roman" w:eastAsia="Times New Roman" w:hint="default"/>
          <w:b/>
          <w:bCs/>
          <w:spacing w:val="7"/>
          <w:w w:val="95"/>
          <w:sz w:val="28"/>
          <w:szCs w:val="28"/>
        </w:rPr>
        <w:t>”</w:t>
      </w:r>
      <w:r>
        <w:rPr>
          <w:rFonts w:ascii="宋体" w:hAnsi="宋体" w:cs="宋体" w:eastAsia="宋体" w:hint="default"/>
          <w:b/>
          <w:bCs/>
          <w:spacing w:val="7"/>
          <w:w w:val="95"/>
          <w:sz w:val="28"/>
          <w:szCs w:val="28"/>
        </w:rPr>
        <w:t>中公司未来发展的展望部分描述了公司未来经营中可能面临的</w:t>
      </w:r>
      <w:r>
        <w:rPr>
          <w:rFonts w:ascii="宋体" w:hAnsi="宋体" w:cs="宋体" w:eastAsia="宋体" w:hint="default"/>
          <w:b/>
          <w:bCs/>
          <w:spacing w:val="25"/>
          <w:w w:val="95"/>
          <w:sz w:val="28"/>
          <w:szCs w:val="28"/>
        </w:rPr>
        <w:t> </w:t>
      </w:r>
      <w:r>
        <w:rPr>
          <w:rFonts w:ascii="宋体" w:hAnsi="宋体" w:cs="宋体" w:eastAsia="宋体" w:hint="default"/>
          <w:b/>
          <w:bCs/>
          <w:spacing w:val="25"/>
          <w:w w:val="95"/>
          <w:sz w:val="28"/>
          <w:szCs w:val="28"/>
        </w:rPr>
      </w:r>
      <w:r>
        <w:rPr>
          <w:rFonts w:ascii="宋体" w:hAnsi="宋体" w:cs="宋体" w:eastAsia="宋体" w:hint="default"/>
          <w:b/>
          <w:bCs/>
          <w:sz w:val="28"/>
          <w:szCs w:val="28"/>
        </w:rPr>
        <w:t>风险以及</w:t>
      </w:r>
      <w:r>
        <w:rPr>
          <w:rFonts w:ascii="宋体" w:hAnsi="宋体" w:cs="宋体" w:eastAsia="宋体" w:hint="default"/>
          <w:b/>
          <w:bCs/>
          <w:spacing w:val="-82"/>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年度主要经营计划，敬请广大投资者注意查阅。</w:t>
      </w:r>
      <w:r>
        <w:rPr>
          <w:rFonts w:ascii="宋体" w:hAnsi="宋体" w:cs="宋体" w:eastAsia="宋体" w:hint="default"/>
          <w:sz w:val="28"/>
          <w:szCs w:val="28"/>
        </w:rPr>
      </w:r>
    </w:p>
    <w:p>
      <w:pPr>
        <w:spacing w:line="446" w:lineRule="auto" w:before="148"/>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）生产经营的季节性风险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受客户结构、行业业务特点等因素的影响，公司营业收入存在各季度分布</w:t>
      </w:r>
      <w:r>
        <w:rPr>
          <w:rFonts w:ascii="宋体" w:hAnsi="宋体" w:cs="宋体" w:eastAsia="宋体" w:hint="default"/>
          <w:spacing w:val="3"/>
          <w:sz w:val="28"/>
          <w:szCs w:val="28"/>
        </w:rPr>
      </w:r>
    </w:p>
    <w:p>
      <w:pPr>
        <w:spacing w:line="408" w:lineRule="auto" w:before="16"/>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不均衡、前低后高的特点，公司的经营业绩有明显的季节性波动，营业收入和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利润主要集中于下半年实现。投资者不能简单地以公司季度或中期的财务数据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来推算全年的经营成果、财务状况及现金流量。</w:t>
      </w:r>
      <w:r>
        <w:rPr>
          <w:rFonts w:ascii="宋体" w:hAnsi="宋体" w:cs="宋体" w:eastAsia="宋体" w:hint="default"/>
          <w:sz w:val="28"/>
          <w:szCs w:val="28"/>
        </w:rPr>
      </w:r>
    </w:p>
    <w:p>
      <w:pPr>
        <w:spacing w:line="448" w:lineRule="auto" w:before="161"/>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）技术开发风险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近年来安防行业技术进步和技术更新换代的速度越来越快，伴随云计算、</w:t>
      </w:r>
      <w:r>
        <w:rPr>
          <w:rFonts w:ascii="宋体" w:hAnsi="宋体" w:cs="宋体" w:eastAsia="宋体" w:hint="default"/>
          <w:spacing w:val="3"/>
          <w:sz w:val="28"/>
          <w:szCs w:val="28"/>
        </w:rPr>
      </w:r>
    </w:p>
    <w:p>
      <w:pPr>
        <w:spacing w:line="408" w:lineRule="auto" w:before="14"/>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大数据、人工智能、物联网等各种创新技术与安防业务的发展融合，客户对安</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防产品的要求也趋于专业化和个性化，公司必须全面了解业内技术发展的最新</w:t>
      </w:r>
      <w:r>
        <w:rPr>
          <w:rFonts w:ascii="宋体" w:hAnsi="宋体" w:cs="宋体" w:eastAsia="宋体" w:hint="default"/>
          <w:spacing w:val="3"/>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10" w:lineRule="auto" w:before="13"/>
        <w:ind w:left="154" w:right="1136"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趋势，更好的满足客户不断升级的需求。如果公司的技术和产品研发方向偏离</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3"/>
          <w:w w:val="95"/>
          <w:sz w:val="28"/>
          <w:szCs w:val="28"/>
        </w:rPr>
        <w:t>市场需求，或者研发时机掌握不对，产品化速度减缓，将可能存在产品不能在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新的环境下形成技术优势的风险。</w:t>
      </w:r>
      <w:r>
        <w:rPr>
          <w:rFonts w:ascii="宋体" w:hAnsi="宋体" w:cs="宋体" w:eastAsia="宋体" w:hint="default"/>
          <w:sz w:val="28"/>
          <w:szCs w:val="28"/>
        </w:rPr>
      </w:r>
    </w:p>
    <w:p>
      <w:pPr>
        <w:spacing w:line="448" w:lineRule="auto" w:before="158"/>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）管理风险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随着公司规模和业务的不断扩张，公司控制或参股的企业数量随之增加，</w:t>
      </w:r>
      <w:r>
        <w:rPr>
          <w:rFonts w:ascii="宋体" w:hAnsi="宋体" w:cs="宋体" w:eastAsia="宋体" w:hint="default"/>
          <w:spacing w:val="3"/>
          <w:sz w:val="28"/>
          <w:szCs w:val="28"/>
        </w:rPr>
      </w:r>
    </w:p>
    <w:p>
      <w:pPr>
        <w:spacing w:line="408" w:lineRule="auto" w:before="14"/>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业务范围也在金融安防的基础上逐步向其他领域延伸。若公司的研发管理、生</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产管理、销售管理、质量控制等不能适应公司规模扩张的要求，人才培养、组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织模式和管理制度不能随之进一步健全和完善，将会引发相应的管理风险。</w:t>
      </w:r>
      <w:r>
        <w:rPr>
          <w:rFonts w:ascii="宋体" w:hAnsi="宋体" w:cs="宋体" w:eastAsia="宋体" w:hint="default"/>
          <w:sz w:val="28"/>
          <w:szCs w:val="28"/>
        </w:rPr>
      </w:r>
    </w:p>
    <w:p>
      <w:pPr>
        <w:spacing w:line="446" w:lineRule="auto" w:before="161"/>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）人力资源风险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经过多年发展，公司已形成一支稳定、高效的员工队伍，为公司快速发展</w:t>
      </w:r>
      <w:r>
        <w:rPr>
          <w:rFonts w:ascii="宋体" w:hAnsi="宋体" w:cs="宋体" w:eastAsia="宋体" w:hint="default"/>
          <w:spacing w:val="3"/>
          <w:sz w:val="28"/>
          <w:szCs w:val="28"/>
        </w:rPr>
      </w:r>
    </w:p>
    <w:p>
      <w:pPr>
        <w:spacing w:line="408" w:lineRule="auto" w:before="17"/>
        <w:ind w:left="154" w:right="1141"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奠定了可靠的人力资源基础。随着公司业务规模和领域的拓展需要更多的专业</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pacing w:val="3"/>
          <w:w w:val="95"/>
          <w:sz w:val="28"/>
          <w:szCs w:val="28"/>
        </w:rPr>
        <w:t>人才，这也成为公司可持续发展的关键因素。此外，公司也面临市场竞争加剧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导致人力资源成本上升的问题。尽管公司已加大对紧缺人才的引进力度，加强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现有人员在技术、管理等方面的培训，同时立足企业文化建设，增强企业凝聚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力，但如果公司不能按照实际需要实现人才引进和培养，建立和完善人才激励</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机制，公司的生产经营和战略目标的实现可能会受到人力资源的制约。</w:t>
      </w:r>
      <w:r>
        <w:rPr>
          <w:rFonts w:ascii="宋体" w:hAnsi="宋体" w:cs="宋体" w:eastAsia="宋体" w:hint="default"/>
          <w:sz w:val="28"/>
          <w:szCs w:val="28"/>
        </w:rPr>
      </w:r>
    </w:p>
    <w:p>
      <w:pPr>
        <w:spacing w:before="161"/>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404,521,865</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4"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0.50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54"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7</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95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95</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105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5"/>
              </w:rPr>
              <w:t>112</w:t>
            </w:r>
            <w:r>
              <w:rPr>
                <w:rFonts w:ascii="Times New Roman" w:hAnsi="Times New Roman" w:cs="Times New Roman" w:eastAsia="Times New Roman" w:hint="default"/>
                <w:b w:val="0"/>
                <w:bCs w:val="0"/>
                <w:spacing w:val="-5"/>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113</w:t>
            </w:r>
            <w:r>
              <w:rPr>
                <w:rFonts w:ascii="Times New Roman" w:hAnsi="Times New Roman" w:cs="Times New Roman" w:eastAsia="Times New Roman" w:hint="default"/>
                <w:b w:val="0"/>
                <w:bCs w:val="0"/>
                <w:spacing w:val="-5"/>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227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浩云科技、公司、本公司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浩云设备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广州市浩云安防设备有限公司，本公司全资子公司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苏瑞科技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广州市苏瑞计算机科技有限公司，本公司全资子公司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浩云物联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重庆浩云公共安全物联网技术有限公司，本公司全资子公司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西藏浩云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西藏浩云创业投资有限公司，本公司全资子公司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辛集浩云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辛集市浩云智慧城市科技有限公司，本公司全资子公司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浩立威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武汉浩立威保安服务有限公司，本公司全资子公司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润安科技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深圳市润安科技发展有限公司，本公司控股子公司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浩昀宏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广州浩昀宏信息技术有限公司，本公司控股子公司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冠网科技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广东冠网信息科技有限公司，本公司控股子公司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久视智能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湖南久视智能科技有限公司，苏瑞科技控股子公司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碧天投资</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91"/>
              <w:jc w:val="left"/>
              <w:rPr>
                <w:rFonts w:ascii="宋体" w:hAnsi="宋体" w:cs="宋体" w:eastAsia="宋体" w:hint="default"/>
                <w:sz w:val="18"/>
                <w:szCs w:val="18"/>
              </w:rPr>
            </w:pPr>
            <w:r>
              <w:rPr>
                <w:rFonts w:ascii="宋体" w:hAnsi="宋体" w:cs="宋体" w:eastAsia="宋体" w:hint="default"/>
                <w:sz w:val="18"/>
                <w:szCs w:val="18"/>
              </w:rPr>
              <w:t>西藏碧天创业投资管理有限公司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原为广州市碧天投资咨询有限公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，本公司之股东</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常森投资</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111"/>
              <w:jc w:val="left"/>
              <w:rPr>
                <w:rFonts w:ascii="宋体" w:hAnsi="宋体" w:cs="宋体" w:eastAsia="宋体" w:hint="default"/>
                <w:sz w:val="18"/>
                <w:szCs w:val="18"/>
              </w:rPr>
            </w:pPr>
            <w:r>
              <w:rPr>
                <w:rFonts w:ascii="宋体" w:hAnsi="宋体" w:cs="宋体" w:eastAsia="宋体" w:hint="default"/>
                <w:sz w:val="18"/>
                <w:szCs w:val="18"/>
              </w:rPr>
              <w:t>西藏常森创业投资管理有限公司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原为广州市常森投资咨询有限责任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，本公司之股东</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中国银行业监督管理委员会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本公司的《公司章程》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53.999985pt;width:361.5pt;height:19.650pt;mso-position-horizontal-relative:page;mso-position-vertical-relative:page;z-index:-1210480" coordorigin="3447,5080" coordsize="7230,393">
            <v:shape style="position:absolute;left:3447;top:5080;width:7230;height:393" coordorigin="3447,5080" coordsize="7230,393" path="m3447,5472l10676,5472,10676,5080,3447,5080,3447,5472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浩云科技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300448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浩云科技股份有限公司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浩云科技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Haoyun Technologies</w:t>
            </w:r>
            <w:r>
              <w:rPr>
                <w:rFonts w:ascii="Times New Roman"/>
                <w:spacing w:val="-21"/>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Haoyun</w:t>
            </w:r>
            <w:r>
              <w:rPr>
                <w:rFonts w:ascii="Times New Roman"/>
                <w:spacing w:val="-20"/>
                <w:sz w:val="18"/>
              </w:rPr>
              <w:t> </w:t>
            </w:r>
            <w:r>
              <w:rPr>
                <w:rFonts w:ascii="Times New Roman"/>
                <w:sz w:val="18"/>
              </w:rPr>
              <w:t>Technologies</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雷洪文</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号天安总部中心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511400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号天安总部中心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511400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http://www.haoyuntech.com</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zqb@haoyuntech.com</w:t>
              </w:r>
            </w:hyperlink>
          </w:p>
        </w:tc>
      </w:tr>
    </w:tbl>
    <w:p>
      <w:pPr>
        <w:spacing w:line="240" w:lineRule="auto" w:before="0"/>
        <w:rPr>
          <w:rFonts w:ascii="宋体" w:hAnsi="宋体" w:cs="宋体" w:eastAsia="宋体" w:hint="default"/>
          <w:b/>
          <w:bCs/>
          <w:sz w:val="24"/>
          <w:szCs w:val="24"/>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彭燕君</w:t>
            </w:r>
          </w:p>
        </w:tc>
      </w:tr>
      <w:tr>
        <w:trPr>
          <w:trHeight w:val="16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天安总部中心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天安总部中心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 w:right="0"/>
              <w:jc w:val="left"/>
              <w:rPr>
                <w:rFonts w:ascii="Times New Roman" w:hAnsi="Times New Roman" w:cs="Times New Roman" w:eastAsia="Times New Roman" w:hint="default"/>
                <w:sz w:val="18"/>
                <w:szCs w:val="18"/>
              </w:rPr>
            </w:pPr>
            <w:r>
              <w:rPr>
                <w:rFonts w:ascii="Times New Roman"/>
                <w:sz w:val="18"/>
              </w:rPr>
              <w:t>020-34831515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020-34831515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 w:right="0"/>
              <w:jc w:val="left"/>
              <w:rPr>
                <w:rFonts w:ascii="Times New Roman" w:hAnsi="Times New Roman" w:cs="Times New Roman" w:eastAsia="Times New Roman" w:hint="default"/>
                <w:sz w:val="18"/>
                <w:szCs w:val="18"/>
              </w:rPr>
            </w:pPr>
            <w:r>
              <w:rPr>
                <w:rFonts w:ascii="Times New Roman"/>
                <w:sz w:val="18"/>
              </w:rPr>
              <w:t>020-34831415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020-34831415</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 w:right="0"/>
              <w:jc w:val="left"/>
              <w:rPr>
                <w:rFonts w:ascii="Times New Roman" w:hAnsi="Times New Roman" w:cs="Times New Roman" w:eastAsia="Times New Roman" w:hint="default"/>
                <w:sz w:val="18"/>
                <w:szCs w:val="18"/>
              </w:rPr>
            </w:pPr>
            <w:hyperlink r:id="rId10">
              <w:r>
                <w:rPr>
                  <w:rFonts w:ascii="Times New Roman"/>
                  <w:sz w:val="18"/>
                </w:rPr>
                <w:t>zqb@haoyuntech.com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zqb@haoyuntech.com</w:t>
              </w:r>
            </w:hyperlink>
          </w:p>
        </w:tc>
      </w:tr>
    </w:tbl>
    <w:p>
      <w:pPr>
        <w:spacing w:line="240" w:lineRule="auto" w:before="0"/>
        <w:rPr>
          <w:rFonts w:ascii="宋体" w:hAnsi="宋体" w:cs="宋体" w:eastAsia="宋体" w:hint="default"/>
          <w:b/>
          <w:bCs/>
          <w:sz w:val="24"/>
          <w:szCs w:val="24"/>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深圳证券交易所、浩云科技股份有限公司董事会办公室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b/>
          <w:bCs/>
          <w:sz w:val="29"/>
          <w:szCs w:val="29"/>
        </w:rPr>
      </w:pPr>
    </w:p>
    <w:p>
      <w:pPr>
        <w:pStyle w:val="Heading2"/>
        <w:spacing w:line="240" w:lineRule="auto" w:before="26"/>
        <w:ind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t>公司聘请的会计师事务所</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浙江省杭州市西湖区西溪路 </w:t>
            </w:r>
            <w:r>
              <w:rPr>
                <w:rFonts w:ascii="Times New Roman" w:hAnsi="Times New Roman" w:cs="Times New Roman" w:eastAsia="Times New Roman" w:hint="default"/>
                <w:sz w:val="18"/>
                <w:szCs w:val="18"/>
              </w:rPr>
              <w:t>128  </w:t>
            </w:r>
            <w:r>
              <w:rPr>
                <w:rFonts w:ascii="宋体" w:hAnsi="宋体" w:cs="宋体" w:eastAsia="宋体" w:hint="default"/>
                <w:sz w:val="18"/>
                <w:szCs w:val="18"/>
              </w:rPr>
              <w:t>号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禤文欣、卢玲玉</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公司聘请的报告期内履行持续督导职责的保荐机构</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深圳市福田区益田路江苏大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38-45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肖雁、张健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公司聘请的报告期内履行持续督导职责的财务顾问</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90"/>
        <w:ind w:right="0"/>
        <w:jc w:val="left"/>
      </w:pPr>
      <w:r>
        <w:rPr/>
        <w:t>公司是否需追溯调整或重述以前年度会计数据</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765,302,136.94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569,795,019.21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544,953,859.79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140,225,348.38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111,185,107.71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87,160,102.19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129,845,884.98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105,797,801.10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79,566,214.52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138,509,269.09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112,525,666.19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55,135,232.72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1,609,982,065.56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1,349,383,995.85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898,647,769.09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1,257,626,494.77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1,131,411,645.45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674,448,463.72</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0.3433</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127,720,863.63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94,197,109.49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157,615,464.02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385,768,699.80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6,332,112.01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6,043,649.30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12,369,795.02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115,479,792.05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5,112,018.29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3,298,779.77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9,986,202.61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111,448,884.31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-59,828,776.27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14,745,792.12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10,463,579.02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173,128,674.22</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上述财务指标或其加总数是否与公司已披露季度报告、半年度报告相关财务指标存在重大差异</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6"/>
          <w:szCs w:val="16"/>
        </w:rPr>
      </w:pPr>
    </w:p>
    <w:p>
      <w:pPr>
        <w:pStyle w:val="BodyText"/>
        <w:spacing w:line="240" w:lineRule="auto" w:before="44"/>
        <w:ind w:left="0" w:right="1130"/>
        <w:jc w:val="right"/>
      </w:pPr>
      <w:r>
        <w:rPr/>
        <w:t>单位：元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34,617.55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-18,400.37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-40,561.28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7,006,725.17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6,486,230.09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8,732,631.65</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5,434,861.46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705,677.70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系理财产品收益</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515,389.37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276,977.05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764,964.47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1,876,923.61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773,060.84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1,386,269.26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735,206.54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1,290,117.02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476,877.91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10,379,463.40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5,387,306.61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7,593,887.67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line="240" w:lineRule="auto" w:before="8"/>
        <w:rPr>
          <w:rFonts w:ascii="宋体" w:hAnsi="宋体" w:cs="宋体" w:eastAsia="宋体" w:hint="default"/>
          <w:sz w:val="16"/>
          <w:szCs w:val="16"/>
        </w:rPr>
      </w:pPr>
    </w:p>
    <w:p>
      <w:pPr>
        <w:pStyle w:val="BodyText"/>
        <w:spacing w:line="451" w:lineRule="auto"/>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451" w:lineRule="auto"/>
        <w:ind w:right="1116"/>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0"/>
        <w:rPr>
          <w:rFonts w:ascii="宋体" w:hAnsi="宋体" w:cs="宋体" w:eastAsia="宋体" w:hint="default"/>
          <w:b/>
          <w:bCs/>
          <w:sz w:val="44"/>
          <w:szCs w:val="44"/>
        </w:rPr>
      </w:pPr>
    </w:p>
    <w:p>
      <w:pPr>
        <w:pStyle w:val="Heading2"/>
        <w:spacing w:line="240" w:lineRule="auto"/>
        <w:ind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0"/>
        <w:rPr>
          <w:rFonts w:ascii="宋体" w:hAnsi="宋体" w:cs="宋体" w:eastAsia="宋体" w:hint="default"/>
          <w:b/>
          <w:bCs/>
          <w:sz w:val="24"/>
          <w:szCs w:val="24"/>
        </w:rPr>
      </w:pPr>
    </w:p>
    <w:p>
      <w:pPr>
        <w:pStyle w:val="BodyText"/>
        <w:spacing w:line="516" w:lineRule="auto" w:before="189"/>
        <w:ind w:right="7692"/>
        <w:jc w:val="left"/>
      </w:pPr>
      <w:r>
        <w:rPr/>
        <w:t>公司是否需要遵守特殊行业的披露要求 是</w:t>
      </w:r>
    </w:p>
    <w:p>
      <w:pPr>
        <w:pStyle w:val="BodyText"/>
        <w:spacing w:line="240" w:lineRule="auto" w:before="66"/>
        <w:ind w:right="0"/>
        <w:jc w:val="left"/>
      </w:pPr>
      <w:r>
        <w:rPr/>
        <w:t>软件与信息技术服务业</w:t>
      </w:r>
    </w:p>
    <w:p>
      <w:pPr>
        <w:spacing w:line="240" w:lineRule="auto" w:before="10"/>
        <w:rPr>
          <w:rFonts w:ascii="宋体" w:hAnsi="宋体" w:cs="宋体" w:eastAsia="宋体" w:hint="default"/>
          <w:sz w:val="20"/>
          <w:szCs w:val="20"/>
        </w:rPr>
      </w:pPr>
    </w:p>
    <w:p>
      <w:pPr>
        <w:pStyle w:val="BodyText"/>
        <w:spacing w:line="487" w:lineRule="auto"/>
        <w:ind w:left="444" w:right="0" w:hanging="291"/>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1"/>
        </w:rPr>
        <w:t>公司是以智慧物联管理平台为核心的智慧物联解决方案提供商和大数据运营商，公司向客户提供面向金融等行业的智慧</w:t>
      </w:r>
    </w:p>
    <w:p>
      <w:pPr>
        <w:pStyle w:val="BodyText"/>
        <w:spacing w:line="477" w:lineRule="auto" w:before="47"/>
        <w:ind w:right="1133"/>
        <w:jc w:val="left"/>
      </w:pPr>
      <w:r>
        <w:rPr>
          <w:spacing w:val="-2"/>
        </w:rPr>
        <w:t>物联管理平台、智能前端产品及服务，面向监狱、社区矫正、戒毒等的智慧司法类解决方案、终端产品及服务以及面向公共</w:t>
      </w:r>
      <w:r>
        <w:rPr>
          <w:spacing w:val="-66"/>
        </w:rPr>
        <w:t> </w:t>
      </w:r>
      <w:r>
        <w:rPr>
          <w:spacing w:val="-66"/>
        </w:rPr>
      </w:r>
      <w:r>
        <w:rPr/>
        <w:t>安全、以人</w:t>
      </w:r>
      <w:r>
        <w:rPr>
          <w:rFonts w:ascii="Times New Roman" w:hAnsi="Times New Roman" w:cs="Times New Roman" w:eastAsia="Times New Roman" w:hint="default"/>
        </w:rPr>
        <w:t>-</w:t>
      </w:r>
      <w:r>
        <w:rPr/>
        <w:t>车</w:t>
      </w:r>
      <w:r>
        <w:rPr>
          <w:rFonts w:ascii="Times New Roman" w:hAnsi="Times New Roman" w:cs="Times New Roman" w:eastAsia="Times New Roman" w:hint="default"/>
        </w:rPr>
        <w:t>-</w:t>
      </w:r>
      <w:r>
        <w:rPr/>
        <w:t>物</w:t>
      </w:r>
      <w:r>
        <w:rPr>
          <w:rFonts w:ascii="Times New Roman" w:hAnsi="Times New Roman" w:cs="Times New Roman" w:eastAsia="Times New Roman" w:hint="default"/>
        </w:rPr>
        <w:t>-</w:t>
      </w:r>
      <w:r>
        <w:rPr/>
        <w:t>平台为核心的全套解决方案。</w:t>
      </w:r>
    </w:p>
    <w:p>
      <w:pPr>
        <w:pStyle w:val="BodyText"/>
        <w:spacing w:line="477" w:lineRule="auto" w:before="21"/>
        <w:ind w:right="0" w:firstLine="290"/>
        <w:jc w:val="left"/>
      </w:pPr>
      <w:r>
        <w:rPr>
          <w:spacing w:val="-1"/>
        </w:rPr>
        <w:t>报告期内，公司的主营业务仍聚焦金融物联、智慧司法及公共安全三个领域，其中，金融物联、智慧司法和公共安全的</w:t>
      </w:r>
      <w:r>
        <w:rPr/>
        <w:t> 业务分别为公司创造</w:t>
      </w:r>
      <w:r>
        <w:rPr>
          <w:rFonts w:ascii="Times New Roman" w:hAnsi="Times New Roman" w:cs="Times New Roman" w:eastAsia="Times New Roman" w:hint="default"/>
        </w:rPr>
        <w:t>48,158.78</w:t>
      </w:r>
      <w:r>
        <w:rPr/>
        <w:t>万元、</w:t>
      </w:r>
      <w:r>
        <w:rPr>
          <w:rFonts w:ascii="Times New Roman" w:hAnsi="Times New Roman" w:cs="Times New Roman" w:eastAsia="Times New Roman" w:hint="default"/>
        </w:rPr>
        <w:t>6,858.27</w:t>
      </w:r>
      <w:r>
        <w:rPr/>
        <w:t>万元以及</w:t>
      </w:r>
      <w:r>
        <w:rPr>
          <w:rFonts w:ascii="Times New Roman" w:hAnsi="Times New Roman" w:cs="Times New Roman" w:eastAsia="Times New Roman" w:hint="default"/>
        </w:rPr>
        <w:t>13,773.25</w:t>
      </w:r>
      <w:r>
        <w:rPr/>
        <w:t>万元的收入，公司业绩在</w:t>
      </w:r>
      <w:r>
        <w:rPr>
          <w:rFonts w:ascii="Times New Roman" w:hAnsi="Times New Roman" w:cs="Times New Roman" w:eastAsia="Times New Roman" w:hint="default"/>
        </w:rPr>
        <w:t>2018</w:t>
      </w:r>
      <w:r>
        <w:rPr/>
        <w:t>年继续保持稳步增长。</w:t>
      </w:r>
    </w:p>
    <w:p>
      <w:pPr>
        <w:pStyle w:val="BodyText"/>
        <w:spacing w:line="463" w:lineRule="auto" w:before="21"/>
        <w:ind w:right="1103" w:firstLine="217"/>
        <w:jc w:val="both"/>
      </w:pPr>
      <w:r>
        <w:rPr>
          <w:rFonts w:ascii="Times New Roman" w:hAnsi="Times New Roman" w:cs="Times New Roman" w:eastAsia="Times New Roman" w:hint="default"/>
        </w:rPr>
        <w:t>1</w:t>
      </w:r>
      <w:r>
        <w:rPr/>
        <w:t>、金融物联是公司的传统业务领域，从安防集成发展到综合物联再到智慧物联，公司在金融物联持续投入、不断创新， </w:t>
      </w:r>
      <w:r>
        <w:rPr>
          <w:spacing w:val="-2"/>
        </w:rPr>
        <w:t>发展到今天已成为金融物联领域智慧物联综合解决方案提供商。公司金融物联服务主要包括：智慧物联管理平台、智能感知</w:t>
      </w:r>
      <w:r>
        <w:rPr>
          <w:spacing w:val="-66"/>
        </w:rPr>
        <w:t> </w:t>
      </w:r>
      <w:r>
        <w:rPr>
          <w:spacing w:val="-66"/>
        </w:rPr>
      </w:r>
      <w:r>
        <w:rPr/>
        <w:t>产品、智能视频设备、智能控制设备、智能语音设备等。</w:t>
      </w:r>
    </w:p>
    <w:p>
      <w:pPr>
        <w:pStyle w:val="BodyText"/>
        <w:spacing w:line="240" w:lineRule="auto" w:before="65"/>
        <w:ind w:left="371" w:right="0"/>
        <w:jc w:val="left"/>
      </w:pPr>
      <w:r>
        <w:rPr>
          <w:rFonts w:ascii="Times New Roman" w:hAnsi="Times New Roman" w:cs="Times New Roman" w:eastAsia="Times New Roman" w:hint="default"/>
        </w:rPr>
        <w:t>2</w:t>
      </w:r>
      <w:r>
        <w:rPr/>
        <w:t>、在智慧司法领域，公司主要为客户提供面向监狱、社区矫正、戒毒等几个方向的产品和服务：</w:t>
      </w:r>
    </w:p>
    <w:p>
      <w:pPr>
        <w:spacing w:line="240" w:lineRule="auto" w:before="9"/>
        <w:rPr>
          <w:rFonts w:ascii="宋体" w:hAnsi="宋体" w:cs="宋体" w:eastAsia="宋体" w:hint="default"/>
          <w:sz w:val="16"/>
          <w:szCs w:val="16"/>
        </w:rPr>
      </w:pPr>
    </w:p>
    <w:p>
      <w:pPr>
        <w:pStyle w:val="BodyText"/>
        <w:spacing w:line="451" w:lineRule="auto"/>
        <w:ind w:right="1122"/>
        <w:jc w:val="left"/>
      </w:pPr>
      <w:r>
        <w:rPr/>
        <w:t>（</w:t>
      </w:r>
      <w:r>
        <w:rPr>
          <w:rFonts w:ascii="Times New Roman" w:hAnsi="Times New Roman" w:cs="Times New Roman" w:eastAsia="Times New Roman" w:hint="default"/>
        </w:rPr>
        <w:t>1</w:t>
      </w:r>
      <w:r>
        <w:rPr/>
        <w:t>）面向监狱，主要提供智慧监狱勤务指挥管理平台、智慧监狱综合业务管理平台、智慧监狱电子身份管理平台、监狱人 员实时定位管理系统、监狱狱政管理系统、视音频监控系统、出入口控制系统以及监仓对讲系统；</w:t>
      </w:r>
    </w:p>
    <w:p>
      <w:pPr>
        <w:pStyle w:val="BodyText"/>
        <w:spacing w:line="451" w:lineRule="auto" w:before="74"/>
        <w:ind w:right="1181"/>
        <w:jc w:val="left"/>
      </w:pPr>
      <w:r>
        <w:rPr/>
        <w:t>（</w:t>
      </w:r>
      <w:r>
        <w:rPr>
          <w:rFonts w:ascii="Times New Roman" w:hAnsi="Times New Roman" w:cs="Times New Roman" w:eastAsia="Times New Roman" w:hint="default"/>
        </w:rPr>
        <w:t>2</w:t>
      </w:r>
      <w:r>
        <w:rPr/>
        <w:t>）面向社区矫正，主要提供采用</w:t>
      </w:r>
      <w:r>
        <w:rPr>
          <w:rFonts w:ascii="Times New Roman" w:hAnsi="Times New Roman" w:cs="Times New Roman" w:eastAsia="Times New Roman" w:hint="default"/>
        </w:rPr>
        <w:t>“UWB</w:t>
      </w:r>
      <w:r>
        <w:rPr/>
        <w:t>腕带</w:t>
      </w:r>
      <w:r>
        <w:rPr>
          <w:rFonts w:ascii="Times New Roman" w:hAnsi="Times New Roman" w:cs="Times New Roman" w:eastAsia="Times New Roman" w:hint="default"/>
        </w:rPr>
        <w:t>+</w:t>
      </w:r>
      <w:r>
        <w:rPr/>
        <w:t>智能终端</w:t>
      </w:r>
      <w:r>
        <w:rPr>
          <w:rFonts w:ascii="Times New Roman" w:hAnsi="Times New Roman" w:cs="Times New Roman" w:eastAsia="Times New Roman" w:hint="default"/>
        </w:rPr>
        <w:t>”</w:t>
      </w:r>
      <w:r>
        <w:rPr/>
        <w:t>可分离管理模式的社区矫正系统，采用</w:t>
      </w:r>
      <w:r>
        <w:rPr>
          <w:rFonts w:ascii="Times New Roman" w:hAnsi="Times New Roman" w:cs="Times New Roman" w:eastAsia="Times New Roman" w:hint="default"/>
        </w:rPr>
        <w:t>“</w:t>
      </w:r>
      <w:r>
        <w:rPr/>
        <w:t>一朵云两平台</w:t>
      </w:r>
      <w:r>
        <w:rPr>
          <w:rFonts w:ascii="Times New Roman" w:hAnsi="Times New Roman" w:cs="Times New Roman" w:eastAsia="Times New Roman" w:hint="default"/>
        </w:rPr>
        <w:t>”</w:t>
      </w:r>
      <w:r>
        <w:rPr/>
        <w:t>设计架构 的社区矫正管理平台、</w:t>
      </w:r>
      <w:r>
        <w:rPr>
          <w:rFonts w:ascii="Times New Roman" w:hAnsi="Times New Roman" w:cs="Times New Roman" w:eastAsia="Times New Roman" w:hint="default"/>
        </w:rPr>
        <w:t>APP</w:t>
      </w:r>
      <w:r>
        <w:rPr/>
        <w:t>，以及跨部门大数据办案平台；</w:t>
      </w:r>
    </w:p>
    <w:p>
      <w:pPr>
        <w:pStyle w:val="BodyText"/>
        <w:spacing w:line="451" w:lineRule="auto" w:before="43"/>
        <w:ind w:right="1122"/>
        <w:jc w:val="left"/>
      </w:pPr>
      <w:r>
        <w:rPr/>
        <w:t>（</w:t>
      </w:r>
      <w:r>
        <w:rPr>
          <w:rFonts w:ascii="Times New Roman" w:hAnsi="Times New Roman" w:cs="Times New Roman" w:eastAsia="Times New Roman" w:hint="default"/>
        </w:rPr>
        <w:t>3</w:t>
      </w:r>
      <w:r>
        <w:rPr/>
        <w:t>）面向戒毒，主要提供集身份管理、业务处理和人员指挥于一身的综合管理平台，智慧戒毒所大数据云管理平台，戒毒 所人员定位设备和智能定位管理系统等。</w:t>
      </w:r>
    </w:p>
    <w:p>
      <w:pPr>
        <w:pStyle w:val="BodyText"/>
        <w:spacing w:line="451" w:lineRule="auto" w:before="74"/>
        <w:ind w:right="1070" w:firstLine="290"/>
        <w:jc w:val="left"/>
      </w:pPr>
      <w:r>
        <w:rPr>
          <w:rFonts w:ascii="Times New Roman" w:hAnsi="Times New Roman" w:cs="Times New Roman" w:eastAsia="Times New Roman" w:hint="default"/>
        </w:rPr>
        <w:t>3</w:t>
      </w:r>
      <w:r>
        <w:rPr/>
        <w:t>、在公共安全领域，公司主要为客户提供以人、车、物、平台为核心的全套公共安全解决方案，具体主要包括视频监 控智慧大数据运营服务、</w:t>
      </w:r>
      <w:r>
        <w:rPr>
          <w:rFonts w:ascii="Times New Roman" w:hAnsi="Times New Roman" w:cs="Times New Roman" w:eastAsia="Times New Roman" w:hint="default"/>
        </w:rPr>
        <w:t>9+X</w:t>
      </w:r>
      <w:r>
        <w:rPr/>
        <w:t>综合治理平台、公共安全视频图像信息交换共享平台、车辆大数据应用系统、城市监控系统、 智能终端以及智慧城市安全综合管理平台等产品及服务。</w:t>
      </w:r>
    </w:p>
    <w:p>
      <w:pPr>
        <w:pStyle w:val="BodyText"/>
        <w:spacing w:line="240" w:lineRule="auto" w:before="74"/>
        <w:ind w:left="444" w:right="0"/>
        <w:jc w:val="left"/>
      </w:pPr>
      <w:r>
        <w:rPr/>
        <w:t>报告期内公司客户所处行业相关的发展情况等，请详见第四节经营情况讨论与分析</w:t>
      </w:r>
      <w:r>
        <w:rPr>
          <w:rFonts w:ascii="Times New Roman" w:hAnsi="Times New Roman" w:cs="Times New Roman" w:eastAsia="Times New Roman" w:hint="default"/>
        </w:rPr>
        <w:t>/</w:t>
      </w:r>
      <w:r>
        <w:rPr/>
        <w:t>九、公司未来发展的展望。</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1"/>
              <w:jc w:val="both"/>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25,980,229.64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元，占总资产比重为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1.61%</w:t>
            </w:r>
            <w:r>
              <w:rPr>
                <w:rFonts w:ascii="宋体" w:hAnsi="宋体" w:cs="宋体" w:eastAsia="宋体" w:hint="default"/>
                <w:sz w:val="18"/>
                <w:szCs w:val="18"/>
              </w:rPr>
              <w:t>，比年初增 长</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62.09%</w:t>
            </w:r>
            <w:r>
              <w:rPr>
                <w:rFonts w:ascii="宋体" w:hAnsi="宋体" w:cs="宋体" w:eastAsia="宋体" w:hint="default"/>
                <w:spacing w:val="-3"/>
                <w:sz w:val="18"/>
                <w:szCs w:val="18"/>
              </w:rPr>
              <w:t>，主要原因系报告期系子公司重庆浩云公共安全物联网技术有限公司及深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圳市润安科技发展有限公司购买软件所致。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73"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年年末余额为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1,236,854.70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元，占总资产比重为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0.08%</w:t>
            </w:r>
            <w:r>
              <w:rPr>
                <w:rFonts w:ascii="宋体" w:hAnsi="宋体" w:cs="宋体" w:eastAsia="宋体" w:hint="default"/>
                <w:sz w:val="18"/>
                <w:szCs w:val="18"/>
              </w:rPr>
              <w:t>，比年初下降</w:t>
            </w:r>
          </w:p>
          <w:p>
            <w:pPr>
              <w:pStyle w:val="TableParagraph"/>
              <w:spacing w:line="309" w:lineRule="auto" w:before="61"/>
              <w:ind w:left="16"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92.70%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，主要原因系公司新办公楼装修完工结转至固定资产，以及子公司重庆浩 云公共安全物联网技术有限公司实施渝北区公共安全视频监控工程服务（智慧天 网）合同在建各网点的在建工程完工结转至固定资产所致。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473"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320,443,778.44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元，占总资产比重为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19.90%</w:t>
            </w:r>
            <w:r>
              <w:rPr>
                <w:rFonts w:ascii="宋体" w:hAnsi="宋体" w:cs="宋体" w:eastAsia="宋体" w:hint="default"/>
                <w:sz w:val="18"/>
                <w:szCs w:val="18"/>
              </w:rPr>
              <w:t>，比年初增长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33.42%</w:t>
            </w:r>
            <w:r>
              <w:rPr>
                <w:rFonts w:ascii="宋体" w:hAnsi="宋体" w:cs="宋体" w:eastAsia="宋体" w:hint="default"/>
                <w:sz w:val="18"/>
                <w:szCs w:val="18"/>
              </w:rPr>
              <w:t>，主要原因系报告期收入增加所致。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年年末余额为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119,037,741.97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元，占总资产比重为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7.39%</w:t>
            </w:r>
            <w:r>
              <w:rPr>
                <w:rFonts w:ascii="宋体" w:hAnsi="宋体" w:cs="宋体" w:eastAsia="宋体" w:hint="default"/>
                <w:sz w:val="18"/>
                <w:szCs w:val="18"/>
              </w:rPr>
              <w:t>，比年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初增长 </w:t>
            </w:r>
            <w:r>
              <w:rPr>
                <w:rFonts w:ascii="Times New Roman" w:hAnsi="Times New Roman" w:cs="Times New Roman" w:eastAsia="Times New Roman" w:hint="default"/>
                <w:sz w:val="18"/>
                <w:szCs w:val="18"/>
              </w:rPr>
              <w:t>35.49%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，主要原因系报告期公司购买银行理财产品较年初增加所致。</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元，占总资产比重为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1.12%</w:t>
            </w:r>
            <w:r>
              <w:rPr>
                <w:rFonts w:ascii="宋体" w:hAnsi="宋体" w:cs="宋体" w:eastAsia="宋体" w:hint="default"/>
                <w:sz w:val="18"/>
                <w:szCs w:val="18"/>
              </w:rPr>
              <w:t>，</w:t>
            </w:r>
          </w:p>
          <w:p>
            <w:pPr>
              <w:pStyle w:val="TableParagraph"/>
              <w:spacing w:line="302" w:lineRule="auto" w:before="61"/>
              <w:ind w:left="22" w:right="33"/>
              <w:jc w:val="left"/>
              <w:rPr>
                <w:rFonts w:ascii="宋体" w:hAnsi="宋体" w:cs="宋体" w:eastAsia="宋体" w:hint="default"/>
                <w:sz w:val="18"/>
                <w:szCs w:val="18"/>
              </w:rPr>
            </w:pPr>
            <w:r>
              <w:rPr>
                <w:rFonts w:ascii="宋体" w:hAnsi="宋体" w:cs="宋体" w:eastAsia="宋体" w:hint="default"/>
                <w:sz w:val="18"/>
                <w:szCs w:val="18"/>
              </w:rPr>
              <w:t>比年初增长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，主要原因系报告期子公司西藏浩云投资宁波清科嘉豪和嘉投 资管理合伙企业（有限合伙）</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75,220,907.64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元，占总资产比重为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4.67%</w:t>
            </w:r>
            <w:r>
              <w:rPr>
                <w:rFonts w:ascii="宋体" w:hAnsi="宋体" w:cs="宋体" w:eastAsia="宋体" w:hint="default"/>
                <w:sz w:val="18"/>
                <w:szCs w:val="18"/>
              </w:rPr>
              <w:t>，比年</w:t>
            </w:r>
          </w:p>
          <w:p>
            <w:pPr>
              <w:pStyle w:val="TableParagraph"/>
              <w:spacing w:line="302" w:lineRule="auto" w:before="61"/>
              <w:ind w:left="22" w:right="21"/>
              <w:jc w:val="left"/>
              <w:rPr>
                <w:rFonts w:ascii="宋体" w:hAnsi="宋体" w:cs="宋体" w:eastAsia="宋体" w:hint="default"/>
                <w:sz w:val="18"/>
                <w:szCs w:val="18"/>
              </w:rPr>
            </w:pPr>
            <w:r>
              <w:rPr>
                <w:rFonts w:ascii="宋体" w:hAnsi="宋体" w:cs="宋体" w:eastAsia="宋体" w:hint="default"/>
                <w:sz w:val="18"/>
                <w:szCs w:val="18"/>
              </w:rPr>
              <w:t>初增长 </w:t>
            </w:r>
            <w:r>
              <w:rPr>
                <w:rFonts w:ascii="Times New Roman" w:hAnsi="Times New Roman" w:cs="Times New Roman" w:eastAsia="Times New Roman" w:hint="default"/>
                <w:sz w:val="18"/>
                <w:szCs w:val="18"/>
              </w:rPr>
              <w:t>127.68%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，主要原因系与年初相比，报告期公司增加了用于出租的房产，将</w:t>
            </w:r>
            <w:r>
              <w:rPr>
                <w:rFonts w:ascii="宋体" w:hAnsi="宋体" w:cs="宋体" w:eastAsia="宋体" w:hint="default"/>
                <w:sz w:val="18"/>
                <w:szCs w:val="18"/>
              </w:rPr>
              <w:t> 出租的房产价值从固定资产转入投资性房地产列报所致。</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年年末余额为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5,530,382.01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元，占总资产比重为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0.34%</w:t>
            </w:r>
            <w:r>
              <w:rPr>
                <w:rFonts w:ascii="宋体" w:hAnsi="宋体" w:cs="宋体" w:eastAsia="宋体" w:hint="default"/>
                <w:sz w:val="18"/>
                <w:szCs w:val="18"/>
              </w:rPr>
              <w:t>，比年初增长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，主要原因系报告期公司将研发项目软件定义物联网应用平台开发阶段的 支出资本化所致。</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106,053,284.20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元，占总资产比重为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6.59%</w:t>
            </w:r>
            <w:r>
              <w:rPr>
                <w:rFonts w:ascii="宋体" w:hAnsi="宋体" w:cs="宋体" w:eastAsia="宋体" w:hint="default"/>
                <w:sz w:val="18"/>
                <w:szCs w:val="18"/>
              </w:rPr>
              <w:t>，比年初增长 </w:t>
            </w:r>
            <w:r>
              <w:rPr>
                <w:rFonts w:ascii="Times New Roman" w:hAnsi="Times New Roman" w:cs="Times New Roman" w:eastAsia="Times New Roman" w:hint="default"/>
                <w:sz w:val="18"/>
                <w:szCs w:val="18"/>
              </w:rPr>
              <w:t>123.82%</w:t>
            </w:r>
            <w:r>
              <w:rPr>
                <w:rFonts w:ascii="宋体" w:hAnsi="宋体" w:cs="宋体" w:eastAsia="宋体" w:hint="default"/>
                <w:sz w:val="18"/>
                <w:szCs w:val="18"/>
              </w:rPr>
              <w:t>，主要原因系报告期公司收购广东冠网信息科技有限公司支付的对价与公 允价差额。</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年年末余额为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8,842,742.36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元，占总资产比重为</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0.55%</w:t>
            </w:r>
            <w:r>
              <w:rPr>
                <w:rFonts w:ascii="宋体" w:hAnsi="宋体" w:cs="宋体" w:eastAsia="宋体" w:hint="default"/>
                <w:spacing w:val="-3"/>
                <w:sz w:val="18"/>
                <w:szCs w:val="18"/>
              </w:rPr>
              <w:t>，比年</w:t>
            </w:r>
            <w:r>
              <w:rPr>
                <w:rFonts w:ascii="宋体" w:hAnsi="宋体" w:cs="宋体" w:eastAsia="宋体" w:hint="default"/>
                <w:sz w:val="18"/>
                <w:szCs w:val="18"/>
              </w:rPr>
              <w:t> 初增长</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64.78%</w:t>
            </w:r>
            <w:r>
              <w:rPr>
                <w:rFonts w:ascii="宋体" w:hAnsi="宋体" w:cs="宋体" w:eastAsia="宋体" w:hint="default"/>
                <w:spacing w:val="-3"/>
                <w:sz w:val="18"/>
                <w:szCs w:val="18"/>
              </w:rPr>
              <w:t>，主要原因系报告期应收账款坏账准备增加，存货跌价准备增加，股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权激励费用增加所形成的递延所得税资产相应增加所致。</w:t>
            </w:r>
          </w:p>
        </w:tc>
      </w:tr>
    </w:tbl>
    <w:p>
      <w:pPr>
        <w:spacing w:line="240" w:lineRule="auto" w:before="1"/>
        <w:rPr>
          <w:rFonts w:ascii="宋体" w:hAnsi="宋体" w:cs="宋体" w:eastAsia="宋体" w:hint="default"/>
          <w:b/>
          <w:bCs/>
          <w:sz w:val="25"/>
          <w:szCs w:val="25"/>
        </w:rPr>
      </w:pPr>
    </w:p>
    <w:p>
      <w:pPr>
        <w:pStyle w:val="Heading3"/>
        <w:spacing w:line="240" w:lineRule="auto" w:before="35"/>
        <w:ind w:right="0"/>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0"/>
        <w:rPr>
          <w:rFonts w:ascii="宋体" w:hAnsi="宋体" w:cs="宋体" w:eastAsia="宋体" w:hint="default"/>
          <w:b/>
          <w:bCs/>
          <w:sz w:val="24"/>
          <w:szCs w:val="24"/>
        </w:rPr>
      </w:pPr>
    </w:p>
    <w:p>
      <w:pPr>
        <w:pStyle w:val="BodyText"/>
        <w:spacing w:line="518" w:lineRule="auto" w:before="189"/>
        <w:ind w:right="7692"/>
        <w:jc w:val="left"/>
      </w:pPr>
      <w:r>
        <w:rPr/>
        <w:t>公司是否需要遵守特殊行业的披露要求 是</w:t>
      </w:r>
    </w:p>
    <w:p>
      <w:pPr>
        <w:pStyle w:val="BodyText"/>
        <w:spacing w:line="516" w:lineRule="auto" w:before="64"/>
        <w:ind w:left="444" w:right="3262" w:hanging="291"/>
        <w:jc w:val="left"/>
      </w:pPr>
      <w:r>
        <w:rPr/>
        <w:t>软件与信息技术服务业 报告期内，公司核心竞争力未发生重要变化，公司主要核心竞争力主要体现在以下几方面：</w:t>
      </w:r>
    </w:p>
    <w:p>
      <w:pPr>
        <w:pStyle w:val="Heading3"/>
        <w:spacing w:line="240" w:lineRule="auto"/>
        <w:ind w:left="461" w:right="0"/>
        <w:jc w:val="left"/>
        <w:rPr>
          <w:b w:val="0"/>
          <w:bCs w:val="0"/>
        </w:rPr>
      </w:pPr>
      <w:r>
        <w:rPr>
          <w:rFonts w:ascii="Times New Roman" w:hAnsi="Times New Roman" w:cs="Times New Roman" w:eastAsia="Times New Roman" w:hint="default"/>
        </w:rPr>
        <w:t>1</w:t>
      </w:r>
      <w:r>
        <w:rPr/>
        <w:t>、研发和技术团队优势</w:t>
      </w:r>
      <w:r>
        <w:rPr>
          <w:b w:val="0"/>
          <w:bCs w:val="0"/>
        </w:rPr>
      </w:r>
    </w:p>
    <w:p>
      <w:pPr>
        <w:spacing w:line="240" w:lineRule="auto" w:before="6"/>
        <w:rPr>
          <w:rFonts w:ascii="宋体" w:hAnsi="宋体" w:cs="宋体" w:eastAsia="宋体" w:hint="default"/>
          <w:b/>
          <w:bCs/>
          <w:sz w:val="15"/>
          <w:szCs w:val="15"/>
        </w:rPr>
      </w:pPr>
    </w:p>
    <w:p>
      <w:pPr>
        <w:pStyle w:val="BodyText"/>
        <w:spacing w:line="472" w:lineRule="auto"/>
        <w:ind w:right="1032" w:firstLine="360"/>
        <w:jc w:val="left"/>
      </w:pPr>
      <w:r>
        <w:rPr/>
        <w:t>公司与广州大学共建公共安全智能联合实验室，该实验室由中国工程院院士领衔，合力共研大数据、智慧物联网平台、 </w:t>
      </w:r>
      <w:r>
        <w:rPr>
          <w:spacing w:val="-2"/>
        </w:rPr>
        <w:t>智慧楼宇安全、智慧城市安全和物联网安全等核心技术及应用。公司控股子公司冠网科技凭借自身领先的车辆识别和车辆大</w:t>
      </w:r>
      <w:r>
        <w:rPr>
          <w:spacing w:val="-64"/>
        </w:rPr>
        <w:t> </w:t>
      </w:r>
      <w:r>
        <w:rPr>
          <w:spacing w:val="-64"/>
        </w:rPr>
      </w:r>
      <w:r>
        <w:rPr>
          <w:spacing w:val="-2"/>
        </w:rPr>
        <w:t>数据技术跻身视频图像智能分析与应用技术公安部重点实验室成员单位，该实验室亦是视频图像信息智能分析与共享应用技</w:t>
      </w:r>
      <w:r>
        <w:rPr>
          <w:spacing w:val="-64"/>
        </w:rPr>
        <w:t> </w:t>
      </w:r>
      <w:r>
        <w:rPr>
          <w:spacing w:val="-64"/>
        </w:rPr>
      </w:r>
      <w:r>
        <w:rPr>
          <w:spacing w:val="-2"/>
        </w:rPr>
        <w:t>术国家工程实验室成员单位，公司技术研发方向及研发实力得到有效保障。此外，公司控股设立了孙公司湖南久视智能科技</w:t>
      </w:r>
      <w:r>
        <w:rPr>
          <w:spacing w:val="-66"/>
        </w:rPr>
        <w:t> </w:t>
      </w:r>
      <w:r>
        <w:rPr>
          <w:spacing w:val="-66"/>
        </w:rPr>
      </w:r>
      <w:r>
        <w:rPr>
          <w:spacing w:val="-2"/>
        </w:rPr>
        <w:t>有限公司，结合国防科技大学、汕头大学博士科研团队，共研人工智能算法、人员多场景检测、异常人脸识别、车辆视频结</w:t>
      </w:r>
      <w:r>
        <w:rPr>
          <w:spacing w:val="-68"/>
        </w:rPr>
        <w:t> </w:t>
      </w:r>
      <w:r>
        <w:rPr>
          <w:spacing w:val="-68"/>
        </w:rPr>
      </w:r>
      <w:r>
        <w:rPr>
          <w:spacing w:val="-2"/>
        </w:rPr>
        <w:t>构化等尖端计算视觉技术以及开展物联网操控类语音语义专项技术攻关。同时，公司研发和技术团队由行业专家龙中胜先生</w:t>
      </w:r>
      <w:r>
        <w:rPr>
          <w:spacing w:val="-64"/>
        </w:rPr>
        <w:t> </w:t>
      </w:r>
      <w:r>
        <w:rPr>
          <w:spacing w:val="-64"/>
        </w:rPr>
      </w:r>
      <w:r>
        <w:rPr>
          <w:spacing w:val="-2"/>
        </w:rPr>
        <w:t>领军，公司</w:t>
      </w:r>
      <w:r>
        <w:rPr>
          <w:rFonts w:ascii="Times New Roman" w:hAnsi="Times New Roman" w:cs="Times New Roman" w:eastAsia="Times New Roman" w:hint="default"/>
          <w:spacing w:val="-2"/>
        </w:rPr>
        <w:t>CTO</w:t>
      </w:r>
      <w:r>
        <w:rPr>
          <w:spacing w:val="-2"/>
        </w:rPr>
        <w:t>、物联网、算法、大数据、人工智能、云计算、大型平台软件等研发均由博士担纲，各领域高精尖技术人才</w:t>
      </w:r>
      <w:r>
        <w:rPr>
          <w:spacing w:val="-65"/>
        </w:rPr>
        <w:t> </w:t>
      </w:r>
      <w:r>
        <w:rPr>
          <w:spacing w:val="-65"/>
        </w:rPr>
      </w:r>
      <w:r>
        <w:rPr/>
        <w:t>组成联合研发团队，合力为公司发展提供坚实技术后盾。</w:t>
      </w:r>
    </w:p>
    <w:p>
      <w:pPr>
        <w:pStyle w:val="Heading3"/>
        <w:spacing w:line="240" w:lineRule="auto" w:before="33"/>
        <w:ind w:left="443" w:right="0"/>
        <w:jc w:val="left"/>
        <w:rPr>
          <w:b w:val="0"/>
          <w:bCs w:val="0"/>
        </w:rPr>
      </w:pPr>
      <w:r>
        <w:rPr>
          <w:rFonts w:ascii="Times New Roman" w:hAnsi="Times New Roman" w:cs="Times New Roman" w:eastAsia="Times New Roman" w:hint="default"/>
        </w:rPr>
        <w:t>2</w:t>
      </w:r>
      <w:r>
        <w:rPr/>
        <w:t>、对行业和客户需求理解及响应能力优势</w:t>
      </w:r>
      <w:r>
        <w:rPr>
          <w:b w:val="0"/>
          <w:bCs w:val="0"/>
        </w:rPr>
      </w:r>
    </w:p>
    <w:p>
      <w:pPr>
        <w:spacing w:line="240" w:lineRule="auto" w:before="6"/>
        <w:rPr>
          <w:rFonts w:ascii="宋体" w:hAnsi="宋体" w:cs="宋体" w:eastAsia="宋体" w:hint="default"/>
          <w:b/>
          <w:bCs/>
          <w:sz w:val="15"/>
          <w:szCs w:val="15"/>
        </w:rPr>
      </w:pPr>
    </w:p>
    <w:p>
      <w:pPr>
        <w:pStyle w:val="BodyText"/>
        <w:spacing w:line="470" w:lineRule="auto"/>
        <w:ind w:right="1129" w:firstLine="360"/>
        <w:jc w:val="both"/>
      </w:pPr>
      <w:r>
        <w:rPr>
          <w:spacing w:val="-2"/>
        </w:rPr>
        <w:t>依托深耕公共安全、智慧司法和金融物联领域多年的经验积累和技术沉淀，作为视频图像智能分析与应用技术公安部重</w:t>
      </w:r>
      <w:r>
        <w:rPr/>
        <w:t> </w:t>
      </w:r>
      <w:r>
        <w:rPr>
          <w:spacing w:val="-2"/>
        </w:rPr>
        <w:t>点实验室的主要合作成员单位和公共安全智能联合实验室的共建单位，公司对相关行业有着深刻的理解，能够灵敏、快速的</w:t>
      </w:r>
      <w:r>
        <w:rPr>
          <w:spacing w:val="-66"/>
        </w:rPr>
        <w:t> </w:t>
      </w:r>
      <w:r>
        <w:rPr>
          <w:spacing w:val="-66"/>
        </w:rPr>
      </w:r>
      <w:r>
        <w:rPr>
          <w:spacing w:val="-2"/>
        </w:rPr>
        <w:t>捕捉客户的个性化需求，从而总能先人一步定制开发出一系列满足客户专业细致的差异化需求并切实解决客户痛点的软硬件</w:t>
      </w:r>
      <w:r>
        <w:rPr>
          <w:spacing w:val="-64"/>
        </w:rPr>
        <w:t> </w:t>
      </w:r>
      <w:r>
        <w:rPr>
          <w:spacing w:val="-64"/>
        </w:rPr>
      </w:r>
      <w:r>
        <w:rPr>
          <w:spacing w:val="-2"/>
        </w:rPr>
        <w:t>产品，以智慧司法领域为例，公司控股子公司润安科技凭借其数十年的行业积累，在深刻认识客户需求的基础上研发的超宽</w:t>
      </w:r>
      <w:r>
        <w:rPr>
          <w:spacing w:val="-66"/>
        </w:rPr>
        <w:t> </w:t>
      </w:r>
      <w:r>
        <w:rPr>
          <w:spacing w:val="-66"/>
        </w:rPr>
      </w:r>
      <w:r>
        <w:rPr/>
        <w:t>带</w:t>
      </w:r>
      <w:r>
        <w:rPr>
          <w:rFonts w:ascii="Times New Roman" w:hAnsi="Times New Roman" w:cs="Times New Roman" w:eastAsia="Times New Roman" w:hint="default"/>
        </w:rPr>
        <w:t>UWB</w:t>
      </w:r>
      <w:r>
        <w:rPr/>
        <w:t>高精度定位技术、电子围栏技术、腕表超长续航技术、位置轨迹大数据分析、智慧监狱大数据解决方案等技术和产 </w:t>
      </w:r>
      <w:r>
        <w:rPr>
          <w:spacing w:val="-2"/>
        </w:rPr>
        <w:t>品具有较为领先的优势，其以智慧监狱电子身份管理平台为基础的三大平台产品通过物联网、大数据技术有效解决了监狱管</w:t>
      </w:r>
      <w:r>
        <w:rPr>
          <w:spacing w:val="-64"/>
        </w:rPr>
        <w:t> </w:t>
      </w:r>
      <w:r>
        <w:rPr>
          <w:spacing w:val="-64"/>
        </w:rPr>
      </w:r>
      <w:r>
        <w:rPr>
          <w:spacing w:val="-1"/>
        </w:rPr>
        <w:t>理难题，已在深圳、梅州、北江等多地试点，以</w:t>
      </w:r>
      <w:r>
        <w:rPr>
          <w:rFonts w:ascii="Times New Roman" w:hAnsi="Times New Roman" w:cs="Times New Roman" w:eastAsia="Times New Roman" w:hint="default"/>
          <w:spacing w:val="-1"/>
        </w:rPr>
        <w:t>“UWB</w:t>
      </w:r>
      <w:r>
        <w:rPr>
          <w:spacing w:val="-1"/>
        </w:rPr>
        <w:t>腕带</w:t>
      </w:r>
      <w:r>
        <w:rPr>
          <w:rFonts w:ascii="Times New Roman" w:hAnsi="Times New Roman" w:cs="Times New Roman" w:eastAsia="Times New Roman" w:hint="default"/>
          <w:spacing w:val="-1"/>
        </w:rPr>
        <w:t>+</w:t>
      </w:r>
      <w:r>
        <w:rPr>
          <w:spacing w:val="-1"/>
        </w:rPr>
        <w:t>可分离式移动终端</w:t>
      </w:r>
      <w:r>
        <w:rPr>
          <w:rFonts w:ascii="Times New Roman" w:hAnsi="Times New Roman" w:cs="Times New Roman" w:eastAsia="Times New Roman" w:hint="default"/>
          <w:spacing w:val="-1"/>
        </w:rPr>
        <w:t>”</w:t>
      </w:r>
      <w:r>
        <w:rPr>
          <w:spacing w:val="-1"/>
        </w:rPr>
        <w:t>为组合的硬件体系加上</w:t>
      </w:r>
      <w:r>
        <w:rPr>
          <w:rFonts w:ascii="Times New Roman" w:hAnsi="Times New Roman" w:cs="Times New Roman" w:eastAsia="Times New Roman" w:hint="default"/>
          <w:spacing w:val="-1"/>
        </w:rPr>
        <w:t>“</w:t>
      </w:r>
      <w:r>
        <w:rPr>
          <w:spacing w:val="-1"/>
        </w:rPr>
        <w:t>一朵云两平台</w:t>
      </w:r>
      <w:r>
        <w:rPr>
          <w:rFonts w:ascii="Times New Roman" w:hAnsi="Times New Roman" w:cs="Times New Roman" w:eastAsia="Times New Roman" w:hint="default"/>
          <w:spacing w:val="-1"/>
        </w:rPr>
        <w:t>”</w:t>
      </w:r>
      <w:r>
        <w:rPr>
          <w:spacing w:val="-1"/>
        </w:rPr>
        <w:t>的软</w:t>
      </w:r>
      <w:r>
        <w:rPr>
          <w:spacing w:val="-58"/>
        </w:rPr>
        <w:t> </w:t>
      </w:r>
      <w:r>
        <w:rPr>
          <w:spacing w:val="-2"/>
        </w:rPr>
        <w:t>件平台程序形成的综合解决方案，已作为经典案例在全国司法行政信息化推进工作会上展示，对行业和客户的深刻理解使得</w:t>
      </w:r>
      <w:r>
        <w:rPr>
          <w:spacing w:val="-64"/>
        </w:rPr>
        <w:t> </w:t>
      </w:r>
      <w:r>
        <w:rPr>
          <w:spacing w:val="-64"/>
        </w:rPr>
      </w:r>
      <w:r>
        <w:rPr>
          <w:spacing w:val="-2"/>
        </w:rPr>
        <w:t>公司在对应的主营业务领域具有较为明显的先发优势。同时，公司立足广东，构建以总部为核心，辐射全国的服务和运营网</w:t>
      </w:r>
      <w:r>
        <w:rPr>
          <w:spacing w:val="-66"/>
        </w:rPr>
        <w:t> </w:t>
      </w:r>
      <w:r>
        <w:rPr>
          <w:spacing w:val="-66"/>
        </w:rPr>
      </w:r>
      <w:r>
        <w:rPr>
          <w:spacing w:val="-2"/>
        </w:rPr>
        <w:t>络，不断扩充全国服务及营运网点，优化终端服务功能。目前公司已在全国设立了</w:t>
      </w:r>
      <w:r>
        <w:rPr>
          <w:rFonts w:ascii="Times New Roman" w:hAnsi="Times New Roman" w:cs="Times New Roman" w:eastAsia="Times New Roman" w:hint="default"/>
          <w:spacing w:val="-2"/>
        </w:rPr>
        <w:t>31</w:t>
      </w:r>
      <w:r>
        <w:rPr>
          <w:spacing w:val="-2"/>
        </w:rPr>
        <w:t>家分公司，拥有一支营销能力较强的市</w:t>
      </w:r>
      <w:r>
        <w:rPr>
          <w:spacing w:val="-64"/>
        </w:rPr>
        <w:t> </w:t>
      </w:r>
      <w:r>
        <w:rPr>
          <w:spacing w:val="-64"/>
        </w:rPr>
      </w:r>
      <w:r>
        <w:rPr>
          <w:spacing w:val="-2"/>
        </w:rPr>
        <w:t>场开拓队伍和服务意识强烈的客户服务队伍，贴近客户群体，能及时响应客户的需求，具备针对不同的客户群体的不同需求</w:t>
      </w:r>
      <w:r>
        <w:rPr>
          <w:spacing w:val="-66"/>
        </w:rPr>
        <w:t> </w:t>
      </w:r>
      <w:r>
        <w:rPr>
          <w:spacing w:val="-66"/>
        </w:rPr>
      </w:r>
      <w:r>
        <w:rPr/>
        <w:t>提供高效优质的整体解决方案和专业的运营服务的显著优势。</w:t>
      </w:r>
    </w:p>
    <w:p>
      <w:pPr>
        <w:pStyle w:val="Heading3"/>
        <w:spacing w:line="240" w:lineRule="auto" w:before="34"/>
        <w:ind w:left="512" w:right="0"/>
        <w:jc w:val="left"/>
        <w:rPr>
          <w:b w:val="0"/>
          <w:bCs w:val="0"/>
        </w:rPr>
      </w:pPr>
      <w:r>
        <w:rPr>
          <w:rFonts w:ascii="Times New Roman" w:hAnsi="Times New Roman" w:cs="Times New Roman" w:eastAsia="Times New Roman" w:hint="default"/>
        </w:rPr>
        <w:t>3</w:t>
      </w:r>
      <w:r>
        <w:rPr/>
        <w:t>、产品优势</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514" w:right="0"/>
        <w:jc w:val="left"/>
      </w:pPr>
      <w:r>
        <w:rPr/>
        <w:t>与友商开发的单一平台不同，公司在公共安全领域提供的大数据平台则糅合了平安城市、雪亮工程、人脸识别平台、车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0" w:lineRule="auto"/>
        <w:ind w:right="1129"/>
        <w:jc w:val="both"/>
      </w:pPr>
      <w:r>
        <w:rPr>
          <w:spacing w:val="-1"/>
        </w:rPr>
        <w:t>辆大数据平台、</w:t>
      </w:r>
      <w:r>
        <w:rPr>
          <w:rFonts w:ascii="Times New Roman" w:hAnsi="Times New Roman" w:cs="Times New Roman" w:eastAsia="Times New Roman" w:hint="default"/>
          <w:spacing w:val="-1"/>
        </w:rPr>
        <w:t>9+X</w:t>
      </w:r>
      <w:r>
        <w:rPr>
          <w:spacing w:val="-1"/>
        </w:rPr>
        <w:t>综合治理平台等多个平台，将各平台的数据做在同一个数据平台上，汇集不同平台的数据可实现有针对</w:t>
      </w:r>
      <w:r>
        <w:rPr>
          <w:spacing w:val="-79"/>
        </w:rPr>
        <w:t> </w:t>
      </w:r>
      <w:r>
        <w:rPr>
          <w:spacing w:val="-79"/>
        </w:rPr>
      </w:r>
      <w:r>
        <w:rPr>
          <w:spacing w:val="-3"/>
        </w:rPr>
        <w:t>性的整合成完整的数据证据链等功能，能够实现数据应用价值的最大化；在金融物联领域，公司打造的智慧物联管理平台</w:t>
      </w:r>
      <w:r>
        <w:rPr>
          <w:rFonts w:ascii="Times New Roman" w:hAnsi="Times New Roman" w:cs="Times New Roman" w:eastAsia="Times New Roman" w:hint="default"/>
          <w:spacing w:val="-3"/>
        </w:rPr>
        <w:t>4.0</w:t>
      </w:r>
      <w:r>
        <w:rPr>
          <w:rFonts w:ascii="Times New Roman" w:hAnsi="Times New Roman" w:cs="Times New Roman" w:eastAsia="Times New Roman" w:hint="default"/>
          <w:spacing w:val="-2"/>
        </w:rPr>
        <w:t> </w:t>
      </w:r>
      <w:r>
        <w:rPr/>
        <w:t>是基于工业</w:t>
      </w:r>
      <w:r>
        <w:rPr>
          <w:rFonts w:ascii="Times New Roman" w:hAnsi="Times New Roman" w:cs="Times New Roman" w:eastAsia="Times New Roman" w:hint="default"/>
        </w:rPr>
        <w:t>4.0</w:t>
      </w:r>
      <w:r>
        <w:rPr/>
        <w:t>思想并糅合了平台工具技术、人工智能技术以及大数据技术的平台，其核心优势在于轻开发、柔性定制、敏 </w:t>
      </w:r>
      <w:r>
        <w:rPr>
          <w:spacing w:val="-2"/>
        </w:rPr>
        <w:t>捷生产、迅速实施且快速实现、研发时间及成本大幅度减少，能为客户提供更尖端、更柔性、全面物联、智慧管理的综合服</w:t>
      </w:r>
      <w:r>
        <w:rPr>
          <w:spacing w:val="-68"/>
        </w:rPr>
        <w:t> </w:t>
      </w:r>
      <w:r>
        <w:rPr>
          <w:spacing w:val="-68"/>
        </w:rPr>
      </w:r>
      <w:r>
        <w:rPr>
          <w:spacing w:val="-2"/>
        </w:rPr>
        <w:t>务；在智慧司法领域，公司产品在定位精准度、超低功耗设计、平台数据融合应用、整体方案性价比及项目推广方面均有着</w:t>
      </w:r>
      <w:r>
        <w:rPr>
          <w:spacing w:val="-66"/>
        </w:rPr>
        <w:t> </w:t>
      </w:r>
      <w:r>
        <w:rPr>
          <w:spacing w:val="-66"/>
        </w:rPr>
      </w:r>
      <w:r>
        <w:rPr/>
        <w:t>突出的优势。</w:t>
      </w:r>
    </w:p>
    <w:p>
      <w:pPr>
        <w:pStyle w:val="Heading3"/>
        <w:spacing w:line="240" w:lineRule="auto" w:before="41"/>
        <w:ind w:left="512" w:right="0"/>
        <w:jc w:val="left"/>
        <w:rPr>
          <w:b w:val="0"/>
          <w:bCs w:val="0"/>
        </w:rPr>
      </w:pPr>
      <w:r>
        <w:rPr>
          <w:rFonts w:ascii="Times New Roman" w:hAnsi="Times New Roman" w:cs="Times New Roman" w:eastAsia="Times New Roman" w:hint="default"/>
        </w:rPr>
        <w:t>4</w:t>
      </w:r>
      <w:r>
        <w:rPr/>
        <w:t>、创新的商业模式优势</w:t>
      </w:r>
      <w:r>
        <w:rPr>
          <w:b w:val="0"/>
          <w:bCs w:val="0"/>
        </w:rPr>
      </w:r>
    </w:p>
    <w:p>
      <w:pPr>
        <w:spacing w:line="240" w:lineRule="auto" w:before="6"/>
        <w:rPr>
          <w:rFonts w:ascii="宋体" w:hAnsi="宋体" w:cs="宋体" w:eastAsia="宋体" w:hint="default"/>
          <w:b/>
          <w:bCs/>
          <w:sz w:val="15"/>
          <w:szCs w:val="15"/>
        </w:rPr>
      </w:pPr>
    </w:p>
    <w:p>
      <w:pPr>
        <w:pStyle w:val="BodyText"/>
        <w:spacing w:line="451" w:lineRule="auto"/>
        <w:ind w:right="1130" w:firstLine="360"/>
        <w:jc w:val="both"/>
      </w:pPr>
      <w:r>
        <w:rPr>
          <w:spacing w:val="-4"/>
        </w:rPr>
        <w:t>公司在公共安全、智慧司法和金融物联领域均率先打造了向客户提供运营服务的商业模式。以公共安全为例，公司以</w:t>
      </w:r>
      <w:r>
        <w:rPr>
          <w:rFonts w:ascii="Times New Roman" w:hAnsi="Times New Roman" w:cs="Times New Roman" w:eastAsia="Times New Roman" w:hint="default"/>
          <w:spacing w:val="-4"/>
        </w:rPr>
        <w:t>“</w:t>
      </w:r>
      <w:r>
        <w:rPr>
          <w:spacing w:val="-4"/>
        </w:rPr>
        <w:t>建</w:t>
      </w:r>
      <w:r>
        <w:rPr/>
        <w:t> </w:t>
      </w:r>
      <w:r>
        <w:rPr>
          <w:spacing w:val="-2"/>
        </w:rPr>
        <w:t>设</w:t>
      </w:r>
      <w:r>
        <w:rPr>
          <w:rFonts w:ascii="Times New Roman" w:hAnsi="Times New Roman" w:cs="Times New Roman" w:eastAsia="Times New Roman" w:hint="default"/>
          <w:spacing w:val="-2"/>
        </w:rPr>
        <w:t>+</w:t>
      </w:r>
      <w:r>
        <w:rPr>
          <w:spacing w:val="-2"/>
        </w:rPr>
        <w:t>运营</w:t>
      </w:r>
      <w:r>
        <w:rPr>
          <w:rFonts w:ascii="Times New Roman" w:hAnsi="Times New Roman" w:cs="Times New Roman" w:eastAsia="Times New Roman" w:hint="default"/>
          <w:spacing w:val="-2"/>
        </w:rPr>
        <w:t>”</w:t>
      </w:r>
      <w:r>
        <w:rPr>
          <w:spacing w:val="-2"/>
        </w:rPr>
        <w:t>的模式实施重庆渝北项目，重庆渝北区公安局须向公司购买视频大数据服务，公司向其收取运营费用，公司正在将</w:t>
      </w:r>
      <w:r>
        <w:rPr>
          <w:spacing w:val="-66"/>
        </w:rPr>
        <w:t> </w:t>
      </w:r>
      <w:r>
        <w:rPr>
          <w:spacing w:val="-66"/>
        </w:rPr>
      </w:r>
      <w:r>
        <w:rPr>
          <w:spacing w:val="-1"/>
        </w:rPr>
        <w:t>重庆项目模式打造为标杆模式，未来准备以此为案例，将运营模式下的政府端（</w:t>
      </w:r>
      <w:r>
        <w:rPr>
          <w:rFonts w:ascii="Times New Roman" w:hAnsi="Times New Roman" w:cs="Times New Roman" w:eastAsia="Times New Roman" w:hint="default"/>
          <w:spacing w:val="-1"/>
        </w:rPr>
        <w:t>G</w:t>
      </w:r>
      <w:r>
        <w:rPr>
          <w:spacing w:val="-1"/>
        </w:rPr>
        <w:t>端）的业务，扩展至同区域内的商业客户</w:t>
      </w:r>
      <w:r>
        <w:rPr>
          <w:spacing w:val="-69"/>
        </w:rPr>
        <w:t> </w:t>
      </w:r>
      <w:r>
        <w:rPr>
          <w:spacing w:val="-69"/>
        </w:rPr>
      </w:r>
      <w:r>
        <w:rPr>
          <w:spacing w:val="-1"/>
        </w:rPr>
        <w:t>端（</w:t>
      </w:r>
      <w:r>
        <w:rPr>
          <w:rFonts w:ascii="Times New Roman" w:hAnsi="Times New Roman" w:cs="Times New Roman" w:eastAsia="Times New Roman" w:hint="default"/>
          <w:spacing w:val="-1"/>
        </w:rPr>
        <w:t>B</w:t>
      </w:r>
      <w:r>
        <w:rPr>
          <w:spacing w:val="-1"/>
        </w:rPr>
        <w:t>端）及普通客户端（</w:t>
      </w:r>
      <w:r>
        <w:rPr>
          <w:rFonts w:ascii="Times New Roman" w:hAnsi="Times New Roman" w:cs="Times New Roman" w:eastAsia="Times New Roman" w:hint="default"/>
          <w:spacing w:val="-1"/>
        </w:rPr>
        <w:t>C</w:t>
      </w:r>
      <w:r>
        <w:rPr>
          <w:spacing w:val="-1"/>
        </w:rPr>
        <w:t>端），通过与政府端公共安全数据运营形成联动体系，运营</w:t>
      </w:r>
      <w:r>
        <w:rPr>
          <w:rFonts w:ascii="Times New Roman" w:hAnsi="Times New Roman" w:cs="Times New Roman" w:eastAsia="Times New Roman" w:hint="default"/>
          <w:spacing w:val="-1"/>
        </w:rPr>
        <w:t>C</w:t>
      </w:r>
      <w:r>
        <w:rPr>
          <w:spacing w:val="-1"/>
        </w:rPr>
        <w:t>端、</w:t>
      </w:r>
      <w:r>
        <w:rPr>
          <w:rFonts w:ascii="Times New Roman" w:hAnsi="Times New Roman" w:cs="Times New Roman" w:eastAsia="Times New Roman" w:hint="default"/>
          <w:spacing w:val="-1"/>
        </w:rPr>
        <w:t>B</w:t>
      </w:r>
      <w:r>
        <w:rPr>
          <w:spacing w:val="-1"/>
        </w:rPr>
        <w:t>端业务；相比单纯的建设交</w:t>
      </w:r>
      <w:r>
        <w:rPr>
          <w:spacing w:val="-66"/>
        </w:rPr>
        <w:t> </w:t>
      </w:r>
      <w:r>
        <w:rPr>
          <w:spacing w:val="-66"/>
        </w:rPr>
      </w:r>
      <w:r>
        <w:rPr/>
        <w:t>付模式，公司打造的运营模式使得业务生命周期具备了更强的延展性和更高的盈利能力。</w:t>
      </w:r>
    </w:p>
    <w:p>
      <w:pPr>
        <w:pStyle w:val="Heading3"/>
        <w:spacing w:line="240" w:lineRule="auto" w:before="48"/>
        <w:ind w:left="512" w:right="0"/>
        <w:jc w:val="left"/>
        <w:rPr>
          <w:b w:val="0"/>
          <w:bCs w:val="0"/>
        </w:rPr>
      </w:pPr>
      <w:r>
        <w:rPr>
          <w:rFonts w:ascii="Times New Roman" w:hAnsi="Times New Roman" w:cs="Times New Roman" w:eastAsia="Times New Roman" w:hint="default"/>
        </w:rPr>
        <w:t>5</w:t>
      </w:r>
      <w:r>
        <w:rPr/>
        <w:t>、综合资质优势</w:t>
      </w:r>
      <w:r>
        <w:rPr>
          <w:b w:val="0"/>
          <w:bCs w:val="0"/>
        </w:rPr>
      </w:r>
    </w:p>
    <w:p>
      <w:pPr>
        <w:spacing w:line="240" w:lineRule="auto" w:before="6"/>
        <w:rPr>
          <w:rFonts w:ascii="宋体" w:hAnsi="宋体" w:cs="宋体" w:eastAsia="宋体" w:hint="default"/>
          <w:b/>
          <w:bCs/>
          <w:sz w:val="15"/>
          <w:szCs w:val="15"/>
        </w:rPr>
      </w:pPr>
    </w:p>
    <w:p>
      <w:pPr>
        <w:pStyle w:val="BodyText"/>
        <w:spacing w:line="468" w:lineRule="auto"/>
        <w:ind w:right="0" w:firstLine="360"/>
        <w:jc w:val="left"/>
      </w:pPr>
      <w:r>
        <w:rPr>
          <w:spacing w:val="-2"/>
        </w:rPr>
        <w:t>由于公共安全、司法和金融均是受到国家高度监管的行业，产品和服务提供商必须要获得相应的行业资质证书和经营许</w:t>
      </w:r>
      <w:r>
        <w:rPr/>
        <w:t> 可证才能参与竞标，从而获得订单和项目，资质分为壹级</w:t>
      </w:r>
      <w:r>
        <w:rPr>
          <w:rFonts w:ascii="Times New Roman" w:hAnsi="Times New Roman" w:cs="Times New Roman" w:eastAsia="Times New Roman" w:hint="default"/>
        </w:rPr>
        <w:t>/</w:t>
      </w:r>
      <w:r>
        <w:rPr/>
        <w:t>甲级、贰级</w:t>
      </w:r>
      <w:r>
        <w:rPr>
          <w:rFonts w:ascii="Times New Roman" w:hAnsi="Times New Roman" w:cs="Times New Roman" w:eastAsia="Times New Roman" w:hint="default"/>
        </w:rPr>
        <w:t>/</w:t>
      </w:r>
      <w:r>
        <w:rPr/>
        <w:t>乙级、三级</w:t>
      </w:r>
      <w:r>
        <w:rPr>
          <w:rFonts w:ascii="Times New Roman" w:hAnsi="Times New Roman" w:cs="Times New Roman" w:eastAsia="Times New Roman" w:hint="default"/>
        </w:rPr>
        <w:t>/</w:t>
      </w:r>
      <w:r>
        <w:rPr/>
        <w:t>丙级三个等级，每个等级都设置了相应的 </w:t>
      </w:r>
      <w:r>
        <w:rPr>
          <w:spacing w:val="-2"/>
        </w:rPr>
        <w:t>项目指标，企业必须通过指标评估之后才能获得相应的证书。公司凭借长期积累的行业技术优势及综合服务能力，具备综合</w:t>
      </w:r>
      <w:r>
        <w:rPr>
          <w:spacing w:val="-66"/>
        </w:rPr>
        <w:t> </w:t>
      </w:r>
      <w:r>
        <w:rPr>
          <w:spacing w:val="-66"/>
        </w:rPr>
      </w:r>
      <w:r>
        <w:rPr>
          <w:spacing w:val="-4"/>
        </w:rPr>
        <w:t>资质证书优势，壹、贰、叁级安防系统集成资质均已获得，并先后取得了涉密信息系统集成甲级资质证书、保安服务许可证、</w:t>
      </w:r>
      <w:r>
        <w:rPr>
          <w:spacing w:val="-44"/>
        </w:rPr>
        <w:t> </w:t>
      </w:r>
      <w:r>
        <w:rPr>
          <w:spacing w:val="-44"/>
        </w:rPr>
      </w:r>
      <w:r>
        <w:rPr/>
        <w:t>电子与智能化工程专业承包壹级证书、广东省安全技术防范系统设计</w:t>
      </w:r>
      <w:r>
        <w:rPr>
          <w:rFonts w:ascii="Times New Roman" w:hAnsi="Times New Roman" w:cs="Times New Roman" w:eastAsia="Times New Roman" w:hint="default"/>
        </w:rPr>
        <w:t>/</w:t>
      </w:r>
      <w:r>
        <w:rPr/>
        <w:t>施工</w:t>
      </w:r>
      <w:r>
        <w:rPr>
          <w:rFonts w:ascii="Times New Roman" w:hAnsi="Times New Roman" w:cs="Times New Roman" w:eastAsia="Times New Roman" w:hint="default"/>
        </w:rPr>
        <w:t>/</w:t>
      </w:r>
      <w:r>
        <w:rPr/>
        <w:t>维修资格证壹级证书（该证书由广东省公安厅颁 </w:t>
      </w:r>
      <w:r>
        <w:rPr>
          <w:spacing w:val="-2"/>
        </w:rPr>
        <w:t>发，适用全国）、安防工程企业设计施工维护能力壹级证书、信息系统集成及服务资质贰级证书、建筑智能化系统设计专项</w:t>
      </w:r>
      <w:r>
        <w:rPr>
          <w:spacing w:val="-66"/>
        </w:rPr>
        <w:t> </w:t>
      </w:r>
      <w:r>
        <w:rPr>
          <w:spacing w:val="-66"/>
        </w:rPr>
      </w:r>
      <w:r>
        <w:rPr/>
        <w:t>乙级证书、安全生产许可证、</w:t>
      </w:r>
      <w:r>
        <w:rPr>
          <w:rFonts w:ascii="Times New Roman" w:hAnsi="Times New Roman" w:cs="Times New Roman" w:eastAsia="Times New Roman" w:hint="default"/>
        </w:rPr>
        <w:t>CMMI3</w:t>
      </w:r>
      <w:r>
        <w:rPr/>
        <w:t>级评估认证证书、</w:t>
      </w:r>
      <w:r>
        <w:rPr>
          <w:rFonts w:ascii="Times New Roman" w:hAnsi="Times New Roman" w:cs="Times New Roman" w:eastAsia="Times New Roman" w:hint="default"/>
        </w:rPr>
        <w:t>IT</w:t>
      </w:r>
      <w:r>
        <w:rPr/>
        <w:t>服务管理体系认证证书、信息安全管理体系认证证书、质量管理</w:t>
      </w:r>
      <w:r>
        <w:rPr>
          <w:w w:val="99"/>
        </w:rPr>
        <w:t> </w:t>
      </w:r>
      <w:r>
        <w:rPr>
          <w:spacing w:val="-2"/>
        </w:rPr>
        <w:t>体系认证证书、环境管理体系认证证书、职业健康安全管理体系认证证书等企业资质。公司所取得的以上等级证书已充分满</w:t>
      </w:r>
      <w:r>
        <w:rPr>
          <w:spacing w:val="-67"/>
        </w:rPr>
        <w:t> </w:t>
      </w:r>
      <w:r>
        <w:rPr>
          <w:spacing w:val="-67"/>
        </w:rPr>
      </w:r>
      <w:r>
        <w:rPr/>
        <w:t>足公司目前业务领域对业内企业的资质要求，成为业内资质较齐全的企业之一。</w:t>
      </w:r>
    </w:p>
    <w:p>
      <w:pPr>
        <w:spacing w:after="0" w:line="46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before="26"/>
        <w:ind w:right="0"/>
        <w:jc w:val="left"/>
        <w:rPr>
          <w:b w:val="0"/>
          <w:bCs w:val="0"/>
        </w:rPr>
      </w:pPr>
      <w:bookmarkStart w:name="一、概述" w:id="23"/>
      <w:bookmarkEnd w:id="23"/>
      <w:r>
        <w:rPr>
          <w:b w:val="0"/>
          <w:bCs w:val="0"/>
        </w:rPr>
      </w:r>
      <w:r>
        <w:rPr/>
        <w:t>一、概述</w:t>
      </w:r>
      <w:r>
        <w:rPr>
          <w:b w:val="0"/>
          <w:bCs w:val="0"/>
        </w:rPr>
      </w:r>
    </w:p>
    <w:p>
      <w:pPr>
        <w:spacing w:line="240" w:lineRule="auto" w:before="0"/>
        <w:rPr>
          <w:rFonts w:ascii="宋体" w:hAnsi="宋体" w:cs="宋体" w:eastAsia="宋体" w:hint="default"/>
          <w:b/>
          <w:bCs/>
          <w:sz w:val="24"/>
          <w:szCs w:val="24"/>
        </w:rPr>
      </w:pPr>
    </w:p>
    <w:p>
      <w:pPr>
        <w:pStyle w:val="BodyText"/>
        <w:spacing w:line="468" w:lineRule="auto" w:before="188"/>
        <w:ind w:right="1032" w:firstLine="290"/>
        <w:jc w:val="left"/>
      </w:pPr>
      <w:r>
        <w:rPr/>
        <w:t>国务院于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月印发了《新一代人工智能发展规划》和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月发布了《人工智能标准化白皮书》，大力倡导和推 动人工智能技术的创新、发展。</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月，中共中央全面深化改革委员会第七次会议审议通过了《关于促进人工智能和实 体经济深度融合的指导意见》。会议指出要把握新一代人工智能发展的特点，坚持以市场需求为导向，以产业应用为目标， </w:t>
      </w:r>
      <w:r>
        <w:rPr>
          <w:spacing w:val="-2"/>
        </w:rPr>
        <w:t>深化改革创新，优化制度环境，激发企业创新活力和内生动力，结合不同行业、不同区域特点，探索创新成果应用转化的路</w:t>
      </w:r>
      <w:r>
        <w:rPr>
          <w:spacing w:val="-66"/>
        </w:rPr>
        <w:t> </w:t>
      </w:r>
      <w:r>
        <w:rPr>
          <w:spacing w:val="-66"/>
        </w:rPr>
      </w:r>
      <w:r>
        <w:rPr>
          <w:spacing w:val="-2"/>
        </w:rPr>
        <w:t>径和方法，构建数据驱动、人机协同、跨界融合、共创分享的智能经济形态。人工智能在各个行业的融合应用已成为当下科</w:t>
      </w:r>
      <w:r>
        <w:rPr>
          <w:spacing w:val="-66"/>
        </w:rPr>
        <w:t> </w:t>
      </w:r>
      <w:r>
        <w:rPr>
          <w:spacing w:val="-66"/>
        </w:rPr>
      </w:r>
      <w:r>
        <w:rPr>
          <w:spacing w:val="-2"/>
        </w:rPr>
        <w:t>技领域的趋势。随着人工智能与物联网、大数据、云计算等新兴技术的持续发展和加速融合，为各行业的变革及发展注入新</w:t>
      </w:r>
      <w:r>
        <w:rPr>
          <w:spacing w:val="-66"/>
        </w:rPr>
        <w:t> </w:t>
      </w:r>
      <w:r>
        <w:rPr>
          <w:spacing w:val="-66"/>
        </w:rPr>
      </w:r>
      <w:r>
        <w:rPr/>
        <w:t>的动力，大大的拓展了各行业的发展边界，推动各行业向智慧化、物联化方向发展。</w:t>
      </w:r>
    </w:p>
    <w:p>
      <w:pPr>
        <w:pStyle w:val="BodyText"/>
        <w:spacing w:line="458" w:lineRule="auto" w:before="61"/>
        <w:ind w:right="0" w:firstLine="290"/>
        <w:jc w:val="left"/>
      </w:pPr>
      <w:r>
        <w:rPr>
          <w:spacing w:val="-1"/>
        </w:rPr>
        <w:t>顺应技术的发展，公司结合自身发展阶段和实际情况，制定了</w:t>
      </w:r>
      <w:r>
        <w:rPr>
          <w:rFonts w:ascii="Times New Roman" w:hAnsi="Times New Roman" w:cs="Times New Roman" w:eastAsia="Times New Roman" w:hint="default"/>
          <w:spacing w:val="-1"/>
        </w:rPr>
        <w:t>“</w:t>
      </w:r>
      <w:r>
        <w:rPr>
          <w:spacing w:val="-1"/>
        </w:rPr>
        <w:t>一核三线</w:t>
      </w:r>
      <w:r>
        <w:rPr>
          <w:rFonts w:ascii="Times New Roman" w:hAnsi="Times New Roman" w:cs="Times New Roman" w:eastAsia="Times New Roman" w:hint="default"/>
          <w:spacing w:val="-1"/>
        </w:rPr>
        <w:t>”</w:t>
      </w:r>
      <w:r>
        <w:rPr>
          <w:spacing w:val="-1"/>
        </w:rPr>
        <w:t>的业务战略，致力于打造基于工业</w:t>
      </w:r>
      <w:r>
        <w:rPr>
          <w:rFonts w:ascii="Times New Roman" w:hAnsi="Times New Roman" w:cs="Times New Roman" w:eastAsia="Times New Roman" w:hint="default"/>
          <w:spacing w:val="-1"/>
        </w:rPr>
        <w:t>4.0</w:t>
      </w:r>
      <w:r>
        <w:rPr>
          <w:spacing w:val="-1"/>
        </w:rPr>
        <w:t>思想的智</w:t>
      </w:r>
      <w:r>
        <w:rPr/>
        <w:t> </w:t>
      </w:r>
      <w:r>
        <w:rPr>
          <w:spacing w:val="-2"/>
        </w:rPr>
        <w:t>慧物联管理平台，将物联网、大数据、云计算、区块链、边缘计算及人工智能技术贯通到</w:t>
      </w:r>
      <w:r>
        <w:rPr>
          <w:rFonts w:ascii="Times New Roman" w:hAnsi="Times New Roman" w:cs="Times New Roman" w:eastAsia="Times New Roman" w:hint="default"/>
          <w:spacing w:val="-2"/>
        </w:rPr>
        <w:t>“</w:t>
      </w:r>
      <w:r>
        <w:rPr>
          <w:spacing w:val="-2"/>
        </w:rPr>
        <w:t>公共安全、智慧司法、金融物联</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spacing w:val="-2"/>
        </w:rPr>
        <w:t>三大行业板块业务，完整构建物联网在各行业应用的生态体系，实现物联网产品、物联网服务双翼齐飞。在公司战略的指导</w:t>
      </w:r>
      <w:r>
        <w:rPr>
          <w:spacing w:val="-66"/>
        </w:rPr>
        <w:t> </w:t>
      </w:r>
      <w:r>
        <w:rPr>
          <w:spacing w:val="-66"/>
        </w:rPr>
      </w:r>
      <w:r>
        <w:rPr>
          <w:spacing w:val="-2"/>
        </w:rPr>
        <w:t>和管理层的统一部署下，公司凭借着丰富的行业经验、广泛的客户资源以及深厚的技术实力，通过优化管理、强化成本和风</w:t>
      </w:r>
      <w:r>
        <w:rPr>
          <w:spacing w:val="-65"/>
        </w:rPr>
        <w:t> </w:t>
      </w:r>
      <w:r>
        <w:rPr>
          <w:spacing w:val="-65"/>
        </w:rPr>
      </w:r>
      <w:r>
        <w:rPr>
          <w:spacing w:val="-2"/>
        </w:rPr>
        <w:t>险控制、增加利润增长点等各项措施，整体运营效率得到有效提升，报告期内，公司实现营业收入</w:t>
      </w:r>
      <w:r>
        <w:rPr>
          <w:rFonts w:ascii="Times New Roman" w:hAnsi="Times New Roman" w:cs="Times New Roman" w:eastAsia="Times New Roman" w:hint="default"/>
          <w:spacing w:val="-2"/>
        </w:rPr>
        <w:t>76,530.21</w:t>
      </w:r>
      <w:r>
        <w:rPr>
          <w:spacing w:val="-2"/>
        </w:rPr>
        <w:t>万元，较上年同</w:t>
      </w:r>
      <w:r>
        <w:rPr>
          <w:spacing w:val="-58"/>
        </w:rPr>
        <w:t> </w:t>
      </w:r>
      <w:r>
        <w:rPr>
          <w:spacing w:val="-58"/>
        </w:rPr>
      </w:r>
      <w:r>
        <w:rPr/>
        <w:t>期增长</w:t>
      </w:r>
      <w:r>
        <w:rPr>
          <w:rFonts w:ascii="Times New Roman" w:hAnsi="Times New Roman" w:cs="Times New Roman" w:eastAsia="Times New Roman" w:hint="default"/>
        </w:rPr>
        <w:t>34.31%</w:t>
      </w:r>
      <w:r>
        <w:rPr/>
        <w:t>；营业利润为</w:t>
      </w:r>
      <w:r>
        <w:rPr>
          <w:rFonts w:ascii="Times New Roman" w:hAnsi="Times New Roman" w:cs="Times New Roman" w:eastAsia="Times New Roman" w:hint="default"/>
        </w:rPr>
        <w:t>17,942.86</w:t>
      </w:r>
      <w:r>
        <w:rPr/>
        <w:t>万元，较上年同期增长</w:t>
      </w:r>
      <w:r>
        <w:rPr>
          <w:rFonts w:ascii="Times New Roman" w:hAnsi="Times New Roman" w:cs="Times New Roman" w:eastAsia="Times New Roman" w:hint="default"/>
        </w:rPr>
        <w:t>34.04%</w:t>
      </w:r>
      <w:r>
        <w:rPr/>
        <w:t>；归属于母公司所有者的净利润为</w:t>
      </w:r>
      <w:r>
        <w:rPr>
          <w:rFonts w:ascii="Times New Roman" w:hAnsi="Times New Roman" w:cs="Times New Roman" w:eastAsia="Times New Roman" w:hint="default"/>
        </w:rPr>
        <w:t>14,022.53</w:t>
      </w:r>
      <w:r>
        <w:rPr/>
        <w:t>万元，较上 年同期增长</w:t>
      </w:r>
      <w:r>
        <w:rPr>
          <w:rFonts w:ascii="Times New Roman" w:hAnsi="Times New Roman" w:cs="Times New Roman" w:eastAsia="Times New Roman" w:hint="default"/>
        </w:rPr>
        <w:t>26.12%</w:t>
      </w:r>
      <w:r>
        <w:rPr>
          <w:rFonts w:ascii="Times New Roman" w:hAnsi="Times New Roman" w:cs="Times New Roman" w:eastAsia="Times New Roman" w:hint="default"/>
          <w:spacing w:val="26"/>
        </w:rPr>
        <w:t> </w:t>
      </w:r>
      <w:r>
        <w:rPr/>
        <w:t>。</w:t>
      </w:r>
    </w:p>
    <w:p>
      <w:pPr>
        <w:pStyle w:val="BodyText"/>
        <w:spacing w:line="477" w:lineRule="auto" w:before="37"/>
        <w:ind w:right="0" w:firstLine="290"/>
        <w:jc w:val="left"/>
      </w:pPr>
      <w:r>
        <w:rPr>
          <w:spacing w:val="-1"/>
        </w:rPr>
        <w:t>公司管理层紧密围绕着公司的业务战略、总体经营思路和年初制定的年度工作计划，贯彻执行董事会的战略部署，结合</w:t>
      </w:r>
      <w:r>
        <w:rPr/>
        <w:t> 公司优势，积极开展各项工作。报告期内，公司总体经营情况如下：</w:t>
      </w:r>
    </w:p>
    <w:p>
      <w:pPr>
        <w:pStyle w:val="BodyText"/>
        <w:spacing w:line="240" w:lineRule="auto" w:before="54"/>
        <w:ind w:right="0"/>
        <w:jc w:val="left"/>
      </w:pPr>
      <w:r>
        <w:rPr>
          <w:rFonts w:ascii="Times New Roman" w:hAnsi="Times New Roman" w:cs="Times New Roman" w:eastAsia="Times New Roman" w:hint="default"/>
        </w:rPr>
        <w:t>1</w:t>
      </w:r>
      <w:r>
        <w:rPr/>
        <w:t>、业务发展情况</w:t>
      </w:r>
    </w:p>
    <w:p>
      <w:pPr>
        <w:spacing w:line="240" w:lineRule="auto" w:before="9"/>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1</w:t>
      </w:r>
      <w:r>
        <w:rPr/>
        <w:t>）公共安全</w:t>
      </w:r>
    </w:p>
    <w:p>
      <w:pPr>
        <w:spacing w:line="240" w:lineRule="auto" w:before="9"/>
        <w:rPr>
          <w:rFonts w:ascii="宋体" w:hAnsi="宋体" w:cs="宋体" w:eastAsia="宋体" w:hint="default"/>
          <w:sz w:val="16"/>
          <w:szCs w:val="16"/>
        </w:rPr>
      </w:pPr>
    </w:p>
    <w:p>
      <w:pPr>
        <w:pStyle w:val="BodyText"/>
        <w:spacing w:line="465" w:lineRule="auto"/>
        <w:ind w:right="1030" w:firstLine="290"/>
        <w:jc w:val="left"/>
      </w:pPr>
      <w:r>
        <w:rPr/>
        <w:t>公共安全业务依托公司在运营模式和产品解决方案上的优势，紧抓</w:t>
      </w:r>
      <w:r>
        <w:rPr>
          <w:rFonts w:ascii="Times New Roman" w:hAnsi="Times New Roman" w:cs="Times New Roman" w:eastAsia="Times New Roman" w:hint="default"/>
        </w:rPr>
        <w:t>“</w:t>
      </w:r>
      <w:r>
        <w:rPr/>
        <w:t>雪亮工程</w:t>
      </w:r>
      <w:r>
        <w:rPr>
          <w:rFonts w:ascii="Times New Roman" w:hAnsi="Times New Roman" w:cs="Times New Roman" w:eastAsia="Times New Roman" w:hint="default"/>
        </w:rPr>
        <w:t>”“</w:t>
      </w:r>
      <w:r>
        <w:rPr/>
        <w:t>社会治安防控体系建设</w:t>
      </w:r>
      <w:r>
        <w:rPr>
          <w:rFonts w:ascii="Times New Roman" w:hAnsi="Times New Roman" w:cs="Times New Roman" w:eastAsia="Times New Roman" w:hint="default"/>
        </w:rPr>
        <w:t>”“</w:t>
      </w:r>
      <w:r>
        <w:rPr/>
        <w:t>新疆安防建设</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等政策利好，公司通过重庆渝北区的智慧天网项目，采用了多维大数据平台产品及创新的商业模式，打造了公共安全运营服</w:t>
      </w:r>
      <w:r>
        <w:rPr>
          <w:spacing w:val="-66"/>
        </w:rPr>
        <w:t> </w:t>
      </w:r>
      <w:r>
        <w:rPr>
          <w:spacing w:val="-66"/>
        </w:rPr>
      </w:r>
      <w:r>
        <w:rPr>
          <w:spacing w:val="-2"/>
        </w:rPr>
        <w:t>务的新模式，并逐步向全国各地推广，目前已在河北辛集、北京通州等落地并实现了收入。公司在持续夯实公共安全行业业</w:t>
      </w:r>
      <w:r>
        <w:rPr>
          <w:spacing w:val="-66"/>
        </w:rPr>
        <w:t> </w:t>
      </w:r>
      <w:r>
        <w:rPr>
          <w:spacing w:val="-66"/>
        </w:rPr>
      </w:r>
      <w:r>
        <w:rPr>
          <w:spacing w:val="-1"/>
        </w:rPr>
        <w:t>务基础的同时，也在智慧公安领域进行了业务探索和布局。</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月，公司收购冠网科技</w:t>
      </w:r>
      <w:r>
        <w:rPr>
          <w:rFonts w:ascii="Times New Roman" w:hAnsi="Times New Roman" w:cs="Times New Roman" w:eastAsia="Times New Roman" w:hint="default"/>
          <w:spacing w:val="-1"/>
        </w:rPr>
        <w:t>53%</w:t>
      </w:r>
      <w:r>
        <w:rPr>
          <w:spacing w:val="-1"/>
        </w:rPr>
        <w:t>股权，借助冠网科技在公安、</w:t>
      </w:r>
      <w:r>
        <w:rPr>
          <w:spacing w:val="-87"/>
        </w:rPr>
        <w:t> </w:t>
      </w:r>
      <w:r>
        <w:rPr>
          <w:spacing w:val="-87"/>
        </w:rPr>
      </w:r>
      <w:r>
        <w:rPr/>
        <w:t>交警的视频图像智能分析技术和车辆特征大数据系统方面具有的丰富落地案例和应用场景，将公共安全与智慧公安深度结 合，在业务上协同发展，实现公司在行业内部全方位的市场覆盖。</w:t>
      </w:r>
    </w:p>
    <w:p>
      <w:pPr>
        <w:pStyle w:val="BodyText"/>
        <w:spacing w:line="240" w:lineRule="auto" w:before="63"/>
        <w:ind w:right="0"/>
        <w:jc w:val="left"/>
      </w:pPr>
      <w:r>
        <w:rPr/>
        <w:t>（</w:t>
      </w:r>
      <w:r>
        <w:rPr>
          <w:rFonts w:ascii="Times New Roman" w:hAnsi="Times New Roman" w:cs="Times New Roman" w:eastAsia="Times New Roman" w:hint="default"/>
        </w:rPr>
        <w:t>2</w:t>
      </w:r>
      <w:r>
        <w:rPr/>
        <w:t>）智慧司法</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1032" w:firstLine="29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月，司法部部长傅政华在全国司法行政信息化工作推进会上明确表示：到</w:t>
      </w:r>
      <w:r>
        <w:rPr>
          <w:rFonts w:ascii="Times New Roman" w:hAnsi="Times New Roman" w:cs="Times New Roman" w:eastAsia="Times New Roman" w:hint="default"/>
        </w:rPr>
        <w:t>2019</w:t>
      </w:r>
      <w:r>
        <w:rPr/>
        <w:t>年底基本实现</w:t>
      </w:r>
      <w:r>
        <w:rPr>
          <w:rFonts w:ascii="Times New Roman" w:hAnsi="Times New Roman" w:cs="Times New Roman" w:eastAsia="Times New Roman" w:hint="default"/>
        </w:rPr>
        <w:t>“</w:t>
      </w:r>
      <w:r>
        <w:rPr/>
        <w:t>大平台共享、大 系统共治、大数据慧治</w:t>
      </w:r>
      <w:r>
        <w:rPr>
          <w:rFonts w:ascii="Times New Roman" w:hAnsi="Times New Roman" w:cs="Times New Roman" w:eastAsia="Times New Roman" w:hint="default"/>
        </w:rPr>
        <w:t>”</w:t>
      </w:r>
      <w:r>
        <w:rPr/>
        <w:t>的</w:t>
      </w:r>
      <w:r>
        <w:rPr>
          <w:rFonts w:ascii="Times New Roman" w:hAnsi="Times New Roman" w:cs="Times New Roman" w:eastAsia="Times New Roman" w:hint="default"/>
        </w:rPr>
        <w:t>“</w:t>
      </w:r>
      <w:r>
        <w:rPr/>
        <w:t>数字法治、智慧司法</w:t>
      </w:r>
      <w:r>
        <w:rPr>
          <w:rFonts w:ascii="Times New Roman" w:hAnsi="Times New Roman" w:cs="Times New Roman" w:eastAsia="Times New Roman" w:hint="default"/>
        </w:rPr>
        <w:t>”</w:t>
      </w:r>
      <w:r>
        <w:rPr/>
        <w:t>信息化建设目标，为公司的司法业务带来良好的发展机遇。从全面强化现 </w:t>
      </w:r>
      <w:r>
        <w:rPr>
          <w:spacing w:val="-3"/>
        </w:rPr>
        <w:t>代监狱信息化建设的需求出发，控股子公司润安科技用时</w:t>
      </w:r>
      <w:r>
        <w:rPr>
          <w:rFonts w:ascii="Times New Roman" w:hAnsi="Times New Roman" w:cs="Times New Roman" w:eastAsia="Times New Roman" w:hint="default"/>
          <w:spacing w:val="-3"/>
        </w:rPr>
        <w:t>5</w:t>
      </w:r>
      <w:r>
        <w:rPr>
          <w:spacing w:val="-3"/>
        </w:rPr>
        <w:t>年，自主研发出了</w:t>
      </w:r>
      <w:r>
        <w:rPr>
          <w:rFonts w:ascii="Times New Roman" w:hAnsi="Times New Roman" w:cs="Times New Roman" w:eastAsia="Times New Roman" w:hint="default"/>
          <w:spacing w:val="-3"/>
        </w:rPr>
        <w:t>“</w:t>
      </w:r>
      <w:r>
        <w:rPr>
          <w:spacing w:val="-3"/>
        </w:rPr>
        <w:t>智慧监狱勤务指挥平台</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综合业务管理平台</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9"/>
        </w:rPr>
        <w:t> </w:t>
      </w:r>
      <w:r>
        <w:rPr>
          <w:spacing w:val="-2"/>
        </w:rPr>
        <w:t>和</w:t>
      </w:r>
      <w:r>
        <w:rPr>
          <w:rFonts w:ascii="Times New Roman" w:hAnsi="Times New Roman" w:cs="Times New Roman" w:eastAsia="Times New Roman" w:hint="default"/>
          <w:spacing w:val="-2"/>
        </w:rPr>
        <w:t>“</w:t>
      </w:r>
      <w:r>
        <w:rPr>
          <w:spacing w:val="-2"/>
        </w:rPr>
        <w:t>电子身份管理平台</w:t>
      </w:r>
      <w:r>
        <w:rPr>
          <w:rFonts w:ascii="Times New Roman" w:hAnsi="Times New Roman" w:cs="Times New Roman" w:eastAsia="Times New Roman" w:hint="default"/>
          <w:spacing w:val="-2"/>
        </w:rPr>
        <w:t>”</w:t>
      </w:r>
      <w:r>
        <w:rPr>
          <w:spacing w:val="-2"/>
        </w:rPr>
        <w:t>三大核心平台，凭借三大平台的建设，通过物联感知技术，监狱管理工作人员将不受时间及办公场所</w:t>
      </w:r>
      <w:r>
        <w:rPr>
          <w:spacing w:val="-44"/>
        </w:rPr>
        <w:t> </w:t>
      </w:r>
      <w:r>
        <w:rPr>
          <w:spacing w:val="-44"/>
        </w:rPr>
      </w:r>
      <w:r>
        <w:rPr/>
        <w:t>的限制，可随时随地进行流程审批、狱政管理、生产管理、教育改造管理、实时管控、医疗救助等移动物联网办公。同时， 针对社区矫正人员润安科技采用了</w:t>
      </w:r>
      <w:r>
        <w:rPr>
          <w:rFonts w:ascii="Times New Roman" w:hAnsi="Times New Roman" w:cs="Times New Roman" w:eastAsia="Times New Roman" w:hint="default"/>
        </w:rPr>
        <w:t>“UWB</w:t>
      </w:r>
      <w:r>
        <w:rPr/>
        <w:t>腕带</w:t>
      </w:r>
      <w:r>
        <w:rPr>
          <w:rFonts w:ascii="Times New Roman" w:hAnsi="Times New Roman" w:cs="Times New Roman" w:eastAsia="Times New Roman" w:hint="default"/>
        </w:rPr>
        <w:t>+</w:t>
      </w:r>
      <w:r>
        <w:rPr/>
        <w:t>智能终端</w:t>
      </w:r>
      <w:r>
        <w:rPr>
          <w:rFonts w:ascii="Times New Roman" w:hAnsi="Times New Roman" w:cs="Times New Roman" w:eastAsia="Times New Roman" w:hint="default"/>
        </w:rPr>
        <w:t>”</w:t>
      </w:r>
      <w:r>
        <w:rPr/>
        <w:t>可分离管理模式，通过混合定位、专网部署、远程监控等手段解决 </w:t>
      </w:r>
      <w:r>
        <w:rPr>
          <w:spacing w:val="-2"/>
        </w:rPr>
        <w:t>了续航时长短、定位精度低、误报信息以及人机分离存在的安全隐患等问题，真正实现监管执法、教育矫正、评估帮扶三项</w:t>
      </w:r>
      <w:r>
        <w:rPr>
          <w:spacing w:val="-66"/>
        </w:rPr>
        <w:t> </w:t>
      </w:r>
      <w:r>
        <w:rPr>
          <w:spacing w:val="-66"/>
        </w:rPr>
      </w:r>
      <w:r>
        <w:rPr>
          <w:spacing w:val="-2"/>
        </w:rPr>
        <w:t>智慧应用。依托上述技术的开发和平台的应用，智慧戒毒采取了双模式全面监管，戒毒所内采取智慧监狱模式，协助戒毒人</w:t>
      </w:r>
      <w:r>
        <w:rPr>
          <w:spacing w:val="-66"/>
        </w:rPr>
        <w:t> </w:t>
      </w:r>
      <w:r>
        <w:rPr>
          <w:spacing w:val="-66"/>
        </w:rPr>
      </w:r>
      <w:r>
        <w:rPr>
          <w:spacing w:val="-2"/>
        </w:rPr>
        <w:t>员深度矫正戒除毒瘾；在戒毒人员重入社会后则采取智慧社矫模式，持续跟踪实时掌握戒毒人员的活动轨迹、健康信息、戒</w:t>
      </w:r>
      <w:r>
        <w:rPr>
          <w:spacing w:val="-66"/>
        </w:rPr>
        <w:t> </w:t>
      </w:r>
      <w:r>
        <w:rPr>
          <w:spacing w:val="-66"/>
        </w:rPr>
      </w:r>
      <w:r>
        <w:rPr/>
        <w:t>毒状态等情况。</w:t>
      </w:r>
    </w:p>
    <w:p>
      <w:pPr>
        <w:pStyle w:val="BodyText"/>
        <w:spacing w:line="240" w:lineRule="auto" w:before="65"/>
        <w:ind w:right="0"/>
        <w:jc w:val="left"/>
      </w:pPr>
      <w:r>
        <w:rPr/>
        <w:t>（</w:t>
      </w:r>
      <w:r>
        <w:rPr>
          <w:rFonts w:ascii="Times New Roman" w:hAnsi="Times New Roman" w:cs="Times New Roman" w:eastAsia="Times New Roman" w:hint="default"/>
        </w:rPr>
        <w:t>3</w:t>
      </w:r>
      <w:r>
        <w:rPr/>
        <w:t>）金融物联</w:t>
      </w:r>
    </w:p>
    <w:p>
      <w:pPr>
        <w:spacing w:line="240" w:lineRule="auto" w:before="9"/>
        <w:rPr>
          <w:rFonts w:ascii="宋体" w:hAnsi="宋体" w:cs="宋体" w:eastAsia="宋体" w:hint="default"/>
          <w:sz w:val="16"/>
          <w:szCs w:val="16"/>
        </w:rPr>
      </w:pPr>
    </w:p>
    <w:p>
      <w:pPr>
        <w:pStyle w:val="BodyText"/>
        <w:spacing w:line="463" w:lineRule="auto"/>
        <w:ind w:right="1032" w:firstLine="290"/>
        <w:jc w:val="left"/>
      </w:pPr>
      <w:r>
        <w:rPr>
          <w:rFonts w:ascii="Times New Roman" w:hAnsi="Times New Roman" w:cs="Times New Roman" w:eastAsia="Times New Roman" w:hint="default"/>
        </w:rPr>
        <w:t>2018</w:t>
      </w:r>
      <w:r>
        <w:rPr/>
        <w:t>年公司坚持贯彻</w:t>
      </w:r>
      <w:r>
        <w:rPr>
          <w:rFonts w:ascii="Times New Roman" w:hAnsi="Times New Roman" w:cs="Times New Roman" w:eastAsia="Times New Roman" w:hint="default"/>
        </w:rPr>
        <w:t>“</w:t>
      </w:r>
      <w:r>
        <w:rPr/>
        <w:t>继续巩固客户安防需求、大力挖掘客户深层次需求</w:t>
      </w:r>
      <w:r>
        <w:rPr>
          <w:rFonts w:ascii="Times New Roman" w:hAnsi="Times New Roman" w:cs="Times New Roman" w:eastAsia="Times New Roman" w:hint="default"/>
        </w:rPr>
        <w:t>”</w:t>
      </w:r>
      <w:r>
        <w:rPr/>
        <w:t>的销售策略。一方面公司继续扩展传统的金融 </w:t>
      </w:r>
      <w:r>
        <w:rPr>
          <w:spacing w:val="-2"/>
        </w:rPr>
        <w:t>安防市场，为全国数万个银行网点提供服务，目前，全国范围内银行联网监控中心使用了公司综合联网管理平台软件的监控</w:t>
      </w:r>
      <w:r>
        <w:rPr>
          <w:spacing w:val="-66"/>
        </w:rPr>
        <w:t> </w:t>
      </w:r>
      <w:r>
        <w:rPr>
          <w:spacing w:val="-66"/>
        </w:rPr>
      </w:r>
      <w:r>
        <w:rPr/>
        <w:t>中心达到</w:t>
      </w:r>
      <w:r>
        <w:rPr>
          <w:rFonts w:ascii="Times New Roman" w:hAnsi="Times New Roman" w:cs="Times New Roman" w:eastAsia="Times New Roman" w:hint="default"/>
        </w:rPr>
        <w:t>1,000</w:t>
      </w:r>
      <w:r>
        <w:rPr/>
        <w:t>余个，金融安防软件平台市场占有率约</w:t>
      </w:r>
      <w:r>
        <w:rPr>
          <w:rFonts w:ascii="Times New Roman" w:hAnsi="Times New Roman" w:cs="Times New Roman" w:eastAsia="Times New Roman" w:hint="default"/>
        </w:rPr>
        <w:t>30%</w:t>
      </w:r>
      <w:r>
        <w:rPr/>
        <w:t>。同时，公司是</w:t>
      </w:r>
      <w:r>
        <w:rPr>
          <w:rFonts w:ascii="Times New Roman" w:hAnsi="Times New Roman" w:cs="Times New Roman" w:eastAsia="Times New Roman" w:hint="default"/>
        </w:rPr>
        <w:t>9</w:t>
      </w:r>
      <w:r>
        <w:rPr/>
        <w:t>省农信社唯一软件平台供应商，</w:t>
      </w:r>
      <w:r>
        <w:rPr>
          <w:rFonts w:ascii="Times New Roman" w:hAnsi="Times New Roman" w:cs="Times New Roman" w:eastAsia="Times New Roman" w:hint="default"/>
        </w:rPr>
        <w:t>16</w:t>
      </w:r>
      <w:r>
        <w:rPr/>
        <w:t>省农信社软件 </w:t>
      </w:r>
      <w:r>
        <w:rPr>
          <w:spacing w:val="-2"/>
        </w:rPr>
        <w:t>平台入围供应商；金融客户遍布国有大型银行、全国性股份制商业银行、地方性商业银行、城市信用合作社、农村信用合作</w:t>
      </w:r>
      <w:r>
        <w:rPr>
          <w:spacing w:val="-66"/>
        </w:rPr>
        <w:t> </w:t>
      </w:r>
      <w:r>
        <w:rPr>
          <w:spacing w:val="-66"/>
        </w:rPr>
      </w:r>
      <w:r>
        <w:rPr>
          <w:spacing w:val="-1"/>
        </w:rPr>
        <w:t>社等各类型银行；</w:t>
      </w:r>
      <w:r>
        <w:rPr>
          <w:rFonts w:ascii="Times New Roman" w:hAnsi="Times New Roman" w:cs="Times New Roman" w:eastAsia="Times New Roman" w:hint="default"/>
          <w:spacing w:val="-1"/>
        </w:rPr>
        <w:t>2018</w:t>
      </w:r>
      <w:r>
        <w:rPr>
          <w:spacing w:val="-1"/>
        </w:rPr>
        <w:t>年度，农商行</w:t>
      </w:r>
      <w:r>
        <w:rPr>
          <w:rFonts w:ascii="Times New Roman" w:hAnsi="Times New Roman" w:cs="Times New Roman" w:eastAsia="Times New Roman" w:hint="default"/>
          <w:spacing w:val="-1"/>
        </w:rPr>
        <w:t>/</w:t>
      </w:r>
      <w:r>
        <w:rPr>
          <w:spacing w:val="-1"/>
        </w:rPr>
        <w:t>农村信用合作社、华夏银行、农行、民生银行、邮政公司等银行的业务保持增长势头，</w:t>
      </w:r>
      <w:r>
        <w:rPr>
          <w:spacing w:val="-80"/>
        </w:rPr>
        <w:t> </w:t>
      </w:r>
      <w:r>
        <w:rPr>
          <w:spacing w:val="-80"/>
        </w:rPr>
      </w:r>
      <w:r>
        <w:rPr/>
        <w:t>为公司业绩的稳步增长做出了较大的贡献。</w:t>
      </w:r>
      <w:r>
        <w:rPr>
          <w:rFonts w:ascii="Times New Roman" w:hAnsi="Times New Roman" w:cs="Times New Roman" w:eastAsia="Times New Roman" w:hint="default"/>
        </w:rPr>
        <w:t>2018</w:t>
      </w:r>
      <w:r>
        <w:rPr/>
        <w:t>年，公司产品和服务再次成功入围中国农业银行总行、中国工商银行总行、 </w:t>
      </w:r>
      <w:r>
        <w:rPr>
          <w:spacing w:val="-2"/>
        </w:rPr>
        <w:t>湖北省全省农商行等单位。另一方面公司也积极深化、拓展物联网技术在智慧金融领域的应用。公司凭借着深耕金融行业多</w:t>
      </w:r>
      <w:r>
        <w:rPr>
          <w:spacing w:val="-66"/>
        </w:rPr>
        <w:t> </w:t>
      </w:r>
      <w:r>
        <w:rPr>
          <w:spacing w:val="-66"/>
        </w:rPr>
      </w:r>
      <w:r>
        <w:rPr/>
        <w:t>年的经验和实践中对客户深层次需求的理解，在工业</w:t>
      </w:r>
      <w:r>
        <w:rPr>
          <w:rFonts w:ascii="Times New Roman" w:hAnsi="Times New Roman" w:cs="Times New Roman" w:eastAsia="Times New Roman" w:hint="default"/>
        </w:rPr>
        <w:t>4.0</w:t>
      </w:r>
      <w:r>
        <w:rPr/>
        <w:t>思想的指导下，结合用户对固定资产管理、人员管理、数据管理、 </w:t>
      </w:r>
      <w:r>
        <w:rPr>
          <w:spacing w:val="-2"/>
        </w:rPr>
        <w:t>流程管理和风控管理等物联化、智慧管理化需求，在原有智能银行安全综合管理平台的基础上开发了适用于多行业智能物联</w:t>
      </w:r>
      <w:r>
        <w:rPr>
          <w:spacing w:val="-64"/>
        </w:rPr>
        <w:t> </w:t>
      </w:r>
      <w:r>
        <w:rPr>
          <w:spacing w:val="-64"/>
        </w:rPr>
      </w:r>
      <w:r>
        <w:rPr>
          <w:spacing w:val="-2"/>
        </w:rPr>
        <w:t>管理需求的智慧物联管理平台。该平台的开发与落地将更好地满足客户的深层次需求，促使公司从金融安防综合管理平台提</w:t>
      </w:r>
      <w:r>
        <w:rPr>
          <w:spacing w:val="-64"/>
        </w:rPr>
        <w:t> </w:t>
      </w:r>
      <w:r>
        <w:rPr>
          <w:spacing w:val="-64"/>
        </w:rPr>
      </w:r>
      <w:r>
        <w:rPr/>
        <w:t>供商主动转型升级为智慧物联解决方案提供商。</w:t>
      </w:r>
    </w:p>
    <w:p>
      <w:pPr>
        <w:pStyle w:val="BodyText"/>
        <w:spacing w:line="451" w:lineRule="auto" w:before="65"/>
        <w:ind w:left="444" w:right="1118" w:hanging="291"/>
        <w:jc w:val="left"/>
      </w:pPr>
      <w:r>
        <w:rPr>
          <w:rFonts w:ascii="Times New Roman" w:hAnsi="Times New Roman" w:cs="Times New Roman" w:eastAsia="Times New Roman" w:hint="default"/>
        </w:rPr>
        <w:t>2</w:t>
      </w:r>
      <w:r>
        <w:rPr/>
        <w:t>、市场营销管理 </w:t>
      </w:r>
      <w:r>
        <w:rPr>
          <w:spacing w:val="-1"/>
        </w:rPr>
        <w:t>公司成立六大业务区，旨在继续发力做大市场，实现以客户为中心的服务宗旨，充分发挥集团化运营优势。为了更好地</w:t>
      </w:r>
    </w:p>
    <w:p>
      <w:pPr>
        <w:pStyle w:val="BodyText"/>
        <w:spacing w:line="463" w:lineRule="auto" w:before="74"/>
        <w:ind w:right="1052"/>
        <w:jc w:val="left"/>
      </w:pPr>
      <w:r>
        <w:rPr>
          <w:spacing w:val="-2"/>
        </w:rPr>
        <w:t>服务客户，公司已在全国范围内成立了</w:t>
      </w:r>
      <w:r>
        <w:rPr>
          <w:rFonts w:ascii="Times New Roman" w:hAnsi="Times New Roman" w:cs="Times New Roman" w:eastAsia="Times New Roman" w:hint="default"/>
          <w:spacing w:val="-2"/>
        </w:rPr>
        <w:t>31</w:t>
      </w:r>
      <w:r>
        <w:rPr>
          <w:spacing w:val="-2"/>
        </w:rPr>
        <w:t>个分公司，下属</w:t>
      </w:r>
      <w:r>
        <w:rPr>
          <w:rFonts w:ascii="Times New Roman" w:hAnsi="Times New Roman" w:cs="Times New Roman" w:eastAsia="Times New Roman" w:hint="default"/>
          <w:spacing w:val="-2"/>
        </w:rPr>
        <w:t>6</w:t>
      </w:r>
      <w:r>
        <w:rPr>
          <w:spacing w:val="-2"/>
        </w:rPr>
        <w:t>个全资子公司、</w:t>
      </w:r>
      <w:r>
        <w:rPr>
          <w:rFonts w:ascii="Times New Roman" w:hAnsi="Times New Roman" w:cs="Times New Roman" w:eastAsia="Times New Roman" w:hint="default"/>
          <w:spacing w:val="-2"/>
        </w:rPr>
        <w:t>3</w:t>
      </w:r>
      <w:r>
        <w:rPr>
          <w:spacing w:val="-2"/>
        </w:rPr>
        <w:t>个控股子公司，已涵盖三大行业，覆盖全国市场</w:t>
      </w:r>
      <w:r>
        <w:rPr>
          <w:spacing w:val="-62"/>
        </w:rPr>
        <w:t> </w:t>
      </w:r>
      <w:r>
        <w:rPr>
          <w:spacing w:val="-62"/>
        </w:rPr>
      </w:r>
      <w:r>
        <w:rPr>
          <w:spacing w:val="-2"/>
        </w:rPr>
        <w:t>营销网络和服务网络。公司重视营销团队的建设，积极完善激励和培训机制，逐步建成一支可以适应区域文化、了解行业特</w:t>
      </w:r>
      <w:r>
        <w:rPr>
          <w:spacing w:val="-66"/>
        </w:rPr>
        <w:t> </w:t>
      </w:r>
      <w:r>
        <w:rPr>
          <w:spacing w:val="-66"/>
        </w:rPr>
      </w:r>
      <w:r>
        <w:rPr/>
        <w:t>点、具备较强战斗力的营销队伍。同时，随着公司首发募集资金投资项目</w:t>
      </w:r>
      <w:r>
        <w:rPr>
          <w:rFonts w:ascii="Times New Roman" w:hAnsi="Times New Roman" w:cs="Times New Roman" w:eastAsia="Times New Roman" w:hint="default"/>
        </w:rPr>
        <w:t>“</w:t>
      </w:r>
      <w:r>
        <w:rPr/>
        <w:t>营销及服务网络升级技术改造项目</w:t>
      </w:r>
      <w:r>
        <w:rPr>
          <w:rFonts w:ascii="Times New Roman" w:hAnsi="Times New Roman" w:cs="Times New Roman" w:eastAsia="Times New Roman" w:hint="default"/>
        </w:rPr>
        <w:t>”</w:t>
      </w:r>
      <w:r>
        <w:rPr/>
        <w:t>的建设完工， 公司在全国范围内的营销服务体系得到完善，营销服务网络实现了全面升级，公司销售、服务能力得到了进一步提高。 </w:t>
      </w:r>
      <w:r>
        <w:rPr>
          <w:rFonts w:ascii="Times New Roman" w:hAnsi="Times New Roman" w:cs="Times New Roman" w:eastAsia="Times New Roman" w:hint="default"/>
        </w:rPr>
        <w:t>3</w:t>
      </w:r>
      <w:r>
        <w:rPr/>
        <w:t>、技术研发方面</w:t>
      </w:r>
    </w:p>
    <w:p>
      <w:pPr>
        <w:pStyle w:val="BodyText"/>
        <w:spacing w:line="240" w:lineRule="auto" w:before="33"/>
        <w:ind w:left="444" w:right="0"/>
        <w:jc w:val="left"/>
      </w:pPr>
      <w:r>
        <w:rPr>
          <w:rFonts w:ascii="Times New Roman" w:hAnsi="Times New Roman" w:cs="Times New Roman" w:eastAsia="Times New Roman" w:hint="default"/>
        </w:rPr>
        <w:t>2018</w:t>
      </w:r>
      <w:r>
        <w:rPr/>
        <w:t>年全年公司研发投入金额</w:t>
      </w:r>
      <w:r>
        <w:rPr>
          <w:rFonts w:ascii="Times New Roman" w:hAnsi="Times New Roman" w:cs="Times New Roman" w:eastAsia="Times New Roman" w:hint="default"/>
        </w:rPr>
        <w:t>4,838.67</w:t>
      </w:r>
      <w:r>
        <w:rPr/>
        <w:t>万元，占公司营业总收入的</w:t>
      </w:r>
      <w:r>
        <w:rPr>
          <w:rFonts w:ascii="Times New Roman" w:hAnsi="Times New Roman" w:cs="Times New Roman" w:eastAsia="Times New Roman" w:hint="default"/>
        </w:rPr>
        <w:t>6.32%</w:t>
      </w:r>
      <w:r>
        <w:rPr/>
        <w:t>。公司高度重视技术研发，持续加大研发投入，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0"/>
        <w:jc w:val="left"/>
      </w:pPr>
      <w:r>
        <w:rPr>
          <w:spacing w:val="-2"/>
        </w:rPr>
        <w:t>引进高端人才并结合国防科技大学、汕头大学博士科研团队，从事深度学习等人工智能算法研究，开展人员多场景检测、异</w:t>
      </w:r>
      <w:r>
        <w:rPr>
          <w:spacing w:val="-66"/>
        </w:rPr>
        <w:t> </w:t>
      </w:r>
      <w:r>
        <w:rPr>
          <w:spacing w:val="-66"/>
        </w:rPr>
      </w:r>
      <w:r>
        <w:rPr/>
        <w:t>常人脸识别、人体姿态识别、</w:t>
      </w:r>
      <w:r>
        <w:rPr>
          <w:rFonts w:ascii="Times New Roman" w:hAnsi="Times New Roman" w:cs="Times New Roman" w:eastAsia="Times New Roman" w:hint="default"/>
        </w:rPr>
        <w:t>3D</w:t>
      </w:r>
      <w:r>
        <w:rPr/>
        <w:t>行为分析、车辆视频结构化等尖端计算视觉技术研发以及物联网操控类语音语义专项技术 </w:t>
      </w:r>
      <w:r>
        <w:rPr>
          <w:spacing w:val="-2"/>
        </w:rPr>
        <w:t>攻关。此外，公司还与广州大学签订了《共建</w:t>
      </w:r>
      <w:r>
        <w:rPr>
          <w:rFonts w:ascii="Times New Roman" w:hAnsi="Times New Roman" w:cs="Times New Roman" w:eastAsia="Times New Roman" w:hint="default"/>
          <w:spacing w:val="-2"/>
        </w:rPr>
        <w:t>“</w:t>
      </w:r>
      <w:r>
        <w:rPr>
          <w:spacing w:val="-2"/>
        </w:rPr>
        <w:t>公共安全智能联合实验室</w:t>
      </w:r>
      <w:r>
        <w:rPr>
          <w:rFonts w:ascii="Times New Roman" w:hAnsi="Times New Roman" w:cs="Times New Roman" w:eastAsia="Times New Roman" w:hint="default"/>
          <w:spacing w:val="-2"/>
        </w:rPr>
        <w:t>”</w:t>
      </w:r>
      <w:r>
        <w:rPr>
          <w:spacing w:val="-2"/>
        </w:rPr>
        <w:t>框架协议书》，通过联合实验室共同开展国家级和</w:t>
      </w:r>
      <w:r>
        <w:rPr>
          <w:spacing w:val="-48"/>
        </w:rPr>
        <w:t> </w:t>
      </w:r>
      <w:r>
        <w:rPr>
          <w:spacing w:val="-48"/>
        </w:rPr>
      </w:r>
      <w:r>
        <w:rPr>
          <w:spacing w:val="-4"/>
        </w:rPr>
        <w:t>省市级重大专项、产业化基金、电子发展基金等项目的立项、申报和项目的执行工作，实现产学研优势结合，以及在大数据、</w:t>
      </w:r>
      <w:r>
        <w:rPr>
          <w:spacing w:val="-44"/>
        </w:rPr>
        <w:t> </w:t>
      </w:r>
      <w:r>
        <w:rPr>
          <w:spacing w:val="-44"/>
        </w:rPr>
      </w:r>
      <w:r>
        <w:rPr/>
        <w:t>智慧物联网平台、智慧楼宇安全、智慧城市安全、物联网安全等核心技术和应用方面展开深度研究。</w:t>
      </w:r>
    </w:p>
    <w:p>
      <w:pPr>
        <w:pStyle w:val="BodyText"/>
        <w:spacing w:line="451" w:lineRule="auto" w:before="65"/>
        <w:ind w:left="444" w:right="1118" w:hanging="291"/>
        <w:jc w:val="left"/>
      </w:pPr>
      <w:r>
        <w:rPr>
          <w:rFonts w:ascii="Times New Roman" w:hAnsi="Times New Roman" w:cs="Times New Roman" w:eastAsia="Times New Roman" w:hint="default"/>
        </w:rPr>
        <w:t>4</w:t>
      </w:r>
      <w:r>
        <w:rPr/>
        <w:t>、组织建设方面 </w:t>
      </w:r>
      <w:r>
        <w:rPr>
          <w:spacing w:val="-1"/>
        </w:rPr>
        <w:t>公司坚持和深化扁平化的组织管理模式，精简管理层次，引进先进的管理体系，提高科学管理的水平。报告期内，公司</w:t>
      </w:r>
    </w:p>
    <w:p>
      <w:pPr>
        <w:pStyle w:val="BodyText"/>
        <w:spacing w:line="460" w:lineRule="auto" w:before="74"/>
        <w:ind w:right="1131"/>
        <w:jc w:val="both"/>
      </w:pPr>
      <w:r>
        <w:rPr>
          <w:spacing w:val="-2"/>
        </w:rPr>
        <w:t>核心管理团队稳定，具有强大的技术实力和管理能力，能够准确把握行业发展趋势和方向，发现行业新的利润增长点，提升</w:t>
      </w:r>
      <w:r>
        <w:rPr>
          <w:spacing w:val="-66"/>
        </w:rPr>
        <w:t> </w:t>
      </w:r>
      <w:r>
        <w:rPr>
          <w:spacing w:val="-66"/>
        </w:rPr>
      </w:r>
      <w:r>
        <w:rPr>
          <w:spacing w:val="-2"/>
        </w:rPr>
        <w:t>公司长期持续经营能力。公司战略和愿景清晰，注重人才的挖掘培养。同时，为提升公司管理团队和核心骨干的凝聚力和创</w:t>
      </w:r>
      <w:r>
        <w:rPr>
          <w:spacing w:val="-66"/>
        </w:rPr>
        <w:t> </w:t>
      </w:r>
      <w:r>
        <w:rPr>
          <w:spacing w:val="-66"/>
        </w:rPr>
      </w:r>
      <w:r>
        <w:rPr/>
        <w:t>造力，吸引和保留优秀的管理人才和核心员工，为公司的持续快速发展注入新的动力，公司于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月实施了《</w:t>
      </w:r>
      <w:r>
        <w:rPr>
          <w:rFonts w:ascii="Times New Roman" w:hAnsi="Times New Roman" w:cs="Times New Roman" w:eastAsia="Times New Roman" w:hint="default"/>
        </w:rPr>
        <w:t>2018</w:t>
      </w:r>
      <w:r>
        <w:rPr/>
        <w:t>年股 </w:t>
      </w:r>
      <w:r>
        <w:rPr>
          <w:spacing w:val="-2"/>
        </w:rPr>
        <w:t>票期权与限制性股票激励计划（草案）》，并于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日授予</w:t>
      </w:r>
      <w:r>
        <w:rPr>
          <w:rFonts w:ascii="Times New Roman" w:hAnsi="Times New Roman" w:cs="Times New Roman" w:eastAsia="Times New Roman" w:hint="default"/>
          <w:spacing w:val="-2"/>
        </w:rPr>
        <w:t>188</w:t>
      </w:r>
      <w:r>
        <w:rPr>
          <w:spacing w:val="-2"/>
        </w:rPr>
        <w:t>名激励对象合计</w:t>
      </w:r>
      <w:r>
        <w:rPr>
          <w:rFonts w:ascii="Times New Roman" w:hAnsi="Times New Roman" w:cs="Times New Roman" w:eastAsia="Times New Roman" w:hint="default"/>
          <w:spacing w:val="-2"/>
        </w:rPr>
        <w:t>1,561.4619</w:t>
      </w:r>
      <w:r>
        <w:rPr>
          <w:spacing w:val="-2"/>
        </w:rPr>
        <w:t>万股限制性股票和</w:t>
      </w:r>
      <w:r>
        <w:rPr>
          <w:rFonts w:ascii="Times New Roman" w:hAnsi="Times New Roman" w:cs="Times New Roman" w:eastAsia="Times New Roman" w:hint="default"/>
          <w:spacing w:val="-2"/>
        </w:rPr>
        <w:t>12</w:t>
      </w:r>
      <w:r>
        <w:rPr>
          <w:spacing w:val="-2"/>
        </w:rPr>
        <w:t>名激励</w:t>
      </w:r>
      <w:r>
        <w:rPr>
          <w:spacing w:val="-47"/>
        </w:rPr>
        <w:t> </w:t>
      </w:r>
      <w:r>
        <w:rPr/>
        <w:t>对象合计</w:t>
      </w:r>
      <w:r>
        <w:rPr>
          <w:rFonts w:ascii="Times New Roman" w:hAnsi="Times New Roman" w:cs="Times New Roman" w:eastAsia="Times New Roman" w:hint="default"/>
        </w:rPr>
        <w:t>100.816</w:t>
      </w:r>
      <w:r>
        <w:rPr/>
        <w:t>万份股票期权，搭建员工与公司共同发展的平台，促进公司建立高素质、多层次人才体系，健全激励机制 和约束机制。</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right="6972"/>
        <w:jc w:val="left"/>
      </w:pPr>
      <w:r>
        <w:rPr/>
        <w:t>公司是否需要遵守光伏产业链相关业的披露要求 否</w:t>
      </w:r>
    </w:p>
    <w:p>
      <w:pPr>
        <w:pStyle w:val="BodyText"/>
        <w:spacing w:line="489" w:lineRule="auto" w:before="66"/>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489" w:lineRule="auto" w:before="85"/>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85"/>
        <w:ind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否</w:t>
      </w:r>
    </w:p>
    <w:p>
      <w:pPr>
        <w:spacing w:line="240" w:lineRule="auto" w:before="10"/>
        <w:rPr>
          <w:rFonts w:ascii="宋体" w:hAnsi="宋体" w:cs="宋体" w:eastAsia="宋体" w:hint="default"/>
          <w:sz w:val="20"/>
          <w:szCs w:val="20"/>
        </w:rPr>
      </w:pPr>
    </w:p>
    <w:p>
      <w:pPr>
        <w:pStyle w:val="BodyText"/>
        <w:spacing w:line="489" w:lineRule="auto"/>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489" w:lineRule="auto" w:before="85"/>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86"/>
        <w:ind w:left="0" w:right="1130"/>
        <w:jc w:val="right"/>
      </w:pPr>
      <w:r>
        <w:rPr/>
        <w:t>单位：元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6"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1"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127,720,863.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94,197,109.4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157,615,464.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385,768,699.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70,332,593.8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119,681,215.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103,115,052.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276,666,157.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r>
      <w:tr>
        <w:trPr>
          <w:trHeight w:val="392"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4"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6,332,112.01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6,043,649.30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12,369,795.0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115,479,792.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-16,073,412.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23,331,958.2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7,453,364.81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96,473,197.2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6"/>
        <w:rPr>
          <w:rFonts w:ascii="宋体" w:hAnsi="宋体" w:cs="宋体" w:eastAsia="宋体" w:hint="default"/>
          <w:sz w:val="6"/>
          <w:szCs w:val="6"/>
        </w:rPr>
      </w:pPr>
    </w:p>
    <w:p>
      <w:pPr>
        <w:pStyle w:val="BodyText"/>
        <w:spacing w:line="496" w:lineRule="auto" w:before="44"/>
        <w:ind w:right="0"/>
        <w:jc w:val="left"/>
      </w:pPr>
      <w:r>
        <w:rPr/>
        <w:t>说明经营季节性（或周期性）发生的原因及波动风险 </w:t>
      </w:r>
      <w:r>
        <w:rPr>
          <w:spacing w:val="-2"/>
        </w:rPr>
        <w:t>受客户结构、行业业务特点等因素的影响，公司营业收入存在各季度分布不均衡、前低后高的特点，公司的经营业绩有明显</w:t>
      </w:r>
      <w:r>
        <w:rPr>
          <w:spacing w:val="-66"/>
        </w:rPr>
        <w:t> </w:t>
      </w:r>
      <w:r>
        <w:rPr>
          <w:spacing w:val="-66"/>
        </w:rPr>
      </w:r>
      <w:r>
        <w:rPr/>
        <w:t>的季节性波动，营业收入和利润主要集中于下半年实现。</w:t>
      </w:r>
    </w:p>
    <w:p>
      <w:pPr>
        <w:pStyle w:val="BodyText"/>
        <w:spacing w:line="240" w:lineRule="auto" w:before="81"/>
        <w:ind w:right="0"/>
        <w:jc w:val="left"/>
      </w:pPr>
      <w:r>
        <w:rPr/>
        <w:t>营业收入整体情况</w:t>
      </w:r>
    </w:p>
    <w:p>
      <w:pPr>
        <w:spacing w:line="240" w:lineRule="auto" w:before="12"/>
        <w:rPr>
          <w:rFonts w:ascii="宋体" w:hAnsi="宋体" w:cs="宋体" w:eastAsia="宋体" w:hint="default"/>
          <w:sz w:val="20"/>
          <w:szCs w:val="20"/>
        </w:rPr>
      </w:pPr>
    </w:p>
    <w:p>
      <w:pPr>
        <w:pStyle w:val="BodyText"/>
        <w:spacing w:line="240" w:lineRule="auto"/>
        <w:ind w:left="0" w:right="1130"/>
        <w:jc w:val="right"/>
      </w:pPr>
      <w:r>
        <w:rPr/>
        <w:t>单位：元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765,302,136.94</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569,795,019.21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34.31%</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481,587,754.78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445,906,102.04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司法行业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68,582,726.73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35,210,112.44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94.78%</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平安城市行业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137,732,458.89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42,234,644.37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226.11%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77,399,196.54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46,444,160.36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587,813,146.94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381,309,642.47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123,006,114.89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144,906,491.53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-15.11%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平安城市运营服务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50,157,447.95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42,234,644.37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4,325,427.16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1,344,240.84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221.77%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33,216,933.71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44,245,877.22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109,668,081.67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36,024,128.70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39,810,178.89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51,701,353.64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336,624,579.83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203,198,282.89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71,799,638.22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84,855,365.92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79,260,895.92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67,319,139.00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94,921,828.70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82,450,871.84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15.13%</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04"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74"/>
        <w:ind w:right="0"/>
        <w:jc w:val="left"/>
      </w:pPr>
      <w:r>
        <w:rPr/>
        <w:t>软件与信息技术服务业</w:t>
      </w:r>
    </w:p>
    <w:p>
      <w:pPr>
        <w:spacing w:line="240" w:lineRule="auto" w:before="12"/>
        <w:rPr>
          <w:rFonts w:ascii="宋体" w:hAnsi="宋体" w:cs="宋体" w:eastAsia="宋体" w:hint="default"/>
          <w:sz w:val="20"/>
          <w:szCs w:val="20"/>
        </w:rPr>
      </w:pPr>
    </w:p>
    <w:p>
      <w:pPr>
        <w:pStyle w:val="BodyText"/>
        <w:spacing w:line="240" w:lineRule="auto"/>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481,587,754.78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245,298,818.98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司法行业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68,582,726.73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30,717,721.48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平安城市行业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137,732,458.89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93,508,797.79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32.11%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226.11%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77,399,196.54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40,211,424.71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-7.91%</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587,813,146.94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314,842,429.22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安防设备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123,006,114.89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61,001,283.37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0.85%</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336,624,579.83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170,798,343.30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109,668,081.67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61,276,451.53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79,260,895.92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41,455,370.14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94,921,828.70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58,722,101.81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w:t>
            </w:r>
          </w:p>
        </w:tc>
      </w:tr>
    </w:tbl>
    <w:p>
      <w:pPr>
        <w:spacing w:line="240" w:lineRule="auto" w:before="7"/>
        <w:rPr>
          <w:rFonts w:ascii="宋体" w:hAnsi="宋体" w:cs="宋体" w:eastAsia="宋体" w:hint="default"/>
          <w:sz w:val="6"/>
          <w:szCs w:val="6"/>
        </w:rPr>
      </w:pPr>
    </w:p>
    <w:p>
      <w:pPr>
        <w:pStyle w:val="BodyText"/>
        <w:spacing w:line="240" w:lineRule="auto" w:before="44"/>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spacing w:line="240" w:lineRule="auto" w:before="10"/>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92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w:t>
      </w:r>
    </w:p>
    <w:p>
      <w:pPr>
        <w:pStyle w:val="BodyText"/>
        <w:spacing w:line="240" w:lineRule="auto" w:before="86"/>
        <w:ind w:right="0"/>
        <w:jc w:val="left"/>
      </w:pPr>
      <w:r>
        <w:rPr/>
        <w:t>软件与信息技术服务业</w:t>
      </w:r>
    </w:p>
    <w:p>
      <w:pPr>
        <w:spacing w:line="240" w:lineRule="auto" w:before="10"/>
        <w:rPr>
          <w:rFonts w:ascii="宋体" w:hAnsi="宋体" w:cs="宋体" w:eastAsia="宋体" w:hint="default"/>
          <w:sz w:val="20"/>
          <w:szCs w:val="20"/>
        </w:rPr>
      </w:pPr>
    </w:p>
    <w:p>
      <w:pPr>
        <w:pStyle w:val="BodyText"/>
        <w:spacing w:line="489" w:lineRule="auto"/>
        <w:ind w:right="182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单一销售合同金额占公司最近一个会计年度经审计营业收入</w:t>
      </w:r>
      <w:r>
        <w:rPr>
          <w:spacing w:val="-45"/>
        </w:rPr>
        <w:t> </w:t>
      </w:r>
      <w:r>
        <w:rPr>
          <w:rFonts w:ascii="Times New Roman" w:hAnsi="Times New Roman" w:cs="Times New Roman" w:eastAsia="Times New Roman" w:hint="default"/>
        </w:rPr>
        <w:t>30%</w:t>
      </w:r>
      <w:r>
        <w:rPr/>
        <w:t>以上且金额超过</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万元的正在履行的合同情况</w:t>
      </w:r>
    </w:p>
    <w:p>
      <w:pPr>
        <w:pStyle w:val="BodyText"/>
        <w:spacing w:line="240" w:lineRule="auto" w:before="5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9"/>
          <w:szCs w:val="19"/>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2"/>
        <w:gridCol w:w="1064"/>
        <w:gridCol w:w="1063"/>
        <w:gridCol w:w="1063"/>
        <w:gridCol w:w="1064"/>
        <w:gridCol w:w="1063"/>
        <w:gridCol w:w="1063"/>
      </w:tblGrid>
      <w:tr>
        <w:trPr>
          <w:trHeight w:val="102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合同金额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项目执行进 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本期确认收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累计确认收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回款情况</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both"/>
              <w:rPr>
                <w:rFonts w:ascii="宋体" w:hAnsi="宋体" w:cs="宋体" w:eastAsia="宋体" w:hint="default"/>
                <w:sz w:val="18"/>
                <w:szCs w:val="18"/>
              </w:rPr>
            </w:pPr>
            <w:r>
              <w:rPr>
                <w:rFonts w:ascii="宋体" w:hAnsi="宋体" w:cs="宋体" w:eastAsia="宋体" w:hint="default"/>
                <w:sz w:val="18"/>
                <w:szCs w:val="18"/>
              </w:rPr>
              <w:t>项目进展是 否达到计划 进度或预期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未达到计划 进度或预期 的原因</w:t>
            </w:r>
          </w:p>
        </w:tc>
      </w:tr>
      <w:tr>
        <w:trPr>
          <w:trHeight w:val="134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30"/>
              <w:jc w:val="both"/>
              <w:rPr>
                <w:rFonts w:ascii="宋体" w:hAnsi="宋体" w:cs="宋体" w:eastAsia="宋体" w:hint="default"/>
                <w:sz w:val="18"/>
                <w:szCs w:val="18"/>
              </w:rPr>
            </w:pPr>
            <w:r>
              <w:rPr>
                <w:rFonts w:ascii="宋体" w:hAnsi="宋体" w:cs="宋体" w:eastAsia="宋体" w:hint="default"/>
                <w:sz w:val="18"/>
                <w:szCs w:val="18"/>
              </w:rPr>
              <w:t>渝北区公共 安全视频监 控工程服务</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（智慧天网）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239,115,510.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工程服务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49,152,856.3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96,263,848.9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9"/>
              <w:jc w:val="left"/>
              <w:rPr>
                <w:rFonts w:ascii="宋体" w:hAnsi="宋体" w:cs="宋体" w:eastAsia="宋体" w:hint="default"/>
                <w:sz w:val="18"/>
                <w:szCs w:val="18"/>
              </w:rPr>
            </w:pPr>
            <w:r>
              <w:rPr>
                <w:rFonts w:ascii="宋体" w:hAnsi="宋体" w:cs="宋体" w:eastAsia="宋体" w:hint="default"/>
                <w:sz w:val="18"/>
                <w:szCs w:val="18"/>
              </w:rPr>
              <w:t>已按照合同 如期回款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r>
        <w:rPr/>
        <w:pict>
          <v:group style="position:absolute;margin-left:110.18pt;margin-top:-32.546337pt;width:52.65pt;height:15.6pt;mso-position-horizontal-relative:page;mso-position-vertical-relative:paragraph;z-index:-1210456" coordorigin="2204,-651" coordsize="1053,312">
            <v:shape style="position:absolute;left:2204;top:-651;width:1053;height:312" coordorigin="2204,-651" coordsize="1053,312" path="m2204,-339l3256,-339,3256,-651,2204,-651,2204,-339xe" filled="true" fillcolor="#ffffff" stroked="false">
              <v:path arrowok="t"/>
              <v:fill type="solid"/>
            </v:shape>
            <w10:wrap type="none"/>
          </v:group>
        </w:pict>
      </w: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pStyle w:val="BodyText"/>
        <w:spacing w:line="240" w:lineRule="auto" w:before="85"/>
        <w:ind w:left="0" w:right="1130"/>
        <w:jc w:val="right"/>
      </w:pPr>
      <w:r>
        <w:rPr/>
        <w:t>单位：元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308,278,167.44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202,021,532.75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44,409,206.97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52,636,612.42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57,049,388.55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35,545,168.36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行业和产品分类</w:t>
      </w:r>
    </w:p>
    <w:p>
      <w:pPr>
        <w:spacing w:line="240" w:lineRule="auto" w:before="6"/>
        <w:rPr>
          <w:rFonts w:ascii="宋体" w:hAnsi="宋体" w:cs="宋体" w:eastAsia="宋体" w:hint="default"/>
          <w:sz w:val="17"/>
          <w:szCs w:val="17"/>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245,298,818.98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229,517,654.18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司法行业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30,717,721.48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15,121,581.57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平安城市行业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93,508,797.79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25,111,458.59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272.38%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40,211,424.71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20,452,619.19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96.61%</w:t>
            </w:r>
          </w:p>
        </w:tc>
      </w:tr>
    </w:tbl>
    <w:p>
      <w:pPr>
        <w:spacing w:line="240" w:lineRule="auto" w:before="6"/>
        <w:rPr>
          <w:rFonts w:ascii="宋体" w:hAnsi="宋体" w:cs="宋体" w:eastAsia="宋体" w:hint="default"/>
          <w:sz w:val="6"/>
          <w:szCs w:val="6"/>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314,842,429.22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190,652,082.95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61,001,283.37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73,092,810.47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平安城市运营服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30,403,817.41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25,111,458.59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3,489,232.96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1,346,961.52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159.04%</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70" w:lineRule="auto"/>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与上年度财务报告相比，本报告期新增辛集市浩云智慧城市科技有限公司、广东冠网信息科技有限公司</w:t>
      </w:r>
      <w:r>
        <w:rPr>
          <w:rFonts w:ascii="Times New Roman" w:hAnsi="Times New Roman" w:cs="Times New Roman" w:eastAsia="Times New Roman" w:hint="default"/>
        </w:rPr>
        <w:t>2</w:t>
      </w:r>
      <w:r>
        <w:rPr/>
        <w:t>家子公司；减少广 州市浩耘元鸿信息技术有限公司</w:t>
      </w:r>
      <w:r>
        <w:rPr>
          <w:rFonts w:ascii="Times New Roman" w:hAnsi="Times New Roman" w:cs="Times New Roman" w:eastAsia="Times New Roman" w:hint="default"/>
        </w:rPr>
        <w:t>1</w:t>
      </w:r>
      <w:r>
        <w:rPr/>
        <w:t>家子公司。</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公司主要销售客户情况</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176,764,041.23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23.10%</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3"/>
        <w:gridCol w:w="3301"/>
        <w:gridCol w:w="2322"/>
        <w:gridCol w:w="3143"/>
      </w:tblGrid>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49,152,856.39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37,770,619.19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30,531,596.98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29,784,069.82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29,524,898.84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176,764,041.23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主要客户其他情况说明</w:t>
      </w:r>
    </w:p>
    <w:p>
      <w:pPr>
        <w:spacing w:line="240" w:lineRule="auto" w:before="12"/>
        <w:rPr>
          <w:rFonts w:ascii="宋体" w:hAnsi="宋体" w:cs="宋体" w:eastAsia="宋体" w:hint="default"/>
          <w:sz w:val="20"/>
          <w:szCs w:val="20"/>
        </w:rPr>
      </w:pPr>
    </w:p>
    <w:p>
      <w:pPr>
        <w:pStyle w:val="BodyText"/>
        <w:spacing w:line="489"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109,671,919.95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34.32%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6"/>
          <w:szCs w:val="6"/>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3"/>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29,497,349.13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25,427,525.17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24,390,930.52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17,996,268.51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12,359,846.62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109,671,919.95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34.32%</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主要供应商其他情况说明</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61,712,303.71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53,188,560.41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16.03%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68,005,664.55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47,073,628.93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44.47%</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主要原因系职工薪酬、折旧费、限制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性股票摊销费用增加所致。</w:t>
            </w:r>
          </w:p>
        </w:tc>
      </w:tr>
      <w:tr>
        <w:trPr>
          <w:trHeight w:val="393"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42"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3" w:space="0" w:color="D2D2D2"/>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-717,159.63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1,822,955.26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23" w:right="0"/>
              <w:jc w:val="left"/>
              <w:rPr>
                <w:rFonts w:ascii="Times New Roman" w:hAnsi="Times New Roman" w:cs="Times New Roman" w:eastAsia="Times New Roman" w:hint="default"/>
                <w:sz w:val="18"/>
                <w:szCs w:val="18"/>
              </w:rPr>
            </w:pPr>
            <w:r>
              <w:rPr>
                <w:rFonts w:ascii="Times New Roman"/>
                <w:sz w:val="18"/>
              </w:rPr>
              <w:t>-139.34%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主要原因系较去年同期，本期银行借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款减少，利息支出减少，及本期利息</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3"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42"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3"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98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收入增加，另外控股子公司深圳市润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安科技有限公司收到财政贴息冲减 了当期利息支出所致。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42,856,277.15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47,098,182.32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-9.01%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7"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公司产品</w:t>
      </w:r>
      <w:r>
        <w:rPr>
          <w:rFonts w:ascii="Times New Roman" w:hAnsi="Times New Roman" w:cs="Times New Roman" w:eastAsia="Times New Roman" w:hint="default"/>
        </w:rPr>
        <w:t>&amp;</w:t>
      </w:r>
      <w:r>
        <w:rPr/>
        <w:t>研发中心贯彻公司</w:t>
      </w:r>
      <w:r>
        <w:rPr>
          <w:rFonts w:ascii="Times New Roman" w:hAnsi="Times New Roman" w:cs="Times New Roman" w:eastAsia="Times New Roman" w:hint="default"/>
        </w:rPr>
        <w:t>“</w:t>
      </w:r>
      <w:r>
        <w:rPr/>
        <w:t>一核三线</w:t>
      </w:r>
      <w:r>
        <w:rPr>
          <w:rFonts w:ascii="Times New Roman" w:hAnsi="Times New Roman" w:cs="Times New Roman" w:eastAsia="Times New Roman" w:hint="default"/>
        </w:rPr>
        <w:t>”</w:t>
      </w:r>
      <w:r>
        <w:rPr/>
        <w:t>战略目标，自主研究、设计、开发具备领先理念的物联网智慧管理平台。平台为用</w:t>
      </w:r>
    </w:p>
    <w:p>
      <w:pPr>
        <w:pStyle w:val="BodyText"/>
        <w:spacing w:line="458" w:lineRule="auto" w:before="13"/>
        <w:ind w:right="1032"/>
        <w:jc w:val="left"/>
      </w:pPr>
      <w:r>
        <w:rPr/>
        <w:t>户提供企业级物联接入能力和管控能力，联通物联数据和管理数据，形成统一性数据平台。参照工业</w:t>
      </w:r>
      <w:r>
        <w:rPr>
          <w:rFonts w:ascii="Times New Roman" w:hAnsi="Times New Roman" w:cs="Times New Roman" w:eastAsia="Times New Roman" w:hint="default"/>
        </w:rPr>
        <w:t>4.0</w:t>
      </w:r>
      <w:r>
        <w:rPr/>
        <w:t>灵活性、敏捷性、 个性化和用户友好的总体思路，采用软件定义的方式，实现按需定制、功能柔性重组的应用生成引擎，为多行业、多类别、 </w:t>
      </w:r>
      <w:r>
        <w:rPr>
          <w:spacing w:val="-2"/>
        </w:rPr>
        <w:t>多层次用户提供快速化、模板化、定制化的智慧物联解决方案。结合物联网的海量信息，沉淀于应用引擎的业务数据，深度</w:t>
      </w:r>
      <w:r>
        <w:rPr>
          <w:spacing w:val="-66"/>
        </w:rPr>
        <w:t> </w:t>
      </w:r>
      <w:r>
        <w:rPr>
          <w:spacing w:val="-66"/>
        </w:rPr>
      </w:r>
      <w:r>
        <w:rPr/>
        <w:t>应用大数据技术，与子公司携手继续开发跨行业应用。同时，公司产品</w:t>
      </w:r>
      <w:r>
        <w:rPr>
          <w:rFonts w:ascii="Times New Roman" w:hAnsi="Times New Roman" w:cs="Times New Roman" w:eastAsia="Times New Roman" w:hint="default"/>
        </w:rPr>
        <w:t>&amp;</w:t>
      </w:r>
      <w:r>
        <w:rPr/>
        <w:t>研发中心组织精兵强将打造精品产品如智慧用电产 </w:t>
      </w:r>
      <w:r>
        <w:rPr>
          <w:spacing w:val="-2"/>
        </w:rPr>
        <w:t>品、主动防卫系统等，凭借过硬的产品质量和创新的产品解决方案，为客户提供全方位的安全保障。</w:t>
      </w:r>
      <w:r>
        <w:rPr>
          <w:rFonts w:ascii="Times New Roman" w:hAnsi="Times New Roman" w:cs="Times New Roman" w:eastAsia="Times New Roman" w:hint="default"/>
          <w:spacing w:val="-2"/>
        </w:rPr>
        <w:t>2018</w:t>
      </w:r>
      <w:r>
        <w:rPr>
          <w:spacing w:val="-2"/>
        </w:rPr>
        <w:t>年研发中心同步开</w:t>
      </w:r>
      <w:r>
        <w:rPr>
          <w:spacing w:val="-61"/>
        </w:rPr>
        <w:t> </w:t>
      </w:r>
      <w:r>
        <w:rPr>
          <w:spacing w:val="-2"/>
        </w:rPr>
        <w:t>展知识产权保护工作，申请专利数</w:t>
      </w:r>
      <w:r>
        <w:rPr>
          <w:rFonts w:ascii="Times New Roman" w:hAnsi="Times New Roman" w:cs="Times New Roman" w:eastAsia="Times New Roman" w:hint="default"/>
          <w:spacing w:val="-2"/>
        </w:rPr>
        <w:t>38</w:t>
      </w:r>
      <w:r>
        <w:rPr>
          <w:spacing w:val="-2"/>
        </w:rPr>
        <w:t>件，为打造公司核心研发技术奠定基础。流程规范、指标量化工作继续深入，高水平技</w:t>
      </w:r>
      <w:r>
        <w:rPr>
          <w:spacing w:val="-64"/>
        </w:rPr>
        <w:t> </w:t>
      </w:r>
      <w:r>
        <w:rPr>
          <w:spacing w:val="-64"/>
        </w:rPr>
      </w:r>
      <w:r>
        <w:rPr/>
        <w:t>术人员不断增加，为公司打造出行业内一流研发团队。</w:t>
      </w:r>
    </w:p>
    <w:p>
      <w:pPr>
        <w:pStyle w:val="BodyText"/>
        <w:spacing w:line="240" w:lineRule="auto" w:before="110"/>
        <w:ind w:right="0"/>
        <w:jc w:val="left"/>
      </w:pPr>
      <w:r>
        <w:rPr/>
        <w:t>近三年公司研发投入金额及占营业收入的比例</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48,386,659.16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47,098,182.32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47,045,825.90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5,530,382.01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研发投入总额占营业收入的比重较上年发生显著变化的原因</w:t>
      </w:r>
    </w:p>
    <w:p>
      <w:pPr>
        <w:spacing w:line="240" w:lineRule="auto" w:before="12"/>
        <w:rPr>
          <w:rFonts w:ascii="宋体" w:hAnsi="宋体" w:cs="宋体" w:eastAsia="宋体" w:hint="default"/>
          <w:sz w:val="20"/>
          <w:szCs w:val="20"/>
        </w:rPr>
      </w:pPr>
    </w:p>
    <w:p>
      <w:pPr>
        <w:pStyle w:val="BodyText"/>
        <w:spacing w:line="489"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8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9"/>
          <w:szCs w:val="19"/>
        </w:rPr>
      </w:pPr>
    </w:p>
    <w:p>
      <w:pPr>
        <w:pStyle w:val="BodyText"/>
        <w:spacing w:line="240" w:lineRule="auto"/>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321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软件定义物联网应用平台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416" w:right="0"/>
              <w:jc w:val="left"/>
              <w:rPr>
                <w:rFonts w:ascii="Times New Roman" w:hAnsi="Times New Roman" w:cs="Times New Roman" w:eastAsia="Times New Roman" w:hint="default"/>
                <w:sz w:val="18"/>
                <w:szCs w:val="18"/>
              </w:rPr>
            </w:pPr>
            <w:r>
              <w:rPr>
                <w:rFonts w:ascii="Times New Roman"/>
                <w:sz w:val="18"/>
              </w:rPr>
              <w:t>5,530,382.01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
              <w:jc w:val="left"/>
              <w:rPr>
                <w:rFonts w:ascii="宋体" w:hAnsi="宋体" w:cs="宋体" w:eastAsia="宋体" w:hint="default"/>
                <w:sz w:val="18"/>
                <w:szCs w:val="18"/>
              </w:rPr>
            </w:pPr>
            <w:r>
              <w:rPr>
                <w:rFonts w:ascii="宋体" w:hAnsi="宋体" w:cs="宋体" w:eastAsia="宋体" w:hint="default"/>
                <w:sz w:val="18"/>
                <w:szCs w:val="18"/>
              </w:rPr>
              <w:t>本项目所研发的产品将是一 个融入了物联网基因的应用 配置平台，可以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代码（或少 量定制代码）配置业务应用。 支撑公司在金融安防和智慧 司法等领域的信息管理应用 和物联网集成应用项目的落 地。因此能应用于公司所负责 的金融安防和智慧司法等项 目中，在使用上具有可行性。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月完成研究 阶段工作，包括技术方案、实 施计划，自定义工具竞品分 析、产品可行性分析、技术资 料收集、需求调研、页面原型 </w:t>
            </w:r>
            <w:r>
              <w:rPr>
                <w:rFonts w:ascii="宋体" w:hAnsi="宋体" w:cs="宋体" w:eastAsia="宋体" w:hint="default"/>
                <w:spacing w:val="-5"/>
                <w:sz w:val="18"/>
                <w:szCs w:val="18"/>
              </w:rPr>
              <w:t>制作等工作。</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月项目 </w:t>
            </w:r>
            <w:r>
              <w:rPr>
                <w:rFonts w:ascii="宋体" w:hAnsi="宋体" w:cs="宋体" w:eastAsia="宋体" w:hint="default"/>
                <w:spacing w:val="-5"/>
                <w:sz w:val="18"/>
                <w:szCs w:val="18"/>
              </w:rPr>
              <w:t>正式进入开发阶段，截至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p>
          <w:p>
            <w:pPr>
              <w:pStyle w:val="TableParagraph"/>
              <w:spacing w:line="309" w:lineRule="auto" w:before="3"/>
              <w:ind w:left="22" w:right="17"/>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日，已完成软件架 构的设计、软件详细的设计、 开发框架搭建等工作。</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757,850,201.04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672,278,044.07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619,340,931.95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559,752,377.88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138,509,269.09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112,525,666.19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468,896,203.56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18,076,703.66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2,493.93%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605,228,502.14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317,308,831.47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-136,332,298.58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-299,232,127.81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132,258,756.55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445,550,879.93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78,619,728.99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114,473,259.31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53,639,027.56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331,077,620.62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-83.80%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55,815,998.07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144,371,159.00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-61.34%</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相关数据同比发生重大变动的主要影响因素说明</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451" w:lineRule="auto"/>
        <w:ind w:right="1121"/>
        <w:jc w:val="left"/>
      </w:pPr>
      <w:r>
        <w:rPr>
          <w:spacing w:val="-1"/>
        </w:rPr>
        <w:t>（</w:t>
      </w:r>
      <w:r>
        <w:rPr>
          <w:rFonts w:ascii="Times New Roman" w:hAnsi="Times New Roman" w:cs="Times New Roman" w:eastAsia="Times New Roman" w:hint="default"/>
          <w:spacing w:val="-1"/>
        </w:rPr>
        <w:t>1</w:t>
      </w:r>
      <w:r>
        <w:rPr>
          <w:spacing w:val="-1"/>
        </w:rPr>
        <w:t>）投资活动现金流入较上年同期增长</w:t>
      </w:r>
      <w:r>
        <w:rPr>
          <w:rFonts w:ascii="Times New Roman" w:hAnsi="Times New Roman" w:cs="Times New Roman" w:eastAsia="Times New Roman" w:hint="default"/>
          <w:spacing w:val="-1"/>
        </w:rPr>
        <w:t>2,493.93%</w:t>
      </w:r>
      <w:r>
        <w:rPr>
          <w:spacing w:val="-1"/>
        </w:rPr>
        <w:t>，主要原因系报告期公司投资购买银行理财产品到期收回投资成本及收益</w:t>
      </w:r>
      <w:r>
        <w:rPr>
          <w:spacing w:val="-86"/>
        </w:rPr>
        <w:t> </w:t>
      </w:r>
      <w:r>
        <w:rPr>
          <w:spacing w:val="-86"/>
        </w:rPr>
      </w:r>
      <w:r>
        <w:rPr/>
        <w:t>所致。</w:t>
      </w:r>
    </w:p>
    <w:p>
      <w:pPr>
        <w:pStyle w:val="BodyText"/>
        <w:spacing w:line="240" w:lineRule="auto" w:before="74"/>
        <w:ind w:right="0"/>
        <w:jc w:val="left"/>
      </w:pPr>
      <w:r>
        <w:rPr/>
        <w:t>（</w:t>
      </w:r>
      <w:r>
        <w:rPr>
          <w:rFonts w:ascii="Times New Roman" w:hAnsi="Times New Roman" w:cs="Times New Roman" w:eastAsia="Times New Roman" w:hint="default"/>
        </w:rPr>
        <w:t>2</w:t>
      </w:r>
      <w:r>
        <w:rPr/>
        <w:t>）投资活动现金流出较上年同期增长</w:t>
      </w:r>
      <w:r>
        <w:rPr>
          <w:rFonts w:ascii="Times New Roman" w:hAnsi="Times New Roman" w:cs="Times New Roman" w:eastAsia="Times New Roman" w:hint="default"/>
        </w:rPr>
        <w:t>90.74%</w:t>
      </w:r>
      <w:r>
        <w:rPr/>
        <w:t>，主要原因系报告期公司购买银行理财产品较上年同期增加所致。</w:t>
      </w:r>
    </w:p>
    <w:p>
      <w:pPr>
        <w:spacing w:line="240" w:lineRule="auto" w:before="9"/>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3</w:t>
      </w:r>
      <w:r>
        <w:rPr/>
        <w:t>）筹资活动现金流入较上年同期下降</w:t>
      </w:r>
      <w:r>
        <w:rPr>
          <w:rFonts w:ascii="Times New Roman" w:hAnsi="Times New Roman" w:cs="Times New Roman" w:eastAsia="Times New Roman" w:hint="default"/>
        </w:rPr>
        <w:t>70.32%</w:t>
      </w:r>
      <w:r>
        <w:rPr/>
        <w:t>，主要原因系报告期银行借款较去年同期减少以及上年同期非公开发行股份</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募集资金而本期未发生该事项所致。</w:t>
      </w:r>
    </w:p>
    <w:p>
      <w:pPr>
        <w:spacing w:line="240" w:lineRule="auto" w:before="10"/>
        <w:rPr>
          <w:rFonts w:ascii="宋体" w:hAnsi="宋体" w:cs="宋体" w:eastAsia="宋体" w:hint="default"/>
          <w:sz w:val="17"/>
          <w:szCs w:val="17"/>
        </w:rPr>
      </w:pPr>
    </w:p>
    <w:p>
      <w:pPr>
        <w:pStyle w:val="BodyText"/>
        <w:spacing w:line="489" w:lineRule="auto"/>
        <w:ind w:right="1107"/>
        <w:jc w:val="left"/>
      </w:pPr>
      <w:r>
        <w:rPr/>
        <w:t>（</w:t>
      </w:r>
      <w:r>
        <w:rPr>
          <w:rFonts w:ascii="Times New Roman" w:hAnsi="Times New Roman" w:cs="Times New Roman" w:eastAsia="Times New Roman" w:hint="default"/>
        </w:rPr>
        <w:t>4</w:t>
      </w:r>
      <w:r>
        <w:rPr/>
        <w:t>）筹资活动现金流出较上年同期下降</w:t>
      </w:r>
      <w:r>
        <w:rPr>
          <w:rFonts w:ascii="Times New Roman" w:hAnsi="Times New Roman" w:cs="Times New Roman" w:eastAsia="Times New Roman" w:hint="default"/>
        </w:rPr>
        <w:t>31.32%</w:t>
      </w:r>
      <w:r>
        <w:rPr/>
        <w:t>，主要原因系报告期偿还的到期银行借款及利息支出较上年同期减少所致。 报告期内公司经营活动产生的现金净流量与本年度净利润存在重大差异的原因说明</w:t>
      </w:r>
    </w:p>
    <w:p>
      <w:pPr>
        <w:pStyle w:val="BodyText"/>
        <w:spacing w:line="240" w:lineRule="auto" w:before="8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9"/>
          <w:szCs w:val="19"/>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5,434,861.46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银行理财产品投资收益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12,560,516.51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6.94%</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50"/>
              <w:jc w:val="both"/>
              <w:rPr>
                <w:rFonts w:ascii="宋体" w:hAnsi="宋体" w:cs="宋体" w:eastAsia="宋体" w:hint="default"/>
                <w:sz w:val="18"/>
                <w:szCs w:val="18"/>
              </w:rPr>
            </w:pPr>
            <w:r>
              <w:rPr>
                <w:rFonts w:ascii="宋体" w:hAnsi="宋体" w:cs="宋体" w:eastAsia="宋体" w:hint="default"/>
                <w:sz w:val="18"/>
                <w:szCs w:val="18"/>
              </w:rPr>
              <w:t>应收账款及其他应收款计 提坏账准备及计提的存货 跌价准备</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1,639,288.38</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0.91%</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50"/>
              <w:jc w:val="left"/>
              <w:rPr>
                <w:rFonts w:ascii="宋体" w:hAnsi="宋体" w:cs="宋体" w:eastAsia="宋体" w:hint="default"/>
                <w:sz w:val="18"/>
                <w:szCs w:val="18"/>
              </w:rPr>
            </w:pPr>
            <w:r>
              <w:rPr>
                <w:rFonts w:ascii="宋体" w:hAnsi="宋体" w:cs="宋体" w:eastAsia="宋体" w:hint="default"/>
                <w:sz w:val="18"/>
                <w:szCs w:val="18"/>
              </w:rPr>
              <w:t>与公司日常经营活动无关 的政府补助</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194,076.06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9,294,532.48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50"/>
              <w:jc w:val="left"/>
              <w:rPr>
                <w:rFonts w:ascii="宋体" w:hAnsi="宋体" w:cs="宋体" w:eastAsia="宋体" w:hint="default"/>
                <w:sz w:val="18"/>
                <w:szCs w:val="18"/>
              </w:rPr>
            </w:pPr>
            <w:r>
              <w:rPr>
                <w:rFonts w:ascii="宋体" w:hAnsi="宋体" w:cs="宋体" w:eastAsia="宋体" w:hint="default"/>
                <w:sz w:val="18"/>
                <w:szCs w:val="18"/>
              </w:rPr>
              <w:t>与公司日常经营活动相关 的政府补助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属于增值税即征即退部分具 </w:t>
            </w:r>
            <w:r>
              <w:rPr>
                <w:rFonts w:ascii="宋体" w:hAnsi="宋体" w:cs="宋体" w:eastAsia="宋体" w:hint="default"/>
                <w:spacing w:val="-5"/>
                <w:sz w:val="18"/>
                <w:szCs w:val="18"/>
              </w:rPr>
              <w:t>有可持续性，其余部分不具有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可持续性。</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474,556,354.4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29.48%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407,539,964.62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30.20%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-0.72%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320,263,778.4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19.89%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240,173,912.52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17.80%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2.09%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主要原因系报告期收入增加所致。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4" w:right="0"/>
              <w:jc w:val="left"/>
              <w:rPr>
                <w:rFonts w:ascii="Times New Roman" w:hAnsi="Times New Roman" w:cs="Times New Roman" w:eastAsia="Times New Roman" w:hint="default"/>
                <w:sz w:val="18"/>
                <w:szCs w:val="18"/>
              </w:rPr>
            </w:pPr>
            <w:r>
              <w:rPr>
                <w:rFonts w:ascii="Times New Roman"/>
                <w:sz w:val="18"/>
              </w:rPr>
              <w:t>151,342,880.4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9.40%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134,551,792.21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9.97%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-0.57%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75,220,907.64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33,037,709.14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257,252,488.5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303,393,574.35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1,236,854.70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16,952,910.57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主要原因系公司新办公楼装修完工 </w:t>
            </w:r>
            <w:r>
              <w:rPr>
                <w:rFonts w:ascii="宋体" w:hAnsi="宋体" w:cs="宋体" w:eastAsia="宋体" w:hint="default"/>
                <w:spacing w:val="-2"/>
                <w:sz w:val="18"/>
                <w:szCs w:val="18"/>
              </w:rPr>
              <w:t>结转至固定资产，以及子公司重庆浩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云公共安全物联网技术有限公司实 施渝北区公共安全视频监控工程服 </w:t>
            </w:r>
            <w:r>
              <w:rPr>
                <w:rFonts w:ascii="宋体" w:hAnsi="宋体" w:cs="宋体" w:eastAsia="宋体" w:hint="default"/>
                <w:spacing w:val="-2"/>
                <w:sz w:val="18"/>
                <w:szCs w:val="18"/>
              </w:rPr>
              <w:t>务（智慧天网）合同在建各网点的在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建工程完工结转至固定资产所致。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25,980,229.64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16,027,944.90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主要原因系报告期子公司重庆浩云 公共安全物联网技术有限公司及深 圳市润安科技发展有限公司购买软 件所致。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119,037,741.9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87,858,396.76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主要原因系报告期公司购买银行理 财产品较年初增加所致。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主要原因系报告期子公司西藏浩云 投资宁波清科嘉豪和嘉投资管理合 伙企业（有限合伙）</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5,530,382.01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主要原因系报告期公司将研发项目 软件定义物联网应用平台开发阶段 的支出资本化所致。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106,053,284.2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47,382,353.08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主要原因系报告期公司收购广东冠 网信息科技有限公司支付的对价与 公允价差额。</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8,842,742.36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5,366,511.25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主要原因系报告期应收账款坏账准 </w:t>
            </w:r>
            <w:r>
              <w:rPr>
                <w:rFonts w:ascii="宋体" w:hAnsi="宋体" w:cs="宋体" w:eastAsia="宋体" w:hint="default"/>
                <w:spacing w:val="-2"/>
                <w:sz w:val="18"/>
                <w:szCs w:val="18"/>
              </w:rPr>
              <w:t>备增加，存货跌价准备增加，股权激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励费用增加所形成的递延所得税资 产相应增加所致。</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left="234" w:right="1121"/>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tbl>
      <w:tblPr>
        <w:tblW w:w="0" w:type="auto"/>
        <w:jc w:val="left"/>
        <w:tblInd w:w="116" w:type="dxa"/>
        <w:tblLayout w:type="fixed"/>
        <w:tblCellMar>
          <w:top w:w="0" w:type="dxa"/>
          <w:left w:w="0" w:type="dxa"/>
          <w:bottom w:w="0" w:type="dxa"/>
          <w:right w:w="0" w:type="dxa"/>
        </w:tblCellMar>
        <w:tblLook w:val="01E0"/>
      </w:tblPr>
      <w:tblGrid>
        <w:gridCol w:w="3286"/>
        <w:gridCol w:w="3286"/>
        <w:gridCol w:w="3284"/>
      </w:tblGrid>
      <w:tr>
        <w:trPr>
          <w:trHeight w:val="425" w:hRule="exact"/>
        </w:trPr>
        <w:tc>
          <w:tcPr>
            <w:tcW w:w="328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right="1451"/>
              <w:jc w:val="right"/>
              <w:rPr>
                <w:rFonts w:ascii="宋体" w:hAnsi="宋体" w:cs="宋体" w:eastAsia="宋体" w:hint="default"/>
                <w:sz w:val="18"/>
                <w:szCs w:val="18"/>
              </w:rPr>
            </w:pPr>
            <w:r>
              <w:rPr>
                <w:rFonts w:ascii="宋体" w:hAnsi="宋体" w:cs="宋体" w:eastAsia="宋体" w:hint="default"/>
                <w:sz w:val="18"/>
                <w:szCs w:val="18"/>
              </w:rPr>
              <w:t>项目</w:t>
            </w:r>
          </w:p>
        </w:tc>
        <w:tc>
          <w:tcPr>
            <w:tcW w:w="328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328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6" w:hRule="exact"/>
        </w:trPr>
        <w:tc>
          <w:tcPr>
            <w:tcW w:w="3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Times New Roman" w:hAnsi="Times New Roman" w:cs="Times New Roman" w:eastAsia="Times New Roman" w:hint="default"/>
                <w:sz w:val="18"/>
                <w:szCs w:val="18"/>
              </w:rPr>
            </w:pPr>
            <w:r>
              <w:rPr>
                <w:rFonts w:ascii="Times New Roman"/>
                <w:spacing w:val="-1"/>
                <w:sz w:val="18"/>
              </w:rPr>
              <w:t>12,338,935.68</w:t>
            </w:r>
          </w:p>
        </w:tc>
        <w:tc>
          <w:tcPr>
            <w:tcW w:w="3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98" w:right="0"/>
              <w:jc w:val="left"/>
              <w:rPr>
                <w:rFonts w:ascii="宋体" w:hAnsi="宋体" w:cs="宋体" w:eastAsia="宋体" w:hint="default"/>
                <w:sz w:val="18"/>
                <w:szCs w:val="18"/>
              </w:rPr>
            </w:pPr>
            <w:r>
              <w:rPr>
                <w:rFonts w:ascii="宋体" w:hAnsi="宋体" w:cs="宋体" w:eastAsia="宋体" w:hint="default"/>
                <w:sz w:val="18"/>
                <w:szCs w:val="18"/>
              </w:rPr>
              <w:t>保证金、住宅专项维修资金</w:t>
            </w:r>
          </w:p>
        </w:tc>
      </w:tr>
      <w:tr>
        <w:trPr>
          <w:trHeight w:val="424" w:hRule="exact"/>
        </w:trPr>
        <w:tc>
          <w:tcPr>
            <w:tcW w:w="328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7"/>
              <w:ind w:right="1451"/>
              <w:jc w:val="right"/>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7"/>
              <w:jc w:val="right"/>
              <w:rPr>
                <w:rFonts w:ascii="Times New Roman" w:hAnsi="Times New Roman" w:cs="Times New Roman" w:eastAsia="Times New Roman" w:hint="default"/>
                <w:sz w:val="18"/>
                <w:szCs w:val="18"/>
              </w:rPr>
            </w:pPr>
            <w:r>
              <w:rPr>
                <w:rFonts w:ascii="Times New Roman"/>
                <w:spacing w:val="-1"/>
                <w:sz w:val="18"/>
              </w:rPr>
              <w:t>12,338,935.68</w:t>
            </w:r>
          </w:p>
        </w:tc>
        <w:tc>
          <w:tcPr>
            <w:tcW w:w="3284"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1"/>
        <w:rPr>
          <w:rFonts w:ascii="宋体" w:hAnsi="宋体" w:cs="宋体" w:eastAsia="宋体" w:hint="default"/>
          <w:b/>
          <w:bCs/>
          <w:sz w:val="24"/>
          <w:szCs w:val="24"/>
        </w:rPr>
      </w:pPr>
    </w:p>
    <w:p>
      <w:pPr>
        <w:pStyle w:val="Heading2"/>
        <w:spacing w:line="240" w:lineRule="auto" w:before="26"/>
        <w:ind w:left="234" w:right="1121"/>
        <w:jc w:val="left"/>
        <w:rPr>
          <w:b w:val="0"/>
          <w:bCs w:val="0"/>
        </w:rPr>
      </w:pPr>
      <w:bookmarkStart w:name="五、投资状况分析" w:id="43"/>
      <w:bookmarkEnd w:id="43"/>
      <w:r>
        <w:rPr>
          <w:b w:val="0"/>
          <w:bCs w:val="0"/>
        </w:rPr>
      </w:r>
      <w:r>
        <w:rPr/>
        <w:t>五、投资状况分析</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234" w:right="1121"/>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234"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2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84.17%</w:t>
            </w:r>
          </w:p>
        </w:tc>
      </w:tr>
    </w:tbl>
    <w:p>
      <w:pPr>
        <w:spacing w:line="240" w:lineRule="auto" w:before="1"/>
        <w:rPr>
          <w:rFonts w:ascii="宋体" w:hAnsi="宋体" w:cs="宋体" w:eastAsia="宋体" w:hint="default"/>
          <w:sz w:val="25"/>
          <w:szCs w:val="25"/>
        </w:rPr>
      </w:pPr>
    </w:p>
    <w:p>
      <w:pPr>
        <w:pStyle w:val="Heading3"/>
        <w:spacing w:line="240" w:lineRule="auto" w:before="35"/>
        <w:ind w:left="234" w:right="1121"/>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234"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14"/>
          <w:szCs w:val="14"/>
        </w:rPr>
      </w:pPr>
    </w:p>
    <w:tbl>
      <w:tblPr>
        <w:tblW w:w="0" w:type="auto"/>
        <w:jc w:val="left"/>
        <w:tblInd w:w="2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89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19"/>
              <w:jc w:val="both"/>
              <w:rPr>
                <w:rFonts w:ascii="宋体" w:hAnsi="宋体" w:cs="宋体" w:eastAsia="宋体" w:hint="default"/>
                <w:sz w:val="18"/>
                <w:szCs w:val="18"/>
              </w:rPr>
            </w:pPr>
            <w:r>
              <w:rPr>
                <w:rFonts w:ascii="宋体" w:hAnsi="宋体" w:cs="宋体" w:eastAsia="宋体" w:hint="default"/>
                <w:sz w:val="18"/>
                <w:szCs w:val="18"/>
              </w:rPr>
              <w:t>广东冠 网信息 科技有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20"/>
              <w:jc w:val="left"/>
              <w:rPr>
                <w:rFonts w:ascii="宋体" w:hAnsi="宋体" w:cs="宋体" w:eastAsia="宋体" w:hint="default"/>
                <w:sz w:val="18"/>
                <w:szCs w:val="18"/>
              </w:rPr>
            </w:pPr>
            <w:r>
              <w:rPr>
                <w:rFonts w:ascii="宋体" w:hAnsi="宋体" w:cs="宋体" w:eastAsia="宋体" w:hint="default"/>
                <w:sz w:val="18"/>
                <w:szCs w:val="18"/>
              </w:rPr>
              <w:t>软件开 </w:t>
            </w:r>
            <w:r>
              <w:rPr>
                <w:rFonts w:ascii="宋体" w:hAnsi="宋体" w:cs="宋体" w:eastAsia="宋体" w:hint="default"/>
                <w:spacing w:val="-21"/>
                <w:sz w:val="18"/>
                <w:szCs w:val="18"/>
              </w:rPr>
              <w:t>发；信息</w:t>
            </w:r>
            <w:r>
              <w:rPr>
                <w:rFonts w:ascii="宋体" w:hAnsi="宋体" w:cs="宋体" w:eastAsia="宋体" w:hint="default"/>
                <w:sz w:val="18"/>
                <w:szCs w:val="18"/>
              </w:rPr>
              <w:t> 系统集 成服务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58,300,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53.00%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王庆、 胡海 涛、曹 义峰、 邓杰、 廖永建</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6,863,21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hyperlink r:id="rId11">
              <w:r>
                <w:rPr>
                  <w:rFonts w:ascii="Times New Roman" w:hAnsi="Times New Roman" w:cs="Times New Roman" w:eastAsia="Times New Roman" w:hint="default"/>
                  <w:sz w:val="18"/>
                  <w:szCs w:val="18"/>
                </w:rPr>
                <w:t>http://w</w:t>
              </w:r>
            </w:hyperlink>
          </w:p>
          <w:p>
            <w:pPr>
              <w:pStyle w:val="TableParagraph"/>
              <w:spacing w:line="362" w:lineRule="auto" w:before="23"/>
              <w:ind w:left="23" w:right="24"/>
              <w:jc w:val="left"/>
              <w:rPr>
                <w:rFonts w:ascii="Times New Roman" w:hAnsi="Times New Roman" w:cs="Times New Roman" w:eastAsia="Times New Roman" w:hint="default"/>
                <w:sz w:val="18"/>
                <w:szCs w:val="18"/>
              </w:rPr>
            </w:pP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199"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，公告编</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2018-03</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227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宁波清 科嘉豪 和嘉投 资管理 合伙企 </w:t>
            </w:r>
            <w:r>
              <w:rPr>
                <w:rFonts w:ascii="宋体" w:hAnsi="宋体" w:cs="宋体" w:eastAsia="宋体" w:hint="default"/>
                <w:spacing w:val="-21"/>
                <w:sz w:val="18"/>
                <w:szCs w:val="18"/>
              </w:rPr>
              <w:t>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投资管 </w:t>
            </w:r>
            <w:r>
              <w:rPr>
                <w:rFonts w:ascii="宋体" w:hAnsi="宋体" w:cs="宋体" w:eastAsia="宋体" w:hint="default"/>
                <w:spacing w:val="-21"/>
                <w:sz w:val="18"/>
                <w:szCs w:val="18"/>
              </w:rPr>
              <w:t>理；资产</w:t>
            </w:r>
            <w:r>
              <w:rPr>
                <w:rFonts w:ascii="宋体" w:hAnsi="宋体" w:cs="宋体" w:eastAsia="宋体" w:hint="default"/>
                <w:sz w:val="18"/>
                <w:szCs w:val="18"/>
              </w:rPr>
              <w:t> 管理。</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3"/>
              <w:jc w:val="left"/>
              <w:rPr>
                <w:rFonts w:ascii="宋体" w:hAnsi="宋体" w:cs="宋体" w:eastAsia="宋体" w:hint="default"/>
                <w:sz w:val="18"/>
                <w:szCs w:val="18"/>
              </w:rPr>
            </w:pPr>
            <w:r>
              <w:rPr>
                <w:rFonts w:ascii="宋体" w:hAnsi="宋体" w:cs="宋体" w:eastAsia="宋体" w:hint="default"/>
                <w:sz w:val="18"/>
                <w:szCs w:val="18"/>
              </w:rPr>
              <w:t>杭州清 科投资 管理有 限公 司，嘉 豪（北 京）投</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8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71"/>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1">
              <w:r>
                <w:rPr>
                  <w:rFonts w:ascii="Times New Roman" w:hAnsi="Times New Roman" w:cs="Times New Roman" w:eastAsia="Times New Roman" w:hint="default"/>
                  <w:sz w:val="18"/>
                  <w:szCs w:val="18"/>
                </w:rPr>
                <w:t>http://w</w:t>
              </w:r>
            </w:hyperlink>
          </w:p>
          <w:p>
            <w:pPr>
              <w:pStyle w:val="TableParagraph"/>
              <w:spacing w:line="362" w:lineRule="auto" w:before="23"/>
              <w:ind w:left="23" w:right="24"/>
              <w:jc w:val="left"/>
              <w:rPr>
                <w:rFonts w:ascii="Times New Roman" w:hAnsi="Times New Roman" w:cs="Times New Roman" w:eastAsia="Times New Roman" w:hint="default"/>
                <w:sz w:val="18"/>
                <w:szCs w:val="18"/>
              </w:rPr>
            </w:pP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199"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，公告编</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47"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674"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3"/>
              <w:jc w:val="left"/>
              <w:rPr>
                <w:rFonts w:ascii="宋体" w:hAnsi="宋体" w:cs="宋体" w:eastAsia="宋体" w:hint="default"/>
                <w:sz w:val="18"/>
                <w:szCs w:val="18"/>
              </w:rPr>
            </w:pPr>
            <w:r>
              <w:rPr>
                <w:rFonts w:ascii="宋体" w:hAnsi="宋体" w:cs="宋体" w:eastAsia="宋体" w:hint="default"/>
                <w:sz w:val="18"/>
                <w:szCs w:val="18"/>
              </w:rPr>
              <w:t>资有限 公司</w:t>
            </w: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2018-01</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66,300,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6,863,21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6.12</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44"/>
        <w:ind w:left="0" w:right="1145"/>
        <w:jc w:val="right"/>
      </w:pPr>
      <w:r>
        <w:rPr/>
        <w:pict>
          <v:shape style="position:absolute;margin-left:56.459999pt;margin-top:-223.648254pt;width:478.95pt;height:259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34,457.4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29,825.37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4,837.53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户及购买 银行理财 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34,457.4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29,825.37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4,837.53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78"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年度实际使用募集资金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955.33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年度收到的银行存款利息扣除银行手续费等的净额为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187.09 </w:t>
                        </w:r>
                        <w:r>
                          <w:rPr>
                            <w:rFonts w:ascii="宋体" w:hAnsi="宋体" w:cs="宋体" w:eastAsia="宋体" w:hint="default"/>
                            <w:spacing w:val="-3"/>
                            <w:sz w:val="18"/>
                            <w:szCs w:val="18"/>
                          </w:rPr>
                          <w:t>万元；累计已</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29,825.37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万元，累计收到的银行存款利息扣除银行手续费等的净额为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62"/>
                            <w:sz w:val="18"/>
                            <w:szCs w:val="18"/>
                          </w:rPr>
                          <w:t>，</w:t>
                        </w:r>
                        <w:r>
                          <w:rPr>
                            <w:rFonts w:ascii="宋体" w:hAnsi="宋体" w:cs="宋体" w:eastAsia="宋体" w:hint="default"/>
                            <w:spacing w:val="1"/>
                            <w:sz w:val="18"/>
                            <w:szCs w:val="18"/>
                          </w:rPr>
                          <w:t>募</w:t>
                        </w:r>
                        <w:r>
                          <w:rPr>
                            <w:rFonts w:ascii="宋体" w:hAnsi="宋体" w:cs="宋体" w:eastAsia="宋体" w:hint="default"/>
                            <w:sz w:val="18"/>
                            <w:szCs w:val="18"/>
                          </w:rPr>
                          <w:t>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4,837.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62"/>
                            <w:sz w:val="18"/>
                            <w:szCs w:val="18"/>
                          </w:rPr>
                          <w:t>元</w:t>
                        </w:r>
                        <w:r>
                          <w:rPr>
                            <w:rFonts w:ascii="宋体" w:hAnsi="宋体" w:cs="宋体" w:eastAsia="宋体" w:hint="default"/>
                            <w:sz w:val="18"/>
                            <w:szCs w:val="18"/>
                          </w:rPr>
                          <w:t>（包括累计收到的银行存款利息扣除银行手续费等的净额</w:t>
                        </w:r>
                        <w:r>
                          <w:rPr>
                            <w:rFonts w:ascii="宋体" w:hAnsi="宋体" w:cs="宋体" w:eastAsia="宋体" w:hint="default"/>
                            <w:spacing w:val="-89"/>
                            <w:sz w:val="18"/>
                            <w:szCs w:val="18"/>
                          </w:rPr>
                          <w:t>）</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其中购买理财产品余额为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1650"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8"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视频图像信息大数 据及深度智能分析 系统产业化技术改 造项目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11,391.7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11,391.7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7,486.69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65.72%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2,265.74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2,265.74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综合安保社会化运 营平台及公共安全 智能终端产业化技 术改造项目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11,484.3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11,484.3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955.33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11,440.6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1,948.54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2,518.93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监狱大数据信息综 合管理平台技术改 造项目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1,671.85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1,671.85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984.05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9,909.48</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9,913.97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100.05%</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35,047.9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34,457.4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955.33</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29,825.3</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7</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4,214.28</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4,784.67</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35,047.9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34,457.4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955.33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29,825.3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4,214.28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4,784.67</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356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2"/>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z w:val="18"/>
                <w:szCs w:val="18"/>
              </w:rPr>
              <w:t>视频图像信息大数据及深度智能分析系统产业化技术改造项目未完全达到预定可使用状</w:t>
            </w:r>
            <w:r>
              <w:rPr>
                <w:rFonts w:ascii="宋体" w:hAnsi="宋体" w:cs="宋体" w:eastAsia="宋体" w:hint="default"/>
                <w:sz w:val="18"/>
                <w:szCs w:val="18"/>
              </w:rPr>
              <w:t> 态，</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年度实现效益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2,265.74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万元，未达到预计收益。</w:t>
            </w:r>
          </w:p>
          <w:p>
            <w:pPr>
              <w:pStyle w:val="TableParagraph"/>
              <w:spacing w:line="302" w:lineRule="auto" w:before="52"/>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z w:val="18"/>
                <w:szCs w:val="18"/>
              </w:rPr>
              <w:t>综合安保社会化运营平台及公共安全智能终端产业化技术改造项目未完全达到预定可使</w:t>
            </w:r>
            <w:r>
              <w:rPr>
                <w:rFonts w:ascii="宋体" w:hAnsi="宋体" w:cs="宋体" w:eastAsia="宋体" w:hint="default"/>
                <w:sz w:val="18"/>
                <w:szCs w:val="18"/>
              </w:rPr>
              <w:t> 用状态，</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年度实现效益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1,948.54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万元，未达到预计收益。</w:t>
            </w:r>
          </w:p>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z w:val="18"/>
                <w:szCs w:val="18"/>
              </w:rPr>
              <w:t>监狱大数据信息综合管理平台技术改造项目原预计于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日达到预定可使用</w:t>
            </w:r>
          </w:p>
          <w:p>
            <w:pPr>
              <w:pStyle w:val="TableParagraph"/>
              <w:spacing w:line="307" w:lineRule="auto" w:before="63"/>
              <w:ind w:left="23" w:right="21"/>
              <w:jc w:val="both"/>
              <w:rPr>
                <w:rFonts w:ascii="宋体" w:hAnsi="宋体" w:cs="宋体" w:eastAsia="宋体" w:hint="default"/>
                <w:sz w:val="18"/>
                <w:szCs w:val="18"/>
              </w:rPr>
            </w:pPr>
            <w:r>
              <w:rPr>
                <w:rFonts w:ascii="宋体" w:hAnsi="宋体" w:cs="宋体" w:eastAsia="宋体" w:hint="default"/>
                <w:sz w:val="18"/>
                <w:szCs w:val="18"/>
              </w:rPr>
              <w:t>状态，公司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年进行募投项目改造建设预计时，主要是根据当时市场情况、客户需求并 </w:t>
            </w:r>
            <w:r>
              <w:rPr>
                <w:rFonts w:ascii="宋体" w:hAnsi="宋体" w:cs="宋体" w:eastAsia="宋体" w:hint="default"/>
                <w:spacing w:val="-5"/>
                <w:w w:val="100"/>
                <w:sz w:val="18"/>
                <w:szCs w:val="18"/>
              </w:rPr>
              <w:t>结合公司的研究技术等实际情况做的建设规划。现根据《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十三五</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国家信息化规划》、《</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十</w:t>
            </w:r>
            <w:r>
              <w:rPr>
                <w:rFonts w:ascii="宋体" w:hAnsi="宋体" w:cs="宋体" w:eastAsia="宋体" w:hint="default"/>
                <w:spacing w:val="-63"/>
                <w:w w:val="100"/>
                <w:sz w:val="18"/>
                <w:szCs w:val="18"/>
              </w:rPr>
              <w:t> </w:t>
            </w:r>
            <w:r>
              <w:rPr>
                <w:rFonts w:ascii="宋体" w:hAnsi="宋体" w:cs="宋体" w:eastAsia="宋体" w:hint="default"/>
                <w:sz w:val="18"/>
                <w:szCs w:val="18"/>
              </w:rPr>
              <w:t>三五</w:t>
            </w:r>
            <w:r>
              <w:rPr>
                <w:rFonts w:ascii="Times New Roman" w:hAnsi="Times New Roman" w:cs="Times New Roman" w:eastAsia="Times New Roman" w:hint="default"/>
                <w:sz w:val="18"/>
                <w:szCs w:val="18"/>
              </w:rPr>
              <w:t>”</w:t>
            </w:r>
            <w:r>
              <w:rPr>
                <w:rFonts w:ascii="宋体" w:hAnsi="宋体" w:cs="宋体" w:eastAsia="宋体" w:hint="default"/>
                <w:sz w:val="18"/>
                <w:szCs w:val="18"/>
              </w:rPr>
              <w:t>全国司法行政信息化发展规划》等立法推进以及司法部多次工作会议，均对监狱的信 </w:t>
            </w:r>
            <w:r>
              <w:rPr>
                <w:rFonts w:ascii="宋体" w:hAnsi="宋体" w:cs="宋体" w:eastAsia="宋体" w:hint="default"/>
                <w:spacing w:val="-2"/>
                <w:sz w:val="18"/>
                <w:szCs w:val="18"/>
              </w:rPr>
              <w:t>息化要求、智能化建设提出了更明确的要求，为了更好地响应政策和提供适应市场需求的产</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品，公司在推进募投项目建设时，为控制项目投入风险，提高了建设项目的设计、投入和验</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证标准，采取逐步投入的方式，导致投入周期较原计划延长。因此，公司第三届董事会第十</w:t>
            </w:r>
          </w:p>
        </w:tc>
      </w:tr>
    </w:tbl>
    <w:p>
      <w:pPr>
        <w:spacing w:after="0" w:line="30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left="0" w:right="1135"/>
        <w:jc w:val="right"/>
      </w:pPr>
      <w:r>
        <w:rPr/>
        <w:pict>
          <v:shape style="position:absolute;margin-left:56.459999pt;margin-top:-331.168274pt;width:479.35pt;height:571.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5"/>
                    <w:gridCol w:w="721"/>
                    <w:gridCol w:w="7216"/>
                  </w:tblGrid>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70"/>
                          <w:jc w:val="left"/>
                          <w:rPr>
                            <w:rFonts w:ascii="宋体" w:hAnsi="宋体" w:cs="宋体" w:eastAsia="宋体" w:hint="default"/>
                            <w:sz w:val="18"/>
                            <w:szCs w:val="18"/>
                          </w:rPr>
                        </w:pPr>
                        <w:r>
                          <w:rPr>
                            <w:rFonts w:ascii="宋体" w:hAnsi="宋体" w:cs="宋体" w:eastAsia="宋体" w:hint="default"/>
                            <w:spacing w:val="-3"/>
                            <w:sz w:val="18"/>
                            <w:szCs w:val="18"/>
                          </w:rPr>
                          <w:t>八次会议，通过了《关于部分募集资金投资项目延期的议案》，同意该投资项目的达到预定</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可使用状态日期延期至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日，相关项目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年未产生效益。</w:t>
                        </w:r>
                      </w:p>
                      <w:p>
                        <w:pPr>
                          <w:pStyle w:val="TableParagraph"/>
                          <w:spacing w:line="302" w:lineRule="auto" w:before="36"/>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pacing w:val="-39"/>
                            <w:sz w:val="18"/>
                            <w:szCs w:val="18"/>
                          </w:rPr>
                          <w:t> </w:t>
                        </w:r>
                        <w:r>
                          <w:rPr>
                            <w:rFonts w:ascii="宋体" w:hAnsi="宋体" w:cs="宋体" w:eastAsia="宋体" w:hint="default"/>
                            <w:sz w:val="18"/>
                            <w:szCs w:val="18"/>
                          </w:rPr>
                          <w:t>补充流动资金的投入不直接产生效益。累计投入金额大于调整后承诺投资金额为利息减</w:t>
                        </w:r>
                        <w:r>
                          <w:rPr>
                            <w:rFonts w:ascii="宋体" w:hAnsi="宋体" w:cs="宋体" w:eastAsia="宋体" w:hint="default"/>
                            <w:sz w:val="18"/>
                            <w:szCs w:val="18"/>
                          </w:rPr>
                          <w:t> 手续费净额。</w:t>
                        </w:r>
                      </w:p>
                    </w:tc>
                  </w:tr>
                  <w:tr>
                    <w:trPr>
                      <w:trHeight w:val="714" w:hRule="exact"/>
                    </w:trPr>
                    <w:tc>
                      <w:tcPr>
                        <w:tcW w:w="163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3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38"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6" w:firstLine="9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日，公司第二届董事会第三十六次会议和第二届监事会第三十次会议审议通 </w:t>
                        </w:r>
                        <w:r>
                          <w:rPr>
                            <w:rFonts w:ascii="宋体" w:hAnsi="宋体" w:cs="宋体" w:eastAsia="宋体" w:hint="default"/>
                            <w:spacing w:val="-3"/>
                            <w:sz w:val="18"/>
                            <w:szCs w:val="18"/>
                          </w:rPr>
                          <w:t>过了《关于部分募集资金投资项目增加实施主体的议案》，同意公司将全资子公司重庆浩云</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公共安全物联网技术有限公司增加为</w:t>
                        </w:r>
                        <w:r>
                          <w:rPr>
                            <w:rFonts w:ascii="Times New Roman" w:hAnsi="Times New Roman" w:cs="Times New Roman" w:eastAsia="Times New Roman" w:hint="default"/>
                            <w:sz w:val="18"/>
                            <w:szCs w:val="18"/>
                          </w:rPr>
                          <w:t>“</w:t>
                        </w:r>
                        <w:r>
                          <w:rPr>
                            <w:rFonts w:ascii="宋体" w:hAnsi="宋体" w:cs="宋体" w:eastAsia="宋体" w:hint="default"/>
                            <w:sz w:val="18"/>
                            <w:szCs w:val="18"/>
                          </w:rPr>
                          <w:t>综合安保社会化运营平台及公共安全智能终端产业化 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的实施主体，实施地点为重庆市。</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2" w:right="16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公司第二届董事会第三十六次会议及第二届监事会第三十次会议审议通过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同意公司以募集资金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17,339.23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万元置换预先投入募投项目的自筹资金。公司于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日完成了置换。</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0"/>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尚未使用的募集资金存放于公司募集资金专户和以购买银行理财产品的形式进行存放和管 理。</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3"/>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489"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19"/>
          <w:szCs w:val="19"/>
        </w:rPr>
      </w:pPr>
    </w:p>
    <w:p>
      <w:pPr>
        <w:pStyle w:val="BodyText"/>
        <w:spacing w:line="240" w:lineRule="auto"/>
        <w:ind w:right="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广州市苏瑞 计算机科技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both"/>
              <w:rPr>
                <w:rFonts w:ascii="宋体" w:hAnsi="宋体" w:cs="宋体" w:eastAsia="宋体" w:hint="default"/>
                <w:sz w:val="18"/>
                <w:szCs w:val="18"/>
              </w:rPr>
            </w:pPr>
            <w:r>
              <w:rPr>
                <w:rFonts w:ascii="宋体" w:hAnsi="宋体" w:cs="宋体" w:eastAsia="宋体" w:hint="default"/>
                <w:sz w:val="18"/>
                <w:szCs w:val="18"/>
              </w:rPr>
              <w:t>主要从事联 网平台基础 软件的开发 及销售等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99,537,964.2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90,936,775.1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43,500,276.0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34,343,682.2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30,815,871.7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深圳市润安 科技发展有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both"/>
              <w:rPr>
                <w:rFonts w:ascii="宋体" w:hAnsi="宋体" w:cs="宋体" w:eastAsia="宋体" w:hint="default"/>
                <w:sz w:val="18"/>
                <w:szCs w:val="18"/>
              </w:rPr>
            </w:pPr>
            <w:r>
              <w:rPr>
                <w:rFonts w:ascii="宋体" w:hAnsi="宋体" w:cs="宋体" w:eastAsia="宋体" w:hint="default"/>
                <w:sz w:val="18"/>
                <w:szCs w:val="18"/>
              </w:rPr>
              <w:t>主要从事信 息系统集成 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57,088,889.0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171,500,798.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109,345,332.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132,703,756.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24,916,407.3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22,225,261.9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重庆浩云公 共安全物联 网技术有限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both"/>
              <w:rPr>
                <w:rFonts w:ascii="宋体" w:hAnsi="宋体" w:cs="宋体" w:eastAsia="宋体" w:hint="default"/>
                <w:sz w:val="18"/>
                <w:szCs w:val="18"/>
              </w:rPr>
            </w:pPr>
            <w:r>
              <w:rPr>
                <w:rFonts w:ascii="宋体" w:hAnsi="宋体" w:cs="宋体" w:eastAsia="宋体" w:hint="default"/>
                <w:sz w:val="18"/>
                <w:szCs w:val="18"/>
              </w:rPr>
              <w:t>主要从事公 共安全大数 据的处理服 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103,000,000.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151,887,887.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131,558,403.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52,012,580.5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16,104,266.3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14,119,635.1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广东冠网信 息科技有限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both"/>
              <w:rPr>
                <w:rFonts w:ascii="宋体" w:hAnsi="宋体" w:cs="宋体" w:eastAsia="宋体" w:hint="default"/>
                <w:sz w:val="18"/>
                <w:szCs w:val="18"/>
              </w:rPr>
            </w:pPr>
            <w:r>
              <w:rPr>
                <w:rFonts w:ascii="宋体" w:hAnsi="宋体" w:cs="宋体" w:eastAsia="宋体" w:hint="default"/>
                <w:sz w:val="18"/>
                <w:szCs w:val="18"/>
              </w:rPr>
              <w:t>主要从事软 件开发，信 息系统集成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10,010,000.0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29,450,962.3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12,249,594.3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24,836,224.2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12,996,166.8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12,949,464.3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报告期内取得和处置子公司的情况</w:t>
      </w:r>
    </w:p>
    <w:p>
      <w:pPr>
        <w:spacing w:line="240" w:lineRule="auto" w:before="11"/>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辛集市浩云智慧城市科技有限公司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年归属于母公司的净利润：</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170,536.86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广州市浩耘元鸿信息技术有限公司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年归属于母公司的净利润：</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广东冠网信息科技有限公司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年归属于母公司的净利润：</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6,863,216.12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4"/>
          <w:szCs w:val="24"/>
        </w:rPr>
      </w:pPr>
    </w:p>
    <w:p>
      <w:pPr>
        <w:pStyle w:val="Heading2"/>
        <w:spacing w:line="240" w:lineRule="auto" w:before="26"/>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1"/>
        <w:ind w:left="461" w:right="0"/>
        <w:jc w:val="left"/>
        <w:rPr>
          <w:b w:val="0"/>
          <w:bCs w:val="0"/>
        </w:rPr>
      </w:pPr>
      <w:r>
        <w:rPr>
          <w:rFonts w:ascii="Times New Roman" w:hAnsi="Times New Roman" w:cs="Times New Roman" w:eastAsia="Times New Roman" w:hint="default"/>
        </w:rPr>
        <w:t>1</w:t>
      </w:r>
      <w:r>
        <w:rPr/>
        <w:t>、公司所处行业的发展情况</w:t>
      </w:r>
      <w:r>
        <w:rPr>
          <w:b w:val="0"/>
          <w:bCs w:val="0"/>
        </w:rPr>
      </w:r>
    </w:p>
    <w:p>
      <w:pPr>
        <w:spacing w:line="240" w:lineRule="auto" w:before="6"/>
        <w:rPr>
          <w:rFonts w:ascii="宋体" w:hAnsi="宋体" w:cs="宋体" w:eastAsia="宋体" w:hint="default"/>
          <w:b/>
          <w:bCs/>
          <w:sz w:val="15"/>
          <w:szCs w:val="15"/>
        </w:rPr>
      </w:pPr>
    </w:p>
    <w:p>
      <w:pPr>
        <w:pStyle w:val="BodyText"/>
        <w:spacing w:line="451" w:lineRule="auto"/>
        <w:ind w:left="444" w:right="1192"/>
        <w:jc w:val="left"/>
      </w:pPr>
      <w:r>
        <w:rPr/>
        <w:t>（</w:t>
      </w:r>
      <w:r>
        <w:rPr>
          <w:rFonts w:ascii="Times New Roman" w:hAnsi="Times New Roman" w:cs="Times New Roman" w:eastAsia="Times New Roman" w:hint="default"/>
        </w:rPr>
        <w:t>1</w:t>
      </w:r>
      <w:r>
        <w:rPr/>
        <w:t>）人工智能与物联网结合具有广阔前景 人工智能和物联网属于国家战略新兴产业，</w:t>
      </w:r>
      <w:r>
        <w:rPr>
          <w:rFonts w:ascii="Times New Roman" w:hAnsi="Times New Roman" w:cs="Times New Roman" w:eastAsia="Times New Roman" w:hint="default"/>
        </w:rPr>
        <w:t>2017</w:t>
      </w:r>
      <w:r>
        <w:rPr/>
        <w:t>年，国务院印发《新一代人工智能发展规划》，</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月，《人工智</w:t>
      </w:r>
    </w:p>
    <w:p>
      <w:pPr>
        <w:pStyle w:val="BodyText"/>
        <w:spacing w:line="458" w:lineRule="auto" w:before="43"/>
        <w:ind w:right="1132"/>
        <w:jc w:val="both"/>
      </w:pPr>
      <w:r>
        <w:rPr>
          <w:spacing w:val="-2"/>
        </w:rPr>
        <w:t>能标准化白皮书》发布，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日中共中央政治局就人工智能发展现状和趋势举行第九次集体学习，习近平总书记在</w:t>
      </w:r>
      <w:r>
        <w:rPr>
          <w:spacing w:val="-58"/>
        </w:rPr>
        <w:t> </w:t>
      </w:r>
      <w:r>
        <w:rPr>
          <w:spacing w:val="-58"/>
        </w:rPr>
      </w:r>
      <w:r>
        <w:rPr/>
        <w:t>主持学习时强调，</w:t>
      </w:r>
      <w:r>
        <w:rPr>
          <w:rFonts w:ascii="Times New Roman" w:hAnsi="Times New Roman" w:cs="Times New Roman" w:eastAsia="Times New Roman" w:hint="default"/>
        </w:rPr>
        <w:t>“</w:t>
      </w:r>
      <w:r>
        <w:rPr/>
        <w:t>要深刻认识加快发展新一代人工智能的重大意义，加强领导，做好规划，明确任务，夯实基础，促进其 同经济社会发展深度融合，推动我国新一代人工智能健康发展</w:t>
      </w:r>
      <w:r>
        <w:rPr>
          <w:rFonts w:ascii="Times New Roman" w:hAnsi="Times New Roman" w:cs="Times New Roman" w:eastAsia="Times New Roman" w:hint="default"/>
        </w:rPr>
        <w:t>”</w:t>
      </w:r>
      <w:r>
        <w:rPr/>
        <w:t>；人工智能被国家将提到了前所未有的高度。人工智能与业 </w:t>
      </w:r>
      <w:r>
        <w:rPr>
          <w:spacing w:val="-2"/>
        </w:rPr>
        <w:t>务场景融合应用已成为当下科技领域的共识和趋势；物联网广泛的连接和应用为人工智能提供了巨量的落地场景，人工智能</w:t>
      </w:r>
      <w:r>
        <w:rPr>
          <w:spacing w:val="-64"/>
        </w:rPr>
        <w:t> </w:t>
      </w:r>
      <w:r>
        <w:rPr>
          <w:spacing w:val="-64"/>
        </w:rPr>
      </w:r>
      <w:r>
        <w:rPr/>
        <w:t>与物联网结合，使得平台与终端的智能、智慧化具有巨大的市场，产业前景广阔。</w:t>
      </w:r>
    </w:p>
    <w:p>
      <w:pPr>
        <w:pStyle w:val="BodyText"/>
        <w:spacing w:line="451" w:lineRule="auto" w:before="68"/>
        <w:ind w:left="444" w:right="1192"/>
        <w:jc w:val="left"/>
      </w:pPr>
      <w:r>
        <w:rPr/>
        <w:t>（</w:t>
      </w:r>
      <w:r>
        <w:rPr>
          <w:rFonts w:ascii="Times New Roman" w:hAnsi="Times New Roman" w:cs="Times New Roman" w:eastAsia="Times New Roman" w:hint="default"/>
        </w:rPr>
        <w:t>2</w:t>
      </w:r>
      <w:r>
        <w:rPr/>
        <w:t>）细分领域需求持续增长 公司重点布局的公共安全、司法等领域需求持续增长。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月，中共中央办公厅、国务院办公厅针对城市安全基础</w:t>
      </w:r>
    </w:p>
    <w:p>
      <w:pPr>
        <w:pStyle w:val="BodyText"/>
        <w:spacing w:line="451" w:lineRule="auto" w:before="43"/>
        <w:ind w:right="1131"/>
        <w:jc w:val="both"/>
      </w:pPr>
      <w:r>
        <w:rPr>
          <w:spacing w:val="-2"/>
        </w:rPr>
        <w:t>薄弱，安全管理水平与现代化城市发展要求不适应、不协调的问题印发了《关于推进城市安全发展的意见》，</w:t>
      </w:r>
      <w:r>
        <w:rPr>
          <w:rFonts w:ascii="Times New Roman" w:hAnsi="Times New Roman" w:cs="Times New Roman" w:eastAsia="Times New Roman" w:hint="default"/>
          <w:spacing w:val="-2"/>
        </w:rPr>
        <w:t>2018</w:t>
      </w:r>
      <w:r>
        <w:rPr>
          <w:spacing w:val="-2"/>
        </w:rPr>
        <w:t>年雪亮工</w:t>
      </w:r>
      <w:r>
        <w:rPr>
          <w:spacing w:val="-61"/>
        </w:rPr>
        <w:t> </w:t>
      </w:r>
      <w:r>
        <w:rPr>
          <w:spacing w:val="-2"/>
        </w:rPr>
        <w:t>程建设首次写入中央一号文件，</w:t>
      </w:r>
      <w:r>
        <w:rPr>
          <w:rFonts w:ascii="Times New Roman" w:hAnsi="Times New Roman" w:cs="Times New Roman" w:eastAsia="Times New Roman" w:hint="default"/>
          <w:spacing w:val="-2"/>
        </w:rPr>
        <w:t>2019</w:t>
      </w:r>
      <w:r>
        <w:rPr>
          <w:spacing w:val="-2"/>
        </w:rPr>
        <w:t>年雪亮工程再次进入中央一号文件，相关政策的出台为公共安全业务带来进一步发展机</w:t>
      </w:r>
      <w:r>
        <w:rPr>
          <w:spacing w:val="-60"/>
        </w:rPr>
        <w:t> </w:t>
      </w:r>
      <w:r>
        <w:rPr>
          <w:spacing w:val="-60"/>
        </w:rPr>
      </w:r>
      <w:r>
        <w:rPr>
          <w:spacing w:val="-2"/>
        </w:rPr>
        <w:t>遇，市场前景明朗。</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月，司法部要求切实加强监狱社区矫正一体化建设，开创新时代社区矫正工作的新局面，随着</w:t>
      </w:r>
      <w:r>
        <w:rPr>
          <w:spacing w:val="-60"/>
        </w:rPr>
        <w:t> </w:t>
      </w:r>
      <w:r>
        <w:rPr>
          <w:spacing w:val="-60"/>
        </w:rPr>
      </w:r>
      <w:r>
        <w:rPr/>
        <w:t>各项工作的推进，司法领域市场前景可期。银行业金融机构为强制安防建设场所，需求稳定持续。</w:t>
      </w:r>
    </w:p>
    <w:p>
      <w:pPr>
        <w:pStyle w:val="Heading3"/>
        <w:spacing w:line="240" w:lineRule="auto" w:before="48"/>
        <w:ind w:left="512" w:right="0"/>
        <w:jc w:val="left"/>
        <w:rPr>
          <w:b w:val="0"/>
          <w:bCs w:val="0"/>
        </w:rPr>
      </w:pPr>
      <w:r>
        <w:rPr>
          <w:rFonts w:ascii="Times New Roman" w:hAnsi="Times New Roman" w:cs="Times New Roman" w:eastAsia="Times New Roman" w:hint="default"/>
        </w:rPr>
        <w:t>2</w:t>
      </w:r>
      <w:r>
        <w:rPr/>
        <w:t>、公司发展战略</w:t>
      </w:r>
      <w:r>
        <w:rPr>
          <w:b w:val="0"/>
          <w:bCs w:val="0"/>
        </w:rPr>
      </w:r>
    </w:p>
    <w:p>
      <w:pPr>
        <w:spacing w:line="240" w:lineRule="auto" w:before="6"/>
        <w:rPr>
          <w:rFonts w:ascii="宋体" w:hAnsi="宋体" w:cs="宋体" w:eastAsia="宋体" w:hint="default"/>
          <w:b/>
          <w:bCs/>
          <w:sz w:val="15"/>
          <w:szCs w:val="15"/>
        </w:rPr>
      </w:pPr>
    </w:p>
    <w:p>
      <w:pPr>
        <w:pStyle w:val="BodyText"/>
        <w:spacing w:line="463" w:lineRule="auto"/>
        <w:ind w:right="1132" w:firstLine="290"/>
        <w:jc w:val="both"/>
      </w:pPr>
      <w:r>
        <w:rPr>
          <w:rFonts w:ascii="Times New Roman" w:hAnsi="Times New Roman" w:cs="Times New Roman" w:eastAsia="Times New Roman" w:hint="default"/>
          <w:spacing w:val="-1"/>
        </w:rPr>
        <w:t>2019</w:t>
      </w:r>
      <w:r>
        <w:rPr>
          <w:spacing w:val="-1"/>
        </w:rPr>
        <w:t>年公司将进一步技术迭代，扩大公司在智慧物联管理平台的领先优势，融合大数据、人工智能、云计算、移动互联</w:t>
      </w:r>
      <w:r>
        <w:rPr/>
        <w:t> </w:t>
      </w:r>
      <w:r>
        <w:rPr>
          <w:spacing w:val="-2"/>
        </w:rPr>
        <w:t>网、边缘计算、物联网等新兴技术，以客户为中心，实施供给创新，持续推进以智慧物联管理为核心，聚焦公共安全、智慧</w:t>
      </w:r>
      <w:r>
        <w:rPr>
          <w:spacing w:val="-72"/>
        </w:rPr>
        <w:t> </w:t>
      </w:r>
      <w:r>
        <w:rPr>
          <w:spacing w:val="-72"/>
        </w:rPr>
      </w:r>
      <w:r>
        <w:rPr/>
        <w:t>司法、金融物联三大领域的</w:t>
      </w:r>
      <w:r>
        <w:rPr>
          <w:rFonts w:ascii="Times New Roman" w:hAnsi="Times New Roman" w:cs="Times New Roman" w:eastAsia="Times New Roman" w:hint="default"/>
        </w:rPr>
        <w:t>“</w:t>
      </w:r>
      <w:r>
        <w:rPr/>
        <w:t>一核三线</w:t>
      </w:r>
      <w:r>
        <w:rPr>
          <w:rFonts w:ascii="Times New Roman" w:hAnsi="Times New Roman" w:cs="Times New Roman" w:eastAsia="Times New Roman" w:hint="default"/>
        </w:rPr>
        <w:t>”</w:t>
      </w:r>
      <w:r>
        <w:rPr/>
        <w:t>战略，构筑智慧和安全新世界。</w:t>
      </w:r>
    </w:p>
    <w:p>
      <w:pPr>
        <w:pStyle w:val="Heading3"/>
        <w:spacing w:line="240" w:lineRule="auto" w:before="8"/>
        <w:ind w:left="512" w:right="0"/>
        <w:jc w:val="left"/>
        <w:rPr>
          <w:b w:val="0"/>
          <w:bCs w:val="0"/>
        </w:rPr>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2019</w:t>
      </w:r>
      <w:r>
        <w:rPr/>
        <w:t>年主要经营计划</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444" w:right="0"/>
        <w:jc w:val="left"/>
      </w:pPr>
      <w:r>
        <w:rPr>
          <w:rFonts w:ascii="Times New Roman" w:hAnsi="Times New Roman" w:cs="Times New Roman" w:eastAsia="Times New Roman" w:hint="default"/>
        </w:rPr>
        <w:t>2019</w:t>
      </w:r>
      <w:r>
        <w:rPr/>
        <w:t>年公司继续贯彻</w:t>
      </w:r>
      <w:r>
        <w:rPr>
          <w:rFonts w:ascii="Times New Roman" w:hAnsi="Times New Roman" w:cs="Times New Roman" w:eastAsia="Times New Roman" w:hint="default"/>
        </w:rPr>
        <w:t>“</w:t>
      </w:r>
      <w:r>
        <w:rPr/>
        <w:t>扩大金融安防的市场占有率，深挖客户的各类应用需求，构建行业智慧物联管理解决方案</w:t>
      </w:r>
      <w:r>
        <w:rPr>
          <w:rFonts w:ascii="Times New Roman" w:hAnsi="Times New Roman" w:cs="Times New Roman" w:eastAsia="Times New Roman" w:hint="default"/>
        </w:rPr>
        <w:t>”</w:t>
      </w:r>
      <w:r>
        <w:rPr/>
        <w:t>的发展</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043"/>
        <w:jc w:val="both"/>
      </w:pPr>
      <w:r>
        <w:rPr>
          <w:spacing w:val="-4"/>
        </w:rPr>
        <w:t>策略。全面推进以金融安防系统为切入点，以云计算、大数据、人工智能、边缘计算等各种创新技术为基础的金融物联业务，</w:t>
      </w:r>
      <w:r>
        <w:rPr>
          <w:spacing w:val="-44"/>
        </w:rPr>
        <w:t> </w:t>
      </w:r>
      <w:r>
        <w:rPr>
          <w:spacing w:val="-44"/>
        </w:rPr>
      </w:r>
      <w:r>
        <w:rPr/>
        <w:t>同时聚焦推进公共安全、智慧司法业务，实现公司重点领域快步发展，多行业并行同步培育的目标。</w:t>
      </w:r>
    </w:p>
    <w:p>
      <w:pPr>
        <w:pStyle w:val="BodyText"/>
        <w:spacing w:line="240" w:lineRule="auto" w:before="54"/>
        <w:ind w:left="444" w:right="0"/>
        <w:jc w:val="left"/>
      </w:pPr>
      <w:r>
        <w:rPr>
          <w:rFonts w:ascii="Times New Roman" w:hAnsi="Times New Roman" w:cs="Times New Roman" w:eastAsia="Times New Roman" w:hint="default"/>
        </w:rPr>
        <w:t>2019</w:t>
      </w:r>
      <w:r>
        <w:rPr/>
        <w:t>年，围绕公司的发展战略，主要从以下几方面开展工作：</w:t>
      </w:r>
    </w:p>
    <w:p>
      <w:pPr>
        <w:spacing w:line="240" w:lineRule="auto" w:before="10"/>
        <w:rPr>
          <w:rFonts w:ascii="宋体" w:hAnsi="宋体" w:cs="宋体" w:eastAsia="宋体" w:hint="default"/>
          <w:sz w:val="16"/>
          <w:szCs w:val="16"/>
        </w:rPr>
      </w:pPr>
    </w:p>
    <w:p>
      <w:pPr>
        <w:pStyle w:val="BodyText"/>
        <w:spacing w:line="240" w:lineRule="auto"/>
        <w:ind w:left="444" w:right="0"/>
        <w:jc w:val="left"/>
      </w:pPr>
      <w:r>
        <w:rPr/>
        <w:t>（</w:t>
      </w:r>
      <w:r>
        <w:rPr>
          <w:rFonts w:ascii="Times New Roman" w:hAnsi="Times New Roman" w:cs="Times New Roman" w:eastAsia="Times New Roman" w:hint="default"/>
        </w:rPr>
        <w:t>1</w:t>
      </w:r>
      <w:r>
        <w:rPr/>
        <w:t>）业务拓展</w:t>
      </w:r>
    </w:p>
    <w:p>
      <w:pPr>
        <w:spacing w:line="240" w:lineRule="auto" w:before="9"/>
        <w:rPr>
          <w:rFonts w:ascii="宋体" w:hAnsi="宋体" w:cs="宋体" w:eastAsia="宋体" w:hint="default"/>
          <w:sz w:val="16"/>
          <w:szCs w:val="16"/>
        </w:rPr>
      </w:pPr>
    </w:p>
    <w:p>
      <w:pPr>
        <w:pStyle w:val="BodyText"/>
        <w:spacing w:line="468" w:lineRule="auto"/>
        <w:ind w:right="1131" w:firstLine="290"/>
        <w:jc w:val="both"/>
      </w:pPr>
      <w:r>
        <w:rPr>
          <w:spacing w:val="-1"/>
        </w:rPr>
        <w:t>①持续扩大金融物联市场占有率，公司已建和在建的银行联网监控中心已达</w:t>
      </w:r>
      <w:r>
        <w:rPr>
          <w:rFonts w:ascii="Times New Roman" w:hAnsi="Times New Roman" w:cs="Times New Roman" w:eastAsia="Times New Roman" w:hint="default"/>
          <w:spacing w:val="-1"/>
        </w:rPr>
        <w:t>1000</w:t>
      </w:r>
      <w:r>
        <w:rPr>
          <w:spacing w:val="-1"/>
        </w:rPr>
        <w:t>个以上，这些监控中心都由公司提供联</w:t>
      </w:r>
      <w:r>
        <w:rPr/>
        <w:t> </w:t>
      </w:r>
      <w:r>
        <w:rPr>
          <w:spacing w:val="-2"/>
        </w:rPr>
        <w:t>网软件及服务，实现了管辖范围内的设备全连接，使公司具有依托物联平台提供增值服务的基础，加上公司遍布全国的服务</w:t>
      </w:r>
      <w:r>
        <w:rPr>
          <w:spacing w:val="-65"/>
        </w:rPr>
        <w:t> </w:t>
      </w:r>
      <w:r>
        <w:rPr>
          <w:spacing w:val="-65"/>
        </w:rPr>
      </w:r>
      <w:r>
        <w:rPr>
          <w:spacing w:val="-2"/>
        </w:rPr>
        <w:t>网点，公司将进一步提升服务质量和拓展服务项目，以客户满意为导向打造专业服务团队，向智慧物联解决方案提供商第一</w:t>
      </w:r>
      <w:r>
        <w:rPr>
          <w:spacing w:val="-66"/>
        </w:rPr>
        <w:t> </w:t>
      </w:r>
      <w:r>
        <w:rPr>
          <w:spacing w:val="-66"/>
        </w:rPr>
      </w:r>
      <w:r>
        <w:rPr/>
        <w:t>品牌进发。</w:t>
      </w:r>
    </w:p>
    <w:p>
      <w:pPr>
        <w:pStyle w:val="BodyText"/>
        <w:spacing w:line="463" w:lineRule="auto" w:before="61"/>
        <w:ind w:right="1132"/>
        <w:jc w:val="both"/>
      </w:pPr>
      <w:r>
        <w:rPr/>
        <w:t>新技术的不断涌现和应用，结合行业</w:t>
      </w:r>
      <w:r>
        <w:rPr>
          <w:rFonts w:ascii="Times New Roman" w:hAnsi="Times New Roman" w:cs="Times New Roman" w:eastAsia="Times New Roman" w:hint="default"/>
        </w:rPr>
        <w:t>3-5</w:t>
      </w:r>
      <w:r>
        <w:rPr/>
        <w:t>年进行设备更新的规律，当前国内各大银行的安防设备已进入到新一轮更新周期； </w:t>
      </w:r>
      <w:r>
        <w:rPr>
          <w:spacing w:val="-2"/>
        </w:rPr>
        <w:t>同时银行自身管理需求的提升促使银行原有平台需升级融入管理要素，多重因素叠加，使公司可凭借业已形成的业务和技术</w:t>
      </w:r>
      <w:r>
        <w:rPr>
          <w:spacing w:val="-64"/>
        </w:rPr>
        <w:t> </w:t>
      </w:r>
      <w:r>
        <w:rPr>
          <w:spacing w:val="-64"/>
        </w:rPr>
      </w:r>
      <w:r>
        <w:rPr/>
        <w:t>优势，继续扩大在金融物联市场的占有率。</w:t>
      </w:r>
    </w:p>
    <w:p>
      <w:pPr>
        <w:pStyle w:val="BodyText"/>
        <w:spacing w:line="468" w:lineRule="auto" w:before="65"/>
        <w:ind w:right="1032" w:firstLine="290"/>
        <w:jc w:val="left"/>
      </w:pPr>
      <w:r>
        <w:rPr/>
        <w:t>②提升公共安全业务的整体收入规模；上一年度公司获取了车辆智能识别技术能力，拓展了公安交警业务，本年度公司 将持续推进视频分析、车辆识别、车辆大数据、深度学习等技术与公司智慧物联管理和公共安全业务的融合，打造针对人、 </w:t>
      </w:r>
      <w:r>
        <w:rPr>
          <w:spacing w:val="-2"/>
        </w:rPr>
        <w:t>车、物的全面智能解决方案，综合应用</w:t>
      </w:r>
      <w:r>
        <w:rPr>
          <w:rFonts w:ascii="Times New Roman" w:hAnsi="Times New Roman" w:cs="Times New Roman" w:eastAsia="Times New Roman" w:hint="default"/>
          <w:spacing w:val="-2"/>
        </w:rPr>
        <w:t>“</w:t>
      </w:r>
      <w:r>
        <w:rPr>
          <w:spacing w:val="-2"/>
        </w:rPr>
        <w:t>物移大云智</w:t>
      </w:r>
      <w:r>
        <w:rPr>
          <w:rFonts w:ascii="Times New Roman" w:hAnsi="Times New Roman" w:cs="Times New Roman" w:eastAsia="Times New Roman" w:hint="default"/>
          <w:spacing w:val="-2"/>
        </w:rPr>
        <w:t>”</w:t>
      </w:r>
      <w:r>
        <w:rPr>
          <w:spacing w:val="-2"/>
        </w:rPr>
        <w:t>（物联网、移动无线通信、大数据、云计算、智能化）在内的新一代信</w:t>
      </w:r>
      <w:r>
        <w:rPr>
          <w:spacing w:val="-47"/>
        </w:rPr>
        <w:t> </w:t>
      </w:r>
      <w:r>
        <w:rPr>
          <w:spacing w:val="-47"/>
        </w:rPr>
      </w:r>
      <w:r>
        <w:rPr/>
        <w:t>息技术，为客户提供公共安全综合解决方案，进一步提升公司公共安全板块的整体营收和综合盈利能力。</w:t>
      </w:r>
    </w:p>
    <w:p>
      <w:pPr>
        <w:pStyle w:val="BodyText"/>
        <w:spacing w:line="468" w:lineRule="auto" w:before="62"/>
        <w:ind w:right="1130"/>
        <w:jc w:val="both"/>
      </w:pPr>
      <w:r>
        <w:rPr>
          <w:spacing w:val="-2"/>
        </w:rPr>
        <w:t>③加快推进智慧司法业务，公司多年来在大数据、云计算领域持续进行技术研发，针对监狱安防领域推出领先的智慧监狱大</w:t>
      </w:r>
      <w:r>
        <w:rPr>
          <w:spacing w:val="-66"/>
        </w:rPr>
        <w:t> </w:t>
      </w:r>
      <w:r>
        <w:rPr>
          <w:spacing w:val="-66"/>
        </w:rPr>
      </w:r>
      <w:r>
        <w:rPr>
          <w:spacing w:val="-2"/>
        </w:rPr>
        <w:t>数据云平台、社区矫正监管云平台、专用定位产品等受市场欢迎的产品。</w:t>
      </w:r>
      <w:r>
        <w:rPr>
          <w:rFonts w:ascii="Times New Roman" w:hAnsi="Times New Roman" w:cs="Times New Roman" w:eastAsia="Times New Roman" w:hint="default"/>
          <w:spacing w:val="-2"/>
        </w:rPr>
        <w:t>2019</w:t>
      </w:r>
      <w:r>
        <w:rPr>
          <w:spacing w:val="-2"/>
        </w:rPr>
        <w:t>年公司将致力监狱社区矫正一体化建设，进一</w:t>
      </w:r>
      <w:r>
        <w:rPr>
          <w:spacing w:val="-61"/>
        </w:rPr>
        <w:t> </w:t>
      </w:r>
      <w:r>
        <w:rPr>
          <w:spacing w:val="-61"/>
        </w:rPr>
      </w:r>
      <w:r>
        <w:rPr>
          <w:spacing w:val="-2"/>
        </w:rPr>
        <w:t>步提升司法领域大数据应用能力，实现平台和产品突破和创新，预计未来公司在该领域的竞争力将极大提高，创造效益能力</w:t>
      </w:r>
      <w:r>
        <w:rPr>
          <w:spacing w:val="-66"/>
        </w:rPr>
        <w:t> </w:t>
      </w:r>
      <w:r>
        <w:rPr>
          <w:spacing w:val="-66"/>
        </w:rPr>
      </w:r>
      <w:r>
        <w:rPr/>
        <w:t>增强。</w:t>
      </w:r>
    </w:p>
    <w:p>
      <w:pPr>
        <w:pStyle w:val="BodyText"/>
        <w:spacing w:line="451" w:lineRule="auto" w:before="61"/>
        <w:ind w:left="444" w:right="0"/>
        <w:jc w:val="left"/>
      </w:pPr>
      <w:r>
        <w:rPr/>
        <w:t>（</w:t>
      </w:r>
      <w:r>
        <w:rPr>
          <w:rFonts w:ascii="Times New Roman" w:hAnsi="Times New Roman" w:cs="Times New Roman" w:eastAsia="Times New Roman" w:hint="default"/>
        </w:rPr>
        <w:t>2</w:t>
      </w:r>
      <w:r>
        <w:rPr/>
        <w:t>）开展组织发展建设，实施积极人才战略 </w:t>
      </w:r>
      <w:r>
        <w:rPr>
          <w:spacing w:val="-1"/>
        </w:rPr>
        <w:t>开展组织发展建设，提升组织效率。坚持扁平化的组织管理模式，持续改进、优化内部运营流程建设；重视组织文化建</w:t>
      </w:r>
    </w:p>
    <w:p>
      <w:pPr>
        <w:pStyle w:val="BodyText"/>
        <w:spacing w:line="477" w:lineRule="auto" w:before="74"/>
        <w:ind w:right="1133"/>
        <w:jc w:val="both"/>
      </w:pPr>
      <w:r>
        <w:rPr>
          <w:spacing w:val="-2"/>
        </w:rPr>
        <w:t>设，激发组织潜力，不断提升经营质量和经营效率。扩大企业文化影响力，增强员工对企业的认同。持续推进实施股权激励</w:t>
      </w:r>
      <w:r>
        <w:rPr>
          <w:spacing w:val="-66"/>
        </w:rPr>
        <w:t> </w:t>
      </w:r>
      <w:r>
        <w:rPr>
          <w:spacing w:val="-66"/>
        </w:rPr>
      </w:r>
      <w:r>
        <w:rPr/>
        <w:t>计划，实现员工企业同成长，打造具有战斗力和凝聚力的员工队伍。</w:t>
      </w:r>
    </w:p>
    <w:p>
      <w:pPr>
        <w:pStyle w:val="BodyText"/>
        <w:spacing w:line="451" w:lineRule="auto" w:before="54"/>
        <w:ind w:left="444" w:right="0"/>
        <w:jc w:val="left"/>
      </w:pPr>
      <w:r>
        <w:rPr/>
        <w:t>（</w:t>
      </w:r>
      <w:r>
        <w:rPr>
          <w:rFonts w:ascii="Times New Roman" w:hAnsi="Times New Roman" w:cs="Times New Roman" w:eastAsia="Times New Roman" w:hint="default"/>
        </w:rPr>
        <w:t>3</w:t>
      </w:r>
      <w:r>
        <w:rPr/>
        <w:t>）把握行业趋势，加大研发投入 </w:t>
      </w:r>
      <w:r>
        <w:rPr>
          <w:spacing w:val="-1"/>
        </w:rPr>
        <w:t>公司将持续加大研发投入，紧跟前沿技术热点并结合行业相关技术的发展动态、趋势和客户新需求，对公司已有产品进</w:t>
      </w:r>
    </w:p>
    <w:p>
      <w:pPr>
        <w:pStyle w:val="BodyText"/>
        <w:spacing w:line="477" w:lineRule="auto" w:before="74"/>
        <w:ind w:right="1050"/>
        <w:jc w:val="both"/>
      </w:pPr>
      <w:r>
        <w:rPr/>
        <w:t>行持续的技术升级和改造，不断完善产品功能，提供更多增值服务；公司坚持以市场为导向，持续创新投入，加快大数据、 云计算、人工智能、区块链等各种创新技术的发展融合，形成领先的软硬件产品和解决方案能力，保持核心技术领先地位， 持续为客户创造价值。</w:t>
      </w:r>
    </w:p>
    <w:p>
      <w:pPr>
        <w:pStyle w:val="BodyText"/>
        <w:spacing w:line="451" w:lineRule="auto" w:before="54"/>
        <w:ind w:left="444" w:right="1118" w:hanging="74"/>
        <w:jc w:val="left"/>
      </w:pPr>
      <w:r>
        <w:rPr/>
        <w:t>（</w:t>
      </w:r>
      <w:r>
        <w:rPr>
          <w:rFonts w:ascii="Times New Roman" w:hAnsi="Times New Roman" w:cs="Times New Roman" w:eastAsia="Times New Roman" w:hint="default"/>
        </w:rPr>
        <w:t>4</w:t>
      </w:r>
      <w:r>
        <w:rPr/>
        <w:t>）资本运作 </w:t>
      </w:r>
      <w:r>
        <w:rPr>
          <w:spacing w:val="-1"/>
        </w:rPr>
        <w:t>公司根据发展战略，围绕自身核心业务，在条件时机具备的情况下，公司将运用自身优势和资本市场平台，采用并购等</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种方式增强公司实力；条件合适时引进战略投资，增强企业核心竞争力。</w:t>
      </w:r>
    </w:p>
    <w:p>
      <w:pPr>
        <w:spacing w:line="240" w:lineRule="auto" w:before="11"/>
        <w:rPr>
          <w:rFonts w:ascii="宋体" w:hAnsi="宋体" w:cs="宋体" w:eastAsia="宋体" w:hint="default"/>
          <w:sz w:val="15"/>
          <w:szCs w:val="15"/>
        </w:rPr>
      </w:pPr>
    </w:p>
    <w:p>
      <w:pPr>
        <w:pStyle w:val="Heading3"/>
        <w:spacing w:line="240" w:lineRule="auto"/>
        <w:ind w:left="424" w:right="0"/>
        <w:jc w:val="left"/>
        <w:rPr>
          <w:b w:val="0"/>
          <w:bCs w:val="0"/>
        </w:rPr>
      </w:pPr>
      <w:r>
        <w:rPr>
          <w:rFonts w:ascii="Times New Roman" w:hAnsi="Times New Roman" w:cs="Times New Roman" w:eastAsia="Times New Roman" w:hint="default"/>
        </w:rPr>
        <w:t>4</w:t>
      </w:r>
      <w:r>
        <w:rPr/>
        <w:t>、公司可能面对的风险</w:t>
      </w:r>
      <w:r>
        <w:rPr>
          <w:b w:val="0"/>
          <w:bCs w:val="0"/>
        </w:rPr>
      </w:r>
    </w:p>
    <w:p>
      <w:pPr>
        <w:spacing w:line="240" w:lineRule="auto" w:before="6"/>
        <w:rPr>
          <w:rFonts w:ascii="宋体" w:hAnsi="宋体" w:cs="宋体" w:eastAsia="宋体" w:hint="default"/>
          <w:b/>
          <w:bCs/>
          <w:sz w:val="15"/>
          <w:szCs w:val="15"/>
        </w:rPr>
      </w:pPr>
    </w:p>
    <w:p>
      <w:pPr>
        <w:pStyle w:val="BodyText"/>
        <w:spacing w:line="451" w:lineRule="auto"/>
        <w:ind w:left="444" w:right="0" w:hanging="74"/>
        <w:jc w:val="left"/>
      </w:pPr>
      <w:r>
        <w:rPr/>
        <w:t>（</w:t>
      </w:r>
      <w:r>
        <w:rPr>
          <w:rFonts w:ascii="Times New Roman" w:hAnsi="Times New Roman" w:cs="Times New Roman" w:eastAsia="Times New Roman" w:hint="default"/>
        </w:rPr>
        <w:t>1</w:t>
      </w:r>
      <w:r>
        <w:rPr/>
        <w:t>）生产经营的季节性风险 </w:t>
      </w:r>
      <w:r>
        <w:rPr>
          <w:spacing w:val="-1"/>
        </w:rPr>
        <w:t>受客户结构、行业业务特点等因素的影响，公司营业收入存在各季度分布不均衡、前低后高的特点，公司的经营业绩有</w:t>
      </w:r>
    </w:p>
    <w:p>
      <w:pPr>
        <w:pStyle w:val="BodyText"/>
        <w:spacing w:line="477" w:lineRule="auto" w:before="74"/>
        <w:ind w:right="1132"/>
        <w:jc w:val="both"/>
      </w:pPr>
      <w:r>
        <w:rPr>
          <w:spacing w:val="-2"/>
        </w:rPr>
        <w:t>明显的季节性波动，营业收入和利润主要集中于下半年实现。投资者不能简单地以公司季度或中期的财务数据来推算全年的</w:t>
      </w:r>
      <w:r>
        <w:rPr>
          <w:spacing w:val="-64"/>
        </w:rPr>
        <w:t> </w:t>
      </w:r>
      <w:r>
        <w:rPr>
          <w:spacing w:val="-64"/>
        </w:rPr>
      </w:r>
      <w:r>
        <w:rPr/>
        <w:t>经营成果、财务状况及现金流量。</w:t>
      </w:r>
    </w:p>
    <w:p>
      <w:pPr>
        <w:pStyle w:val="BodyText"/>
        <w:spacing w:line="451" w:lineRule="auto" w:before="54"/>
        <w:ind w:left="444" w:right="0" w:hanging="74"/>
        <w:jc w:val="left"/>
      </w:pPr>
      <w:r>
        <w:rPr/>
        <w:t>（</w:t>
      </w:r>
      <w:r>
        <w:rPr>
          <w:rFonts w:ascii="Times New Roman" w:hAnsi="Times New Roman" w:cs="Times New Roman" w:eastAsia="Times New Roman" w:hint="default"/>
        </w:rPr>
        <w:t>2</w:t>
      </w:r>
      <w:r>
        <w:rPr/>
        <w:t>）技术开发风险 </w:t>
      </w:r>
      <w:r>
        <w:rPr>
          <w:spacing w:val="-1"/>
        </w:rPr>
        <w:t>近年来安防行业技术进步和技术更新换代的速度越来越快，伴随云计算、大数据、人工智能、物联网等各种创新技术与</w:t>
      </w:r>
    </w:p>
    <w:p>
      <w:pPr>
        <w:pStyle w:val="BodyText"/>
        <w:spacing w:line="477" w:lineRule="auto" w:before="74"/>
        <w:ind w:right="1131"/>
        <w:jc w:val="both"/>
      </w:pPr>
      <w:r>
        <w:rPr>
          <w:spacing w:val="-2"/>
        </w:rPr>
        <w:t>安防业务的发展融合，客户对安防产品的要求也趋于专业化和个性化，公司必须全面了解业内技术发展的最新趋势，更好的</w:t>
      </w:r>
      <w:r>
        <w:rPr>
          <w:spacing w:val="-66"/>
        </w:rPr>
        <w:t> </w:t>
      </w:r>
      <w:r>
        <w:rPr>
          <w:spacing w:val="-66"/>
        </w:rPr>
      </w:r>
      <w:r>
        <w:rPr>
          <w:spacing w:val="-2"/>
        </w:rPr>
        <w:t>满足客户不断升级的需求。如果公司的技术和产品研发方向偏离市场需求，或者研发时机掌握不对，产品化速度减缓，将可</w:t>
      </w:r>
      <w:r>
        <w:rPr>
          <w:spacing w:val="-66"/>
        </w:rPr>
        <w:t> </w:t>
      </w:r>
      <w:r>
        <w:rPr>
          <w:spacing w:val="-66"/>
        </w:rPr>
      </w:r>
      <w:r>
        <w:rPr/>
        <w:t>能存在产品不能在新的环境下形成技术优势的风险。</w:t>
      </w:r>
    </w:p>
    <w:p>
      <w:pPr>
        <w:pStyle w:val="BodyText"/>
        <w:spacing w:line="451" w:lineRule="auto" w:before="54"/>
        <w:ind w:left="371" w:right="1175"/>
        <w:jc w:val="left"/>
      </w:pPr>
      <w:r>
        <w:rPr/>
        <w:t>（</w:t>
      </w:r>
      <w:r>
        <w:rPr>
          <w:rFonts w:ascii="Times New Roman" w:hAnsi="Times New Roman" w:cs="Times New Roman" w:eastAsia="Times New Roman" w:hint="default"/>
        </w:rPr>
        <w:t>3</w:t>
      </w:r>
      <w:r>
        <w:rPr/>
        <w:t>）管理风险 随着公司规模和业务的不断扩张，公司控制或参股的企业数量随之增加，业务范围也在金融安防的基础上逐步向其他领</w:t>
      </w:r>
    </w:p>
    <w:p>
      <w:pPr>
        <w:pStyle w:val="BodyText"/>
        <w:spacing w:line="477" w:lineRule="auto" w:before="74"/>
        <w:ind w:right="1130"/>
        <w:jc w:val="both"/>
      </w:pPr>
      <w:r>
        <w:rPr>
          <w:spacing w:val="-2"/>
        </w:rPr>
        <w:t>域延伸。若公司的研发管理、生产管理、销售管理、质量控制等不能适应公司规模扩张的要求，人才培养、组织模式和管理</w:t>
      </w:r>
      <w:r>
        <w:rPr>
          <w:spacing w:val="-67"/>
        </w:rPr>
        <w:t> </w:t>
      </w:r>
      <w:r>
        <w:rPr>
          <w:spacing w:val="-67"/>
        </w:rPr>
      </w:r>
      <w:r>
        <w:rPr/>
        <w:t>制度不能随之进一步健全和完善，将会引发相应的管理风险。</w:t>
      </w:r>
    </w:p>
    <w:p>
      <w:pPr>
        <w:pStyle w:val="BodyText"/>
        <w:spacing w:line="451" w:lineRule="auto" w:before="54"/>
        <w:ind w:left="444" w:right="0"/>
        <w:jc w:val="left"/>
      </w:pPr>
      <w:r>
        <w:rPr/>
        <w:t>（</w:t>
      </w:r>
      <w:r>
        <w:rPr>
          <w:rFonts w:ascii="Times New Roman" w:hAnsi="Times New Roman" w:cs="Times New Roman" w:eastAsia="Times New Roman" w:hint="default"/>
        </w:rPr>
        <w:t>4</w:t>
      </w:r>
      <w:r>
        <w:rPr/>
        <w:t>）人力资源风险 </w:t>
      </w:r>
      <w:r>
        <w:rPr>
          <w:spacing w:val="-1"/>
        </w:rPr>
        <w:t>经过多年发展，公司已形成一支稳定、高效的员工队伍，为公司快速发展奠定了可靠的人力资源基础。随着公司业务规</w:t>
      </w:r>
    </w:p>
    <w:p>
      <w:pPr>
        <w:pStyle w:val="BodyText"/>
        <w:spacing w:line="477" w:lineRule="auto" w:before="74"/>
        <w:ind w:right="1131"/>
        <w:jc w:val="both"/>
      </w:pPr>
      <w:r>
        <w:rPr>
          <w:spacing w:val="-2"/>
        </w:rPr>
        <w:t>模和领域的拓展需要更多的专业人才，这也成为公司可持续发展的关键因素。此外，公司也面临市场竞争加剧导致人力资源</w:t>
      </w:r>
      <w:r>
        <w:rPr>
          <w:spacing w:val="-66"/>
        </w:rPr>
        <w:t> </w:t>
      </w:r>
      <w:r>
        <w:rPr>
          <w:spacing w:val="-66"/>
        </w:rPr>
      </w:r>
      <w:r>
        <w:rPr>
          <w:spacing w:val="-2"/>
        </w:rPr>
        <w:t>成本上升的问题。尽管公司已加大对紧缺人才的引进力度，加强现有人员在技术、管理等方面的培训，同时立足企业文化建</w:t>
      </w:r>
      <w:r>
        <w:rPr>
          <w:spacing w:val="-66"/>
        </w:rPr>
        <w:t> </w:t>
      </w:r>
      <w:r>
        <w:rPr>
          <w:spacing w:val="-66"/>
        </w:rPr>
      </w:r>
      <w:r>
        <w:rPr>
          <w:spacing w:val="-2"/>
        </w:rPr>
        <w:t>设，增强企业凝聚力，但如果公司不能按照实际需要实现人才引进和培养，建立和完善人才激励机制，公司的生产经营和战</w:t>
      </w:r>
      <w:r>
        <w:rPr>
          <w:spacing w:val="-66"/>
        </w:rPr>
        <w:t> </w:t>
      </w:r>
      <w:r>
        <w:rPr>
          <w:spacing w:val="-66"/>
        </w:rPr>
      </w:r>
      <w:r>
        <w:rPr/>
        <w:t>略目标的实现可能会受到人力资源的制约。</w:t>
      </w:r>
    </w:p>
    <w:p>
      <w:pPr>
        <w:pStyle w:val="BodyText"/>
        <w:spacing w:line="240" w:lineRule="auto" w:before="54"/>
        <w:ind w:left="444" w:right="0"/>
        <w:jc w:val="left"/>
      </w:pPr>
      <w:r>
        <w:rPr/>
        <w:t>上述计划并不代表公司对</w:t>
      </w:r>
      <w:r>
        <w:rPr>
          <w:rFonts w:ascii="Times New Roman" w:hAnsi="Times New Roman" w:cs="Times New Roman" w:eastAsia="Times New Roman" w:hint="default"/>
        </w:rPr>
        <w:t>2019</w:t>
      </w:r>
      <w:r>
        <w:rPr/>
        <w:t>年度的盈利预测，不构成公司对投资者的实质承诺，请投资者注意投资风险。</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both"/>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both"/>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978"/>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0"/>
        <w:rPr>
          <w:rFonts w:ascii="宋体" w:hAnsi="宋体" w:cs="宋体" w:eastAsia="宋体" w:hint="default"/>
          <w:b/>
          <w:bCs/>
          <w:sz w:val="44"/>
          <w:szCs w:val="44"/>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t>报告期内普通股利润分配政策，特别是现金分红政策的制定、执行或调整情况</w:t>
      </w:r>
    </w:p>
    <w:p>
      <w:pPr>
        <w:spacing w:line="240" w:lineRule="auto" w:before="10"/>
        <w:rPr>
          <w:rFonts w:ascii="宋体" w:hAnsi="宋体" w:cs="宋体" w:eastAsia="宋体" w:hint="default"/>
          <w:sz w:val="20"/>
          <w:szCs w:val="20"/>
        </w:rPr>
      </w:pPr>
    </w:p>
    <w:p>
      <w:pPr>
        <w:pStyle w:val="BodyText"/>
        <w:spacing w:line="465"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、《公司章程》第一百六十一条明确规定了公司进行利润分配的原则、形式、条件以及利润分配政策的决策机制和审批程 </w:t>
      </w:r>
      <w:r>
        <w:rPr>
          <w:spacing w:val="-2"/>
        </w:rPr>
        <w:t>序等，符合中国证监会等相关监管机构对于上市公司股利分配政策的最新要求，分红标准和比例明确、清晰，充分维护了全</w:t>
      </w:r>
      <w:r>
        <w:rPr>
          <w:spacing w:val="-66"/>
        </w:rPr>
        <w:t> </w:t>
      </w:r>
      <w:r>
        <w:rPr>
          <w:spacing w:val="-66"/>
        </w:rPr>
      </w:r>
      <w:r>
        <w:rPr/>
        <w:t>体股东的合法权益。 </w:t>
      </w:r>
      <w:r>
        <w:rPr>
          <w:rFonts w:ascii="Times New Roman" w:hAnsi="Times New Roman" w:cs="Times New Roman" w:eastAsia="Times New Roman" w:hint="default"/>
          <w:spacing w:val="-2"/>
        </w:rPr>
        <w:t>2</w:t>
      </w:r>
      <w:r>
        <w:rPr>
          <w:spacing w:val="-2"/>
        </w:rPr>
        <w:t>、报告期内，公司严格按照《公司章程》相关利润分配政策和审议程序实施利润分配方案，分红标准和分红比例明确清晰，</w:t>
      </w:r>
      <w:r>
        <w:rPr>
          <w:spacing w:val="-63"/>
        </w:rPr>
        <w:t> </w:t>
      </w:r>
      <w:r>
        <w:rPr>
          <w:spacing w:val="-63"/>
        </w:rPr>
      </w:r>
      <w:r>
        <w:rPr>
          <w:spacing w:val="-2"/>
        </w:rPr>
        <w:t>相关的决策程序和机制完备，相关的议案经董事会、监事会、股东大会审议，并由独立董事发表独立意见，审议通过后在规</w:t>
      </w:r>
      <w:r>
        <w:rPr>
          <w:spacing w:val="-66"/>
        </w:rPr>
        <w:t> </w:t>
      </w:r>
      <w:r>
        <w:rPr>
          <w:spacing w:val="-66"/>
        </w:rPr>
      </w:r>
      <w:r>
        <w:rPr/>
        <w:t>定时间内进行实施，切实保证了全体股东的利益。 </w:t>
      </w:r>
      <w:r>
        <w:rPr>
          <w:rFonts w:ascii="Times New Roman" w:hAnsi="Times New Roman" w:cs="Times New Roman" w:eastAsia="Times New Roman" w:hint="default"/>
        </w:rPr>
        <w:t>3</w:t>
      </w:r>
      <w:r>
        <w:rPr/>
        <w:t>、经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日召开的公司</w:t>
      </w:r>
      <w:r>
        <w:rPr>
          <w:rFonts w:ascii="Times New Roman" w:hAnsi="Times New Roman" w:cs="Times New Roman" w:eastAsia="Times New Roman" w:hint="default"/>
        </w:rPr>
        <w:t>2017</w:t>
      </w:r>
      <w:r>
        <w:rPr/>
        <w:t>年年度股东大会审议批准，公司</w:t>
      </w:r>
      <w:r>
        <w:rPr>
          <w:rFonts w:ascii="Times New Roman" w:hAnsi="Times New Roman" w:cs="Times New Roman" w:eastAsia="Times New Roman" w:hint="default"/>
        </w:rPr>
        <w:t>2017</w:t>
      </w:r>
      <w:r>
        <w:rPr/>
        <w:t>年度利润分配的方案为：以截至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日的 总股本</w:t>
      </w:r>
      <w:r>
        <w:rPr>
          <w:rFonts w:ascii="Times New Roman" w:hAnsi="Times New Roman" w:cs="Times New Roman" w:eastAsia="Times New Roman" w:hint="default"/>
        </w:rPr>
        <w:t>218,370,659</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1.02</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，合计派发现金股利</w:t>
      </w:r>
      <w:r>
        <w:rPr>
          <w:rFonts w:ascii="Times New Roman" w:hAnsi="Times New Roman" w:cs="Times New Roman" w:eastAsia="Times New Roman" w:hint="default"/>
        </w:rPr>
        <w:t>22,273,807.22</w:t>
      </w:r>
      <w:r>
        <w:rPr/>
        <w:t>元（含 </w:t>
      </w:r>
      <w:r>
        <w:rPr>
          <w:spacing w:val="-2"/>
        </w:rPr>
        <w:t>税），剩余未分配利润结转以后年度；同时，以资本公积金向全体股东每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8</w:t>
      </w:r>
      <w:r>
        <w:rPr>
          <w:spacing w:val="-2"/>
        </w:rPr>
        <w:t>股，合计转增股份数量为</w:t>
      </w:r>
      <w:r>
        <w:rPr>
          <w:rFonts w:ascii="Times New Roman" w:hAnsi="Times New Roman" w:cs="Times New Roman" w:eastAsia="Times New Roman" w:hint="default"/>
          <w:spacing w:val="-2"/>
        </w:rPr>
        <w:t>174,696,527</w:t>
      </w:r>
      <w:r>
        <w:rPr>
          <w:spacing w:val="-2"/>
        </w:rPr>
        <w:t>股。</w:t>
      </w:r>
    </w:p>
    <w:p>
      <w:pPr>
        <w:pStyle w:val="BodyText"/>
        <w:spacing w:line="451" w:lineRule="auto" w:before="31"/>
        <w:ind w:right="1132"/>
        <w:jc w:val="both"/>
      </w:pPr>
      <w:r>
        <w:rPr/>
        <w:pict>
          <v:shape style="position:absolute;margin-left:57.029999pt;margin-top:90.72168pt;width:478.6pt;height:172.4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t>由于公司已于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日办理完成部分限制性股票的回购注销手续，公司总股本变更为</w:t>
      </w:r>
      <w:r>
        <w:rPr>
          <w:rFonts w:ascii="Times New Roman" w:hAnsi="Times New Roman" w:cs="Times New Roman" w:eastAsia="Times New Roman" w:hint="default"/>
        </w:rPr>
        <w:t>218,291,439</w:t>
      </w:r>
      <w:r>
        <w:rPr/>
        <w:t>股，按照</w:t>
      </w:r>
      <w:r>
        <w:rPr>
          <w:rFonts w:ascii="Times New Roman" w:hAnsi="Times New Roman" w:cs="Times New Roman" w:eastAsia="Times New Roman" w:hint="default"/>
        </w:rPr>
        <w:t>“</w:t>
      </w:r>
      <w:r>
        <w:rPr/>
        <w:t>分配总额不 变</w:t>
      </w:r>
      <w:r>
        <w:rPr>
          <w:rFonts w:ascii="Times New Roman" w:hAnsi="Times New Roman" w:cs="Times New Roman" w:eastAsia="Times New Roman" w:hint="default"/>
        </w:rPr>
        <w:t>”</w:t>
      </w:r>
      <w:r>
        <w:rPr/>
        <w:t>的原则，公司按照目前股本总额重新计算的</w:t>
      </w:r>
      <w:r>
        <w:rPr>
          <w:rFonts w:ascii="Times New Roman" w:hAnsi="Times New Roman" w:cs="Times New Roman" w:eastAsia="Times New Roman" w:hint="default"/>
        </w:rPr>
        <w:t>2017</w:t>
      </w:r>
      <w:r>
        <w:rPr/>
        <w:t>年度权益分派方案为：以公司现有总股本</w:t>
      </w:r>
      <w:r>
        <w:rPr>
          <w:rFonts w:ascii="Times New Roman" w:hAnsi="Times New Roman" w:cs="Times New Roman" w:eastAsia="Times New Roman" w:hint="default"/>
        </w:rPr>
        <w:t>218,291,439</w:t>
      </w:r>
      <w:r>
        <w:rPr/>
        <w:t>股为基数，向全体 </w:t>
      </w:r>
      <w:r>
        <w:rPr>
          <w:spacing w:val="-3"/>
        </w:rPr>
        <w:t>股东每</w:t>
      </w:r>
      <w:r>
        <w:rPr>
          <w:rFonts w:ascii="Times New Roman" w:hAnsi="Times New Roman" w:cs="Times New Roman" w:eastAsia="Times New Roman" w:hint="default"/>
          <w:spacing w:val="-3"/>
        </w:rPr>
        <w:t>10</w:t>
      </w:r>
      <w:r>
        <w:rPr>
          <w:spacing w:val="-3"/>
        </w:rPr>
        <w:t>派发现金股利人民币</w:t>
      </w:r>
      <w:r>
        <w:rPr>
          <w:rFonts w:ascii="Times New Roman" w:hAnsi="Times New Roman" w:cs="Times New Roman" w:eastAsia="Times New Roman" w:hint="default"/>
          <w:spacing w:val="-3"/>
        </w:rPr>
        <w:t>1.020370</w:t>
      </w:r>
      <w:r>
        <w:rPr>
          <w:spacing w:val="-3"/>
        </w:rPr>
        <w:t>元（含税）；同时，以资本公积金向全体股东每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8.002903</w:t>
      </w:r>
      <w:r>
        <w:rPr>
          <w:spacing w:val="-3"/>
        </w:rPr>
        <w:t>股。该方案已于</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21"/>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44"/>
        <w:ind w:right="0"/>
        <w:jc w:val="left"/>
      </w:pPr>
      <w:r>
        <w:rPr/>
        <w:t>公司报告期利润分配预案及资本公积金转增股本预案与公司章程和分红管理办法等的相关规定一致</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516" w:lineRule="auto"/>
        <w:ind w:right="4272"/>
        <w:jc w:val="left"/>
      </w:pPr>
      <w:r>
        <w:rPr/>
        <w:pict>
          <v:shape style="position:absolute;margin-left:56.459999pt;margin-top:46.331703pt;width:479.2pt;height:455.0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404,521,865</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20,226,093.25</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4783"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18,995,303.67</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39,221,396.92</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281,392,445.04</w:t>
                        </w:r>
                      </w:p>
                    </w:tc>
                  </w:tr>
                  <w:tr>
                    <w:trPr>
                      <w:trHeight w:val="714"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95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pacing w:val="-3"/>
                            <w:sz w:val="18"/>
                            <w:szCs w:val="18"/>
                          </w:rPr>
                          <w:t>经天健会计师事务所（特殊普通合伙）审计，公司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年度实现归属于上市公司股东的净利润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140,225,348.38</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元，母</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公司实现净利润为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91,325,790.62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元。根据公司章程有关规定，按母公司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年度公司实现净利润的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9,132,579.06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元，年初未分配利润为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221,472,976.73</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元，扣除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年向股东分配现金股利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22,273,743.25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338" w:lineRule="auto" w:before="64"/>
                          <w:ind w:left="382" w:right="20" w:hanging="36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日母公司累计可供期末未分配利润为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281,392,445.04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为回报广大股东，使其与公司共享发展成果，同时综合考量公司未来业务的持续发展，</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年年度公司利润分配预案</w:t>
                        </w:r>
                      </w:p>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如下：</w:t>
                        </w:r>
                      </w:p>
                      <w:p>
                        <w:pPr>
                          <w:pStyle w:val="TableParagraph"/>
                          <w:spacing w:line="240" w:lineRule="auto" w:before="115"/>
                          <w:ind w:left="382" w:right="0"/>
                          <w:jc w:val="left"/>
                          <w:rPr>
                            <w:rFonts w:ascii="宋体" w:hAnsi="宋体" w:cs="宋体" w:eastAsia="宋体" w:hint="default"/>
                            <w:sz w:val="18"/>
                            <w:szCs w:val="18"/>
                          </w:rPr>
                        </w:pPr>
                        <w:r>
                          <w:rPr>
                            <w:rFonts w:ascii="宋体" w:hAnsi="宋体" w:cs="宋体" w:eastAsia="宋体" w:hint="default"/>
                            <w:sz w:val="18"/>
                            <w:szCs w:val="18"/>
                          </w:rPr>
                          <w:t>公司拟以截至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408,405,465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股扣除截至本公告披露之日回购专户持有股份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3,883,600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股后股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404,521,865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，合计派发现金股利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20,226,093.25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pacing w:val="-18"/>
                            <w:sz w:val="18"/>
                            <w:szCs w:val="18"/>
                          </w:rPr>
                          <w:t>，</w:t>
                        </w:r>
                        <w:r>
                          <w:rPr>
                            <w:rFonts w:ascii="宋体" w:hAnsi="宋体" w:cs="宋体" w:eastAsia="宋体" w:hint="default"/>
                            <w:sz w:val="18"/>
                            <w:szCs w:val="18"/>
                          </w:rPr>
                          <w:t>剩余未分配利润结转以后年度</w:t>
                        </w:r>
                        <w:r>
                          <w:rPr>
                            <w:rFonts w:ascii="宋体" w:hAnsi="宋体" w:cs="宋体" w:eastAsia="宋体" w:hint="default"/>
                            <w:spacing w:val="-18"/>
                            <w:sz w:val="18"/>
                            <w:szCs w:val="18"/>
                          </w:rPr>
                          <w:t>；</w:t>
                        </w:r>
                        <w:r>
                          <w:rPr>
                            <w:rFonts w:ascii="宋体" w:hAnsi="宋体" w:cs="宋体" w:eastAsia="宋体" w:hint="default"/>
                            <w:sz w:val="18"/>
                            <w:szCs w:val="18"/>
                          </w:rPr>
                          <w:t>同时</w:t>
                        </w:r>
                        <w:r>
                          <w:rPr>
                            <w:rFonts w:ascii="宋体" w:hAnsi="宋体" w:cs="宋体" w:eastAsia="宋体" w:hint="default"/>
                            <w:spacing w:val="-18"/>
                            <w:sz w:val="18"/>
                            <w:szCs w:val="18"/>
                          </w:rPr>
                          <w:t>，</w:t>
                        </w:r>
                        <w:r>
                          <w:rPr>
                            <w:rFonts w:ascii="宋体" w:hAnsi="宋体" w:cs="宋体" w:eastAsia="宋体" w:hint="default"/>
                            <w:sz w:val="18"/>
                            <w:szCs w:val="18"/>
                          </w:rPr>
                          <w:t>以资本公积金向全体股东每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7"/>
                            <w:sz w:val="18"/>
                            <w:szCs w:val="18"/>
                          </w:rPr>
                          <w:t>，</w:t>
                        </w:r>
                        <w:r>
                          <w:rPr>
                            <w:rFonts w:ascii="宋体" w:hAnsi="宋体" w:cs="宋体" w:eastAsia="宋体" w:hint="default"/>
                            <w:sz w:val="18"/>
                            <w:szCs w:val="18"/>
                          </w:rPr>
                          <w:t>合计转增股份数量为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283,165</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305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319" w:lineRule="auto" w:before="115"/>
                          <w:ind w:left="22" w:right="21" w:firstLine="360"/>
                          <w:jc w:val="left"/>
                          <w:rPr>
                            <w:rFonts w:ascii="宋体" w:hAnsi="宋体" w:cs="宋体" w:eastAsia="宋体" w:hint="default"/>
                            <w:sz w:val="18"/>
                            <w:szCs w:val="18"/>
                          </w:rPr>
                        </w:pPr>
                        <w:r>
                          <w:rPr>
                            <w:rFonts w:ascii="宋体" w:hAnsi="宋体" w:cs="宋体" w:eastAsia="宋体" w:hint="default"/>
                            <w:spacing w:val="-1"/>
                            <w:sz w:val="18"/>
                            <w:szCs w:val="18"/>
                          </w:rPr>
                          <w:t>上述利润分配预案披露后至权益分派实施公告确定的股权登记日前公司股本发生变动的，将按照分配总额不变的原则</w:t>
                        </w:r>
                        <w:r>
                          <w:rPr>
                            <w:rFonts w:ascii="宋体" w:hAnsi="宋体" w:cs="宋体" w:eastAsia="宋体" w:hint="default"/>
                            <w:sz w:val="18"/>
                            <w:szCs w:val="18"/>
                          </w:rPr>
                          <w:t> 对各分配比例进行调整。</w:t>
                        </w:r>
                      </w:p>
                    </w:tc>
                  </w:tr>
                </w:tbl>
                <w:p>
                  <w:pPr/>
                </w:p>
              </w:txbxContent>
            </v:textbox>
            <w10:wrap type="none"/>
          </v:shape>
        </w:pict>
      </w:r>
      <w:r>
        <w:rPr/>
        <w:t>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p>
      <w:pPr>
        <w:spacing w:line="415" w:lineRule="exact"/>
        <w:ind w:left="387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290.95pt;height:20.8pt;mso-position-horizontal-relative:char;mso-position-vertical-relative:line" coordorigin="0,0" coordsize="5819,416">
            <v:group style="position:absolute;left:12;top:12;width:2;height:393" coordorigin="12,12" coordsize="2,393">
              <v:shape style="position:absolute;left:12;top:12;width:2;height:393" coordorigin="12,12" coordsize="0,393" path="m12,12l12,404e" filled="false" stroked="true" strokeweight="1.160pt" strokecolor="#ffffff">
                <v:path arrowok="t"/>
              </v:shape>
            </v:group>
            <v:group style="position:absolute;left:23;top:12;width:5796;height:393" coordorigin="23,12" coordsize="5796,393">
              <v:shape style="position:absolute;left:23;top:12;width:5796;height:393" coordorigin="23,12" coordsize="5796,393" path="m23,404l5818,404,5818,12,23,12,23,404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470" w:lineRule="auto" w:before="44"/>
        <w:ind w:right="121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年度，经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日召开的公司</w:t>
      </w:r>
      <w:r>
        <w:rPr>
          <w:rFonts w:ascii="Times New Roman" w:hAnsi="Times New Roman" w:cs="Times New Roman" w:eastAsia="Times New Roman" w:hint="default"/>
        </w:rPr>
        <w:t>2016</w:t>
      </w:r>
      <w:r>
        <w:rPr/>
        <w:t>年年度股东大会审议批准，公司</w:t>
      </w:r>
      <w:r>
        <w:rPr>
          <w:rFonts w:ascii="Times New Roman" w:hAnsi="Times New Roman" w:cs="Times New Roman" w:eastAsia="Times New Roman" w:hint="default"/>
        </w:rPr>
        <w:t>2016</w:t>
      </w:r>
      <w:r>
        <w:rPr/>
        <w:t>年度利润分配的方案为：以截至</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日公司总股本</w:t>
      </w:r>
      <w:r>
        <w:rPr>
          <w:rFonts w:ascii="Times New Roman" w:hAnsi="Times New Roman" w:cs="Times New Roman" w:eastAsia="Times New Roman" w:hint="default"/>
        </w:rPr>
        <w:t>202,316,745</w:t>
      </w:r>
      <w:r>
        <w:rPr/>
        <w:t>股为基数，向全体股东按每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0.87</w:t>
      </w:r>
      <w:r>
        <w:rPr/>
        <w:t>元（含税），合计派发现金红利</w:t>
      </w:r>
    </w:p>
    <w:p>
      <w:pPr>
        <w:pStyle w:val="BodyText"/>
        <w:spacing w:line="240" w:lineRule="auto" w:before="27"/>
        <w:ind w:right="0"/>
        <w:jc w:val="left"/>
      </w:pPr>
      <w:r>
        <w:rPr>
          <w:rFonts w:ascii="Times New Roman" w:hAnsi="Times New Roman" w:cs="Times New Roman" w:eastAsia="Times New Roman" w:hint="default"/>
        </w:rPr>
        <w:t>17,601,556.82</w:t>
      </w:r>
      <w:r>
        <w:rPr/>
        <w:t>元。该方案已于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日实施完毕。</w:t>
      </w:r>
    </w:p>
    <w:p>
      <w:pPr>
        <w:spacing w:line="240" w:lineRule="auto" w:before="9"/>
        <w:rPr>
          <w:rFonts w:ascii="宋体" w:hAnsi="宋体" w:cs="宋体" w:eastAsia="宋体" w:hint="default"/>
          <w:sz w:val="16"/>
          <w:szCs w:val="16"/>
        </w:rPr>
      </w:pPr>
    </w:p>
    <w:p>
      <w:pPr>
        <w:pStyle w:val="BodyText"/>
        <w:spacing w:line="451"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日召开的公司</w:t>
      </w:r>
      <w:r>
        <w:rPr>
          <w:rFonts w:ascii="Times New Roman" w:hAnsi="Times New Roman" w:cs="Times New Roman" w:eastAsia="Times New Roman" w:hint="default"/>
        </w:rPr>
        <w:t>2017</w:t>
      </w:r>
      <w:r>
        <w:rPr/>
        <w:t>年年度股东大会审议批准，公司</w:t>
      </w:r>
      <w:r>
        <w:rPr>
          <w:rFonts w:ascii="Times New Roman" w:hAnsi="Times New Roman" w:cs="Times New Roman" w:eastAsia="Times New Roman" w:hint="default"/>
        </w:rPr>
        <w:t>2017</w:t>
      </w:r>
      <w:r>
        <w:rPr/>
        <w:t>年度利润分配的方案为：以截至</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日的总股本</w:t>
      </w:r>
      <w:r>
        <w:rPr>
          <w:rFonts w:ascii="Times New Roman" w:hAnsi="Times New Roman" w:cs="Times New Roman" w:eastAsia="Times New Roman" w:hint="default"/>
        </w:rPr>
        <w:t>218,370,659</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1.02</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，合计派发现金股利 </w:t>
      </w:r>
      <w:r>
        <w:rPr>
          <w:rFonts w:ascii="Times New Roman" w:hAnsi="Times New Roman" w:cs="Times New Roman" w:eastAsia="Times New Roman" w:hint="default"/>
        </w:rPr>
        <w:t>22,273,807.22</w:t>
      </w:r>
      <w:r>
        <w:rPr/>
        <w:t>元（含税），剩余未分配利润结转以后年度；同时，以资本公积金向全体股东每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股，合计转增股份 </w:t>
      </w:r>
      <w:r>
        <w:rPr>
          <w:spacing w:val="-2"/>
        </w:rPr>
        <w:t>数量为</w:t>
      </w:r>
      <w:r>
        <w:rPr>
          <w:rFonts w:ascii="Times New Roman" w:hAnsi="Times New Roman" w:cs="Times New Roman" w:eastAsia="Times New Roman" w:hint="default"/>
          <w:spacing w:val="-2"/>
        </w:rPr>
        <w:t>174,696,527</w:t>
      </w:r>
      <w:r>
        <w:rPr>
          <w:spacing w:val="-2"/>
        </w:rPr>
        <w:t>股。由于公司已于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日办理完成部分限制性股票的回购注销手续，公司总股本变更为</w:t>
      </w:r>
      <w:r>
        <w:rPr>
          <w:rFonts w:ascii="Times New Roman" w:hAnsi="Times New Roman" w:cs="Times New Roman" w:eastAsia="Times New Roman" w:hint="default"/>
          <w:spacing w:val="-2"/>
        </w:rPr>
        <w:t>218,291,439</w:t>
      </w:r>
    </w:p>
    <w:p>
      <w:pPr>
        <w:spacing w:after="0" w:line="451"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451" w:lineRule="auto" w:before="44"/>
        <w:ind w:right="1122"/>
        <w:jc w:val="left"/>
      </w:pPr>
      <w:r>
        <w:rPr>
          <w:spacing w:val="-4"/>
          <w:w w:val="100"/>
        </w:rPr>
        <w:t>股，按照</w:t>
      </w:r>
      <w:r>
        <w:rPr>
          <w:rFonts w:ascii="Times New Roman" w:hAnsi="Times New Roman" w:cs="Times New Roman" w:eastAsia="Times New Roman" w:hint="default"/>
          <w:spacing w:val="-4"/>
          <w:w w:val="100"/>
        </w:rPr>
        <w:t>“</w:t>
      </w:r>
      <w:r>
        <w:rPr>
          <w:spacing w:val="-4"/>
          <w:w w:val="100"/>
        </w:rPr>
        <w:t>分配总额不变</w:t>
      </w:r>
      <w:r>
        <w:rPr>
          <w:rFonts w:ascii="Times New Roman" w:hAnsi="Times New Roman" w:cs="Times New Roman" w:eastAsia="Times New Roman" w:hint="default"/>
          <w:spacing w:val="-4"/>
          <w:w w:val="100"/>
        </w:rPr>
        <w:t>”</w:t>
      </w:r>
      <w:r>
        <w:rPr>
          <w:spacing w:val="-4"/>
          <w:w w:val="100"/>
        </w:rPr>
        <w:t>的原则，公司按照目前股本总额重新计算的</w:t>
      </w:r>
      <w:r>
        <w:rPr>
          <w:rFonts w:ascii="Times New Roman" w:hAnsi="Times New Roman" w:cs="Times New Roman" w:eastAsia="Times New Roman" w:hint="default"/>
          <w:spacing w:val="-4"/>
          <w:w w:val="100"/>
        </w:rPr>
        <w:t>2017</w:t>
      </w:r>
      <w:r>
        <w:rPr>
          <w:spacing w:val="-4"/>
          <w:w w:val="100"/>
        </w:rPr>
        <w:t>年度权益分派方案为：以公司现有总股本</w:t>
      </w:r>
      <w:r>
        <w:rPr>
          <w:rFonts w:ascii="Times New Roman" w:hAnsi="Times New Roman" w:cs="Times New Roman" w:eastAsia="Times New Roman" w:hint="default"/>
          <w:spacing w:val="-4"/>
          <w:w w:val="100"/>
        </w:rPr>
        <w:t>218,291,439</w:t>
      </w:r>
      <w:r>
        <w:rPr>
          <w:rFonts w:ascii="Times New Roman" w:hAnsi="Times New Roman" w:cs="Times New Roman" w:eastAsia="Times New Roman" w:hint="default"/>
          <w:spacing w:val="-35"/>
          <w:w w:val="100"/>
        </w:rPr>
        <w:t> </w:t>
      </w:r>
      <w:r>
        <w:rPr>
          <w:rFonts w:ascii="Times New Roman" w:hAnsi="Times New Roman" w:cs="Times New Roman" w:eastAsia="Times New Roman" w:hint="default"/>
          <w:spacing w:val="-35"/>
          <w:w w:val="100"/>
        </w:rPr>
      </w:r>
      <w:r>
        <w:rPr/>
        <w:t>股为基数，向全体股东每</w:t>
      </w:r>
      <w:r>
        <w:rPr>
          <w:rFonts w:ascii="Times New Roman" w:hAnsi="Times New Roman" w:cs="Times New Roman" w:eastAsia="Times New Roman" w:hint="default"/>
        </w:rPr>
        <w:t>10</w:t>
      </w:r>
      <w:r>
        <w:rPr/>
        <w:t>派发现金股利人民币</w:t>
      </w:r>
      <w:r>
        <w:rPr>
          <w:rFonts w:ascii="Times New Roman" w:hAnsi="Times New Roman" w:cs="Times New Roman" w:eastAsia="Times New Roman" w:hint="default"/>
        </w:rPr>
        <w:t>1.020370</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8.002903 </w:t>
      </w:r>
      <w:r>
        <w:rPr/>
        <w:t>股。该方案已于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日实施完毕。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年度，经</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日召开的第三届董事会第十八次会议审议通过，公司</w:t>
      </w:r>
      <w:r>
        <w:rPr>
          <w:rFonts w:ascii="Times New Roman" w:hAnsi="Times New Roman" w:cs="Times New Roman" w:eastAsia="Times New Roman" w:hint="default"/>
          <w:spacing w:val="-2"/>
        </w:rPr>
        <w:t>2018</w:t>
      </w:r>
      <w:r>
        <w:rPr>
          <w:spacing w:val="-2"/>
        </w:rPr>
        <w:t>年度利润分配预案为：公司拟以截至</w:t>
      </w:r>
    </w:p>
    <w:p>
      <w:pPr>
        <w:pStyle w:val="BodyText"/>
        <w:spacing w:line="451" w:lineRule="auto" w:before="43"/>
        <w:ind w:right="1132"/>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日的总股本</w:t>
      </w:r>
      <w:r>
        <w:rPr>
          <w:rFonts w:ascii="Times New Roman" w:hAnsi="Times New Roman" w:cs="Times New Roman" w:eastAsia="Times New Roman" w:hint="default"/>
        </w:rPr>
        <w:t>408,405,465</w:t>
      </w:r>
      <w:r>
        <w:rPr/>
        <w:t>股扣除截至本公告披露之日回购专户持有股份</w:t>
      </w:r>
      <w:r>
        <w:rPr>
          <w:rFonts w:ascii="Times New Roman" w:hAnsi="Times New Roman" w:cs="Times New Roman" w:eastAsia="Times New Roman" w:hint="default"/>
        </w:rPr>
        <w:t>3,883,600</w:t>
      </w:r>
      <w:r>
        <w:rPr/>
        <w:t>股后股本</w:t>
      </w:r>
      <w:r>
        <w:rPr>
          <w:rFonts w:ascii="Times New Roman" w:hAnsi="Times New Roman" w:cs="Times New Roman" w:eastAsia="Times New Roman" w:hint="default"/>
        </w:rPr>
        <w:t>404,521,865</w:t>
      </w:r>
      <w:r>
        <w:rPr/>
        <w:t>股为基数， </w:t>
      </w:r>
      <w:r>
        <w:rPr>
          <w:spacing w:val="-1"/>
        </w:rPr>
        <w:t>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0.5</w:t>
      </w:r>
      <w:r>
        <w:rPr>
          <w:spacing w:val="-1"/>
        </w:rPr>
        <w:t>元</w:t>
      </w:r>
      <w:r>
        <w:rPr>
          <w:rFonts w:ascii="Times New Roman" w:hAnsi="Times New Roman" w:cs="Times New Roman" w:eastAsia="Times New Roman" w:hint="default"/>
          <w:spacing w:val="-1"/>
        </w:rPr>
        <w:t>(</w:t>
      </w:r>
      <w:r>
        <w:rPr>
          <w:spacing w:val="-1"/>
        </w:rPr>
        <w:t>含税</w:t>
      </w:r>
      <w:r>
        <w:rPr>
          <w:rFonts w:ascii="Times New Roman" w:hAnsi="Times New Roman" w:cs="Times New Roman" w:eastAsia="Times New Roman" w:hint="default"/>
          <w:spacing w:val="-1"/>
        </w:rPr>
        <w:t>)</w:t>
      </w:r>
      <w:r>
        <w:rPr>
          <w:spacing w:val="-1"/>
        </w:rPr>
        <w:t>，合计派发现金股利</w:t>
      </w:r>
      <w:r>
        <w:rPr>
          <w:rFonts w:ascii="Times New Roman" w:hAnsi="Times New Roman" w:cs="Times New Roman" w:eastAsia="Times New Roman" w:hint="default"/>
          <w:spacing w:val="-1"/>
        </w:rPr>
        <w:t>20,226,093.25</w:t>
      </w:r>
      <w:r>
        <w:rPr>
          <w:spacing w:val="-1"/>
        </w:rPr>
        <w:t>元（含税），剩余未分配利润结转以后</w:t>
      </w:r>
      <w:r>
        <w:rPr>
          <w:spacing w:val="-54"/>
        </w:rPr>
        <w:t> </w:t>
      </w:r>
      <w:r>
        <w:rPr>
          <w:spacing w:val="-54"/>
        </w:rPr>
      </w:r>
      <w:r>
        <w:rPr/>
        <w:t>年度；同时，以资本公积金向全体股东每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股，合计转增股份数量为</w:t>
      </w:r>
      <w:r>
        <w:rPr>
          <w:rFonts w:ascii="Times New Roman" w:hAnsi="Times New Roman" w:cs="Times New Roman" w:eastAsia="Times New Roman" w:hint="default"/>
        </w:rPr>
        <w:t>283,165,305</w:t>
      </w:r>
      <w:r>
        <w:rPr/>
        <w:t>股。前述利润分配预案披露后至权 益分派实施公告确定的股权登记日前公司股本发生变动的，将按照分配总额不变的原则对各分配比例进行调整。</w:t>
      </w:r>
    </w:p>
    <w:p>
      <w:pPr>
        <w:pStyle w:val="BodyText"/>
        <w:spacing w:line="240" w:lineRule="auto" w:before="115"/>
        <w:ind w:right="0"/>
        <w:jc w:val="left"/>
      </w:pPr>
      <w:r>
        <w:rPr/>
        <w:t>公司近三年（包括本报告期）普通股现金分红情况表</w:t>
      </w:r>
    </w:p>
    <w:p>
      <w:pPr>
        <w:spacing w:line="240" w:lineRule="auto" w:before="12"/>
        <w:rPr>
          <w:rFonts w:ascii="宋体" w:hAnsi="宋体" w:cs="宋体" w:eastAsia="宋体" w:hint="default"/>
          <w:sz w:val="20"/>
          <w:szCs w:val="20"/>
        </w:rPr>
      </w:pPr>
    </w:p>
    <w:p>
      <w:pPr>
        <w:pStyle w:val="BodyText"/>
        <w:spacing w:line="240" w:lineRule="auto"/>
        <w:ind w:left="0" w:right="1130"/>
        <w:jc w:val="right"/>
      </w:pPr>
      <w:r>
        <w:rPr/>
        <w:t>单位：元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8"/>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20,226,093.25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140,225,348.38</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14.42%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18,995,303.67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13.55%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39,221,396.92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27.97%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22,273,743.25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111,185,107.71</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20.03%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22,273,807.22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20.03%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17,601,536.96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87,160,102.19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20.19%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17,601,536.96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20.19%</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公司报告期内盈利且母公司可供普通股股东分配利润为正但未提出普通股现金红利分配预案</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0"/>
        <w:rPr>
          <w:rFonts w:ascii="宋体" w:hAnsi="宋体" w:cs="宋体" w:eastAsia="宋体" w:hint="default"/>
          <w:b/>
          <w:bCs/>
          <w:sz w:val="24"/>
          <w:szCs w:val="24"/>
        </w:rPr>
      </w:pPr>
    </w:p>
    <w:p>
      <w:pPr>
        <w:pStyle w:val="Heading3"/>
        <w:spacing w:line="386" w:lineRule="auto" w:before="163"/>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326.7pt;mso-position-horizontal-relative:page;mso-position-vertical-relative:page;z-index:-1210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0" w:right="0"/>
                    <w:jc w:val="left"/>
                  </w:pPr>
                  <w:r>
                    <w:rPr/>
                    <w:t>、</w:t>
                  </w:r>
                </w:p>
              </w:txbxContent>
            </v:textbox>
            <w10:wrap type="none"/>
          </v:shape>
        </w:pict>
      </w:r>
      <w:r>
        <w:rPr/>
        <w:pict>
          <v:shape style="position:absolute;margin-left:361.480011pt;margin-top:434.319977pt;width:62pt;height:326.7pt;mso-position-horizontal-relative:page;mso-position-vertical-relative:page;z-index:-12102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8"/>
                      <w:szCs w:val="18"/>
                    </w:rPr>
                  </w:pPr>
                </w:p>
                <w:p>
                  <w:pPr>
                    <w:pStyle w:val="BodyText"/>
                    <w:spacing w:line="240" w:lineRule="auto"/>
                    <w:ind w:left="0" w:right="0"/>
                    <w:jc w:val="left"/>
                  </w:pPr>
                  <w:r>
                    <w:rPr/>
                    <w:t>、</w:t>
                  </w:r>
                </w:p>
              </w:txbxContent>
            </v:textbox>
            <w10:wrap type="none"/>
          </v:shape>
        </w:pict>
      </w:r>
      <w:r>
        <w:rPr/>
        <w:pict>
          <v:group style="position:absolute;margin-left:367.660004pt;margin-top:434.319977pt;width:55.85pt;height:326.7pt;mso-position-horizontal-relative:page;mso-position-vertical-relative:page;z-index:-1210240" coordorigin="7353,8686" coordsize="1117,6534">
            <v:shape style="position:absolute;left:7353;top:8686;width:1117;height:6534" coordorigin="7353,8686" coordsize="1117,6534" path="m7353,15220l8470,15220,8470,8686,7353,8686,7353,1522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8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公司控股股 东、实际控制 人茅庆江根 据证监会的 相关规定，对 公司填补回 报措施能够 得到切实履 行作出如下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、不 无偿或以不 公平条件向 其他单位或 者个人输送 利益，也不采 用其他方式 损害浩云科 技利益。</w:t>
            </w:r>
            <w:r>
              <w:rPr>
                <w:rFonts w:ascii="Times New Roman" w:hAnsi="Times New Roman" w:cs="Times New Roman" w:eastAsia="Times New Roman" w:hint="default"/>
                <w:sz w:val="18"/>
                <w:szCs w:val="18"/>
              </w:rPr>
              <w:t>2</w:t>
            </w:r>
            <w:r>
              <w:rPr>
                <w:rFonts w:ascii="宋体" w:hAnsi="宋体" w:cs="宋体" w:eastAsia="宋体" w:hint="default"/>
                <w:sz w:val="18"/>
                <w:szCs w:val="18"/>
              </w:rPr>
              <w:t>、 对个人的职 务消费行为 进行约束。</w:t>
            </w:r>
            <w:r>
              <w:rPr>
                <w:rFonts w:ascii="Times New Roman" w:hAnsi="Times New Roman" w:cs="Times New Roman" w:eastAsia="Times New Roman" w:hint="default"/>
                <w:sz w:val="18"/>
                <w:szCs w:val="18"/>
              </w:rPr>
              <w:t>3 </w:t>
            </w:r>
            <w:r>
              <w:rPr>
                <w:rFonts w:ascii="宋体" w:hAnsi="宋体" w:cs="宋体" w:eastAsia="宋体" w:hint="default"/>
                <w:sz w:val="18"/>
                <w:szCs w:val="18"/>
              </w:rPr>
              <w:t>不动用浩云 科技资产从 事与履行职 责无关的投 资、消费活 动。</w:t>
            </w:r>
            <w:r>
              <w:rPr>
                <w:rFonts w:ascii="Times New Roman" w:hAnsi="Times New Roman" w:cs="Times New Roman" w:eastAsia="Times New Roman" w:hint="default"/>
                <w:sz w:val="18"/>
                <w:szCs w:val="18"/>
              </w:rPr>
              <w:t>4</w:t>
            </w:r>
            <w:r>
              <w:rPr>
                <w:rFonts w:ascii="宋体" w:hAnsi="宋体" w:cs="宋体" w:eastAsia="宋体" w:hint="default"/>
                <w:sz w:val="18"/>
                <w:szCs w:val="18"/>
              </w:rPr>
              <w:t>、由董 事会或薪酬 委员会制订 的薪酬制度 与浩云科技 填补回报措 施的执行情 况相挂钩。</w:t>
            </w:r>
            <w:r>
              <w:rPr>
                <w:rFonts w:ascii="Times New Roman" w:hAnsi="Times New Roman" w:cs="Times New Roman" w:eastAsia="Times New Roman" w:hint="default"/>
                <w:sz w:val="18"/>
                <w:szCs w:val="18"/>
              </w:rPr>
              <w:t>5 </w:t>
            </w:r>
            <w:r>
              <w:rPr>
                <w:rFonts w:ascii="宋体" w:hAnsi="宋体" w:cs="宋体" w:eastAsia="宋体" w:hint="default"/>
                <w:sz w:val="18"/>
                <w:szCs w:val="18"/>
              </w:rPr>
              <w:t>若有新的股 权激励计划， 则新的股权 激励计划的 行权条件与 浩云科技填 补回报措施 的执行情况 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 不越权干预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653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0"/>
                <w:sz w:val="20"/>
                <w:szCs w:val="20"/>
              </w:rPr>
              <w:pict>
                <v:group style="width:55.85pt;height:326.7pt;mso-position-horizontal-relative:char;mso-position-vertical-relative:line" coordorigin="0,0" coordsize="1117,6534">
                  <v:group style="position:absolute;left:0;top:0;width:1117;height:6534" coordorigin="0,0" coordsize="1117,6534">
                    <v:shape style="position:absolute;left:0;top:0;width:1117;height:6534" coordorigin="0,0" coordsize="1117,6534" path="m0,6533l1116,6533,1116,0,0,0,0,6533xe" filled="true" fillcolor="#ffffff" stroked="false">
                      <v:path arrowok="t"/>
                      <v:fill type="solid"/>
                    </v:shape>
                  </v:group>
                </v:group>
              </w:pict>
            </w:r>
            <w:r>
              <w:rPr>
                <w:rFonts w:ascii="Times New Roman" w:hAnsi="Times New Roman" w:cs="Times New Roman" w:eastAsia="Times New Roman" w:hint="default"/>
                <w:position w:val="-130"/>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2016.04.14-</w:t>
            </w:r>
            <w:r>
              <w:rPr>
                <w:rFonts w:ascii="宋体" w:hAnsi="宋体" w:cs="宋体" w:eastAsia="宋体" w:hint="default"/>
                <w:sz w:val="18"/>
                <w:szCs w:val="18"/>
              </w:rPr>
              <w:t>公</w:t>
            </w:r>
          </w:p>
          <w:p>
            <w:pPr>
              <w:pStyle w:val="TableParagraph"/>
              <w:spacing w:line="312" w:lineRule="auto" w:before="61"/>
              <w:ind w:left="22" w:right="143"/>
              <w:jc w:val="both"/>
              <w:rPr>
                <w:rFonts w:ascii="宋体" w:hAnsi="宋体" w:cs="宋体" w:eastAsia="宋体" w:hint="default"/>
                <w:sz w:val="18"/>
                <w:szCs w:val="18"/>
              </w:rPr>
            </w:pPr>
            <w:r>
              <w:rPr>
                <w:rFonts w:ascii="宋体" w:hAnsi="宋体" w:cs="宋体" w:eastAsia="宋体" w:hint="default"/>
                <w:sz w:val="18"/>
                <w:szCs w:val="18"/>
              </w:rPr>
              <w:t>司应对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年度非公开 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票摊薄即期 回报采取的 填补措施实 施完毕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4"/>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9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浩云科技的 经营管理活 动，不侵占浩 云科技利益。 </w:t>
            </w:r>
            <w:r>
              <w:rPr>
                <w:rFonts w:ascii="Times New Roman" w:hAnsi="Times New Roman" w:cs="Times New Roman" w:eastAsia="Times New Roman" w:hint="default"/>
                <w:sz w:val="18"/>
                <w:szCs w:val="18"/>
              </w:rPr>
              <w:t>7</w:t>
            </w:r>
            <w:r>
              <w:rPr>
                <w:rFonts w:ascii="宋体" w:hAnsi="宋体" w:cs="宋体" w:eastAsia="宋体" w:hint="default"/>
                <w:sz w:val="18"/>
                <w:szCs w:val="18"/>
              </w:rPr>
              <w:t>、若本人违 背上述承诺 致使摊薄即 期回报的填 补措施无法 得到有效落 实，从而损害 了浩云科技 和中小投资 者的合法权 益，浩云科技 和中小投资 者有权采取 一切合法手 段向本企业 就其遭受的 损失进行追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陈翩</w:t>
            </w:r>
            <w:r>
              <w:rPr>
                <w:rFonts w:ascii="Times New Roman" w:hAnsi="Times New Roman" w:cs="Times New Roman" w:eastAsia="Times New Roman" w:hint="default"/>
                <w:sz w:val="18"/>
                <w:szCs w:val="18"/>
              </w:rPr>
              <w:t>;</w:t>
            </w:r>
            <w:r>
              <w:rPr>
                <w:rFonts w:ascii="宋体" w:hAnsi="宋体" w:cs="宋体" w:eastAsia="宋体" w:hint="default"/>
                <w:sz w:val="18"/>
                <w:szCs w:val="18"/>
              </w:rPr>
              <w:t>劳仲秀</w:t>
            </w:r>
            <w:r>
              <w:rPr>
                <w:rFonts w:ascii="Times New Roman" w:hAnsi="Times New Roman" w:cs="Times New Roman" w:eastAsia="Times New Roman" w:hint="default"/>
                <w:sz w:val="18"/>
                <w:szCs w:val="18"/>
              </w:rPr>
              <w:t>; </w:t>
            </w:r>
            <w:r>
              <w:rPr>
                <w:rFonts w:ascii="宋体" w:hAnsi="宋体" w:cs="宋体" w:eastAsia="宋体" w:hint="default"/>
                <w:sz w:val="18"/>
                <w:szCs w:val="18"/>
              </w:rPr>
              <w:t>雷洪文</w:t>
            </w:r>
            <w:r>
              <w:rPr>
                <w:rFonts w:ascii="Times New Roman" w:hAnsi="Times New Roman" w:cs="Times New Roman" w:eastAsia="Times New Roman" w:hint="default"/>
                <w:sz w:val="18"/>
                <w:szCs w:val="18"/>
              </w:rPr>
              <w:t>;</w:t>
            </w:r>
            <w:r>
              <w:rPr>
                <w:rFonts w:ascii="宋体" w:hAnsi="宋体" w:cs="宋体" w:eastAsia="宋体" w:hint="default"/>
                <w:sz w:val="18"/>
                <w:szCs w:val="18"/>
              </w:rPr>
              <w:t>龙中 胜</w:t>
            </w:r>
            <w:r>
              <w:rPr>
                <w:rFonts w:ascii="Times New Roman" w:hAnsi="Times New Roman" w:cs="Times New Roman" w:eastAsia="Times New Roman" w:hint="default"/>
                <w:sz w:val="18"/>
                <w:szCs w:val="18"/>
              </w:rPr>
              <w:t>;</w:t>
            </w:r>
            <w:r>
              <w:rPr>
                <w:rFonts w:ascii="宋体" w:hAnsi="宋体" w:cs="宋体" w:eastAsia="宋体" w:hint="default"/>
                <w:sz w:val="18"/>
                <w:szCs w:val="18"/>
              </w:rPr>
              <w:t>茅屏萍</w:t>
            </w:r>
            <w:r>
              <w:rPr>
                <w:rFonts w:ascii="Times New Roman" w:hAnsi="Times New Roman" w:cs="Times New Roman" w:eastAsia="Times New Roman" w:hint="default"/>
                <w:sz w:val="18"/>
                <w:szCs w:val="18"/>
              </w:rPr>
              <w:t>;</w:t>
            </w:r>
            <w:r>
              <w:rPr>
                <w:rFonts w:ascii="宋体" w:hAnsi="宋体" w:cs="宋体" w:eastAsia="宋体" w:hint="default"/>
                <w:sz w:val="18"/>
                <w:szCs w:val="18"/>
              </w:rPr>
              <w:t>茅 庆江</w:t>
            </w:r>
            <w:r>
              <w:rPr>
                <w:rFonts w:ascii="Times New Roman" w:hAnsi="Times New Roman" w:cs="Times New Roman" w:eastAsia="Times New Roman" w:hint="default"/>
                <w:sz w:val="18"/>
                <w:szCs w:val="18"/>
              </w:rPr>
              <w:t>;</w:t>
            </w:r>
            <w:r>
              <w:rPr>
                <w:rFonts w:ascii="宋体" w:hAnsi="宋体" w:cs="宋体" w:eastAsia="宋体" w:hint="default"/>
                <w:sz w:val="18"/>
                <w:szCs w:val="18"/>
              </w:rPr>
              <w:t>秦家银</w:t>
            </w:r>
            <w:r>
              <w:rPr>
                <w:rFonts w:ascii="Times New Roman" w:hAnsi="Times New Roman" w:cs="Times New Roman" w:eastAsia="Times New Roman" w:hint="default"/>
                <w:sz w:val="18"/>
                <w:szCs w:val="18"/>
              </w:rPr>
              <w:t>; </w:t>
            </w:r>
            <w:r>
              <w:rPr>
                <w:rFonts w:ascii="宋体" w:hAnsi="宋体" w:cs="宋体" w:eastAsia="宋体" w:hint="default"/>
                <w:sz w:val="18"/>
                <w:szCs w:val="18"/>
              </w:rPr>
              <w:t>王朝曦</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 </w:t>
            </w:r>
            <w:r>
              <w:rPr>
                <w:rFonts w:ascii="宋体" w:hAnsi="宋体" w:cs="宋体" w:eastAsia="宋体" w:hint="default"/>
                <w:sz w:val="18"/>
                <w:szCs w:val="18"/>
              </w:rPr>
              <w:t>袁小康</w:t>
            </w:r>
            <w:r>
              <w:rPr>
                <w:rFonts w:ascii="Times New Roman" w:hAnsi="Times New Roman" w:cs="Times New Roman" w:eastAsia="Times New Roman" w:hint="default"/>
                <w:sz w:val="18"/>
                <w:szCs w:val="18"/>
              </w:rPr>
              <w:t>;</w:t>
            </w:r>
            <w:r>
              <w:rPr>
                <w:rFonts w:ascii="宋体" w:hAnsi="宋体" w:cs="宋体" w:eastAsia="宋体" w:hint="default"/>
                <w:sz w:val="18"/>
                <w:szCs w:val="18"/>
              </w:rPr>
              <w:t>张勇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公司全体董 事、高级管理 人员根据证 监会的相关 规定，对公司 填补回报措 施能够得到 切实履行作 出如下承诺：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、不无偿或 以不公平条 件向其他单 位或者个人 输送利益，也 不采用其他 方式损害浩 云科技利益。 </w:t>
            </w:r>
            <w:r>
              <w:rPr>
                <w:rFonts w:ascii="Times New Roman" w:hAnsi="Times New Roman" w:cs="Times New Roman" w:eastAsia="Times New Roman" w:hint="default"/>
                <w:sz w:val="18"/>
                <w:szCs w:val="18"/>
              </w:rPr>
              <w:t>2</w:t>
            </w:r>
            <w:r>
              <w:rPr>
                <w:rFonts w:ascii="宋体" w:hAnsi="宋体" w:cs="宋体" w:eastAsia="宋体" w:hint="default"/>
                <w:sz w:val="18"/>
                <w:szCs w:val="18"/>
              </w:rPr>
              <w:t>、对个人的 职务消费行 为进行约束。 </w:t>
            </w:r>
            <w:r>
              <w:rPr>
                <w:rFonts w:ascii="Times New Roman" w:hAnsi="Times New Roman" w:cs="Times New Roman" w:eastAsia="Times New Roman" w:hint="default"/>
                <w:sz w:val="18"/>
                <w:szCs w:val="18"/>
              </w:rPr>
              <w:t>3</w:t>
            </w:r>
            <w:r>
              <w:rPr>
                <w:rFonts w:ascii="宋体" w:hAnsi="宋体" w:cs="宋体" w:eastAsia="宋体" w:hint="default"/>
                <w:sz w:val="18"/>
                <w:szCs w:val="18"/>
              </w:rPr>
              <w:t>、不动用浩 云科技资产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2016.04.14-</w:t>
            </w:r>
            <w:r>
              <w:rPr>
                <w:rFonts w:ascii="宋体" w:hAnsi="宋体" w:cs="宋体" w:eastAsia="宋体" w:hint="default"/>
                <w:sz w:val="18"/>
                <w:szCs w:val="18"/>
              </w:rPr>
              <w:t>公</w:t>
            </w:r>
          </w:p>
          <w:p>
            <w:pPr>
              <w:pStyle w:val="TableParagraph"/>
              <w:spacing w:line="312" w:lineRule="auto" w:before="63"/>
              <w:ind w:left="22" w:right="143"/>
              <w:jc w:val="both"/>
              <w:rPr>
                <w:rFonts w:ascii="宋体" w:hAnsi="宋体" w:cs="宋体" w:eastAsia="宋体" w:hint="default"/>
                <w:sz w:val="18"/>
                <w:szCs w:val="18"/>
              </w:rPr>
            </w:pPr>
            <w:r>
              <w:rPr>
                <w:rFonts w:ascii="宋体" w:hAnsi="宋体" w:cs="宋体" w:eastAsia="宋体" w:hint="default"/>
                <w:sz w:val="18"/>
                <w:szCs w:val="18"/>
              </w:rPr>
              <w:t>司应对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年度非公开 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票摊薄即期 回报采取的 填补措施实 施完毕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579.3pt;mso-position-horizontal-relative:page;mso-position-vertical-relative:page;z-index:-1210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5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从事与履行 职责无关的 投资、消费活 动。</w:t>
            </w:r>
            <w:r>
              <w:rPr>
                <w:rFonts w:ascii="Times New Roman" w:hAnsi="Times New Roman" w:cs="Times New Roman" w:eastAsia="Times New Roman" w:hint="default"/>
                <w:sz w:val="18"/>
                <w:szCs w:val="18"/>
              </w:rPr>
              <w:t>4</w:t>
            </w:r>
            <w:r>
              <w:rPr>
                <w:rFonts w:ascii="宋体" w:hAnsi="宋体" w:cs="宋体" w:eastAsia="宋体" w:hint="default"/>
                <w:sz w:val="18"/>
                <w:szCs w:val="18"/>
              </w:rPr>
              <w:t>、由董 事会或薪酬 委员会制订 的薪酬制度 与浩云科技 填补回报措 施的执行情 况相挂钩。</w:t>
            </w:r>
            <w:r>
              <w:rPr>
                <w:rFonts w:ascii="Times New Roman" w:hAnsi="Times New Roman" w:cs="Times New Roman" w:eastAsia="Times New Roman" w:hint="default"/>
                <w:sz w:val="18"/>
                <w:szCs w:val="18"/>
              </w:rPr>
              <w:t>5 </w:t>
            </w:r>
            <w:r>
              <w:rPr>
                <w:rFonts w:ascii="宋体" w:hAnsi="宋体" w:cs="宋体" w:eastAsia="宋体" w:hint="default"/>
                <w:sz w:val="18"/>
                <w:szCs w:val="18"/>
              </w:rPr>
              <w:t>若有新的股 权激励计划， 则新的股权 激励计划的 行权条件与 浩云科技填 补回报措施 的执行情况 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 若本人违背 上述承诺致 使摊薄即期 回报的填补 措施无法得 到有效落实， 从而损害了 浩云科技和 中小投资者 的合法权益， 浩云科技和 中小投资者 有权采取一 切合法手段 向本人就其 遭受的损失 进行追偿。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158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1"/>
                <w:sz w:val="20"/>
                <w:szCs w:val="20"/>
              </w:rPr>
              <w:pict>
                <v:group style="width:55.85pt;height:579.3pt;mso-position-horizontal-relative:char;mso-position-vertical-relative:line" coordorigin="0,0" coordsize="1117,11586">
                  <v:group style="position:absolute;left:0;top:0;width:1117;height:11586" coordorigin="0,0" coordsize="1117,11586">
                    <v:shape style="position:absolute;left:0;top:0;width:1117;height:11586" coordorigin="0,0" coordsize="1117,11586" path="m0,11586l1116,11586,1116,0,0,0,0,11586xe" filled="true" fillcolor="#ffffff" stroked="false">
                      <v:path arrowok="t"/>
                      <v:fill type="solid"/>
                    </v:shape>
                  </v:group>
                </v:group>
              </w:pict>
            </w:r>
            <w:r>
              <w:rPr>
                <w:rFonts w:ascii="Times New Roman" w:hAnsi="Times New Roman" w:cs="Times New Roman" w:eastAsia="Times New Roman" w:hint="default"/>
                <w:position w:val="-231"/>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41"/>
              <w:jc w:val="both"/>
              <w:rPr>
                <w:rFonts w:ascii="宋体" w:hAnsi="宋体" w:cs="宋体" w:eastAsia="宋体" w:hint="default"/>
                <w:sz w:val="18"/>
                <w:szCs w:val="18"/>
              </w:rPr>
            </w:pPr>
            <w:r>
              <w:rPr>
                <w:rFonts w:ascii="宋体" w:hAnsi="宋体" w:cs="宋体" w:eastAsia="宋体" w:hint="default"/>
                <w:sz w:val="18"/>
                <w:szCs w:val="18"/>
              </w:rPr>
              <w:t>广州市碧天 投资咨询有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广州 市常森投资 咨询有限责 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茅屏 萍</w:t>
            </w:r>
            <w:r>
              <w:rPr>
                <w:rFonts w:ascii="Times New Roman" w:hAnsi="Times New Roman" w:cs="Times New Roman" w:eastAsia="Times New Roman" w:hint="default"/>
                <w:sz w:val="18"/>
                <w:szCs w:val="18"/>
              </w:rPr>
              <w:t>;</w:t>
            </w:r>
            <w:r>
              <w:rPr>
                <w:rFonts w:ascii="宋体" w:hAnsi="宋体" w:cs="宋体" w:eastAsia="宋体" w:hint="default"/>
                <w:sz w:val="18"/>
                <w:szCs w:val="18"/>
              </w:rPr>
              <w:t>茅庆江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z w:val="18"/>
                <w:szCs w:val="18"/>
              </w:rPr>
              <w:t>公司的控股 </w:t>
            </w:r>
            <w:r>
              <w:rPr>
                <w:rFonts w:ascii="宋体" w:hAnsi="宋体" w:cs="宋体" w:eastAsia="宋体" w:hint="default"/>
                <w:spacing w:val="-2"/>
                <w:sz w:val="18"/>
                <w:szCs w:val="18"/>
              </w:rPr>
              <w:t>股东、实际控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制人茅庆江 及其姐姐茅 </w:t>
            </w:r>
            <w:r>
              <w:rPr>
                <w:rFonts w:ascii="宋体" w:hAnsi="宋体" w:cs="宋体" w:eastAsia="宋体" w:hint="default"/>
                <w:spacing w:val="-2"/>
                <w:sz w:val="18"/>
                <w:szCs w:val="18"/>
              </w:rPr>
              <w:t>屏萍承诺：自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公司股票上 市之日起三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2015.04.24-20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18.04.24</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3"/>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3002pt;margin-top:702.059998pt;width:62pt;height:61.4pt;mso-position-horizontal-relative:page;mso-position-vertical-relative:page;z-index:-12101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r>
        <w:rPr/>
        <w:pict>
          <v:group style="position:absolute;margin-left:367.660004pt;margin-top:702.059998pt;width:55.85pt;height:61.4pt;mso-position-horizontal-relative:page;mso-position-vertical-relative:page;z-index:-1210144" coordorigin="7353,14041" coordsize="1117,1228">
            <v:shape style="position:absolute;left:7353;top:14041;width:1117;height:1228" coordorigin="7353,14041" coordsize="1117,1228" path="m7353,15269l8470,15269,8470,14041,7353,14041,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十六个月内，</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人管理本人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持有（包括直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有）的公司公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股份，也不由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公司回购本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股票前已发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公司的法人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股东常森投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资、碧天投资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承诺：自公司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票并在创业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板上市之日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起三十六个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发行前本公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司已持有的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也不由公司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回购该部分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以上股份的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股东雷洪文、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3" w:right="21"/>
              <w:jc w:val="both"/>
              <w:rPr>
                <w:rFonts w:ascii="宋体" w:hAnsi="宋体" w:cs="宋体" w:eastAsia="宋体" w:hint="default"/>
                <w:sz w:val="18"/>
                <w:szCs w:val="18"/>
              </w:rPr>
            </w:pPr>
            <w:r>
              <w:rPr>
                <w:rFonts w:ascii="宋体" w:hAnsi="宋体" w:cs="宋体" w:eastAsia="宋体" w:hint="default"/>
                <w:spacing w:val="-2"/>
                <w:sz w:val="18"/>
                <w:szCs w:val="18"/>
              </w:rPr>
              <w:t>雷洪文、袁小</w:t>
            </w:r>
            <w:r>
              <w:rPr>
                <w:rFonts w:ascii="宋体" w:hAnsi="宋体" w:cs="宋体" w:eastAsia="宋体" w:hint="default"/>
                <w:sz w:val="18"/>
                <w:szCs w:val="18"/>
              </w:rPr>
              <w:t> </w:t>
            </w:r>
            <w:r>
              <w:rPr>
                <w:rFonts w:ascii="宋体" w:hAnsi="宋体" w:cs="宋体" w:eastAsia="宋体" w:hint="default"/>
                <w:spacing w:val="-2"/>
                <w:sz w:val="18"/>
                <w:szCs w:val="18"/>
              </w:rPr>
              <w:t>康、徐彪、张</w:t>
            </w:r>
            <w:r>
              <w:rPr>
                <w:rFonts w:ascii="宋体" w:hAnsi="宋体" w:cs="宋体" w:eastAsia="宋体" w:hint="default"/>
                <w:sz w:val="18"/>
                <w:szCs w:val="18"/>
              </w:rPr>
              <w:t> 忠民</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袁小康、徐 </w:t>
            </w:r>
            <w:r>
              <w:rPr>
                <w:rFonts w:ascii="宋体" w:hAnsi="宋体" w:cs="宋体" w:eastAsia="宋体" w:hint="default"/>
                <w:spacing w:val="-2"/>
                <w:sz w:val="18"/>
                <w:szCs w:val="18"/>
              </w:rPr>
              <w:t>彪、张忠民承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诺：（</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）持有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股份的意向</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sz w:val="18"/>
              </w:rPr>
              <w:t>2015.04.24-20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18.04.24</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5"/>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未来在不违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反《证券法》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交易所等相</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以及不违背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个人就股份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锁定所作出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的有关承诺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的前提下，本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人将根据自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身经济的实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际状况和公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司二级市场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的交易表现，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有计划地就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所持股份进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行减持</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减持股份的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  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内减持本人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人承诺所持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计划如下：①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减持满足的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tabs>
                <w:tab w:pos="652" w:val="left" w:leader="none"/>
              </w:tabs>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w:t>
              <w:tab/>
              <w:t>自公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至本人就减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持股份发布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之日，本人能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够及时有效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地履行首次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票时公开承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诺的各项义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务。②减持数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  持有公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份的股东雷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洪文、袁小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康、徐彪承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4.420013pt;margin-top:72.47998pt;width:89.1pt;height:686.5pt;mso-position-horizontal-relative:page;mso-position-vertical-relative:page;z-index:-12100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1"/>
                      <w:szCs w:val="21"/>
                    </w:rPr>
                  </w:pPr>
                </w:p>
                <w:p>
                  <w:pPr>
                    <w:pStyle w:val="BodyText"/>
                    <w:spacing w:line="240" w:lineRule="auto"/>
                    <w:ind w:left="0" w:right="0"/>
                    <w:jc w:val="left"/>
                  </w:pPr>
                  <w:r>
                    <w:rPr/>
                    <w:t>个月内，</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诺：在上述锁</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定期届满后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不超过其直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。持有公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份的股东张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忠民承诺：在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其所持公司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期届满后两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年内，有意通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减持股份数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量不超过其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股份数量不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超过其直接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80%</w:t>
            </w:r>
            <w:r>
              <w:rPr>
                <w:rFonts w:ascii="宋体" w:hAnsi="宋体" w:cs="宋体" w:eastAsia="宋体" w:hint="default"/>
                <w:spacing w:val="-6"/>
                <w:sz w:val="18"/>
                <w:szCs w:val="18"/>
              </w:rPr>
              <w:t>。③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减持方式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本人所持公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司股份将通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易、协议转让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法方式进行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实施减持的，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将提前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 易日予以公 告。④减持价 格</w:t>
              <w:tab/>
              <w:t>本人 在锁定期满 后两年内减 持的，减持价 格不低于公 司首次公开 发行股票的 股票发行价。 公司发生派 发股利、转增 股本等除息、 除权行为的， 上述发行价 格亦将作相 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以上股份的 股东茅庆江 </w:t>
            </w:r>
            <w:r>
              <w:rPr>
                <w:rFonts w:ascii="宋体" w:hAnsi="宋体" w:cs="宋体" w:eastAsia="宋体" w:hint="default"/>
                <w:spacing w:val="-15"/>
                <w:sz w:val="18"/>
                <w:szCs w:val="18"/>
              </w:rPr>
              <w:t>承诺：（</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）持</w:t>
            </w:r>
            <w:r>
              <w:rPr>
                <w:rFonts w:ascii="宋体" w:hAnsi="宋体" w:cs="宋体" w:eastAsia="宋体" w:hint="default"/>
                <w:spacing w:val="-5"/>
                <w:sz w:val="18"/>
                <w:szCs w:val="18"/>
              </w:rPr>
              <w:t> </w:t>
            </w:r>
            <w:r>
              <w:rPr>
                <w:rFonts w:ascii="宋体" w:hAnsi="宋体" w:cs="宋体" w:eastAsia="宋体" w:hint="default"/>
                <w:sz w:val="18"/>
                <w:szCs w:val="18"/>
              </w:rPr>
              <w:t>有股份的意</w:t>
            </w:r>
            <w:r>
              <w:rPr>
                <w:rFonts w:ascii="宋体" w:hAnsi="宋体" w:cs="宋体" w:eastAsia="宋体" w:hint="default"/>
                <w:sz w:val="18"/>
                <w:szCs w:val="18"/>
              </w:rPr>
              <w:t> 向 未来在 </w:t>
            </w:r>
            <w:r>
              <w:rPr>
                <w:rFonts w:ascii="宋体" w:hAnsi="宋体" w:cs="宋体" w:eastAsia="宋体" w:hint="default"/>
                <w:spacing w:val="-2"/>
                <w:sz w:val="18"/>
                <w:szCs w:val="18"/>
              </w:rPr>
              <w:t>不违反《证券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法》、交易所</w:t>
            </w:r>
            <w:r>
              <w:rPr>
                <w:rFonts w:ascii="宋体" w:hAnsi="宋体" w:cs="宋体" w:eastAsia="宋体" w:hint="default"/>
                <w:sz w:val="18"/>
                <w:szCs w:val="18"/>
              </w:rPr>
              <w:t> 等相关法律 法规以及不 违背个人就 股份锁定所 作出的有关 承诺的前提 </w:t>
            </w:r>
            <w:r>
              <w:rPr>
                <w:rFonts w:ascii="宋体" w:hAnsi="宋体" w:cs="宋体" w:eastAsia="宋体" w:hint="default"/>
                <w:spacing w:val="-2"/>
                <w:sz w:val="18"/>
                <w:szCs w:val="18"/>
              </w:rPr>
              <w:t>下，本人将根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据自身经济 的实际状况 和公司二级 市场的交易 </w:t>
            </w:r>
            <w:r>
              <w:rPr>
                <w:rFonts w:ascii="宋体" w:hAnsi="宋体" w:cs="宋体" w:eastAsia="宋体" w:hint="default"/>
                <w:spacing w:val="-2"/>
                <w:sz w:val="18"/>
                <w:szCs w:val="18"/>
              </w:rPr>
              <w:t>表现，有计划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地就所持股</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份进行减持。</w:t>
            </w:r>
          </w:p>
          <w:p>
            <w:pPr>
              <w:pStyle w:val="TableParagraph"/>
              <w:spacing w:line="312" w:lineRule="auto" w:before="77"/>
              <w:ind w:left="22" w:right="1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）减持股 份的计划 本人计划在 锁定期满后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2015.04.24-20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20.05.16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两年内减持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份，本人承诺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减持计划如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下：①减持满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足的条件自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起，至本人就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减持股份发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布提示性公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告之日，本人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能够及时有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效地履行首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股票时公开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承诺的各项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义务。②减持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股股东茅庆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江承诺：锁定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期满的两年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内，每年内减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持股份不超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过本人直接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减持方式本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股份将通过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易、协议转让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法方式进行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实施减持的，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将提前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易日予以公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告。④减持价</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格 本人在 锁定期满后 两年内减持 </w:t>
            </w:r>
            <w:r>
              <w:rPr>
                <w:rFonts w:ascii="宋体" w:hAnsi="宋体" w:cs="宋体" w:eastAsia="宋体" w:hint="default"/>
                <w:spacing w:val="-2"/>
                <w:sz w:val="18"/>
                <w:szCs w:val="18"/>
              </w:rPr>
              <w:t>的，减持价格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不低于公司 首次公开发 行股票的股 </w:t>
            </w:r>
            <w:r>
              <w:rPr>
                <w:rFonts w:ascii="宋体" w:hAnsi="宋体" w:cs="宋体" w:eastAsia="宋体" w:hint="default"/>
                <w:spacing w:val="-2"/>
                <w:sz w:val="18"/>
                <w:szCs w:val="18"/>
              </w:rPr>
              <w:t>票发行价。公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司发生派发 </w:t>
            </w:r>
            <w:r>
              <w:rPr>
                <w:rFonts w:ascii="宋体" w:hAnsi="宋体" w:cs="宋体" w:eastAsia="宋体" w:hint="default"/>
                <w:spacing w:val="-2"/>
                <w:sz w:val="18"/>
                <w:szCs w:val="18"/>
              </w:rPr>
              <w:t>股利、转增股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本等除息、除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权行为的，上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述发行价格 亦将作相应 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23" w:right="141"/>
              <w:jc w:val="both"/>
              <w:rPr>
                <w:rFonts w:ascii="宋体" w:hAnsi="宋体" w:cs="宋体" w:eastAsia="宋体" w:hint="default"/>
                <w:sz w:val="18"/>
                <w:szCs w:val="18"/>
              </w:rPr>
            </w:pPr>
            <w:r>
              <w:rPr>
                <w:rFonts w:ascii="宋体" w:hAnsi="宋体" w:cs="宋体" w:eastAsia="宋体" w:hint="default"/>
                <w:sz w:val="18"/>
                <w:szCs w:val="18"/>
              </w:rPr>
              <w:t>浩云科技股 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茅庆江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9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公司承诺：如 公司《招股说 明书》有虚假 记载、误导性 陈述或者重 大遗漏，对判 断公司是否 符合法律规 定的发行条 件构成重大、 实质影响的， 并已由有权 部门作出行 政处罚或人 民法院作出 相关判决的， 在相关行政 处罚或判决 生效之日起</w:t>
            </w:r>
          </w:p>
          <w:p>
            <w:pPr>
              <w:pStyle w:val="TableParagraph"/>
              <w:spacing w:line="316" w:lineRule="auto" w:before="19"/>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内，本公司将 召开董事会 并作出决议， 通过回购首 次公开发行 所有新股的 具体方案的 议案，并进行 公告。本公司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将以不低于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发行价格回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新股</w:t>
            </w:r>
            <w:r>
              <w:rPr>
                <w:rFonts w:ascii="宋体" w:hAnsi="宋体" w:cs="宋体" w:eastAsia="宋体" w:hint="default"/>
                <w:spacing w:val="-90"/>
                <w:sz w:val="18"/>
                <w:szCs w:val="18"/>
              </w:rPr>
              <w:t>。</w:t>
            </w:r>
            <w:r>
              <w:rPr>
                <w:rFonts w:ascii="宋体" w:hAnsi="宋体" w:cs="宋体" w:eastAsia="宋体" w:hint="default"/>
                <w:sz w:val="18"/>
                <w:szCs w:val="18"/>
              </w:rPr>
              <w:t>（在公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司上市后至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上述期间内，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公司发生派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发股利、送红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股、转增股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本、增发新股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或配股等除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息、除权行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为，上述发行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价格亦将作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相应调整</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东茅庆江承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《招股说明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书》有虚假记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遗漏，对判断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公司是否符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合法律规定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构成重大、实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质影响的，并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已由有权部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门作出行政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处罚或人民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法院作出相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关判决的，在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相关行政处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罚或判决生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本人将依法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提出购回已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售股份的具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体方案，并进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行公告。本人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04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将以不低于 发行价格购 回已转让的 原限售股份。</w:t>
            </w:r>
          </w:p>
          <w:p>
            <w:pPr>
              <w:pStyle w:val="TableParagraph"/>
              <w:spacing w:line="319"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（在公司上 市后至上述 期间内，公司 发生派发股 利、送红股、 转增股本、增 发新股或配 股等除息、除 权行为，上述 发行价格亦 将作相应调 </w:t>
            </w:r>
            <w:r>
              <w:rPr>
                <w:rFonts w:ascii="宋体" w:hAnsi="宋体" w:cs="宋体" w:eastAsia="宋体" w:hint="default"/>
                <w:spacing w:val="-60"/>
                <w:sz w:val="18"/>
                <w:szCs w:val="18"/>
              </w:rPr>
              <w:t>整。）</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09" w:lineRule="auto"/>
              <w:ind w:left="23" w:right="89"/>
              <w:jc w:val="both"/>
              <w:rPr>
                <w:rFonts w:ascii="宋体" w:hAnsi="宋体" w:cs="宋体" w:eastAsia="宋体" w:hint="default"/>
                <w:sz w:val="18"/>
                <w:szCs w:val="18"/>
              </w:rPr>
            </w:pPr>
            <w:r>
              <w:rPr>
                <w:rFonts w:ascii="宋体" w:hAnsi="宋体" w:cs="宋体" w:eastAsia="宋体" w:hint="default"/>
                <w:sz w:val="18"/>
                <w:szCs w:val="18"/>
              </w:rPr>
              <w:t>广州市碧天 投资咨询有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广州 市常森投资 咨询有限责 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广州 市浩云安防 科技股份有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雷洪 文</w:t>
            </w:r>
            <w:r>
              <w:rPr>
                <w:rFonts w:ascii="Times New Roman" w:hAnsi="Times New Roman" w:cs="Times New Roman" w:eastAsia="Times New Roman" w:hint="default"/>
                <w:sz w:val="18"/>
                <w:szCs w:val="18"/>
              </w:rPr>
              <w:t>;</w:t>
            </w:r>
            <w:r>
              <w:rPr>
                <w:rFonts w:ascii="宋体" w:hAnsi="宋体" w:cs="宋体" w:eastAsia="宋体" w:hint="default"/>
                <w:sz w:val="18"/>
                <w:szCs w:val="18"/>
              </w:rPr>
              <w:t>龙中胜</w:t>
            </w:r>
            <w:r>
              <w:rPr>
                <w:rFonts w:ascii="Times New Roman" w:hAnsi="Times New Roman" w:cs="Times New Roman" w:eastAsia="Times New Roman" w:hint="default"/>
                <w:sz w:val="18"/>
                <w:szCs w:val="18"/>
              </w:rPr>
              <w:t>;</w:t>
            </w:r>
            <w:r>
              <w:rPr>
                <w:rFonts w:ascii="宋体" w:hAnsi="宋体" w:cs="宋体" w:eastAsia="宋体" w:hint="default"/>
                <w:sz w:val="18"/>
                <w:szCs w:val="18"/>
              </w:rPr>
              <w:t>茅 屏萍</w:t>
            </w:r>
            <w:r>
              <w:rPr>
                <w:rFonts w:ascii="Times New Roman" w:hAnsi="Times New Roman" w:cs="Times New Roman" w:eastAsia="Times New Roman" w:hint="default"/>
                <w:sz w:val="18"/>
                <w:szCs w:val="18"/>
              </w:rPr>
              <w:t>;</w:t>
            </w:r>
            <w:r>
              <w:rPr>
                <w:rFonts w:ascii="宋体" w:hAnsi="宋体" w:cs="宋体" w:eastAsia="宋体" w:hint="default"/>
                <w:sz w:val="18"/>
                <w:szCs w:val="18"/>
              </w:rPr>
              <w:t>茅庆江</w:t>
            </w:r>
            <w:r>
              <w:rPr>
                <w:rFonts w:ascii="Times New Roman" w:hAnsi="Times New Roman" w:cs="Times New Roman" w:eastAsia="Times New Roman" w:hint="default"/>
                <w:sz w:val="18"/>
                <w:szCs w:val="18"/>
              </w:rPr>
              <w:t>; </w:t>
            </w:r>
            <w:r>
              <w:rPr>
                <w:rFonts w:ascii="宋体" w:hAnsi="宋体" w:cs="宋体" w:eastAsia="宋体" w:hint="default"/>
                <w:sz w:val="18"/>
                <w:szCs w:val="18"/>
              </w:rPr>
              <w:t>徐彪</w:t>
            </w:r>
            <w:r>
              <w:rPr>
                <w:rFonts w:ascii="Times New Roman" w:hAnsi="Times New Roman" w:cs="Times New Roman" w:eastAsia="Times New Roman" w:hint="default"/>
                <w:sz w:val="18"/>
                <w:szCs w:val="18"/>
              </w:rPr>
              <w:t>;</w:t>
            </w:r>
            <w:r>
              <w:rPr>
                <w:rFonts w:ascii="宋体" w:hAnsi="宋体" w:cs="宋体" w:eastAsia="宋体" w:hint="default"/>
                <w:sz w:val="18"/>
                <w:szCs w:val="18"/>
              </w:rPr>
              <w:t>袁小康</w:t>
            </w:r>
            <w:r>
              <w:rPr>
                <w:rFonts w:ascii="Times New Roman" w:hAnsi="Times New Roman" w:cs="Times New Roman" w:eastAsia="Times New Roman" w:hint="default"/>
                <w:sz w:val="18"/>
                <w:szCs w:val="18"/>
              </w:rPr>
              <w:t>; </w:t>
            </w:r>
            <w:r>
              <w:rPr>
                <w:rFonts w:ascii="宋体" w:hAnsi="宋体" w:cs="宋体" w:eastAsia="宋体" w:hint="default"/>
                <w:sz w:val="18"/>
                <w:szCs w:val="18"/>
              </w:rPr>
              <w:t>张忠民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公司及本次 发行前全体 </w:t>
            </w:r>
            <w:r>
              <w:rPr>
                <w:rFonts w:ascii="宋体" w:hAnsi="宋体" w:cs="宋体" w:eastAsia="宋体" w:hint="default"/>
                <w:spacing w:val="-2"/>
                <w:sz w:val="18"/>
                <w:szCs w:val="18"/>
              </w:rPr>
              <w:t>股东承诺：公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司将严格按 </w:t>
            </w:r>
            <w:r>
              <w:rPr>
                <w:rFonts w:ascii="宋体" w:hAnsi="宋体" w:cs="宋体" w:eastAsia="宋体" w:hint="default"/>
                <w:spacing w:val="-2"/>
                <w:sz w:val="18"/>
                <w:szCs w:val="18"/>
              </w:rPr>
              <w:t>照《公司章程</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pacing w:val="-15"/>
                <w:sz w:val="18"/>
                <w:szCs w:val="18"/>
              </w:rPr>
              <w:t>（草案）》规</w:t>
            </w:r>
            <w:r>
              <w:rPr>
                <w:rFonts w:ascii="宋体" w:hAnsi="宋体" w:cs="宋体" w:eastAsia="宋体" w:hint="default"/>
                <w:sz w:val="18"/>
                <w:szCs w:val="18"/>
              </w:rPr>
              <w:t> 定的利润分 配政策履行 利润分配决 策程序，并按 照相关法律 法规中关于 利润分配政 策（包括现金 分红）的规定 履行分红义 务。公司及本 次发行前全 体股东承诺 将从维护中 小投资者利 益的角度制 定利润分配 计划，充分考 虑公众投资 者的意见，保 护中小股东、 公众投资者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的利益。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为避免同业 竞争，维护本 公司的利益 和保证公司 的长期稳定 发展，控股股 东、实际控制 人茅庆江出 具了《关于避 免同业竞争 </w:t>
            </w:r>
            <w:r>
              <w:rPr>
                <w:rFonts w:ascii="宋体" w:hAnsi="宋体" w:cs="宋体" w:eastAsia="宋体" w:hint="default"/>
                <w:spacing w:val="-15"/>
                <w:sz w:val="18"/>
                <w:szCs w:val="18"/>
              </w:rPr>
              <w:t>的承诺函》，</w:t>
            </w:r>
            <w:r>
              <w:rPr>
                <w:rFonts w:ascii="宋体" w:hAnsi="宋体" w:cs="宋体" w:eastAsia="宋体" w:hint="default"/>
                <w:sz w:val="18"/>
                <w:szCs w:val="18"/>
              </w:rPr>
              <w:t>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、截 至本承诺函 签署之日，本 人未直接或 间接经营（包 括但不限于 持有其他企 业股权、股 份、合伙份 额，在其他企 业担任董事、 高级管理人 员）与浩云科 技及其子公 司经营的业 务构成竞争 或可能构成 竞争的业务。 </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、自本承诺 函签署之日 起，本人将不 直接或间接 经营（包括但 不限于持有 其他企业股 权、股份、合 伙份额，在其 他企业担任 董事、高级管 理人员）与浩 云科技及其 子公司目前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15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及未来经营 的业务构成 竞争或可能 构成竞争的 业务。</w:t>
            </w:r>
            <w:r>
              <w:rPr>
                <w:rFonts w:ascii="Times New Roman" w:hAnsi="Times New Roman" w:cs="Times New Roman" w:eastAsia="Times New Roman" w:hint="default"/>
                <w:sz w:val="18"/>
                <w:szCs w:val="18"/>
              </w:rPr>
              <w:t>3</w:t>
            </w:r>
            <w:r>
              <w:rPr>
                <w:rFonts w:ascii="宋体" w:hAnsi="宋体" w:cs="宋体" w:eastAsia="宋体" w:hint="default"/>
                <w:sz w:val="18"/>
                <w:szCs w:val="18"/>
              </w:rPr>
              <w:t>、自 本承诺函签 </w:t>
            </w:r>
            <w:r>
              <w:rPr>
                <w:rFonts w:ascii="宋体" w:hAnsi="宋体" w:cs="宋体" w:eastAsia="宋体" w:hint="default"/>
                <w:spacing w:val="-2"/>
                <w:sz w:val="18"/>
                <w:szCs w:val="18"/>
              </w:rPr>
              <w:t>署之日起，凡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本人有任何 商业机会可 </w:t>
            </w:r>
            <w:r>
              <w:rPr>
                <w:rFonts w:ascii="宋体" w:hAnsi="宋体" w:cs="宋体" w:eastAsia="宋体" w:hint="default"/>
                <w:spacing w:val="-2"/>
                <w:sz w:val="18"/>
                <w:szCs w:val="18"/>
              </w:rPr>
              <w:t>从事、参与或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投资可能会 与浩云科技 及其子公司 目前及未来 的主营业务 构成竞争的 </w:t>
            </w:r>
            <w:r>
              <w:rPr>
                <w:rFonts w:ascii="宋体" w:hAnsi="宋体" w:cs="宋体" w:eastAsia="宋体" w:hint="default"/>
                <w:spacing w:val="-2"/>
                <w:sz w:val="18"/>
                <w:szCs w:val="18"/>
              </w:rPr>
              <w:t>业务，本人会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将该等商业 机会让予浩 云科技。</w:t>
            </w:r>
            <w:r>
              <w:rPr>
                <w:rFonts w:ascii="Times New Roman" w:hAnsi="Times New Roman" w:cs="Times New Roman" w:eastAsia="Times New Roman" w:hint="default"/>
                <w:sz w:val="18"/>
                <w:szCs w:val="18"/>
              </w:rPr>
              <w:t>4</w:t>
            </w:r>
            <w:r>
              <w:rPr>
                <w:rFonts w:ascii="宋体" w:hAnsi="宋体" w:cs="宋体" w:eastAsia="宋体" w:hint="default"/>
                <w:sz w:val="18"/>
                <w:szCs w:val="18"/>
              </w:rPr>
              <w:t>、 本人将促使 本人直接或 间接控制的 其他经济实 体遵守上述</w:t>
            </w:r>
          </w:p>
          <w:p>
            <w:pPr>
              <w:pStyle w:val="TableParagraph"/>
              <w:spacing w:line="316" w:lineRule="auto" w:before="19"/>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项承诺。 如本人或本 人直接或间 接控制的其 他经济实体 未履行上述 承诺而给浩 云科技造成 </w:t>
            </w:r>
            <w:r>
              <w:rPr>
                <w:rFonts w:ascii="宋体" w:hAnsi="宋体" w:cs="宋体" w:eastAsia="宋体" w:hint="default"/>
                <w:spacing w:val="-2"/>
                <w:sz w:val="18"/>
                <w:szCs w:val="18"/>
              </w:rPr>
              <w:t>经济损失，本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人将承担相 应的赔偿责 任。</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陈翩</w:t>
            </w:r>
            <w:r>
              <w:rPr>
                <w:rFonts w:ascii="Times New Roman" w:hAnsi="Times New Roman" w:cs="Times New Roman" w:eastAsia="Times New Roman" w:hint="default"/>
                <w:sz w:val="18"/>
                <w:szCs w:val="18"/>
              </w:rPr>
              <w:t>;</w:t>
            </w:r>
            <w:r>
              <w:rPr>
                <w:rFonts w:ascii="宋体" w:hAnsi="宋体" w:cs="宋体" w:eastAsia="宋体" w:hint="default"/>
                <w:sz w:val="18"/>
                <w:szCs w:val="18"/>
              </w:rPr>
              <w:t>段汉文</w:t>
            </w:r>
            <w:r>
              <w:rPr>
                <w:rFonts w:ascii="Times New Roman" w:hAnsi="Times New Roman" w:cs="Times New Roman" w:eastAsia="Times New Roman" w:hint="default"/>
                <w:sz w:val="18"/>
                <w:szCs w:val="18"/>
              </w:rPr>
              <w:t>; </w:t>
            </w:r>
            <w:r>
              <w:rPr>
                <w:rFonts w:ascii="宋体" w:hAnsi="宋体" w:cs="宋体" w:eastAsia="宋体" w:hint="default"/>
                <w:sz w:val="18"/>
                <w:szCs w:val="18"/>
              </w:rPr>
              <w:t>广州市浩云 安防科技股 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雷洪文</w:t>
            </w:r>
            <w:r>
              <w:rPr>
                <w:rFonts w:ascii="Times New Roman" w:hAnsi="Times New Roman" w:cs="Times New Roman" w:eastAsia="Times New Roman" w:hint="default"/>
                <w:sz w:val="18"/>
                <w:szCs w:val="18"/>
              </w:rPr>
              <w:t>;</w:t>
            </w:r>
            <w:r>
              <w:rPr>
                <w:rFonts w:ascii="宋体" w:hAnsi="宋体" w:cs="宋体" w:eastAsia="宋体" w:hint="default"/>
                <w:sz w:val="18"/>
                <w:szCs w:val="18"/>
              </w:rPr>
              <w:t>龙中 胜</w:t>
            </w:r>
            <w:r>
              <w:rPr>
                <w:rFonts w:ascii="Times New Roman" w:hAnsi="Times New Roman" w:cs="Times New Roman" w:eastAsia="Times New Roman" w:hint="default"/>
                <w:sz w:val="18"/>
                <w:szCs w:val="18"/>
              </w:rPr>
              <w:t>;</w:t>
            </w:r>
            <w:r>
              <w:rPr>
                <w:rFonts w:ascii="宋体" w:hAnsi="宋体" w:cs="宋体" w:eastAsia="宋体" w:hint="default"/>
                <w:sz w:val="18"/>
                <w:szCs w:val="18"/>
              </w:rPr>
              <w:t>茅屏萍</w:t>
            </w:r>
            <w:r>
              <w:rPr>
                <w:rFonts w:ascii="Times New Roman" w:hAnsi="Times New Roman" w:cs="Times New Roman" w:eastAsia="Times New Roman" w:hint="default"/>
                <w:sz w:val="18"/>
                <w:szCs w:val="18"/>
              </w:rPr>
              <w:t>;</w:t>
            </w:r>
            <w:r>
              <w:rPr>
                <w:rFonts w:ascii="宋体" w:hAnsi="宋体" w:cs="宋体" w:eastAsia="宋体" w:hint="default"/>
                <w:sz w:val="18"/>
                <w:szCs w:val="18"/>
              </w:rPr>
              <w:t>茅 庆江</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w:t>
            </w:r>
            <w:r>
              <w:rPr>
                <w:rFonts w:ascii="宋体" w:hAnsi="宋体" w:cs="宋体" w:eastAsia="宋体" w:hint="default"/>
                <w:sz w:val="18"/>
                <w:szCs w:val="18"/>
              </w:rPr>
              <w:t>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02" w:lineRule="auto"/>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公司及其控 股股东茅庆 </w:t>
            </w:r>
            <w:r>
              <w:rPr>
                <w:rFonts w:ascii="宋体" w:hAnsi="宋体" w:cs="宋体" w:eastAsia="宋体" w:hint="default"/>
                <w:spacing w:val="-2"/>
                <w:sz w:val="18"/>
                <w:szCs w:val="18"/>
              </w:rPr>
              <w:t>江，直接或间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接持有公司 股份的董事</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（外部董事、 独立董事除</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2015.04.24-20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18.04.24</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5"/>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2100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BodyText"/>
                    <w:spacing w:line="240" w:lineRule="auto"/>
                    <w:ind w:left="0" w:right="0"/>
                    <w:jc w:val="left"/>
                  </w:pPr>
                  <w:r>
                    <w:rPr/>
                    <w:t>、</w:t>
                  </w:r>
                </w:p>
              </w:txbxContent>
            </v:textbox>
            <w10:wrap type="none"/>
          </v:shape>
        </w:pict>
      </w:r>
      <w:r>
        <w:rPr/>
        <w:pict>
          <v:group style="position:absolute;margin-left:56.459999pt;margin-top:71.759964pt;width:478.95pt;height:688pt;mso-position-horizontal-relative:page;mso-position-vertical-relative:page;z-index:-1210048" coordorigin="1129,1435" coordsize="9579,13760">
            <v:group style="position:absolute;left:1139;top:1450;width:2827;height:13730" coordorigin="1139,1450" coordsize="2827,13730">
              <v:shape style="position:absolute;left:1139;top:1450;width:2827;height:13730" coordorigin="1139,1450" coordsize="2827,13730" path="m1139,15179l3965,15179,3965,1450,1139,1450,1139,15179xe" filled="true" fillcolor="#d2d2d2" stroked="false">
                <v:path arrowok="t"/>
                <v:fill type="solid"/>
              </v:shape>
            </v:group>
            <v:group style="position:absolute;left:1139;top:1445;width:2827;height:2" coordorigin="1139,1445" coordsize="2827,2">
              <v:shape style="position:absolute;left:1139;top:1445;width:2827;height:2" coordorigin="1139,1445" coordsize="2827,0" path="m1139,1445l3965,1445e" filled="false" stroked="true" strokeweight=".48pt" strokecolor="#000000">
                <v:path arrowok="t"/>
              </v:shape>
            </v:group>
            <v:group style="position:absolute;left:3975;top:1445;width:1117;height:2" coordorigin="3975,1445" coordsize="1117,2">
              <v:shape style="position:absolute;left:3975;top:1445;width:1117;height:2" coordorigin="3975,1445" coordsize="1117,0" path="m3975,1445l5091,1445e" filled="false" stroked="true" strokeweight=".48pt" strokecolor="#000000">
                <v:path arrowok="t"/>
              </v:shape>
            </v:group>
            <v:group style="position:absolute;left:5101;top:1445;width:1116;height:2" coordorigin="5101,1445" coordsize="1116,2">
              <v:shape style="position:absolute;left:5101;top:1445;width:1116;height:2" coordorigin="5101,1445" coordsize="1116,0" path="m5101,1445l6217,1445e" filled="false" stroked="true" strokeweight=".48pt" strokecolor="#000000">
                <v:path arrowok="t"/>
              </v:shape>
            </v:group>
            <v:group style="position:absolute;left:7353;top:1450;width:1117;height:13730" coordorigin="7353,1450" coordsize="1117,13730">
              <v:shape style="position:absolute;left:7353;top:1450;width:1117;height:13730" coordorigin="7353,1450" coordsize="1117,13730" path="m7353,15179l8470,15179,8470,1450,7353,1450,7353,15179xe" filled="true" fillcolor="#ffffff" stroked="false">
                <v:path arrowok="t"/>
                <v:fill type="solid"/>
              </v:shape>
            </v:group>
            <v:group style="position:absolute;left:6226;top:1445;width:1118;height:2" coordorigin="6226,1445" coordsize="1118,2">
              <v:shape style="position:absolute;left:6226;top:1445;width:1118;height:2" coordorigin="6226,1445" coordsize="1118,0" path="m6226,1445l7344,1445e" filled="false" stroked="true" strokeweight=".48pt" strokecolor="#000000">
                <v:path arrowok="t"/>
              </v:shape>
            </v:group>
            <v:group style="position:absolute;left:7353;top:1445;width:1117;height:2" coordorigin="7353,1445" coordsize="1117,2">
              <v:shape style="position:absolute;left:7353;top:1445;width:1117;height:2" coordorigin="7353,1445" coordsize="1117,0" path="m7353,1445l8470,1445e" filled="false" stroked="true" strokeweight=".48pt" strokecolor="#000000">
                <v:path arrowok="t"/>
              </v:shape>
            </v:group>
            <v:group style="position:absolute;left:8479;top:1445;width:1112;height:2" coordorigin="8479,1445" coordsize="1112,2">
              <v:shape style="position:absolute;left:8479;top:1445;width:1112;height:2" coordorigin="8479,1445" coordsize="1112,0" path="m8479,1445l9590,1445e" filled="false" stroked="true" strokeweight=".48pt" strokecolor="#000000">
                <v:path arrowok="t"/>
              </v:shape>
            </v:group>
            <v:group style="position:absolute;left:9600;top:1445;width:1098;height:2" coordorigin="9600,1445" coordsize="1098,2">
              <v:shape style="position:absolute;left:9600;top:1445;width:1098;height:2" coordorigin="9600,1445" coordsize="1098,0" path="m9600,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2827;height:2" coordorigin="1139,15185" coordsize="2827,2">
              <v:shape style="position:absolute;left:1139;top:15185;width:2827;height:2" coordorigin="1139,15185" coordsize="2827,0" path="m1139,15185l3965,15185e" filled="false" stroked="true" strokeweight=".47998pt" strokecolor="#000000">
                <v:path arrowok="t"/>
              </v:shape>
            </v:group>
            <v:group style="position:absolute;left:3970;top:1440;width:2;height:13750" coordorigin="3970,1440" coordsize="2,13750">
              <v:shape style="position:absolute;left:3970;top:1440;width:2;height:13750" coordorigin="3970,1440" coordsize="0,13750" path="m3970,1440l3970,15190e" filled="false" stroked="true" strokeweight=".48pt" strokecolor="#000000">
                <v:path arrowok="t"/>
              </v:shape>
            </v:group>
            <v:group style="position:absolute;left:3975;top:15185;width:1117;height:2" coordorigin="3975,15185" coordsize="1117,2">
              <v:shape style="position:absolute;left:3975;top:15185;width:1117;height:2" coordorigin="3975,15185" coordsize="1117,0" path="m3975,15185l5091,15185e" filled="false" stroked="true" strokeweight=".47998pt" strokecolor="#000000">
                <v:path arrowok="t"/>
              </v:shape>
            </v:group>
            <v:group style="position:absolute;left:5096;top:1440;width:2;height:13750" coordorigin="5096,1440" coordsize="2,13750">
              <v:shape style="position:absolute;left:5096;top:1440;width:2;height:13750" coordorigin="5096,1440" coordsize="0,13750" path="m5096,1440l5096,15190e" filled="false" stroked="true" strokeweight=".48pt" strokecolor="#000000">
                <v:path arrowok="t"/>
              </v:shape>
            </v:group>
            <v:group style="position:absolute;left:5101;top:15185;width:1116;height:2" coordorigin="5101,15185" coordsize="1116,2">
              <v:shape style="position:absolute;left:5101;top:15185;width:1116;height:2" coordorigin="5101,15185" coordsize="1116,0" path="m5101,15185l6217,15185e" filled="false" stroked="true" strokeweight=".47998pt" strokecolor="#000000">
                <v:path arrowok="t"/>
              </v:shape>
            </v:group>
            <v:group style="position:absolute;left:6222;top:1440;width:2;height:13750" coordorigin="6222,1440" coordsize="2,13750">
              <v:shape style="position:absolute;left:6222;top:1440;width:2;height:13750" coordorigin="6222,1440" coordsize="0,13750" path="m6222,1440l6222,15190e" filled="false" stroked="true" strokeweight=".48001pt" strokecolor="#000000">
                <v:path arrowok="t"/>
              </v:shape>
            </v:group>
            <v:group style="position:absolute;left:6226;top:15185;width:1118;height:2" coordorigin="6226,15185" coordsize="1118,2">
              <v:shape style="position:absolute;left:6226;top:15185;width:1118;height:2" coordorigin="6226,15185" coordsize="1118,0" path="m6226,15185l7344,15185e" filled="false" stroked="true" strokeweight=".47998pt" strokecolor="#000000">
                <v:path arrowok="t"/>
              </v:shape>
            </v:group>
            <v:group style="position:absolute;left:7348;top:1440;width:2;height:13750" coordorigin="7348,1440" coordsize="2,13750">
              <v:shape style="position:absolute;left:7348;top:1440;width:2;height:13750" coordorigin="7348,1440" coordsize="0,13750" path="m7348,1440l7348,15190e" filled="false" stroked="true" strokeweight=".48001pt" strokecolor="#000000">
                <v:path arrowok="t"/>
              </v:shape>
            </v:group>
            <v:group style="position:absolute;left:7353;top:15185;width:1117;height:2" coordorigin="7353,15185" coordsize="1117,2">
              <v:shape style="position:absolute;left:7353;top:15185;width:1117;height:2" coordorigin="7353,15185" coordsize="1117,0" path="m7353,15185l8470,15185e" filled="false" stroked="true" strokeweight=".47998pt" strokecolor="#000000">
                <v:path arrowok="t"/>
              </v:shape>
            </v:group>
            <v:group style="position:absolute;left:8474;top:1440;width:2;height:13750" coordorigin="8474,1440" coordsize="2,13750">
              <v:shape style="position:absolute;left:8474;top:1440;width:2;height:13750" coordorigin="8474,1440" coordsize="0,13750" path="m8474,1440l8474,15190e" filled="false" stroked="true" strokeweight=".48001pt" strokecolor="#000000">
                <v:path arrowok="t"/>
              </v:shape>
            </v:group>
            <v:group style="position:absolute;left:8479;top:15185;width:1112;height:2" coordorigin="8479,15185" coordsize="1112,2">
              <v:shape style="position:absolute;left:8479;top:15185;width:1112;height:2" coordorigin="8479,15185" coordsize="1112,0" path="m8479,15185l9590,15185e" filled="false" stroked="true" strokeweight=".47998pt" strokecolor="#000000">
                <v:path arrowok="t"/>
              </v:shape>
            </v:group>
            <v:group style="position:absolute;left:9595;top:1440;width:2;height:13750" coordorigin="9595,1440" coordsize="2,13750">
              <v:shape style="position:absolute;left:9595;top:1440;width:2;height:13750" coordorigin="9595,1440" coordsize="0,13750" path="m9595,1440l9595,15190e" filled="false" stroked="true" strokeweight=".48001pt" strokecolor="#000000">
                <v:path arrowok="t"/>
              </v:shape>
            </v:group>
            <v:group style="position:absolute;left:9600;top:15185;width:1098;height:2" coordorigin="9600,15185" coordsize="1098,2">
              <v:shape style="position:absolute;left:9600;top:15185;width:1098;height:2" coordorigin="9600,15185" coordsize="1098,0" path="m9600,15185l10698,15185e" filled="false" stroked="true" strokeweight=".4799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004pt" strokecolor="#000000">
                <v:path arrowok="t"/>
              </v:shape>
            </v:group>
            <w10:wrap type="none"/>
          </v:group>
        </w:pict>
      </w:r>
    </w:p>
    <w:p>
      <w:pPr>
        <w:spacing w:line="240" w:lineRule="auto" w:before="3"/>
        <w:rPr>
          <w:rFonts w:ascii="Times New Roman" w:hAnsi="Times New Roman" w:cs="Times New Roman" w:eastAsia="Times New Roman" w:hint="default"/>
          <w:sz w:val="14"/>
          <w:szCs w:val="14"/>
        </w:rPr>
      </w:pPr>
    </w:p>
    <w:p>
      <w:pPr>
        <w:pStyle w:val="BodyText"/>
        <w:tabs>
          <w:tab w:pos="5269" w:val="left" w:leader="none"/>
        </w:tabs>
        <w:spacing w:line="240" w:lineRule="auto"/>
        <w:ind w:left="3018" w:right="0"/>
        <w:jc w:val="left"/>
      </w:pPr>
      <w:r>
        <w:rPr/>
        <w:t>小康</w:t>
        <w:tab/>
        <w:t>外，下同</w:t>
      </w:r>
      <w:r>
        <w:rPr>
          <w:spacing w:val="-90"/>
        </w:rPr>
        <w:t>）</w:t>
      </w:r>
      <w:r>
        <w:rPr/>
        <w:t>、</w:t>
      </w:r>
    </w:p>
    <w:p>
      <w:pPr>
        <w:pStyle w:val="BodyText"/>
        <w:spacing w:line="314" w:lineRule="auto" w:before="75"/>
        <w:ind w:left="5269" w:right="4557"/>
        <w:jc w:val="left"/>
      </w:pPr>
      <w:r>
        <w:rPr/>
        <w:t>高级管理人 员茅庆江、雷 洪文、袁小 康、徐彪、茅 屏萍、龙中 胜、段汉文、 陈翩承诺：</w:t>
      </w:r>
      <w:r>
        <w:rPr>
          <w:rFonts w:ascii="Times New Roman" w:hAnsi="Times New Roman" w:cs="Times New Roman" w:eastAsia="Times New Roman" w:hint="default"/>
        </w:rPr>
        <w:t>1 </w:t>
      </w:r>
      <w:r>
        <w:rPr/>
        <w:t>启动股价稳 定措施的具 体条件（</w:t>
      </w:r>
      <w:r>
        <w:rPr>
          <w:rFonts w:ascii="Times New Roman" w:hAnsi="Times New Roman" w:cs="Times New Roman" w:eastAsia="Times New Roman" w:hint="default"/>
        </w:rPr>
        <w:t>1</w:t>
      </w:r>
      <w:r>
        <w:rPr/>
        <w:t>） 预警条件如 果公司在</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w w:val="99"/>
        </w:rPr>
        <w:t> </w:t>
      </w:r>
      <w:r>
        <w:rPr/>
        <w:t>股股票正式 挂牌上市之 日起三年内， 公司股价连</w:t>
      </w:r>
    </w:p>
    <w:p>
      <w:pPr>
        <w:pStyle w:val="BodyText"/>
        <w:spacing w:line="314" w:lineRule="auto" w:before="20"/>
        <w:ind w:left="5269" w:right="4557"/>
        <w:jc w:val="left"/>
      </w:pPr>
      <w:r>
        <w:rPr/>
        <w:t>续</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个交易 日收盘价（如 果因派发现 金红利、送 股、转增股 本、增发新股 等原因进行 除权、除息 的，须按照深 圳证券交易 所的有关规 定作复权处 理，下同）低 于公司上一 个会计年度 经审计的摊 薄每股净资 产（每股净资 产</w:t>
      </w:r>
      <w:r>
        <w:rPr>
          <w:rFonts w:ascii="Times New Roman" w:hAnsi="Times New Roman" w:cs="Times New Roman" w:eastAsia="Times New Roman" w:hint="default"/>
        </w:rPr>
        <w:t>=</w:t>
      </w:r>
      <w:r>
        <w:rPr/>
        <w:t>合并财务 报表中归属 于母公司普 通股股东权 益合计数</w:t>
      </w:r>
      <w:r>
        <w:rPr>
          <w:rFonts w:ascii="Times New Roman" w:hAnsi="Times New Roman" w:cs="Times New Roman" w:eastAsia="Times New Roman" w:hint="default"/>
        </w:rPr>
        <w:t>÷</w:t>
      </w:r>
      <w:r>
        <w:rPr/>
        <w:t>年 末公司股份 总数，下同） </w:t>
      </w:r>
      <w:r>
        <w:rPr>
          <w:rFonts w:ascii="Times New Roman" w:hAnsi="Times New Roman" w:cs="Times New Roman" w:eastAsia="Times New Roman" w:hint="default"/>
        </w:rPr>
        <w:t>110%</w:t>
      </w:r>
      <w:r>
        <w:rPr/>
        <w:t>时，公 司、实际控制</w:t>
      </w:r>
    </w:p>
    <w:p>
      <w:pPr>
        <w:spacing w:after="0" w:line="314"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2100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及董事和高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易日内讨论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并拟定关于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预案</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）启</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动条件如果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股票正式挂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牌上市之日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起三年内，公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司股价连续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公司上一个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会计年度经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审计的摊薄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时，公司、实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w:t>
            </w:r>
            <w:r>
              <w:rPr>
                <w:rFonts w:ascii="Times New Roman" w:hAnsi="Times New Roman" w:cs="Times New Roman" w:eastAsia="Times New Roman" w:hint="default"/>
                <w:sz w:val="18"/>
                <w:szCs w:val="18"/>
              </w:rPr>
              <w:t>/</w:t>
            </w:r>
            <w:r>
              <w:rPr>
                <w:rFonts w:ascii="宋体" w:hAnsi="宋体" w:cs="宋体" w:eastAsia="宋体" w:hint="default"/>
                <w:sz w:val="18"/>
                <w:szCs w:val="18"/>
              </w:rPr>
              <w:t>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股股东及董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事和高级管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理人员将依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定制定并实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施股价稳定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措施，并应提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前公告具体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实施方案。</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可能采取的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具体措施当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上述启动股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价稳定措施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的条件满足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时，将按顺序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采取如下部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分或全部措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施稳定公司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司回购股票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董事会应在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施的启动条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件所述情形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易日内</w:t>
            </w:r>
            <w:r>
              <w:rPr>
                <w:rFonts w:ascii="Times New Roman" w:hAnsi="Times New Roman" w:cs="Times New Roman" w:eastAsia="Times New Roman" w:hint="default"/>
                <w:sz w:val="18"/>
                <w:szCs w:val="18"/>
              </w:rPr>
              <w:t>,</w:t>
            </w:r>
            <w:r>
              <w:rPr>
                <w:rFonts w:ascii="宋体" w:hAnsi="宋体" w:cs="宋体" w:eastAsia="宋体" w:hint="default"/>
                <w:sz w:val="18"/>
                <w:szCs w:val="18"/>
              </w:rPr>
              <w:t>参照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公司股价表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现并结合公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司经营状况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确定回购价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格和数量区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间，拟定回购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对外公告</w:t>
            </w:r>
            <w:r>
              <w:rPr>
                <w:rFonts w:ascii="Times New Roman" w:hAnsi="Times New Roman" w:cs="Times New Roman" w:eastAsia="Times New Roman" w:hint="default"/>
                <w:sz w:val="18"/>
                <w:szCs w:val="18"/>
              </w:rPr>
              <w:t>;</w:t>
            </w:r>
            <w:r>
              <w:rPr>
                <w:rFonts w:ascii="宋体" w:hAnsi="宋体" w:cs="宋体" w:eastAsia="宋体" w:hint="default"/>
                <w:sz w:val="18"/>
                <w:szCs w:val="18"/>
              </w:rPr>
              <w:t>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购方案经股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内，由公司按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照相关规定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在二级市场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方式、要约方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合法方式回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将予以注销。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超过上一个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会计年度经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用于回购股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份的资金金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额不高于回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购股份事项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发生时上一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个会计年度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经审计的归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属于母公司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结果应不导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致公司股权</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分布及股本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规模不符合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上市条件。回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购期间，如遇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购价格作相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应调整。在实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施上述回购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计划过程中，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价均高于当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日已公告每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股净资产，则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本公司可中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止实施股份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控制人茅庆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江承诺：将于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施的启动条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件所述情形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易日内，依照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公司内部决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策程序，拟定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增持计划，明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确增持数量、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方式和期限，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对外公告，并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成增持计划。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①增持方式：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易、协议转让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法方式；②增</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3002pt;margin-top:72.47998pt;width:62pt;height:686.5pt;mso-position-horizontal-relative:page;mso-position-vertical-relative:page;z-index:-1209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持股份数量、</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比例及价格：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计划增持股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于公司总股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过公司总股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的价格不高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于公司上一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会计年度经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净资产；③其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他事项：在实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施上述增持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计划过程中，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价均高于当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日公司已公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产，则可中止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实施股份增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持计划。增持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行为严格遵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守《证券法》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《公司法》以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及其他法律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法规的相关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规定，在增持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期间及法定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期限内不减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持其所持有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事（外部董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诺：将于股价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稳定措施的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启动条件所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述情形出现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内，依照公司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内部决策程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序，拟定增持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计划，明确增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持数量、方式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和期限，对外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增持计划。①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增持方式：集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中竞价交易、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大宗交易、协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议转让及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其他合法方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式；②增持股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份数量、比例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及价格：用于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份的资金不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少于该等董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人员上年度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自公司领取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薪酬总和（税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前，下同）的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，但不超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过该等董事、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员上年度的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薪酬总和；增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的价格不高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于公司上一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会计年度经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净资产；③其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他事项：在实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施上述增持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计划过程中，</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15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如公司股票 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易日的收盘 价均高于当 日公司已公 告每股净资 产，则本人可 中止实施股 份增持计划。 增持行为严 格遵守《证券 </w:t>
            </w:r>
            <w:r>
              <w:rPr>
                <w:rFonts w:ascii="宋体" w:hAnsi="宋体" w:cs="宋体" w:eastAsia="宋体" w:hint="default"/>
                <w:spacing w:val="-30"/>
                <w:sz w:val="18"/>
                <w:szCs w:val="18"/>
              </w:rPr>
              <w:t>法》、《公司</w:t>
            </w:r>
            <w:r>
              <w:rPr>
                <w:rFonts w:ascii="宋体" w:hAnsi="宋体" w:cs="宋体" w:eastAsia="宋体" w:hint="default"/>
                <w:sz w:val="18"/>
                <w:szCs w:val="18"/>
              </w:rPr>
              <w:t> 法》以及其他 法律法规的 相关规定，在 增持期间及 法定期限内 不减持其所 持有的公司 股份。上述承 诺对未来新 聘任的董事 和高级管理 人员具有同 等约束力。公 司在未来聘 任新的董事、 高级管理人 员前，将要求 其签署承诺 书，保证其履 行公司首次 公开发行上 市时董事、高 级管理人员 已做出的相 应承诺。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陈翩</w:t>
            </w:r>
            <w:r>
              <w:rPr>
                <w:rFonts w:ascii="Times New Roman" w:hAnsi="Times New Roman" w:cs="Times New Roman" w:eastAsia="Times New Roman" w:hint="default"/>
                <w:sz w:val="18"/>
                <w:szCs w:val="18"/>
              </w:rPr>
              <w:t>;</w:t>
            </w:r>
            <w:r>
              <w:rPr>
                <w:rFonts w:ascii="宋体" w:hAnsi="宋体" w:cs="宋体" w:eastAsia="宋体" w:hint="default"/>
                <w:sz w:val="18"/>
                <w:szCs w:val="18"/>
              </w:rPr>
              <w:t>段汉文</w:t>
            </w:r>
            <w:r>
              <w:rPr>
                <w:rFonts w:ascii="Times New Roman" w:hAnsi="Times New Roman" w:cs="Times New Roman" w:eastAsia="Times New Roman" w:hint="default"/>
                <w:sz w:val="18"/>
                <w:szCs w:val="18"/>
              </w:rPr>
              <w:t>; </w:t>
            </w:r>
            <w:r>
              <w:rPr>
                <w:rFonts w:ascii="宋体" w:hAnsi="宋体" w:cs="宋体" w:eastAsia="宋体" w:hint="default"/>
                <w:sz w:val="18"/>
                <w:szCs w:val="18"/>
              </w:rPr>
              <w:t>高传江</w:t>
            </w:r>
            <w:r>
              <w:rPr>
                <w:rFonts w:ascii="Times New Roman" w:hAnsi="Times New Roman" w:cs="Times New Roman" w:eastAsia="Times New Roman" w:hint="default"/>
                <w:sz w:val="18"/>
                <w:szCs w:val="18"/>
              </w:rPr>
              <w:t>;</w:t>
            </w:r>
            <w:r>
              <w:rPr>
                <w:rFonts w:ascii="宋体" w:hAnsi="宋体" w:cs="宋体" w:eastAsia="宋体" w:hint="default"/>
                <w:sz w:val="18"/>
                <w:szCs w:val="18"/>
              </w:rPr>
              <w:t>广州 市浩云安防 科技股份有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雷洪 文</w:t>
            </w:r>
            <w:r>
              <w:rPr>
                <w:rFonts w:ascii="Times New Roman" w:hAnsi="Times New Roman" w:cs="Times New Roman" w:eastAsia="Times New Roman" w:hint="default"/>
                <w:sz w:val="18"/>
                <w:szCs w:val="18"/>
              </w:rPr>
              <w:t>;</w:t>
            </w:r>
            <w:r>
              <w:rPr>
                <w:rFonts w:ascii="宋体" w:hAnsi="宋体" w:cs="宋体" w:eastAsia="宋体" w:hint="default"/>
                <w:sz w:val="18"/>
                <w:szCs w:val="18"/>
              </w:rPr>
              <w:t>龙罡</w:t>
            </w:r>
            <w:r>
              <w:rPr>
                <w:rFonts w:ascii="Times New Roman" w:hAnsi="Times New Roman" w:cs="Times New Roman" w:eastAsia="Times New Roman" w:hint="default"/>
                <w:sz w:val="18"/>
                <w:szCs w:val="18"/>
              </w:rPr>
              <w:t>;</w:t>
            </w:r>
            <w:r>
              <w:rPr>
                <w:rFonts w:ascii="宋体" w:hAnsi="宋体" w:cs="宋体" w:eastAsia="宋体" w:hint="default"/>
                <w:sz w:val="18"/>
                <w:szCs w:val="18"/>
              </w:rPr>
              <w:t>龙中 胜</w:t>
            </w:r>
            <w:r>
              <w:rPr>
                <w:rFonts w:ascii="Times New Roman" w:hAnsi="Times New Roman" w:cs="Times New Roman" w:eastAsia="Times New Roman" w:hint="default"/>
                <w:sz w:val="18"/>
                <w:szCs w:val="18"/>
              </w:rPr>
              <w:t>;</w:t>
            </w:r>
            <w:r>
              <w:rPr>
                <w:rFonts w:ascii="宋体" w:hAnsi="宋体" w:cs="宋体" w:eastAsia="宋体" w:hint="default"/>
                <w:sz w:val="18"/>
                <w:szCs w:val="18"/>
              </w:rPr>
              <w:t>茅屏萍</w:t>
            </w:r>
            <w:r>
              <w:rPr>
                <w:rFonts w:ascii="Times New Roman" w:hAnsi="Times New Roman" w:cs="Times New Roman" w:eastAsia="Times New Roman" w:hint="default"/>
                <w:sz w:val="18"/>
                <w:szCs w:val="18"/>
              </w:rPr>
              <w:t>;</w:t>
            </w:r>
            <w:r>
              <w:rPr>
                <w:rFonts w:ascii="宋体" w:hAnsi="宋体" w:cs="宋体" w:eastAsia="宋体" w:hint="default"/>
                <w:sz w:val="18"/>
                <w:szCs w:val="18"/>
              </w:rPr>
              <w:t>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关于未能履 行承诺的约 束措施 公 司及其控股 股东、实际控 制人茅庆江， 全体董事、监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1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89"/>
              <w:jc w:val="both"/>
              <w:rPr>
                <w:rFonts w:ascii="宋体" w:hAnsi="宋体" w:cs="宋体" w:eastAsia="宋体" w:hint="default"/>
                <w:sz w:val="18"/>
                <w:szCs w:val="18"/>
              </w:rPr>
            </w:pPr>
            <w:r>
              <w:rPr>
                <w:rFonts w:ascii="宋体" w:hAnsi="宋体" w:cs="宋体" w:eastAsia="宋体" w:hint="default"/>
                <w:sz w:val="18"/>
                <w:szCs w:val="18"/>
              </w:rPr>
              <w:t>庆江</w:t>
            </w:r>
            <w:r>
              <w:rPr>
                <w:rFonts w:ascii="Times New Roman" w:hAnsi="Times New Roman" w:cs="Times New Roman" w:eastAsia="Times New Roman" w:hint="default"/>
                <w:sz w:val="18"/>
                <w:szCs w:val="18"/>
              </w:rPr>
              <w:t>;</w:t>
            </w:r>
            <w:r>
              <w:rPr>
                <w:rFonts w:ascii="宋体" w:hAnsi="宋体" w:cs="宋体" w:eastAsia="宋体" w:hint="default"/>
                <w:sz w:val="18"/>
                <w:szCs w:val="18"/>
              </w:rPr>
              <w:t>秦家银</w:t>
            </w:r>
            <w:r>
              <w:rPr>
                <w:rFonts w:ascii="Times New Roman" w:hAnsi="Times New Roman" w:cs="Times New Roman" w:eastAsia="Times New Roman" w:hint="default"/>
                <w:sz w:val="18"/>
                <w:szCs w:val="18"/>
              </w:rPr>
              <w:t>; </w:t>
            </w:r>
            <w:r>
              <w:rPr>
                <w:rFonts w:ascii="宋体" w:hAnsi="宋体" w:cs="宋体" w:eastAsia="宋体" w:hint="default"/>
                <w:sz w:val="18"/>
                <w:szCs w:val="18"/>
              </w:rPr>
              <w:t>王朝曦</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 </w:t>
            </w:r>
            <w:r>
              <w:rPr>
                <w:rFonts w:ascii="宋体" w:hAnsi="宋体" w:cs="宋体" w:eastAsia="宋体" w:hint="default"/>
                <w:sz w:val="18"/>
                <w:szCs w:val="18"/>
              </w:rPr>
              <w:t>袁小康</w:t>
            </w:r>
            <w:r>
              <w:rPr>
                <w:rFonts w:ascii="Times New Roman" w:hAnsi="Times New Roman" w:cs="Times New Roman" w:eastAsia="Times New Roman" w:hint="default"/>
                <w:sz w:val="18"/>
                <w:szCs w:val="18"/>
              </w:rPr>
              <w:t>;</w:t>
            </w:r>
            <w:r>
              <w:rPr>
                <w:rFonts w:ascii="宋体" w:hAnsi="宋体" w:cs="宋体" w:eastAsia="宋体" w:hint="default"/>
                <w:sz w:val="18"/>
                <w:szCs w:val="18"/>
              </w:rPr>
              <w:t>张勇</w:t>
            </w:r>
            <w:r>
              <w:rPr>
                <w:rFonts w:ascii="Times New Roman" w:hAnsi="Times New Roman" w:cs="Times New Roman" w:eastAsia="Times New Roman" w:hint="default"/>
                <w:sz w:val="18"/>
                <w:szCs w:val="18"/>
              </w:rPr>
              <w:t>; </w:t>
            </w:r>
            <w:r>
              <w:rPr>
                <w:rFonts w:ascii="宋体" w:hAnsi="宋体" w:cs="宋体" w:eastAsia="宋体" w:hint="default"/>
                <w:sz w:val="18"/>
                <w:szCs w:val="18"/>
              </w:rPr>
              <w:t>郑盛泰</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事、高级管理 人员茅庆江、 雷洪文、张 勇、王朝曦、 秦家银、袁小 康、徐彪、茅 屏萍、龙中 胜、段汉文、 陈翩承诺：公 司如若不能 履行《招股说 明书》中列明 的承诺，则采 取或接受以 </w:t>
            </w:r>
            <w:r>
              <w:rPr>
                <w:rFonts w:ascii="宋体" w:hAnsi="宋体" w:cs="宋体" w:eastAsia="宋体" w:hint="default"/>
                <w:spacing w:val="-13"/>
                <w:sz w:val="18"/>
                <w:szCs w:val="18"/>
              </w:rPr>
              <w:t>下措施：（</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在有关监管 机关要求的 期限内予以 </w:t>
            </w:r>
            <w:r>
              <w:rPr>
                <w:rFonts w:ascii="宋体" w:hAnsi="宋体" w:cs="宋体" w:eastAsia="宋体" w:hint="default"/>
                <w:spacing w:val="-15"/>
                <w:sz w:val="18"/>
                <w:szCs w:val="18"/>
              </w:rPr>
              <w:t>纠正；（</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）给</w:t>
            </w:r>
            <w:r>
              <w:rPr>
                <w:rFonts w:ascii="宋体" w:hAnsi="宋体" w:cs="宋体" w:eastAsia="宋体" w:hint="default"/>
                <w:spacing w:val="-5"/>
                <w:sz w:val="18"/>
                <w:szCs w:val="18"/>
              </w:rPr>
              <w:t> </w:t>
            </w:r>
            <w:r>
              <w:rPr>
                <w:rFonts w:ascii="宋体" w:hAnsi="宋体" w:cs="宋体" w:eastAsia="宋体" w:hint="default"/>
                <w:sz w:val="18"/>
                <w:szCs w:val="18"/>
              </w:rPr>
              <w:t>投资者造成</w:t>
            </w:r>
            <w:r>
              <w:rPr>
                <w:rFonts w:ascii="宋体" w:hAnsi="宋体" w:cs="宋体" w:eastAsia="宋体" w:hint="default"/>
                <w:sz w:val="18"/>
                <w:szCs w:val="18"/>
              </w:rPr>
              <w:t> 直接损失的， 依法赔偿损 </w:t>
            </w:r>
            <w:r>
              <w:rPr>
                <w:rFonts w:ascii="宋体" w:hAnsi="宋体" w:cs="宋体" w:eastAsia="宋体" w:hint="default"/>
                <w:spacing w:val="-15"/>
                <w:sz w:val="18"/>
                <w:szCs w:val="18"/>
              </w:rPr>
              <w:t>失；（</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）有违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法所得的，按</w:t>
            </w:r>
            <w:r>
              <w:rPr>
                <w:rFonts w:ascii="宋体" w:hAnsi="宋体" w:cs="宋体" w:eastAsia="宋体" w:hint="default"/>
                <w:sz w:val="18"/>
                <w:szCs w:val="18"/>
              </w:rPr>
              <w:t> 相关法律法 </w:t>
            </w:r>
            <w:r>
              <w:rPr>
                <w:rFonts w:ascii="宋体" w:hAnsi="宋体" w:cs="宋体" w:eastAsia="宋体" w:hint="default"/>
                <w:spacing w:val="-13"/>
                <w:sz w:val="18"/>
                <w:szCs w:val="18"/>
              </w:rPr>
              <w:t>规处理；（</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w:t>
            </w:r>
            <w:r>
              <w:rPr>
                <w:rFonts w:ascii="宋体" w:hAnsi="宋体" w:cs="宋体" w:eastAsia="宋体" w:hint="default"/>
                <w:sz w:val="18"/>
                <w:szCs w:val="18"/>
              </w:rPr>
              <w:t> 如该违反的 承诺属可以 继续履行的， 将继续履行 </w:t>
            </w:r>
            <w:r>
              <w:rPr>
                <w:rFonts w:ascii="宋体" w:hAnsi="宋体" w:cs="宋体" w:eastAsia="宋体" w:hint="default"/>
                <w:spacing w:val="-13"/>
                <w:sz w:val="18"/>
                <w:szCs w:val="18"/>
              </w:rPr>
              <w:t>该承诺；（</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w:t>
            </w:r>
            <w:r>
              <w:rPr>
                <w:rFonts w:ascii="宋体" w:hAnsi="宋体" w:cs="宋体" w:eastAsia="宋体" w:hint="default"/>
                <w:sz w:val="18"/>
                <w:szCs w:val="18"/>
              </w:rPr>
              <w:t> 其他根据届 时规定可以 采取的其他 措施。公司董</w:t>
            </w:r>
            <w:r>
              <w:rPr>
                <w:rFonts w:ascii="宋体" w:hAnsi="宋体" w:cs="宋体" w:eastAsia="宋体" w:hint="default"/>
                <w:sz w:val="18"/>
                <w:szCs w:val="18"/>
              </w:rPr>
              <w:t> 事、监事、高 级管理人员 承诺不因职 务变更、离职 等原因而放 弃履行已作 出的承诺。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89"/>
              <w:jc w:val="left"/>
              <w:rPr>
                <w:rFonts w:ascii="宋体" w:hAnsi="宋体" w:cs="宋体" w:eastAsia="宋体" w:hint="default"/>
                <w:sz w:val="18"/>
                <w:szCs w:val="18"/>
              </w:rPr>
            </w:pPr>
            <w:r>
              <w:rPr>
                <w:rFonts w:ascii="宋体" w:hAnsi="宋体" w:cs="宋体" w:eastAsia="宋体" w:hint="default"/>
                <w:sz w:val="18"/>
                <w:szCs w:val="18"/>
              </w:rPr>
              <w:t>陈翩</w:t>
            </w:r>
            <w:r>
              <w:rPr>
                <w:rFonts w:ascii="Times New Roman" w:hAnsi="Times New Roman" w:cs="Times New Roman" w:eastAsia="Times New Roman" w:hint="default"/>
                <w:sz w:val="18"/>
                <w:szCs w:val="18"/>
              </w:rPr>
              <w:t>;</w:t>
            </w:r>
            <w:r>
              <w:rPr>
                <w:rFonts w:ascii="宋体" w:hAnsi="宋体" w:cs="宋体" w:eastAsia="宋体" w:hint="default"/>
                <w:sz w:val="18"/>
                <w:szCs w:val="18"/>
              </w:rPr>
              <w:t>段汉文</w:t>
            </w:r>
            <w:r>
              <w:rPr>
                <w:rFonts w:ascii="Times New Roman" w:hAnsi="Times New Roman" w:cs="Times New Roman" w:eastAsia="Times New Roman" w:hint="default"/>
                <w:sz w:val="18"/>
                <w:szCs w:val="18"/>
              </w:rPr>
              <w:t>; </w:t>
            </w:r>
            <w:r>
              <w:rPr>
                <w:rFonts w:ascii="宋体" w:hAnsi="宋体" w:cs="宋体" w:eastAsia="宋体" w:hint="default"/>
                <w:sz w:val="18"/>
                <w:szCs w:val="18"/>
              </w:rPr>
              <w:t>高传江</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z w:val="18"/>
                <w:szCs w:val="18"/>
              </w:rPr>
              <w:t>公司及其控 </w:t>
            </w:r>
            <w:r>
              <w:rPr>
                <w:rFonts w:ascii="宋体" w:hAnsi="宋体" w:cs="宋体" w:eastAsia="宋体" w:hint="default"/>
                <w:spacing w:val="-2"/>
                <w:sz w:val="18"/>
                <w:szCs w:val="18"/>
              </w:rPr>
              <w:t>股股东、实际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7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3" w:right="89"/>
              <w:jc w:val="both"/>
              <w:rPr>
                <w:rFonts w:ascii="宋体" w:hAnsi="宋体" w:cs="宋体" w:eastAsia="宋体" w:hint="default"/>
                <w:sz w:val="18"/>
                <w:szCs w:val="18"/>
              </w:rPr>
            </w:pPr>
            <w:r>
              <w:rPr>
                <w:rFonts w:ascii="宋体" w:hAnsi="宋体" w:cs="宋体" w:eastAsia="宋体" w:hint="default"/>
                <w:sz w:val="18"/>
                <w:szCs w:val="18"/>
              </w:rPr>
              <w:t>市浩云安防 科技股份有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雷洪 文</w:t>
            </w:r>
            <w:r>
              <w:rPr>
                <w:rFonts w:ascii="Times New Roman" w:hAnsi="Times New Roman" w:cs="Times New Roman" w:eastAsia="Times New Roman" w:hint="default"/>
                <w:sz w:val="18"/>
                <w:szCs w:val="18"/>
              </w:rPr>
              <w:t>;</w:t>
            </w:r>
            <w:r>
              <w:rPr>
                <w:rFonts w:ascii="宋体" w:hAnsi="宋体" w:cs="宋体" w:eastAsia="宋体" w:hint="default"/>
                <w:sz w:val="18"/>
                <w:szCs w:val="18"/>
              </w:rPr>
              <w:t>龙罡</w:t>
            </w:r>
            <w:r>
              <w:rPr>
                <w:rFonts w:ascii="Times New Roman" w:hAnsi="Times New Roman" w:cs="Times New Roman" w:eastAsia="Times New Roman" w:hint="default"/>
                <w:sz w:val="18"/>
                <w:szCs w:val="18"/>
              </w:rPr>
              <w:t>;</w:t>
            </w:r>
            <w:r>
              <w:rPr>
                <w:rFonts w:ascii="宋体" w:hAnsi="宋体" w:cs="宋体" w:eastAsia="宋体" w:hint="default"/>
                <w:sz w:val="18"/>
                <w:szCs w:val="18"/>
              </w:rPr>
              <w:t>龙中 胜</w:t>
            </w:r>
            <w:r>
              <w:rPr>
                <w:rFonts w:ascii="Times New Roman" w:hAnsi="Times New Roman" w:cs="Times New Roman" w:eastAsia="Times New Roman" w:hint="default"/>
                <w:sz w:val="18"/>
                <w:szCs w:val="18"/>
              </w:rPr>
              <w:t>;</w:t>
            </w:r>
            <w:r>
              <w:rPr>
                <w:rFonts w:ascii="宋体" w:hAnsi="宋体" w:cs="宋体" w:eastAsia="宋体" w:hint="default"/>
                <w:sz w:val="18"/>
                <w:szCs w:val="18"/>
              </w:rPr>
              <w:t>茅屏萍</w:t>
            </w:r>
            <w:r>
              <w:rPr>
                <w:rFonts w:ascii="Times New Roman" w:hAnsi="Times New Roman" w:cs="Times New Roman" w:eastAsia="Times New Roman" w:hint="default"/>
                <w:sz w:val="18"/>
                <w:szCs w:val="18"/>
              </w:rPr>
              <w:t>;</w:t>
            </w:r>
            <w:r>
              <w:rPr>
                <w:rFonts w:ascii="宋体" w:hAnsi="宋体" w:cs="宋体" w:eastAsia="宋体" w:hint="default"/>
                <w:sz w:val="18"/>
                <w:szCs w:val="18"/>
              </w:rPr>
              <w:t>茅 庆江</w:t>
            </w:r>
            <w:r>
              <w:rPr>
                <w:rFonts w:ascii="Times New Roman" w:hAnsi="Times New Roman" w:cs="Times New Roman" w:eastAsia="Times New Roman" w:hint="default"/>
                <w:sz w:val="18"/>
                <w:szCs w:val="18"/>
              </w:rPr>
              <w:t>;</w:t>
            </w:r>
            <w:r>
              <w:rPr>
                <w:rFonts w:ascii="宋体" w:hAnsi="宋体" w:cs="宋体" w:eastAsia="宋体" w:hint="default"/>
                <w:sz w:val="18"/>
                <w:szCs w:val="18"/>
              </w:rPr>
              <w:t>秦家银</w:t>
            </w:r>
            <w:r>
              <w:rPr>
                <w:rFonts w:ascii="Times New Roman" w:hAnsi="Times New Roman" w:cs="Times New Roman" w:eastAsia="Times New Roman" w:hint="default"/>
                <w:sz w:val="18"/>
                <w:szCs w:val="18"/>
              </w:rPr>
              <w:t>; </w:t>
            </w:r>
            <w:r>
              <w:rPr>
                <w:rFonts w:ascii="宋体" w:hAnsi="宋体" w:cs="宋体" w:eastAsia="宋体" w:hint="default"/>
                <w:sz w:val="18"/>
                <w:szCs w:val="18"/>
              </w:rPr>
              <w:t>王朝曦</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 </w:t>
            </w:r>
            <w:r>
              <w:rPr>
                <w:rFonts w:ascii="宋体" w:hAnsi="宋体" w:cs="宋体" w:eastAsia="宋体" w:hint="default"/>
                <w:sz w:val="18"/>
                <w:szCs w:val="18"/>
              </w:rPr>
              <w:t>袁小康</w:t>
            </w:r>
            <w:r>
              <w:rPr>
                <w:rFonts w:ascii="Times New Roman" w:hAnsi="Times New Roman" w:cs="Times New Roman" w:eastAsia="Times New Roman" w:hint="default"/>
                <w:sz w:val="18"/>
                <w:szCs w:val="18"/>
              </w:rPr>
              <w:t>;</w:t>
            </w:r>
            <w:r>
              <w:rPr>
                <w:rFonts w:ascii="宋体" w:hAnsi="宋体" w:cs="宋体" w:eastAsia="宋体" w:hint="default"/>
                <w:sz w:val="18"/>
                <w:szCs w:val="18"/>
              </w:rPr>
              <w:t>张勇</w:t>
            </w:r>
            <w:r>
              <w:rPr>
                <w:rFonts w:ascii="Times New Roman" w:hAnsi="Times New Roman" w:cs="Times New Roman" w:eastAsia="Times New Roman" w:hint="default"/>
                <w:sz w:val="18"/>
                <w:szCs w:val="18"/>
              </w:rPr>
              <w:t>; </w:t>
            </w:r>
            <w:r>
              <w:rPr>
                <w:rFonts w:ascii="宋体" w:hAnsi="宋体" w:cs="宋体" w:eastAsia="宋体" w:hint="default"/>
                <w:sz w:val="18"/>
                <w:szCs w:val="18"/>
              </w:rPr>
              <w:t>郑盛泰</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控制人茅庆 江，全体董 事、监事、高 级管理人员 茅庆江、雷洪 文、张勇、王 朝曦、秦家 银、龙罡、郑 盛泰、高传 江、袁小康、 徐彪、茅屏 萍、龙中胜、 段汉文、陈翩 承诺：公司</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《招股说明 </w:t>
            </w:r>
            <w:r>
              <w:rPr>
                <w:rFonts w:ascii="宋体" w:hAnsi="宋体" w:cs="宋体" w:eastAsia="宋体" w:hint="default"/>
                <w:spacing w:val="-2"/>
                <w:sz w:val="18"/>
                <w:szCs w:val="18"/>
              </w:rPr>
              <w:t>书》有虚假记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述或者重大 </w:t>
            </w:r>
            <w:r>
              <w:rPr>
                <w:rFonts w:ascii="宋体" w:hAnsi="宋体" w:cs="宋体" w:eastAsia="宋体" w:hint="default"/>
                <w:spacing w:val="-2"/>
                <w:sz w:val="18"/>
                <w:szCs w:val="18"/>
              </w:rPr>
              <w:t>遗漏，并因此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给投资者造 成直接损失 的，本公司</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pacing w:val="-2"/>
                <w:sz w:val="18"/>
                <w:szCs w:val="18"/>
              </w:rPr>
              <w:t>（或本人）将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依法就上述 事项向投资 者承担连带 </w:t>
            </w:r>
            <w:r>
              <w:rPr>
                <w:rFonts w:ascii="宋体" w:hAnsi="宋体" w:cs="宋体" w:eastAsia="宋体" w:hint="default"/>
                <w:spacing w:val="-2"/>
                <w:sz w:val="18"/>
                <w:szCs w:val="18"/>
              </w:rPr>
              <w:t>赔偿责任，但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本公司（或本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人）能够证明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自己没有过 错的除外。</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
              <w:jc w:val="left"/>
              <w:rPr>
                <w:rFonts w:ascii="宋体" w:hAnsi="宋体" w:cs="宋体" w:eastAsia="宋体" w:hint="default"/>
                <w:sz w:val="18"/>
                <w:szCs w:val="18"/>
              </w:rPr>
            </w:pP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长信基金－ 浦发银行－ 云南国际信 托－云信智 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 资金信托</w:t>
            </w:r>
            <w:r>
              <w:rPr>
                <w:rFonts w:ascii="Times New Roman" w:hAnsi="Times New Roman" w:cs="Times New Roman" w:eastAsia="Times New Roman" w:hint="default"/>
                <w:sz w:val="18"/>
                <w:szCs w:val="18"/>
              </w:rPr>
              <w:t>;</w:t>
            </w:r>
            <w:r>
              <w:rPr>
                <w:rFonts w:ascii="宋体" w:hAnsi="宋体" w:cs="宋体" w:eastAsia="宋体" w:hint="default"/>
                <w:sz w:val="18"/>
                <w:szCs w:val="18"/>
              </w:rPr>
              <w:t>赣 州君恺投资 咨询有限公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嘉兴君重 资产管理有 限公司－君 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PIPE6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92"/>
              <w:jc w:val="both"/>
              <w:rPr>
                <w:rFonts w:ascii="宋体" w:hAnsi="宋体" w:cs="宋体" w:eastAsia="宋体" w:hint="default"/>
                <w:sz w:val="18"/>
                <w:szCs w:val="18"/>
              </w:rPr>
            </w:pPr>
            <w:r>
              <w:rPr>
                <w:rFonts w:ascii="宋体" w:hAnsi="宋体" w:cs="宋体" w:eastAsia="宋体" w:hint="default"/>
                <w:sz w:val="18"/>
                <w:szCs w:val="18"/>
              </w:rPr>
              <w:t>本次获配股 票自愿按照 规定从上市 之日起锁定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sz w:val="18"/>
              </w:rPr>
              <w:t>2017.08.08-20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18.08.07</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5"/>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92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41"/>
              <w:jc w:val="both"/>
              <w:rPr>
                <w:rFonts w:ascii="宋体" w:hAnsi="宋体" w:cs="宋体" w:eastAsia="宋体" w:hint="default"/>
                <w:sz w:val="18"/>
                <w:szCs w:val="18"/>
              </w:rPr>
            </w:pPr>
            <w:r>
              <w:rPr>
                <w:rFonts w:ascii="宋体" w:hAnsi="宋体" w:cs="宋体" w:eastAsia="宋体" w:hint="default"/>
                <w:sz w:val="18"/>
                <w:szCs w:val="18"/>
              </w:rPr>
              <w:t>募投资基金</w:t>
            </w:r>
            <w:r>
              <w:rPr>
                <w:rFonts w:ascii="Times New Roman" w:hAnsi="Times New Roman" w:cs="Times New Roman" w:eastAsia="Times New Roman" w:hint="default"/>
                <w:sz w:val="18"/>
                <w:szCs w:val="18"/>
              </w:rPr>
              <w:t>; </w:t>
            </w:r>
            <w:r>
              <w:rPr>
                <w:rFonts w:ascii="宋体" w:hAnsi="宋体" w:cs="宋体" w:eastAsia="宋体" w:hint="default"/>
                <w:sz w:val="18"/>
                <w:szCs w:val="18"/>
              </w:rPr>
              <w:t>宁波梅山保 税港区东旼 投资合伙企 业（有限合 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浩云科技股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公司承诺不 为激励对象 依本激励计 划获取有关 股票期权或 限制性股票 提供贷款以 及其他任何 形式的财务 </w:t>
            </w:r>
            <w:r>
              <w:rPr>
                <w:rFonts w:ascii="宋体" w:hAnsi="宋体" w:cs="宋体" w:eastAsia="宋体" w:hint="default"/>
                <w:spacing w:val="-2"/>
                <w:sz w:val="18"/>
                <w:szCs w:val="18"/>
              </w:rPr>
              <w:t>资助，包括为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其贷款提供 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both"/>
              <w:rPr>
                <w:rFonts w:ascii="Times New Roman" w:hAnsi="Times New Roman" w:cs="Times New Roman" w:eastAsia="Times New Roman" w:hint="default"/>
                <w:sz w:val="18"/>
                <w:szCs w:val="18"/>
              </w:rPr>
            </w:pPr>
            <w:r>
              <w:rPr>
                <w:rFonts w:ascii="Times New Roman"/>
                <w:sz w:val="18"/>
              </w:rPr>
              <w:t>2018.03.11-20</w:t>
            </w:r>
          </w:p>
          <w:p>
            <w:pPr>
              <w:pStyle w:val="TableParagraph"/>
              <w:spacing w:line="312" w:lineRule="auto" w:before="64"/>
              <w:ind w:left="22" w:right="143"/>
              <w:jc w:val="both"/>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年股票期 权与限制性 股票激励计 划实施完毕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r>
        <w:trPr>
          <w:trHeight w:val="352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浩云科技股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公司承诺不 为激励对象 依本激励计 划获取有关 限制性股票 提供贷款以 及其他任何 形式的财务 </w:t>
            </w:r>
            <w:r>
              <w:rPr>
                <w:rFonts w:ascii="宋体" w:hAnsi="宋体" w:cs="宋体" w:eastAsia="宋体" w:hint="default"/>
                <w:spacing w:val="-2"/>
                <w:sz w:val="18"/>
                <w:szCs w:val="18"/>
              </w:rPr>
              <w:t>资助，包括为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其贷款提供 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2016.03.23-</w:t>
            </w:r>
            <w:r>
              <w:rPr>
                <w:rFonts w:ascii="宋体" w:hAnsi="宋体" w:cs="宋体" w:eastAsia="宋体" w:hint="default"/>
                <w:sz w:val="18"/>
                <w:szCs w:val="18"/>
              </w:rPr>
              <w:t>第</w:t>
            </w:r>
          </w:p>
          <w:p>
            <w:pPr>
              <w:pStyle w:val="TableParagraph"/>
              <w:spacing w:line="319" w:lineRule="auto" w:before="61"/>
              <w:ind w:left="22" w:right="186"/>
              <w:jc w:val="both"/>
              <w:rPr>
                <w:rFonts w:ascii="宋体" w:hAnsi="宋体" w:cs="宋体" w:eastAsia="宋体" w:hint="default"/>
                <w:sz w:val="18"/>
                <w:szCs w:val="18"/>
              </w:rPr>
            </w:pPr>
            <w:r>
              <w:rPr>
                <w:rFonts w:ascii="宋体" w:hAnsi="宋体" w:cs="宋体" w:eastAsia="宋体" w:hint="default"/>
                <w:sz w:val="18"/>
                <w:szCs w:val="18"/>
              </w:rPr>
              <w:t>二期股权激 励计划实施 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r>
        <w:trPr>
          <w:trHeight w:val="352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浩云科技股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公司承诺不 为激励对象 依本激励计 划获取有关 限制性股票 提供贷款以 及其他任何 形式的财务 </w:t>
            </w:r>
            <w:r>
              <w:rPr>
                <w:rFonts w:ascii="宋体" w:hAnsi="宋体" w:cs="宋体" w:eastAsia="宋体" w:hint="default"/>
                <w:spacing w:val="-2"/>
                <w:sz w:val="18"/>
                <w:szCs w:val="18"/>
              </w:rPr>
              <w:t>资助，包括为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其贷款提供 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2015.09.28-</w:t>
            </w:r>
            <w:r>
              <w:rPr>
                <w:rFonts w:ascii="宋体" w:hAnsi="宋体" w:cs="宋体" w:eastAsia="宋体" w:hint="default"/>
                <w:sz w:val="18"/>
                <w:szCs w:val="18"/>
              </w:rPr>
              <w:t>第</w:t>
            </w:r>
          </w:p>
          <w:p>
            <w:pPr>
              <w:pStyle w:val="TableParagraph"/>
              <w:spacing w:line="319" w:lineRule="auto" w:before="61"/>
              <w:ind w:left="22" w:right="186"/>
              <w:jc w:val="both"/>
              <w:rPr>
                <w:rFonts w:ascii="宋体" w:hAnsi="宋体" w:cs="宋体" w:eastAsia="宋体" w:hint="default"/>
                <w:sz w:val="18"/>
                <w:szCs w:val="18"/>
              </w:rPr>
            </w:pPr>
            <w:r>
              <w:rPr>
                <w:rFonts w:ascii="宋体" w:hAnsi="宋体" w:cs="宋体" w:eastAsia="宋体" w:hint="default"/>
                <w:sz w:val="18"/>
                <w:szCs w:val="18"/>
              </w:rPr>
              <w:t>一期股权激 励计划实施 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5"/>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98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300" w:lineRule="auto" w:before="61"/>
              <w:ind w:left="22"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月内（增持计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2018.02.08-20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18.08.07</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5"/>
              <w:jc w:val="center"/>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划实施期间， 公司股票如 因筹划重大 事项等情形， 出现连续停</w:t>
            </w:r>
          </w:p>
          <w:p>
            <w:pPr>
              <w:pStyle w:val="TableParagraph"/>
              <w:spacing w:line="314" w:lineRule="auto" w:before="17"/>
              <w:ind w:left="22" w:right="21"/>
              <w:jc w:val="left"/>
              <w:rPr>
                <w:rFonts w:ascii="宋体" w:hAnsi="宋体" w:cs="宋体" w:eastAsia="宋体" w:hint="default"/>
                <w:sz w:val="18"/>
                <w:szCs w:val="18"/>
              </w:rPr>
            </w:pPr>
            <w:r>
              <w:rPr>
                <w:rFonts w:ascii="宋体" w:hAnsi="宋体" w:cs="宋体" w:eastAsia="宋体" w:hint="default"/>
                <w:sz w:val="18"/>
                <w:szCs w:val="18"/>
              </w:rPr>
              <w:t>牌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 易日以上的 </w:t>
            </w:r>
            <w:r>
              <w:rPr>
                <w:rFonts w:ascii="宋体" w:hAnsi="宋体" w:cs="宋体" w:eastAsia="宋体" w:hint="default"/>
                <w:spacing w:val="-2"/>
                <w:sz w:val="18"/>
                <w:szCs w:val="18"/>
              </w:rPr>
              <w:t>情况，增持期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限将相应顺 </w:t>
            </w:r>
            <w:r>
              <w:rPr>
                <w:rFonts w:ascii="宋体" w:hAnsi="宋体" w:cs="宋体" w:eastAsia="宋体" w:hint="default"/>
                <w:spacing w:val="-15"/>
                <w:sz w:val="18"/>
                <w:szCs w:val="18"/>
              </w:rPr>
              <w:t>延），累计增</w:t>
            </w:r>
            <w:r>
              <w:rPr>
                <w:rFonts w:ascii="宋体" w:hAnsi="宋体" w:cs="宋体" w:eastAsia="宋体" w:hint="default"/>
                <w:sz w:val="18"/>
                <w:szCs w:val="18"/>
              </w:rPr>
              <w:t> 持股份数量 不超过公司 总股本的 </w:t>
            </w:r>
            <w:r>
              <w:rPr>
                <w:rFonts w:ascii="Times New Roman" w:hAnsi="Times New Roman" w:cs="Times New Roman" w:eastAsia="Times New Roman" w:hint="default"/>
                <w:sz w:val="18"/>
                <w:szCs w:val="18"/>
              </w:rPr>
              <w:t>2% </w:t>
            </w:r>
            <w:r>
              <w:rPr>
                <w:rFonts w:ascii="宋体" w:hAnsi="宋体" w:cs="宋体" w:eastAsia="宋体" w:hint="default"/>
                <w:sz w:val="18"/>
                <w:szCs w:val="18"/>
              </w:rPr>
              <w:t>且累计增持 金额不低于 人民币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、承诺在未 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7</w:t>
            </w:r>
          </w:p>
          <w:p>
            <w:pPr>
              <w:pStyle w:val="TableParagraph"/>
              <w:spacing w:line="314"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日）不减</w:t>
            </w:r>
            <w:r>
              <w:rPr>
                <w:rFonts w:ascii="宋体" w:hAnsi="宋体" w:cs="宋体" w:eastAsia="宋体" w:hint="default"/>
                <w:sz w:val="18"/>
                <w:szCs w:val="18"/>
              </w:rPr>
              <w:t> 持所持公司 股份，以实际 行动切实维 护市场稳定， 保护投资者 利益；</w:t>
            </w:r>
            <w:r>
              <w:rPr>
                <w:rFonts w:ascii="宋体" w:hAnsi="宋体" w:cs="宋体" w:eastAsia="宋体" w:hint="default"/>
                <w:spacing w:val="-4"/>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、承</w:t>
            </w:r>
            <w:r>
              <w:rPr>
                <w:rFonts w:ascii="宋体" w:hAnsi="宋体" w:cs="宋体" w:eastAsia="宋体" w:hint="default"/>
                <w:spacing w:val="-5"/>
                <w:sz w:val="18"/>
                <w:szCs w:val="18"/>
              </w:rPr>
              <w:t> </w:t>
            </w:r>
            <w:r>
              <w:rPr>
                <w:rFonts w:ascii="宋体" w:hAnsi="宋体" w:cs="宋体" w:eastAsia="宋体" w:hint="default"/>
                <w:sz w:val="18"/>
                <w:szCs w:val="18"/>
              </w:rPr>
              <w:t>诺将根据市</w:t>
            </w:r>
            <w:r>
              <w:rPr>
                <w:rFonts w:ascii="宋体" w:hAnsi="宋体" w:cs="宋体" w:eastAsia="宋体" w:hint="default"/>
                <w:sz w:val="18"/>
                <w:szCs w:val="18"/>
              </w:rPr>
              <w:t> 场情况，在法 律、法规允许 的范围内，积 极探索采取 增持、股权激 励等措施； </w:t>
            </w:r>
            <w:r>
              <w:rPr>
                <w:rFonts w:ascii="Times New Roman" w:hAnsi="Times New Roman" w:cs="Times New Roman" w:eastAsia="Times New Roman" w:hint="default"/>
                <w:sz w:val="18"/>
                <w:szCs w:val="18"/>
              </w:rPr>
              <w:t>3</w:t>
            </w:r>
            <w:r>
              <w:rPr>
                <w:rFonts w:ascii="宋体" w:hAnsi="宋体" w:cs="宋体" w:eastAsia="宋体" w:hint="default"/>
                <w:sz w:val="18"/>
                <w:szCs w:val="18"/>
              </w:rPr>
              <w:t>、承诺将立 足长远扎实 做好实业发 展，努力强化 企业核心竞 争力，充分利 用好改革机 遇，发挥好资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2015.07.08-20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18.07.07</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3"/>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345.3pt;mso-position-horizontal-relative:page;mso-position-vertical-relative:page;z-index:-12099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本市场功能，</w:t>
            </w:r>
          </w:p>
        </w:tc>
        <w:tc>
          <w:tcPr>
            <w:tcW w:w="1126" w:type="dxa"/>
            <w:vMerge w:val="restart"/>
            <w:tcBorders>
              <w:top w:val="single" w:sz="4" w:space="0" w:color="000000"/>
              <w:left w:val="single" w:sz="4" w:space="0" w:color="000000"/>
              <w:right w:val="single" w:sz="4" w:space="0" w:color="000000"/>
            </w:tcBorders>
          </w:tcPr>
          <w:p>
            <w:pPr>
              <w:pStyle w:val="TableParagraph"/>
              <w:spacing w:line="690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7"/>
                <w:sz w:val="20"/>
                <w:szCs w:val="20"/>
              </w:rPr>
              <w:pict>
                <v:group style="width:55.85pt;height:345.3pt;mso-position-horizontal-relative:char;mso-position-vertical-relative:line" coordorigin="0,0" coordsize="1117,6906">
                  <v:group style="position:absolute;left:0;top:0;width:1117;height:6906" coordorigin="0,0" coordsize="1117,6906">
                    <v:shape style="position:absolute;left:0;top:0;width:1117;height:6906" coordorigin="0,0" coordsize="1117,6906" path="m0,6905l1116,6905,1116,0,0,0,0,6905xe" filled="true" fillcolor="#ffffff" stroked="false">
                      <v:path arrowok="t"/>
                      <v:fill type="solid"/>
                    </v:shape>
                  </v:group>
                </v:group>
              </w:pict>
            </w:r>
            <w:r>
              <w:rPr>
                <w:rFonts w:ascii="Times New Roman" w:hAnsi="Times New Roman" w:cs="Times New Roman" w:eastAsia="Times New Roman" w:hint="default"/>
                <w:position w:val="-137"/>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率先实现企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业转型发展，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以真实稳定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的业绩回报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广大股东；</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承诺诚信经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营规范发展，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持续提高公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司信息披露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质量，积极践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行投资者 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系管理，切实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保护投资者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合法权益，努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力推动中小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股东参与公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司治理和重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大决策，为股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东提供真实、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准确的投资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决策依据。</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3" w:type="dxa"/>
            <w:gridSpan w:val="6"/>
            <w:tcBorders>
              <w:top w:val="single" w:sz="4" w:space="0" w:color="000000"/>
              <w:left w:val="single" w:sz="13" w:space="0" w:color="D2D2D2"/>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3" w:type="dxa"/>
            <w:gridSpan w:val="6"/>
            <w:tcBorders>
              <w:top w:val="nil" w:sz="6" w:space="0" w:color="auto"/>
              <w:left w:val="single" w:sz="13" w:space="0" w:color="D2D2D2"/>
              <w:bottom w:val="nil" w:sz="6" w:space="0" w:color="auto"/>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3" w:type="dxa"/>
            <w:gridSpan w:val="6"/>
            <w:tcBorders>
              <w:top w:val="nil" w:sz="6" w:space="0" w:color="auto"/>
              <w:left w:val="single" w:sz="13" w:space="0" w:color="D2D2D2"/>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Times New Roman" w:hAnsi="Times New Roman" w:cs="Times New Roman" w:eastAsia="Times New Roman" w:hint="default"/>
          <w:sz w:val="28"/>
          <w:szCs w:val="28"/>
        </w:rPr>
      </w:pPr>
    </w:p>
    <w:p>
      <w:pPr>
        <w:pStyle w:val="Heading3"/>
        <w:spacing w:line="386"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235"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深圳市润安科 技发展有限公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760" w:right="0"/>
              <w:jc w:val="left"/>
              <w:rPr>
                <w:rFonts w:ascii="Times New Roman" w:hAnsi="Times New Roman" w:cs="Times New Roman" w:eastAsia="Times New Roman" w:hint="default"/>
                <w:sz w:val="18"/>
                <w:szCs w:val="18"/>
              </w:rPr>
            </w:pPr>
            <w:r>
              <w:rPr>
                <w:rFonts w:ascii="Times New Roman"/>
                <w:sz w:val="18"/>
              </w:rPr>
              <w:t>1,960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2,088.87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66"/>
              <w:jc w:val="both"/>
              <w:rPr>
                <w:rFonts w:ascii="宋体" w:hAnsi="宋体" w:cs="宋体" w:eastAsia="宋体" w:hint="default"/>
                <w:sz w:val="18"/>
                <w:szCs w:val="18"/>
              </w:rPr>
            </w:pPr>
            <w:r>
              <w:rPr>
                <w:rFonts w:ascii="宋体" w:hAnsi="宋体" w:cs="宋体" w:eastAsia="宋体" w:hint="default"/>
                <w:sz w:val="18"/>
                <w:szCs w:val="18"/>
              </w:rPr>
              <w:t>关于支付现金 购买深圳市润 安科技发展有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 权的公告及相 关文件。披露 网站：巨潮资</w:t>
            </w:r>
          </w:p>
        </w:tc>
      </w:tr>
    </w:tbl>
    <w:p>
      <w:pPr>
        <w:spacing w:after="0" w:line="314"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674" w:hRule="exact"/>
        </w:trPr>
        <w:tc>
          <w:tcPr>
            <w:tcW w:w="11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讯网，公告编 号：</w:t>
            </w:r>
            <w:r>
              <w:rPr>
                <w:rFonts w:ascii="Times New Roman" w:hAnsi="Times New Roman" w:cs="Times New Roman" w:eastAsia="Times New Roman" w:hint="default"/>
                <w:sz w:val="18"/>
                <w:szCs w:val="18"/>
              </w:rPr>
              <w:t>2016-007</w:t>
            </w:r>
          </w:p>
        </w:tc>
      </w:tr>
      <w:tr>
        <w:trPr>
          <w:trHeight w:val="1962"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广东冠网信息 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889.15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关于公司签署 投资并购协议 的公告。披露 网站：巨潮资 讯网，公告编 号：</w:t>
            </w:r>
            <w:r>
              <w:rPr>
                <w:rFonts w:ascii="Times New Roman" w:hAnsi="Times New Roman" w:cs="Times New Roman" w:eastAsia="Times New Roman" w:hint="default"/>
                <w:sz w:val="18"/>
                <w:szCs w:val="18"/>
              </w:rPr>
              <w:t>2018-036</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公司股东、交易对手方对公司或相关资产年度经营业绩作出的承诺情况</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458" w:lineRule="auto"/>
        <w:ind w:right="1131"/>
        <w:jc w:val="both"/>
      </w:pPr>
      <w:r>
        <w:rPr/>
        <w:t>（</w:t>
      </w:r>
      <w:r>
        <w:rPr>
          <w:rFonts w:ascii="Times New Roman" w:hAnsi="Times New Roman" w:cs="Times New Roman" w:eastAsia="Times New Roman" w:hint="default"/>
        </w:rPr>
        <w:t>1</w:t>
      </w:r>
      <w:r>
        <w:rPr/>
        <w:t>）根据本公司与深圳市润安科技发展有限公司原股东钟裕山、新余市彤富创投资合伙企业（有限合伙）、深圳市彤富创 </w:t>
      </w:r>
      <w:r>
        <w:rPr>
          <w:spacing w:val="-2"/>
        </w:rPr>
        <w:t>投资合伙企业（有限合伙）签订的《现金购买资产协议》，深圳市润安科技发展有限公司原股东钟裕山、新余市彤富创投资</w:t>
      </w:r>
      <w:r>
        <w:rPr>
          <w:spacing w:val="-69"/>
        </w:rPr>
        <w:t> </w:t>
      </w:r>
      <w:r>
        <w:rPr>
          <w:spacing w:val="-69"/>
        </w:rPr>
      </w:r>
      <w:r>
        <w:rPr>
          <w:spacing w:val="-2"/>
        </w:rPr>
        <w:t>合伙企业（有限合伙）、深圳市彤富创投资合伙企业（有限合伙）承诺深圳市润安科技发展有限公司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1"/>
        </w:rPr>
        <w:t>年扣除非经常性损益后的净利润分别为</w:t>
      </w:r>
      <w:r>
        <w:rPr>
          <w:rFonts w:ascii="Times New Roman" w:hAnsi="Times New Roman" w:cs="Times New Roman" w:eastAsia="Times New Roman" w:hint="default"/>
          <w:spacing w:val="-1"/>
        </w:rPr>
        <w:t>1,000</w:t>
      </w:r>
      <w:r>
        <w:rPr>
          <w:spacing w:val="-1"/>
        </w:rPr>
        <w:t>万元、</w:t>
      </w:r>
      <w:r>
        <w:rPr>
          <w:rFonts w:ascii="Times New Roman" w:hAnsi="Times New Roman" w:cs="Times New Roman" w:eastAsia="Times New Roman" w:hint="default"/>
          <w:spacing w:val="-1"/>
        </w:rPr>
        <w:t>1,400</w:t>
      </w:r>
      <w:r>
        <w:rPr>
          <w:spacing w:val="-1"/>
        </w:rPr>
        <w:t>万元、</w:t>
      </w:r>
      <w:r>
        <w:rPr>
          <w:rFonts w:ascii="Times New Roman" w:hAnsi="Times New Roman" w:cs="Times New Roman" w:eastAsia="Times New Roman" w:hint="default"/>
          <w:spacing w:val="-1"/>
        </w:rPr>
        <w:t>1,960</w:t>
      </w:r>
      <w:r>
        <w:rPr>
          <w:spacing w:val="-1"/>
        </w:rPr>
        <w:t>万元。深圳市润安科技发展有限公司</w:t>
      </w:r>
      <w:r>
        <w:rPr>
          <w:rFonts w:ascii="Times New Roman" w:hAnsi="Times New Roman" w:cs="Times New Roman" w:eastAsia="Times New Roman" w:hint="default"/>
          <w:spacing w:val="-1"/>
        </w:rPr>
        <w:t>2018</w:t>
      </w:r>
      <w:r>
        <w:rPr>
          <w:spacing w:val="-1"/>
        </w:rPr>
        <w:t>年度经审计的</w:t>
      </w:r>
      <w:r>
        <w:rPr>
          <w:spacing w:val="-69"/>
        </w:rPr>
        <w:t> </w:t>
      </w:r>
      <w:r>
        <w:rPr/>
        <w:t>扣除非经常性损益后的净利润</w:t>
      </w:r>
      <w:r>
        <w:rPr>
          <w:rFonts w:ascii="Times New Roman" w:hAnsi="Times New Roman" w:cs="Times New Roman" w:eastAsia="Times New Roman" w:hint="default"/>
        </w:rPr>
        <w:t>2,088.87</w:t>
      </w:r>
      <w:r>
        <w:rPr/>
        <w:t>万元，超过承诺数</w:t>
      </w:r>
      <w:r>
        <w:rPr>
          <w:rFonts w:ascii="Times New Roman" w:hAnsi="Times New Roman" w:cs="Times New Roman" w:eastAsia="Times New Roman" w:hint="default"/>
        </w:rPr>
        <w:t>128.87</w:t>
      </w:r>
      <w:r>
        <w:rPr/>
        <w:t>万元，完成本年预测盈利的</w:t>
      </w:r>
      <w:r>
        <w:rPr>
          <w:rFonts w:ascii="Times New Roman" w:hAnsi="Times New Roman" w:cs="Times New Roman" w:eastAsia="Times New Roman" w:hint="default"/>
        </w:rPr>
        <w:t>106.57%</w:t>
      </w:r>
      <w:r>
        <w:rPr/>
        <w:t>。</w:t>
      </w:r>
    </w:p>
    <w:p>
      <w:pPr>
        <w:pStyle w:val="BodyText"/>
        <w:spacing w:line="465" w:lineRule="auto" w:before="37"/>
        <w:ind w:right="1032"/>
        <w:jc w:val="left"/>
      </w:pPr>
      <w:r>
        <w:rPr/>
        <w:t>（</w:t>
      </w:r>
      <w:r>
        <w:rPr>
          <w:rFonts w:ascii="Times New Roman" w:hAnsi="Times New Roman" w:cs="Times New Roman" w:eastAsia="Times New Roman" w:hint="default"/>
        </w:rPr>
        <w:t>2</w:t>
      </w:r>
      <w:r>
        <w:rPr/>
        <w:t>）根据本公司与广东冠网信息科技有限公司及其原股东王庆、胡海涛、曹义峰、廖永建、邓杰以及广州新启企业管理合 </w:t>
      </w:r>
      <w:r>
        <w:rPr>
          <w:spacing w:val="-4"/>
        </w:rPr>
        <w:t>伙企业（有限合伙）签订的《浩云科技股份有限公司与广东冠网信息科技有限公司、王庆、胡海涛、曹义峰、廖永建、邓杰、</w:t>
      </w:r>
      <w:r>
        <w:rPr>
          <w:spacing w:val="-46"/>
        </w:rPr>
        <w:t> </w:t>
      </w:r>
      <w:r>
        <w:rPr>
          <w:spacing w:val="-46"/>
        </w:rPr>
      </w:r>
      <w:r>
        <w:rPr>
          <w:spacing w:val="-2"/>
        </w:rPr>
        <w:t>广州新启企业管理合伙企业（有限合伙）之投资并购协议》，广东冠网信息科技有限公司原股东王庆、胡海涛、曹义峰、廖</w:t>
      </w:r>
      <w:r>
        <w:rPr>
          <w:spacing w:val="-71"/>
        </w:rPr>
        <w:t> </w:t>
      </w:r>
      <w:r>
        <w:rPr>
          <w:spacing w:val="-71"/>
        </w:rPr>
      </w:r>
      <w:r>
        <w:rPr>
          <w:spacing w:val="-2"/>
        </w:rPr>
        <w:t>永建、邓杰以及广州新启企业管理合伙企业（有限合伙）承诺广东冠网信息科技有限公司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2020</w:t>
      </w:r>
      <w:r>
        <w:rPr>
          <w:spacing w:val="-2"/>
        </w:rPr>
        <w:t>年扣除非经</w:t>
      </w:r>
      <w:r>
        <w:rPr>
          <w:spacing w:val="-54"/>
        </w:rPr>
        <w:t> </w:t>
      </w:r>
      <w:r>
        <w:rPr>
          <w:spacing w:val="-2"/>
        </w:rPr>
        <w:t>常性损益后的净利润分别为</w:t>
      </w:r>
      <w:r>
        <w:rPr>
          <w:rFonts w:ascii="Times New Roman" w:hAnsi="Times New Roman" w:cs="Times New Roman" w:eastAsia="Times New Roman" w:hint="default"/>
          <w:spacing w:val="-2"/>
        </w:rPr>
        <w:t>800</w:t>
      </w:r>
      <w:r>
        <w:rPr>
          <w:spacing w:val="-2"/>
        </w:rPr>
        <w:t>万元、</w:t>
      </w:r>
      <w:r>
        <w:rPr>
          <w:rFonts w:ascii="Times New Roman" w:hAnsi="Times New Roman" w:cs="Times New Roman" w:eastAsia="Times New Roman" w:hint="default"/>
          <w:spacing w:val="-2"/>
        </w:rPr>
        <w:t>1,000</w:t>
      </w:r>
      <w:r>
        <w:rPr>
          <w:spacing w:val="-2"/>
        </w:rPr>
        <w:t>万元、</w:t>
      </w:r>
      <w:r>
        <w:rPr>
          <w:rFonts w:ascii="Times New Roman" w:hAnsi="Times New Roman" w:cs="Times New Roman" w:eastAsia="Times New Roman" w:hint="default"/>
          <w:spacing w:val="-2"/>
        </w:rPr>
        <w:t>1,300</w:t>
      </w:r>
      <w:r>
        <w:rPr>
          <w:spacing w:val="-2"/>
        </w:rPr>
        <w:t>万元。广东冠网信息科技有限公司</w:t>
      </w:r>
      <w:r>
        <w:rPr>
          <w:rFonts w:ascii="Times New Roman" w:hAnsi="Times New Roman" w:cs="Times New Roman" w:eastAsia="Times New Roman" w:hint="default"/>
          <w:spacing w:val="-2"/>
        </w:rPr>
        <w:t>2018</w:t>
      </w:r>
      <w:r>
        <w:rPr>
          <w:spacing w:val="-2"/>
        </w:rPr>
        <w:t>年度经审计的扣除非经常性损</w:t>
      </w:r>
      <w:r>
        <w:rPr>
          <w:spacing w:val="-49"/>
        </w:rPr>
        <w:t> </w:t>
      </w:r>
      <w:r>
        <w:rPr/>
        <w:t>益后的净利润</w:t>
      </w:r>
      <w:r>
        <w:rPr>
          <w:rFonts w:ascii="Times New Roman" w:hAnsi="Times New Roman" w:cs="Times New Roman" w:eastAsia="Times New Roman" w:hint="default"/>
        </w:rPr>
        <w:t>889.15</w:t>
      </w:r>
      <w:r>
        <w:rPr/>
        <w:t>万元，超过承诺数</w:t>
      </w:r>
      <w:r>
        <w:rPr>
          <w:rFonts w:ascii="Times New Roman" w:hAnsi="Times New Roman" w:cs="Times New Roman" w:eastAsia="Times New Roman" w:hint="default"/>
        </w:rPr>
        <w:t>89.15</w:t>
      </w:r>
      <w:r>
        <w:rPr/>
        <w:t>万元，完成本年预测盈利的</w:t>
      </w:r>
      <w:r>
        <w:rPr>
          <w:rFonts w:ascii="Times New Roman" w:hAnsi="Times New Roman" w:cs="Times New Roman" w:eastAsia="Times New Roman" w:hint="default"/>
        </w:rPr>
        <w:t>111.14%</w:t>
      </w:r>
      <w:r>
        <w:rPr/>
        <w:t>。 业绩承诺的完成情况及其对商誉减值测试的影响</w:t>
      </w:r>
    </w:p>
    <w:p>
      <w:pPr>
        <w:pStyle w:val="BodyText"/>
        <w:spacing w:line="240" w:lineRule="auto" w:before="103"/>
        <w:ind w:right="0"/>
        <w:jc w:val="left"/>
      </w:pPr>
      <w:r>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0"/>
        <w:rPr>
          <w:rFonts w:ascii="宋体" w:hAnsi="宋体" w:cs="宋体" w:eastAsia="宋体" w:hint="default"/>
          <w:b/>
          <w:bCs/>
          <w:sz w:val="24"/>
          <w:szCs w:val="24"/>
        </w:rPr>
      </w:pPr>
    </w:p>
    <w:p>
      <w:pPr>
        <w:pStyle w:val="BodyText"/>
        <w:spacing w:line="489" w:lineRule="auto" w:before="189"/>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0"/>
        <w:rPr>
          <w:rFonts w:ascii="宋体" w:hAnsi="宋体" w:cs="宋体" w:eastAsia="宋体" w:hint="default"/>
          <w:b/>
          <w:bCs/>
          <w:sz w:val="24"/>
          <w:szCs w:val="24"/>
        </w:rPr>
      </w:pPr>
    </w:p>
    <w:p>
      <w:pPr>
        <w:pStyle w:val="BodyText"/>
        <w:spacing w:line="470" w:lineRule="auto" w:before="189"/>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与上年度财务报告相比，本报告期新增辛集市浩云智慧城市科技有限公司、广东冠网信息科技有限公司</w:t>
      </w:r>
      <w:r>
        <w:rPr>
          <w:rFonts w:ascii="Times New Roman" w:hAnsi="Times New Roman" w:cs="Times New Roman" w:eastAsia="Times New Roman" w:hint="default"/>
        </w:rPr>
        <w:t>2</w:t>
      </w:r>
      <w:r>
        <w:rPr/>
        <w:t>家子公司；减少广 州市浩耘元鸿信息技术有限公司</w:t>
      </w:r>
      <w:r>
        <w:rPr>
          <w:rFonts w:ascii="Times New Roman" w:hAnsi="Times New Roman" w:cs="Times New Roman" w:eastAsia="Times New Roman" w:hint="default"/>
        </w:rPr>
        <w:t>1</w:t>
      </w:r>
      <w:r>
        <w:rPr/>
        <w:t>家子公司。</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t>现聘任的会计事务所</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禤文欣、卢玲玉</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禤文欣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年、卢玲玉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是否改聘会计师事务所</w:t>
      </w:r>
    </w:p>
    <w:p>
      <w:pPr>
        <w:spacing w:line="240" w:lineRule="auto" w:before="12"/>
        <w:rPr>
          <w:rFonts w:ascii="宋体" w:hAnsi="宋体" w:cs="宋体" w:eastAsia="宋体" w:hint="default"/>
          <w:sz w:val="20"/>
          <w:szCs w:val="20"/>
        </w:rPr>
      </w:pPr>
    </w:p>
    <w:p>
      <w:pPr>
        <w:pStyle w:val="BodyText"/>
        <w:spacing w:line="489" w:lineRule="auto"/>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0"/>
        <w:rPr>
          <w:rFonts w:ascii="宋体" w:hAnsi="宋体" w:cs="宋体" w:eastAsia="宋体" w:hint="default"/>
          <w:b/>
          <w:bCs/>
          <w:sz w:val="24"/>
          <w:szCs w:val="24"/>
        </w:rPr>
      </w:pPr>
    </w:p>
    <w:p>
      <w:pPr>
        <w:pStyle w:val="BodyText"/>
        <w:spacing w:line="489" w:lineRule="auto" w:before="189"/>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0"/>
        <w:rPr>
          <w:rFonts w:ascii="宋体" w:hAnsi="宋体" w:cs="宋体" w:eastAsia="宋体" w:hint="default"/>
          <w:b/>
          <w:bCs/>
          <w:sz w:val="24"/>
          <w:szCs w:val="24"/>
        </w:rPr>
      </w:pPr>
    </w:p>
    <w:p>
      <w:pPr>
        <w:pStyle w:val="BodyText"/>
        <w:spacing w:line="489" w:lineRule="auto" w:before="188"/>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0"/>
        <w:rPr>
          <w:rFonts w:ascii="宋体" w:hAnsi="宋体" w:cs="宋体" w:eastAsia="宋体" w:hint="default"/>
          <w:b/>
          <w:bCs/>
          <w:sz w:val="24"/>
          <w:szCs w:val="24"/>
        </w:rPr>
      </w:pPr>
    </w:p>
    <w:p>
      <w:pPr>
        <w:pStyle w:val="BodyText"/>
        <w:spacing w:line="489" w:lineRule="auto" w:before="189"/>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0"/>
        <w:rPr>
          <w:rFonts w:ascii="宋体" w:hAnsi="宋体" w:cs="宋体" w:eastAsia="宋体" w:hint="default"/>
          <w:b/>
          <w:bCs/>
          <w:sz w:val="24"/>
          <w:szCs w:val="24"/>
        </w:rPr>
      </w:pPr>
    </w:p>
    <w:p>
      <w:pPr>
        <w:pStyle w:val="BodyText"/>
        <w:spacing w:line="468" w:lineRule="auto" w:before="189"/>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日，公司第三届董事会第二次会议审议通过了《关于公司</w:t>
      </w:r>
      <w:r>
        <w:rPr>
          <w:rFonts w:ascii="Times New Roman" w:hAnsi="Times New Roman" w:cs="Times New Roman" w:eastAsia="Times New Roman" w:hint="default"/>
          <w:spacing w:val="-2"/>
        </w:rPr>
        <w:t>&lt;2018</w:t>
      </w:r>
      <w:r>
        <w:rPr>
          <w:spacing w:val="-2"/>
        </w:rPr>
        <w:t>年股票期权与限制性股票激励计划（草案）</w:t>
      </w:r>
      <w:r>
        <w:rPr>
          <w:rFonts w:ascii="Times New Roman" w:hAnsi="Times New Roman" w:cs="Times New Roman" w:eastAsia="Times New Roman" w:hint="default"/>
          <w:spacing w:val="-2"/>
        </w:rPr>
        <w:t>&gt;</w:t>
      </w:r>
      <w:r>
        <w:rPr>
          <w:rFonts w:ascii="Times New Roman" w:hAnsi="Times New Roman" w:cs="Times New Roman" w:eastAsia="Times New Roman" w:hint="default"/>
          <w:spacing w:val="-33"/>
        </w:rPr>
        <w:t> </w:t>
      </w:r>
      <w:r>
        <w:rPr>
          <w:spacing w:val="-2"/>
        </w:rPr>
        <w:t>及其摘要的议案》等相关议案。公司第三届监事会第二次会议审议通过了前述议案并对公司本股权激励计划的激励对象名单</w:t>
      </w:r>
      <w:r>
        <w:rPr>
          <w:spacing w:val="-64"/>
        </w:rPr>
        <w:t> </w:t>
      </w:r>
      <w:r>
        <w:rPr>
          <w:spacing w:val="-64"/>
        </w:rPr>
      </w:r>
      <w:r>
        <w:rPr>
          <w:spacing w:val="-2"/>
        </w:rPr>
        <w:t>进行了核实。公司独立董事就本股权激励计划事项发表了同意的独立意见，律师事务所和独立财务顾问亦分别就本股权激励</w:t>
      </w:r>
      <w:r>
        <w:rPr>
          <w:spacing w:val="-64"/>
        </w:rPr>
        <w:t> </w:t>
      </w:r>
      <w:r>
        <w:rPr>
          <w:spacing w:val="-64"/>
        </w:rPr>
      </w:r>
      <w:r>
        <w:rPr/>
        <w:t>计划出具了法律意见书和独立财务顾问报告。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日，公司对授予激励对象名单的姓名和职务在公司内部进行了公示，在公示期内，公司监 事会未接到与</w:t>
      </w:r>
      <w:r>
        <w:rPr>
          <w:rFonts w:ascii="Times New Roman" w:hAnsi="Times New Roman" w:cs="Times New Roman" w:eastAsia="Times New Roman" w:hint="default"/>
        </w:rPr>
        <w:t>2018</w:t>
      </w:r>
      <w:r>
        <w:rPr/>
        <w:t>年股票期权与限制性股票激励计划拟激励对象有关的任何异议。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日，公司监事会发表了《监 事会关于</w:t>
      </w:r>
      <w:r>
        <w:rPr>
          <w:rFonts w:ascii="Times New Roman" w:hAnsi="Times New Roman" w:cs="Times New Roman" w:eastAsia="Times New Roman" w:hint="default"/>
        </w:rPr>
        <w:t>2018</w:t>
      </w:r>
      <w:r>
        <w:rPr/>
        <w:t>年股票期权与限制性股票激励计划激励对象名单的审核意见及公示情况说明》。</w:t>
      </w:r>
    </w:p>
    <w:p>
      <w:pPr>
        <w:spacing w:after="0" w:line="46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3" w:lineRule="auto"/>
        <w:ind w:right="1112"/>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30</w:t>
      </w:r>
      <w:r>
        <w:rPr>
          <w:spacing w:val="-3"/>
        </w:rPr>
        <w:t>日，公司</w:t>
      </w:r>
      <w:r>
        <w:rPr>
          <w:rFonts w:ascii="Times New Roman" w:hAnsi="Times New Roman" w:cs="Times New Roman" w:eastAsia="Times New Roman" w:hint="default"/>
          <w:spacing w:val="-3"/>
        </w:rPr>
        <w:t>2018</w:t>
      </w:r>
      <w:r>
        <w:rPr>
          <w:spacing w:val="-3"/>
        </w:rPr>
        <w:t>年第二次临时股东大会审议通过了公司《关于公司</w:t>
      </w:r>
      <w:r>
        <w:rPr>
          <w:rFonts w:ascii="Times New Roman" w:hAnsi="Times New Roman" w:cs="Times New Roman" w:eastAsia="Times New Roman" w:hint="default"/>
          <w:spacing w:val="-3"/>
        </w:rPr>
        <w:t>&lt;2018</w:t>
      </w:r>
      <w:r>
        <w:rPr>
          <w:spacing w:val="-3"/>
        </w:rPr>
        <w:t>年股票期权与限制性股票激励计划（草</w:t>
      </w:r>
      <w:r>
        <w:rPr>
          <w:spacing w:val="-86"/>
        </w:rPr>
        <w:t> </w:t>
      </w:r>
      <w:r>
        <w:rPr>
          <w:spacing w:val="-86"/>
        </w:rPr>
      </w:r>
      <w:r>
        <w:rPr>
          <w:spacing w:val="-1"/>
        </w:rPr>
        <w:t>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&lt;2018</w:t>
      </w:r>
      <w:r>
        <w:rPr>
          <w:spacing w:val="-1"/>
        </w:rPr>
        <w:t>年股票期权与限制性股票激励计划实施考核管理办法</w:t>
      </w:r>
      <w:r>
        <w:rPr>
          <w:rFonts w:ascii="Times New Roman" w:hAnsi="Times New Roman" w:cs="Times New Roman" w:eastAsia="Times New Roman" w:hint="default"/>
          <w:spacing w:val="-1"/>
        </w:rPr>
        <w:t>&gt;</w:t>
      </w:r>
      <w:r>
        <w:rPr>
          <w:spacing w:val="-1"/>
        </w:rPr>
        <w:t>的议案》以及《关于提请</w:t>
      </w:r>
      <w:r>
        <w:rPr>
          <w:spacing w:val="-61"/>
        </w:rPr>
        <w:t> </w:t>
      </w:r>
      <w:r>
        <w:rPr>
          <w:spacing w:val="-61"/>
        </w:rPr>
      </w:r>
      <w:r>
        <w:rPr>
          <w:spacing w:val="-2"/>
        </w:rPr>
        <w:t>股东大会授权董事会办理股权激励相关事宜的议案》，并披露了《</w:t>
      </w:r>
      <w:r>
        <w:rPr>
          <w:rFonts w:ascii="Times New Roman" w:hAnsi="Times New Roman" w:cs="Times New Roman" w:eastAsia="Times New Roman" w:hint="default"/>
          <w:spacing w:val="-2"/>
        </w:rPr>
        <w:t>2018</w:t>
      </w:r>
      <w:r>
        <w:rPr>
          <w:spacing w:val="-2"/>
        </w:rPr>
        <w:t>年股票期权与限制性股票激励计划内幕信息知情人及</w:t>
      </w:r>
      <w:r>
        <w:rPr>
          <w:spacing w:val="-62"/>
        </w:rPr>
        <w:t> </w:t>
      </w:r>
      <w:r>
        <w:rPr/>
        <w:t>激励对象买卖公司股票情况的自查报告》。 </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9</w:t>
      </w:r>
      <w:r>
        <w:rPr>
          <w:spacing w:val="-3"/>
        </w:rPr>
        <w:t>日，公司已在中国证券登记结算有限责任公司深圳分公司办理完成第二届董事会第四十次会议审议通过的《关</w:t>
      </w:r>
      <w:r>
        <w:rPr/>
        <w:t> 于回购注销部分限制性股票的议案》中合计</w:t>
      </w:r>
      <w:r>
        <w:rPr>
          <w:rFonts w:ascii="Times New Roman" w:hAnsi="Times New Roman" w:cs="Times New Roman" w:eastAsia="Times New Roman" w:hint="default"/>
        </w:rPr>
        <w:t>7.922</w:t>
      </w:r>
      <w:r>
        <w:rPr/>
        <w:t>万股限制性股票的回购注销手续。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日，公司第三届董事会第七次会议审议通过了《关于调整三期股权激励计划相关事项的议案》、《关于回购 </w:t>
      </w:r>
      <w:r>
        <w:rPr>
          <w:spacing w:val="-2"/>
        </w:rPr>
        <w:t>注销部分限制性股票的议案》、《关于公司第二期激励计划首次授予的限制性股票第二个解锁期可解锁的议案》、《关于公</w:t>
      </w:r>
      <w:r>
        <w:rPr>
          <w:spacing w:val="-66"/>
        </w:rPr>
        <w:t> </w:t>
      </w:r>
      <w:r>
        <w:rPr>
          <w:spacing w:val="-66"/>
        </w:rPr>
      </w:r>
      <w:r>
        <w:rPr>
          <w:spacing w:val="-2"/>
        </w:rPr>
        <w:t>司第二期激励计划预留部分的限制性股票第一个解锁期可解锁的议案》以及《关于向激励对象首次授予</w:t>
      </w:r>
      <w:r>
        <w:rPr>
          <w:rFonts w:ascii="Times New Roman" w:hAnsi="Times New Roman" w:cs="Times New Roman" w:eastAsia="Times New Roman" w:hint="default"/>
          <w:spacing w:val="-2"/>
        </w:rPr>
        <w:t>2018</w:t>
      </w:r>
      <w:r>
        <w:rPr>
          <w:spacing w:val="-2"/>
        </w:rPr>
        <w:t>年激励计划股票</w:t>
      </w:r>
      <w:r>
        <w:rPr>
          <w:spacing w:val="-59"/>
        </w:rPr>
        <w:t> </w:t>
      </w:r>
      <w:r>
        <w:rPr>
          <w:spacing w:val="-2"/>
        </w:rPr>
        <w:t>期权与限制性股票的议案》。因公司</w:t>
      </w:r>
      <w:r>
        <w:rPr>
          <w:rFonts w:ascii="Times New Roman" w:hAnsi="Times New Roman" w:cs="Times New Roman" w:eastAsia="Times New Roman" w:hint="default"/>
          <w:spacing w:val="-2"/>
        </w:rPr>
        <w:t>2017</w:t>
      </w:r>
      <w:r>
        <w:rPr>
          <w:spacing w:val="-2"/>
        </w:rPr>
        <w:t>年度利润分配方案已实施完毕，同意公司首期激励计划首次授予限制性股票的总数</w:t>
      </w:r>
      <w:r>
        <w:rPr>
          <w:spacing w:val="-62"/>
        </w:rPr>
        <w:t> </w:t>
      </w:r>
      <w:r>
        <w:rPr>
          <w:spacing w:val="-62"/>
        </w:rPr>
      </w:r>
      <w:r>
        <w:rPr/>
        <w:t>由</w:t>
      </w:r>
      <w:r>
        <w:rPr>
          <w:rFonts w:ascii="Times New Roman" w:hAnsi="Times New Roman" w:cs="Times New Roman" w:eastAsia="Times New Roman" w:hint="default"/>
        </w:rPr>
        <w:t>171.5124</w:t>
      </w:r>
      <w:r>
        <w:rPr/>
        <w:t>万股调整为</w:t>
      </w:r>
      <w:r>
        <w:rPr>
          <w:rFonts w:ascii="Times New Roman" w:hAnsi="Times New Roman" w:cs="Times New Roman" w:eastAsia="Times New Roman" w:hint="default"/>
        </w:rPr>
        <w:t>308.7721</w:t>
      </w:r>
      <w:r>
        <w:rPr/>
        <w:t>万股，授予价格由</w:t>
      </w:r>
      <w:r>
        <w:rPr>
          <w:rFonts w:ascii="Times New Roman" w:hAnsi="Times New Roman" w:cs="Times New Roman" w:eastAsia="Times New Roman" w:hint="default"/>
        </w:rPr>
        <w:t>11.033</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6.072</w:t>
      </w:r>
      <w:r>
        <w:rPr/>
        <w:t>元</w:t>
      </w:r>
      <w:r>
        <w:rPr>
          <w:rFonts w:ascii="Times New Roman" w:hAnsi="Times New Roman" w:cs="Times New Roman" w:eastAsia="Times New Roman" w:hint="default"/>
        </w:rPr>
        <w:t>/</w:t>
      </w:r>
      <w:r>
        <w:rPr/>
        <w:t>股，预留部分限制性股票总数由</w:t>
      </w:r>
      <w:r>
        <w:rPr>
          <w:rFonts w:ascii="Times New Roman" w:hAnsi="Times New Roman" w:cs="Times New Roman" w:eastAsia="Times New Roman" w:hint="default"/>
        </w:rPr>
        <w:t>19.92</w:t>
      </w:r>
      <w:r>
        <w:rPr/>
        <w:t>万股调整 为</w:t>
      </w:r>
      <w:r>
        <w:rPr>
          <w:rFonts w:ascii="Times New Roman" w:hAnsi="Times New Roman" w:cs="Times New Roman" w:eastAsia="Times New Roman" w:hint="default"/>
        </w:rPr>
        <w:t>35.8618</w:t>
      </w:r>
      <w:r>
        <w:rPr/>
        <w:t>万股，授予价格由</w:t>
      </w:r>
      <w:r>
        <w:rPr>
          <w:rFonts w:ascii="Times New Roman" w:hAnsi="Times New Roman" w:cs="Times New Roman" w:eastAsia="Times New Roman" w:hint="default"/>
        </w:rPr>
        <w:t>15.053</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8.305</w:t>
      </w:r>
      <w:r>
        <w:rPr/>
        <w:t>元</w:t>
      </w:r>
      <w:r>
        <w:rPr>
          <w:rFonts w:ascii="Times New Roman" w:hAnsi="Times New Roman" w:cs="Times New Roman" w:eastAsia="Times New Roman" w:hint="default"/>
        </w:rPr>
        <w:t>/</w:t>
      </w:r>
      <w:r>
        <w:rPr/>
        <w:t>股；同意公司第二期激励计划首次授予限制性股票的总数由</w:t>
      </w:r>
      <w:r>
        <w:rPr>
          <w:rFonts w:ascii="Times New Roman" w:hAnsi="Times New Roman" w:cs="Times New Roman" w:eastAsia="Times New Roman" w:hint="default"/>
        </w:rPr>
        <w:t>119.8230 </w:t>
      </w:r>
      <w:r>
        <w:rPr/>
        <w:t>万股调整为</w:t>
      </w:r>
      <w:r>
        <w:rPr>
          <w:rFonts w:ascii="Times New Roman" w:hAnsi="Times New Roman" w:cs="Times New Roman" w:eastAsia="Times New Roman" w:hint="default"/>
        </w:rPr>
        <w:t>215.7162</w:t>
      </w:r>
      <w:r>
        <w:rPr/>
        <w:t>万股，授予价格由</w:t>
      </w:r>
      <w:r>
        <w:rPr>
          <w:rFonts w:ascii="Times New Roman" w:hAnsi="Times New Roman" w:cs="Times New Roman" w:eastAsia="Times New Roman" w:hint="default"/>
        </w:rPr>
        <w:t>13.513</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7.449</w:t>
      </w:r>
      <w:r>
        <w:rPr/>
        <w:t>元</w:t>
      </w:r>
      <w:r>
        <w:rPr>
          <w:rFonts w:ascii="Times New Roman" w:hAnsi="Times New Roman" w:cs="Times New Roman" w:eastAsia="Times New Roman" w:hint="default"/>
        </w:rPr>
        <w:t>/</w:t>
      </w:r>
      <w:r>
        <w:rPr/>
        <w:t>股，预留部分限制性股票总数由</w:t>
      </w:r>
      <w:r>
        <w:rPr>
          <w:rFonts w:ascii="Times New Roman" w:hAnsi="Times New Roman" w:cs="Times New Roman" w:eastAsia="Times New Roman" w:hint="default"/>
        </w:rPr>
        <w:t>14.94</w:t>
      </w:r>
      <w:r>
        <w:rPr/>
        <w:t>万股调整为</w:t>
      </w:r>
      <w:r>
        <w:rPr>
          <w:rFonts w:ascii="Times New Roman" w:hAnsi="Times New Roman" w:cs="Times New Roman" w:eastAsia="Times New Roman" w:hint="default"/>
        </w:rPr>
        <w:t>26.8964 </w:t>
      </w:r>
      <w:r>
        <w:rPr/>
        <w:t>万股，授予价格由</w:t>
      </w:r>
      <w:r>
        <w:rPr>
          <w:rFonts w:ascii="Times New Roman" w:hAnsi="Times New Roman" w:cs="Times New Roman" w:eastAsia="Times New Roman" w:hint="default"/>
        </w:rPr>
        <w:t>12.163</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6.699</w:t>
      </w:r>
      <w:r>
        <w:rPr/>
        <w:t>元</w:t>
      </w:r>
      <w:r>
        <w:rPr>
          <w:rFonts w:ascii="Times New Roman" w:hAnsi="Times New Roman" w:cs="Times New Roman" w:eastAsia="Times New Roman" w:hint="default"/>
        </w:rPr>
        <w:t>/</w:t>
      </w:r>
      <w:r>
        <w:rPr/>
        <w:t>股；同意公司</w:t>
      </w:r>
      <w:r>
        <w:rPr>
          <w:rFonts w:ascii="Times New Roman" w:hAnsi="Times New Roman" w:cs="Times New Roman" w:eastAsia="Times New Roman" w:hint="default"/>
        </w:rPr>
        <w:t>2018</w:t>
      </w:r>
      <w:r>
        <w:rPr/>
        <w:t>年股票激励计划授予股票期权的总数由</w:t>
      </w:r>
      <w:r>
        <w:rPr>
          <w:rFonts w:ascii="Times New Roman" w:hAnsi="Times New Roman" w:cs="Times New Roman" w:eastAsia="Times New Roman" w:hint="default"/>
        </w:rPr>
        <w:t>150</w:t>
      </w:r>
      <w:r>
        <w:rPr/>
        <w:t>万份调整为 </w:t>
      </w:r>
      <w:r>
        <w:rPr>
          <w:rFonts w:ascii="Times New Roman" w:hAnsi="Times New Roman" w:cs="Times New Roman" w:eastAsia="Times New Roman" w:hint="default"/>
        </w:rPr>
        <w:t>270.0435</w:t>
      </w:r>
      <w:r>
        <w:rPr/>
        <w:t>万份，行权价格由</w:t>
      </w:r>
      <w:r>
        <w:rPr>
          <w:rFonts w:ascii="Times New Roman" w:hAnsi="Times New Roman" w:cs="Times New Roman" w:eastAsia="Times New Roman" w:hint="default"/>
        </w:rPr>
        <w:t>20.65</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11.414</w:t>
      </w:r>
      <w:r>
        <w:rPr/>
        <w:t>元</w:t>
      </w:r>
      <w:r>
        <w:rPr>
          <w:rFonts w:ascii="Times New Roman" w:hAnsi="Times New Roman" w:cs="Times New Roman" w:eastAsia="Times New Roman" w:hint="default"/>
        </w:rPr>
        <w:t>/</w:t>
      </w:r>
      <w:r>
        <w:rPr/>
        <w:t>股，限制性股票的总数由</w:t>
      </w:r>
      <w:r>
        <w:rPr>
          <w:rFonts w:ascii="Times New Roman" w:hAnsi="Times New Roman" w:cs="Times New Roman" w:eastAsia="Times New Roman" w:hint="default"/>
        </w:rPr>
        <w:t>1,125</w:t>
      </w:r>
      <w:r>
        <w:rPr/>
        <w:t>万股调整为</w:t>
      </w:r>
      <w:r>
        <w:rPr>
          <w:rFonts w:ascii="Times New Roman" w:hAnsi="Times New Roman" w:cs="Times New Roman" w:eastAsia="Times New Roman" w:hint="default"/>
        </w:rPr>
        <w:t>2,025.3266</w:t>
      </w:r>
      <w:r>
        <w:rPr/>
        <w:t>万股，其中，首 次授予限制性股票数量由</w:t>
      </w:r>
      <w:r>
        <w:rPr>
          <w:rFonts w:ascii="Times New Roman" w:hAnsi="Times New Roman" w:cs="Times New Roman" w:eastAsia="Times New Roman" w:hint="default"/>
        </w:rPr>
        <w:t>900</w:t>
      </w:r>
      <w:r>
        <w:rPr/>
        <w:t>万股调整为</w:t>
      </w:r>
      <w:r>
        <w:rPr>
          <w:rFonts w:ascii="Times New Roman" w:hAnsi="Times New Roman" w:cs="Times New Roman" w:eastAsia="Times New Roman" w:hint="default"/>
        </w:rPr>
        <w:t>1,620.2613</w:t>
      </w:r>
      <w:r>
        <w:rPr/>
        <w:t>万股，授予价格由</w:t>
      </w:r>
      <w:r>
        <w:rPr>
          <w:rFonts w:ascii="Times New Roman" w:hAnsi="Times New Roman" w:cs="Times New Roman" w:eastAsia="Times New Roman" w:hint="default"/>
        </w:rPr>
        <w:t>10.33</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5.681</w:t>
      </w:r>
      <w:r>
        <w:rPr/>
        <w:t>元</w:t>
      </w:r>
      <w:r>
        <w:rPr>
          <w:rFonts w:ascii="Times New Roman" w:hAnsi="Times New Roman" w:cs="Times New Roman" w:eastAsia="Times New Roman" w:hint="default"/>
        </w:rPr>
        <w:t>/</w:t>
      </w:r>
      <w:r>
        <w:rPr/>
        <w:t>股。预留部分限制性股票总 数</w:t>
      </w:r>
      <w:r>
        <w:rPr>
          <w:rFonts w:ascii="Times New Roman" w:hAnsi="Times New Roman" w:cs="Times New Roman" w:eastAsia="Times New Roman" w:hint="default"/>
        </w:rPr>
        <w:t>225</w:t>
      </w:r>
      <w:r>
        <w:rPr/>
        <w:t>万股调整为</w:t>
      </w:r>
      <w:r>
        <w:rPr>
          <w:rFonts w:ascii="Times New Roman" w:hAnsi="Times New Roman" w:cs="Times New Roman" w:eastAsia="Times New Roman" w:hint="default"/>
        </w:rPr>
        <w:t>405.0653</w:t>
      </w:r>
      <w:r>
        <w:rPr/>
        <w:t>万股；因截至</w:t>
      </w:r>
      <w:r>
        <w:rPr>
          <w:rFonts w:ascii="Times New Roman" w:hAnsi="Times New Roman" w:cs="Times New Roman" w:eastAsia="Times New Roman" w:hint="default"/>
        </w:rPr>
        <w:t>2018</w:t>
      </w:r>
      <w:r>
        <w:rPr/>
        <w:t>年激励计划首次授予会议召开日，公司</w:t>
      </w:r>
      <w:r>
        <w:rPr>
          <w:rFonts w:ascii="Times New Roman" w:hAnsi="Times New Roman" w:cs="Times New Roman" w:eastAsia="Times New Roman" w:hint="default"/>
        </w:rPr>
        <w:t>2018</w:t>
      </w:r>
      <w:r>
        <w:rPr/>
        <w:t>年激励计划原激励对象中有部分激 </w:t>
      </w:r>
      <w:r>
        <w:rPr>
          <w:spacing w:val="-2"/>
        </w:rPr>
        <w:t>励对象离职导致不再具备激励对象资格部分激励对象因个人原因自愿放弃认购公司拟向其授予的股票期权或限制性股票，同</w:t>
      </w:r>
      <w:r>
        <w:rPr>
          <w:spacing w:val="-64"/>
        </w:rPr>
        <w:t> </w:t>
      </w:r>
      <w:r>
        <w:rPr>
          <w:spacing w:val="-64"/>
        </w:rPr>
      </w:r>
      <w:r>
        <w:rPr/>
        <w:t>意公司</w:t>
      </w:r>
      <w:r>
        <w:rPr>
          <w:rFonts w:ascii="Times New Roman" w:hAnsi="Times New Roman" w:cs="Times New Roman" w:eastAsia="Times New Roman" w:hint="default"/>
        </w:rPr>
        <w:t>2018</w:t>
      </w:r>
      <w:r>
        <w:rPr/>
        <w:t>年激励计划股票期权的授予总数由</w:t>
      </w:r>
      <w:r>
        <w:rPr>
          <w:rFonts w:ascii="Times New Roman" w:hAnsi="Times New Roman" w:cs="Times New Roman" w:eastAsia="Times New Roman" w:hint="default"/>
        </w:rPr>
        <w:t>270.0435</w:t>
      </w:r>
      <w:r>
        <w:rPr/>
        <w:t>万份调整为</w:t>
      </w:r>
      <w:r>
        <w:rPr>
          <w:rFonts w:ascii="Times New Roman" w:hAnsi="Times New Roman" w:cs="Times New Roman" w:eastAsia="Times New Roman" w:hint="default"/>
        </w:rPr>
        <w:t>100.816</w:t>
      </w:r>
      <w:r>
        <w:rPr/>
        <w:t>万份，激励对象人数由</w:t>
      </w:r>
      <w:r>
        <w:rPr>
          <w:rFonts w:ascii="Times New Roman" w:hAnsi="Times New Roman" w:cs="Times New Roman" w:eastAsia="Times New Roman" w:hint="default"/>
        </w:rPr>
        <w:t>218</w:t>
      </w:r>
      <w:r>
        <w:rPr/>
        <w:t>人调整为</w:t>
      </w:r>
      <w:r>
        <w:rPr>
          <w:rFonts w:ascii="Times New Roman" w:hAnsi="Times New Roman" w:cs="Times New Roman" w:eastAsia="Times New Roman" w:hint="default"/>
        </w:rPr>
        <w:t>12</w:t>
      </w:r>
      <w:r>
        <w:rPr/>
        <w:t>人，限制性 股票的授予总数由</w:t>
      </w:r>
      <w:r>
        <w:rPr>
          <w:rFonts w:ascii="Times New Roman" w:hAnsi="Times New Roman" w:cs="Times New Roman" w:eastAsia="Times New Roman" w:hint="default"/>
        </w:rPr>
        <w:t>2,025.3266</w:t>
      </w:r>
      <w:r>
        <w:rPr/>
        <w:t>万股调整为</w:t>
      </w:r>
      <w:r>
        <w:rPr>
          <w:rFonts w:ascii="Times New Roman" w:hAnsi="Times New Roman" w:cs="Times New Roman" w:eastAsia="Times New Roman" w:hint="default"/>
        </w:rPr>
        <w:t>1,966.5272</w:t>
      </w:r>
      <w:r>
        <w:rPr/>
        <w:t>万股，其中，首次授予限制性股票的数量由</w:t>
      </w:r>
      <w:r>
        <w:rPr>
          <w:rFonts w:ascii="Times New Roman" w:hAnsi="Times New Roman" w:cs="Times New Roman" w:eastAsia="Times New Roman" w:hint="default"/>
        </w:rPr>
        <w:t>1,620.2613</w:t>
      </w:r>
      <w:r>
        <w:rPr/>
        <w:t>万股调整为 </w:t>
      </w:r>
      <w:r>
        <w:rPr>
          <w:rFonts w:ascii="Times New Roman" w:hAnsi="Times New Roman" w:cs="Times New Roman" w:eastAsia="Times New Roman" w:hint="default"/>
        </w:rPr>
        <w:t>1,561.4619</w:t>
      </w:r>
      <w:r>
        <w:rPr/>
        <w:t>万股，激励对象人数由</w:t>
      </w:r>
      <w:r>
        <w:rPr>
          <w:rFonts w:ascii="Times New Roman" w:hAnsi="Times New Roman" w:cs="Times New Roman" w:eastAsia="Times New Roman" w:hint="default"/>
        </w:rPr>
        <w:t>222</w:t>
      </w:r>
      <w:r>
        <w:rPr/>
        <w:t>人调整为</w:t>
      </w:r>
      <w:r>
        <w:rPr>
          <w:rFonts w:ascii="Times New Roman" w:hAnsi="Times New Roman" w:cs="Times New Roman" w:eastAsia="Times New Roman" w:hint="default"/>
        </w:rPr>
        <w:t>188</w:t>
      </w:r>
      <w:r>
        <w:rPr/>
        <w:t>人；预留限制性股票数量不变，仍为</w:t>
      </w:r>
      <w:r>
        <w:rPr>
          <w:rFonts w:ascii="Times New Roman" w:hAnsi="Times New Roman" w:cs="Times New Roman" w:eastAsia="Times New Roman" w:hint="default"/>
        </w:rPr>
        <w:t>405.0653</w:t>
      </w:r>
      <w:r>
        <w:rPr/>
        <w:t>万股；因公司首期和第二期 激励计划原激励对象中分别有</w:t>
      </w:r>
      <w:r>
        <w:rPr>
          <w:rFonts w:ascii="Times New Roman" w:hAnsi="Times New Roman" w:cs="Times New Roman" w:eastAsia="Times New Roman" w:hint="default"/>
        </w:rPr>
        <w:t>9</w:t>
      </w:r>
      <w:r>
        <w:rPr/>
        <w:t>名和</w:t>
      </w:r>
      <w:r>
        <w:rPr>
          <w:rFonts w:ascii="Times New Roman" w:hAnsi="Times New Roman" w:cs="Times New Roman" w:eastAsia="Times New Roman" w:hint="default"/>
        </w:rPr>
        <w:t>5</w:t>
      </w:r>
      <w:r>
        <w:rPr/>
        <w:t>名激励对象离职，同意公司回购并注销首期激励计划中</w:t>
      </w:r>
      <w:r>
        <w:rPr>
          <w:rFonts w:ascii="Times New Roman" w:hAnsi="Times New Roman" w:cs="Times New Roman" w:eastAsia="Times New Roman" w:hint="default"/>
        </w:rPr>
        <w:t>9</w:t>
      </w:r>
      <w:r>
        <w:rPr/>
        <w:t>名激励对象已授予但尚未解锁 </w:t>
      </w:r>
      <w:r>
        <w:rPr>
          <w:spacing w:val="-2"/>
        </w:rPr>
        <w:t>的合计</w:t>
      </w:r>
      <w:r>
        <w:rPr>
          <w:rFonts w:ascii="Times New Roman" w:hAnsi="Times New Roman" w:cs="Times New Roman" w:eastAsia="Times New Roman" w:hint="default"/>
          <w:spacing w:val="-2"/>
        </w:rPr>
        <w:t>5.0459</w:t>
      </w:r>
      <w:r>
        <w:rPr>
          <w:spacing w:val="-2"/>
        </w:rPr>
        <w:t>万股限制性股票、向前述</w:t>
      </w:r>
      <w:r>
        <w:rPr>
          <w:rFonts w:ascii="Times New Roman" w:hAnsi="Times New Roman" w:cs="Times New Roman" w:eastAsia="Times New Roman" w:hint="default"/>
          <w:spacing w:val="-2"/>
        </w:rPr>
        <w:t>9</w:t>
      </w:r>
      <w:r>
        <w:rPr>
          <w:spacing w:val="-2"/>
        </w:rPr>
        <w:t>名激励对象支付回购价款合计</w:t>
      </w:r>
      <w:r>
        <w:rPr>
          <w:rFonts w:ascii="Times New Roman" w:hAnsi="Times New Roman" w:cs="Times New Roman" w:eastAsia="Times New Roman" w:hint="default"/>
          <w:spacing w:val="-2"/>
        </w:rPr>
        <w:t>31.3425</w:t>
      </w:r>
      <w:r>
        <w:rPr>
          <w:spacing w:val="-2"/>
        </w:rPr>
        <w:t>万元，同意回购并注销第二期激励计划中</w:t>
      </w:r>
      <w:r>
        <w:rPr>
          <w:rFonts w:ascii="Times New Roman" w:hAnsi="Times New Roman" w:cs="Times New Roman" w:eastAsia="Times New Roman" w:hint="default"/>
          <w:spacing w:val="-2"/>
        </w:rPr>
        <w:t>5</w:t>
      </w:r>
      <w:r>
        <w:rPr>
          <w:spacing w:val="-2"/>
        </w:rPr>
        <w:t>名激</w:t>
      </w:r>
      <w:r>
        <w:rPr>
          <w:spacing w:val="-52"/>
        </w:rPr>
        <w:t> </w:t>
      </w:r>
      <w:r>
        <w:rPr/>
        <w:t>励对象已授予但尚未解锁的合计</w:t>
      </w:r>
      <w:r>
        <w:rPr>
          <w:rFonts w:ascii="Times New Roman" w:hAnsi="Times New Roman" w:cs="Times New Roman" w:eastAsia="Times New Roman" w:hint="default"/>
        </w:rPr>
        <w:t>6.1894</w:t>
      </w:r>
      <w:r>
        <w:rPr/>
        <w:t>万股限制性股票、向前述</w:t>
      </w:r>
      <w:r>
        <w:rPr>
          <w:rFonts w:ascii="Times New Roman" w:hAnsi="Times New Roman" w:cs="Times New Roman" w:eastAsia="Times New Roman" w:hint="default"/>
        </w:rPr>
        <w:t>5</w:t>
      </w:r>
      <w:r>
        <w:rPr/>
        <w:t>名激励对象支付回购价款合计</w:t>
      </w:r>
      <w:r>
        <w:rPr>
          <w:rFonts w:ascii="Times New Roman" w:hAnsi="Times New Roman" w:cs="Times New Roman" w:eastAsia="Times New Roman" w:hint="default"/>
        </w:rPr>
        <w:t>46.9752</w:t>
      </w:r>
      <w:r>
        <w:rPr/>
        <w:t>万元；因公司第二期 </w:t>
      </w:r>
      <w:r>
        <w:rPr>
          <w:spacing w:val="-2"/>
        </w:rPr>
        <w:t>激励计划设定的首次授予的限制性股票第二个解锁期的解锁条件已经成就，同意公司按照相关规定为</w:t>
      </w:r>
      <w:r>
        <w:rPr>
          <w:rFonts w:ascii="Times New Roman" w:hAnsi="Times New Roman" w:cs="Times New Roman" w:eastAsia="Times New Roman" w:hint="default"/>
          <w:spacing w:val="-2"/>
        </w:rPr>
        <w:t>61</w:t>
      </w:r>
      <w:r>
        <w:rPr>
          <w:spacing w:val="-2"/>
        </w:rPr>
        <w:t>名激励对象第二个解</w:t>
      </w:r>
      <w:r>
        <w:rPr>
          <w:spacing w:val="-61"/>
        </w:rPr>
        <w:t> </w:t>
      </w:r>
      <w:r>
        <w:rPr/>
        <w:t>锁期的</w:t>
      </w:r>
      <w:r>
        <w:rPr>
          <w:rFonts w:ascii="Times New Roman" w:hAnsi="Times New Roman" w:cs="Times New Roman" w:eastAsia="Times New Roman" w:hint="default"/>
        </w:rPr>
        <w:t>54.8979</w:t>
      </w:r>
      <w:r>
        <w:rPr/>
        <w:t>万股限制性股票办理解锁相关事宜；因公司第二期激励计划设定的预留部分的限制性股票第一个解锁期的解 </w:t>
      </w:r>
      <w:r>
        <w:rPr>
          <w:spacing w:val="-1"/>
        </w:rPr>
        <w:t>锁条件已经成就，同意公司按照相关规定为</w:t>
      </w:r>
      <w:r>
        <w:rPr>
          <w:rFonts w:ascii="Times New Roman" w:hAnsi="Times New Roman" w:cs="Times New Roman" w:eastAsia="Times New Roman" w:hint="default"/>
          <w:spacing w:val="-1"/>
        </w:rPr>
        <w:t>2</w:t>
      </w:r>
      <w:r>
        <w:rPr>
          <w:spacing w:val="-1"/>
        </w:rPr>
        <w:t>名激励对象第一个解锁期的</w:t>
      </w:r>
      <w:r>
        <w:rPr>
          <w:rFonts w:ascii="Times New Roman" w:hAnsi="Times New Roman" w:cs="Times New Roman" w:eastAsia="Times New Roman" w:hint="default"/>
          <w:spacing w:val="-1"/>
        </w:rPr>
        <w:t>13.4482</w:t>
      </w:r>
      <w:r>
        <w:rPr>
          <w:spacing w:val="-1"/>
        </w:rPr>
        <w:t>万股限制性股票办理解锁相关事宜；因公司</w:t>
      </w:r>
      <w:r>
        <w:rPr>
          <w:spacing w:val="-70"/>
        </w:rPr>
        <w:t> </w:t>
      </w:r>
      <w:r>
        <w:rPr>
          <w:spacing w:val="-70"/>
        </w:rPr>
      </w:r>
      <w:r>
        <w:rPr>
          <w:rFonts w:ascii="Times New Roman" w:hAnsi="Times New Roman" w:cs="Times New Roman" w:eastAsia="Times New Roman" w:hint="default"/>
          <w:spacing w:val="-1"/>
        </w:rPr>
        <w:t>2018</w:t>
      </w:r>
      <w:r>
        <w:rPr>
          <w:spacing w:val="-1"/>
        </w:rPr>
        <w:t>年激励计划规定的首次授予条件已经成就，同意确定</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4</w:t>
      </w:r>
      <w:r>
        <w:rPr>
          <w:spacing w:val="-1"/>
        </w:rPr>
        <w:t>日为本次激励计划的首次授予日，以行权价格</w:t>
      </w:r>
      <w:r>
        <w:rPr>
          <w:rFonts w:ascii="Times New Roman" w:hAnsi="Times New Roman" w:cs="Times New Roman" w:eastAsia="Times New Roman" w:hint="default"/>
          <w:spacing w:val="-1"/>
        </w:rPr>
        <w:t>11.414</w:t>
      </w:r>
      <w:r>
        <w:rPr>
          <w:spacing w:val="-1"/>
        </w:rPr>
        <w:t>元</w:t>
      </w:r>
    </w:p>
    <w:p>
      <w:pPr>
        <w:pStyle w:val="BodyText"/>
        <w:spacing w:line="451" w:lineRule="auto" w:before="41"/>
        <w:ind w:right="0"/>
        <w:jc w:val="left"/>
      </w:pPr>
      <w:r>
        <w:rPr>
          <w:rFonts w:ascii="Times New Roman" w:hAnsi="Times New Roman" w:cs="Times New Roman" w:eastAsia="Times New Roman" w:hint="default"/>
        </w:rPr>
        <w:t>/</w:t>
      </w:r>
      <w:r>
        <w:rPr/>
        <w:t>股授予</w:t>
      </w:r>
      <w:r>
        <w:rPr>
          <w:rFonts w:ascii="Times New Roman" w:hAnsi="Times New Roman" w:cs="Times New Roman" w:eastAsia="Times New Roman" w:hint="default"/>
        </w:rPr>
        <w:t>12</w:t>
      </w:r>
      <w:r>
        <w:rPr/>
        <w:t>名激励对象</w:t>
      </w:r>
      <w:r>
        <w:rPr>
          <w:rFonts w:ascii="Times New Roman" w:hAnsi="Times New Roman" w:cs="Times New Roman" w:eastAsia="Times New Roman" w:hint="default"/>
        </w:rPr>
        <w:t>100.816</w:t>
      </w:r>
      <w:r>
        <w:rPr/>
        <w:t>万份股票期权，以授予价格</w:t>
      </w:r>
      <w:r>
        <w:rPr>
          <w:rFonts w:ascii="Times New Roman" w:hAnsi="Times New Roman" w:cs="Times New Roman" w:eastAsia="Times New Roman" w:hint="default"/>
        </w:rPr>
        <w:t>5.681</w:t>
      </w:r>
      <w:r>
        <w:rPr/>
        <w:t>元</w:t>
      </w:r>
      <w:r>
        <w:rPr>
          <w:rFonts w:ascii="Times New Roman" w:hAnsi="Times New Roman" w:cs="Times New Roman" w:eastAsia="Times New Roman" w:hint="default"/>
        </w:rPr>
        <w:t>/</w:t>
      </w:r>
      <w:r>
        <w:rPr/>
        <w:t>股授予</w:t>
      </w:r>
      <w:r>
        <w:rPr>
          <w:rFonts w:ascii="Times New Roman" w:hAnsi="Times New Roman" w:cs="Times New Roman" w:eastAsia="Times New Roman" w:hint="default"/>
        </w:rPr>
        <w:t>188</w:t>
      </w:r>
      <w:r>
        <w:rPr/>
        <w:t>名激励对象</w:t>
      </w:r>
      <w:r>
        <w:rPr>
          <w:rFonts w:ascii="Times New Roman" w:hAnsi="Times New Roman" w:cs="Times New Roman" w:eastAsia="Times New Roman" w:hint="default"/>
        </w:rPr>
        <w:t>1,561.4619</w:t>
      </w:r>
      <w:r>
        <w:rPr/>
        <w:t>万股限制性股票。公司第 </w:t>
      </w:r>
      <w:r>
        <w:rPr>
          <w:spacing w:val="-2"/>
        </w:rPr>
        <w:t>三届监会第七次会议审议通过了前述相关议案并对公司调整后的</w:t>
      </w:r>
      <w:r>
        <w:rPr>
          <w:rFonts w:ascii="Times New Roman" w:hAnsi="Times New Roman" w:cs="Times New Roman" w:eastAsia="Times New Roman" w:hint="default"/>
          <w:spacing w:val="-2"/>
        </w:rPr>
        <w:t>2018</w:t>
      </w:r>
      <w:r>
        <w:rPr>
          <w:spacing w:val="-2"/>
        </w:rPr>
        <w:t>年激励计划首次授予的激励对象名单进行了核实。公司</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jc w:val="left"/>
      </w:pPr>
      <w:r>
        <w:rPr>
          <w:spacing w:val="-2"/>
        </w:rPr>
        <w:t>独立董事就前述调整事项、第二期激励计划首次授予第二个解锁期可解锁及预留部分第一个解锁期可解锁事项、回购注销事</w:t>
      </w:r>
      <w:r>
        <w:rPr>
          <w:spacing w:val="-64"/>
        </w:rPr>
        <w:t> </w:t>
      </w:r>
      <w:r>
        <w:rPr>
          <w:spacing w:val="-64"/>
        </w:rPr>
      </w:r>
      <w:r>
        <w:rPr>
          <w:spacing w:val="-2"/>
        </w:rPr>
        <w:t>项以及授予股票期权与限制性股票事项发表了同意的独立意见，律师事务所就前述调整事项、第二期激励计划首次授予第二</w:t>
      </w:r>
      <w:r>
        <w:rPr>
          <w:spacing w:val="-64"/>
        </w:rPr>
        <w:t> </w:t>
      </w:r>
      <w:r>
        <w:rPr>
          <w:spacing w:val="-64"/>
        </w:rPr>
      </w:r>
      <w:r>
        <w:rPr/>
        <w:t>个解锁期可解锁及预留部分第一个解锁期可解锁事项、回购注销事项以及授予股票期权与限制性股票事项出具了法律意见 书。独立财务顾问就公司前述授予股票期权与限制性股票事项出具了独立财务顾问报告。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日，公司办理完毕公司</w:t>
      </w:r>
      <w:r>
        <w:rPr>
          <w:rFonts w:ascii="Times New Roman" w:hAnsi="Times New Roman" w:cs="Times New Roman" w:eastAsia="Times New Roman" w:hint="default"/>
        </w:rPr>
        <w:t>2018</w:t>
      </w:r>
      <w:r>
        <w:rPr/>
        <w:t>年激励计划首次授予的合计</w:t>
      </w:r>
      <w:r>
        <w:rPr>
          <w:rFonts w:ascii="Times New Roman" w:hAnsi="Times New Roman" w:cs="Times New Roman" w:eastAsia="Times New Roman" w:hint="default"/>
        </w:rPr>
        <w:t>100.816</w:t>
      </w:r>
      <w:r>
        <w:rPr/>
        <w:t>万份股票期权的授予登记工作。</w:t>
      </w:r>
    </w:p>
    <w:p>
      <w:pPr>
        <w:pStyle w:val="BodyText"/>
        <w:spacing w:line="456" w:lineRule="auto" w:before="21"/>
        <w:ind w:right="1122"/>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日，公司办理完毕</w:t>
      </w:r>
      <w:r>
        <w:rPr>
          <w:rFonts w:ascii="Times New Roman" w:hAnsi="Times New Roman" w:cs="Times New Roman" w:eastAsia="Times New Roman" w:hint="default"/>
        </w:rPr>
        <w:t>2018</w:t>
      </w:r>
      <w:r>
        <w:rPr/>
        <w:t>年激励计划首次授予的合计</w:t>
      </w:r>
      <w:r>
        <w:rPr>
          <w:rFonts w:ascii="Times New Roman" w:hAnsi="Times New Roman" w:cs="Times New Roman" w:eastAsia="Times New Roman" w:hint="default"/>
        </w:rPr>
        <w:t>1,561.4619</w:t>
      </w:r>
      <w:r>
        <w:rPr/>
        <w:t>万股限制性股票的授予登记工作，相关限制性 股票的上市日期为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 </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日，公司办理完毕第二期激励计划首次授予的第二个解锁期可解锁的</w:t>
      </w:r>
      <w:r>
        <w:rPr>
          <w:rFonts w:ascii="Times New Roman" w:hAnsi="Times New Roman" w:cs="Times New Roman" w:eastAsia="Times New Roman" w:hint="default"/>
        </w:rPr>
        <w:t>54.8979</w:t>
      </w:r>
      <w:r>
        <w:rPr/>
        <w:t>万股限制性股票以及预留部分 第一个解锁期可解锁的</w:t>
      </w:r>
      <w:r>
        <w:rPr>
          <w:rFonts w:ascii="Times New Roman" w:hAnsi="Times New Roman" w:cs="Times New Roman" w:eastAsia="Times New Roman" w:hint="default"/>
        </w:rPr>
        <w:t>13.4482</w:t>
      </w:r>
      <w:r>
        <w:rPr/>
        <w:t>万股限制性股票的解锁手续，前述解锁手续所涉限制性股票已于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日上市流通。 </w:t>
      </w: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日，公司已在中国证券登记结算有限责任公司深圳分公司办理完成第三届董事会第七次会议审议通过的《关</w:t>
      </w:r>
      <w:r>
        <w:rPr>
          <w:spacing w:val="-58"/>
        </w:rPr>
        <w:t> </w:t>
      </w:r>
      <w:r>
        <w:rPr>
          <w:spacing w:val="-58"/>
        </w:rPr>
      </w:r>
      <w:r>
        <w:rPr/>
        <w:t>于回购注销部分限制性股票的议案》中合计</w:t>
      </w:r>
      <w:r>
        <w:rPr>
          <w:rFonts w:ascii="Times New Roman" w:hAnsi="Times New Roman" w:cs="Times New Roman" w:eastAsia="Times New Roman" w:hint="default"/>
        </w:rPr>
        <w:t>11.2353</w:t>
      </w:r>
      <w:r>
        <w:rPr/>
        <w:t>万股限制性股票的回购注销手续。 </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日，经公司第三届董事会第十三次会议、第三届监事会第十三次会议审议通过了《关于公司首期激励计划 </w:t>
      </w:r>
      <w:r>
        <w:rPr>
          <w:spacing w:val="-2"/>
        </w:rPr>
        <w:t>首次授予的限制性股票第三个解锁期可解锁的议案》和《关于公司首期激励计划预留部分的限制性股票第二个解锁期可解锁</w:t>
      </w:r>
      <w:r>
        <w:rPr>
          <w:spacing w:val="-64"/>
        </w:rPr>
        <w:t> </w:t>
      </w:r>
      <w:r>
        <w:rPr>
          <w:spacing w:val="-64"/>
        </w:rPr>
      </w:r>
      <w:r>
        <w:rPr/>
        <w:t>的议案》，同意公司按照相关规定为</w:t>
      </w:r>
      <w:r>
        <w:rPr>
          <w:rFonts w:ascii="Times New Roman" w:hAnsi="Times New Roman" w:cs="Times New Roman" w:eastAsia="Times New Roman" w:hint="default"/>
        </w:rPr>
        <w:t>96</w:t>
      </w:r>
      <w:r>
        <w:rPr/>
        <w:t>名激励对象共</w:t>
      </w:r>
      <w:r>
        <w:rPr>
          <w:rFonts w:ascii="Times New Roman" w:hAnsi="Times New Roman" w:cs="Times New Roman" w:eastAsia="Times New Roman" w:hint="default"/>
        </w:rPr>
        <w:t>917,941</w:t>
      </w:r>
      <w:r>
        <w:rPr/>
        <w:t>股股票办理解锁相关事宜。公司独立董事对前述事项发表了独 </w:t>
      </w:r>
      <w:r>
        <w:rPr>
          <w:spacing w:val="-2"/>
        </w:rPr>
        <w:t>立意见，广东信达律师事务所出具了法律意见书。同日，审议通过了《关于回购注销部分限制性股票的议案》，对不符合激</w:t>
      </w:r>
      <w:r>
        <w:rPr>
          <w:spacing w:val="-68"/>
        </w:rPr>
        <w:t> </w:t>
      </w:r>
      <w:r>
        <w:rPr>
          <w:spacing w:val="-68"/>
        </w:rPr>
      </w:r>
      <w:r>
        <w:rPr/>
        <w:t>励条件的激励对象已获授但尚未解锁的共</w:t>
      </w:r>
      <w:r>
        <w:rPr>
          <w:rFonts w:ascii="Times New Roman" w:hAnsi="Times New Roman" w:cs="Times New Roman" w:eastAsia="Times New Roman" w:hint="default"/>
        </w:rPr>
        <w:t>84,761</w:t>
      </w:r>
      <w:r>
        <w:rPr/>
        <w:t>股限制性股票进行回购注销。 </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日，公司办理完毕首期激励计划首次授予的第三个解锁期可解锁的</w:t>
      </w:r>
      <w:r>
        <w:rPr>
          <w:rFonts w:ascii="Times New Roman" w:hAnsi="Times New Roman" w:cs="Times New Roman" w:eastAsia="Times New Roman" w:hint="default"/>
        </w:rPr>
        <w:t>738,633</w:t>
      </w:r>
      <w:r>
        <w:rPr/>
        <w:t>股限制性股票以及预留部分第 二个解锁期可解锁的</w:t>
      </w:r>
      <w:r>
        <w:rPr>
          <w:rFonts w:ascii="Times New Roman" w:hAnsi="Times New Roman" w:cs="Times New Roman" w:eastAsia="Times New Roman" w:hint="default"/>
        </w:rPr>
        <w:t>179,308</w:t>
      </w:r>
      <w:r>
        <w:rPr/>
        <w:t>股限制性股票的解锁手续，前述解锁手续所涉限制性股票已于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日上市流通。 </w:t>
      </w:r>
      <w:r>
        <w:rPr>
          <w:rFonts w:ascii="Times New Roman" w:hAnsi="Times New Roman" w:cs="Times New Roman" w:eastAsia="Times New Roman" w:hint="default"/>
        </w:rPr>
        <w:t>12</w:t>
      </w:r>
      <w:r>
        <w:rPr/>
        <w:t>、截至本报告期末，公司共实施了三期股权激励计划，公司确认前述股权激励计划在本报告期内的股权激励成本共计</w:t>
      </w:r>
    </w:p>
    <w:p>
      <w:pPr>
        <w:pStyle w:val="BodyText"/>
        <w:spacing w:line="240" w:lineRule="auto" w:before="39"/>
        <w:ind w:right="0"/>
        <w:jc w:val="left"/>
      </w:pPr>
      <w:r>
        <w:rPr>
          <w:rFonts w:ascii="Times New Roman" w:hAnsi="Times New Roman" w:cs="Times New Roman" w:eastAsia="Times New Roman" w:hint="default"/>
        </w:rPr>
        <w:t>1,821.95</w:t>
      </w:r>
      <w:r>
        <w:rPr/>
        <w:t>万元。</w:t>
      </w:r>
    </w:p>
    <w:p>
      <w:pPr>
        <w:spacing w:line="240" w:lineRule="auto" w:before="9"/>
        <w:rPr>
          <w:rFonts w:ascii="宋体" w:hAnsi="宋体" w:cs="宋体" w:eastAsia="宋体" w:hint="default"/>
          <w:sz w:val="16"/>
          <w:szCs w:val="16"/>
        </w:rPr>
      </w:pPr>
    </w:p>
    <w:p>
      <w:pPr>
        <w:pStyle w:val="BodyText"/>
        <w:spacing w:line="518" w:lineRule="auto"/>
        <w:ind w:right="1393"/>
        <w:jc w:val="left"/>
      </w:pPr>
      <w:r>
        <w:rPr/>
        <w:t>上述股权激励相关事项及进展均已披露于公司信息披露指定媒体巨潮资讯网。 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451" w:lineRule="auto" w:before="27"/>
        <w:ind w:right="1122"/>
        <w:jc w:val="left"/>
      </w:pPr>
      <w:r>
        <w:rPr/>
        <w:t>截至本报告期末，公司共实施了三期股权激励计划，公司确认前述股权激励计划在本报告期内的股权激励成本共计</w:t>
      </w:r>
      <w:r>
        <w:rPr>
          <w:rFonts w:ascii="Times New Roman" w:hAnsi="Times New Roman" w:cs="Times New Roman" w:eastAsia="Times New Roman" w:hint="default"/>
        </w:rPr>
        <w:t>1,821.95 </w:t>
      </w:r>
      <w:r>
        <w:rPr/>
        <w:t>万元，占本期净利润的</w:t>
      </w:r>
      <w:r>
        <w:rPr>
          <w:rFonts w:ascii="Times New Roman" w:hAnsi="Times New Roman" w:cs="Times New Roman" w:eastAsia="Times New Roman" w:hint="default"/>
        </w:rPr>
        <w:t>11.52%</w:t>
      </w:r>
      <w:r>
        <w:rPr/>
        <w:t>，本期核心技术人员的股权激励费用占公司当期股权激励费用的比重为</w:t>
      </w:r>
      <w:r>
        <w:rPr>
          <w:rFonts w:ascii="Times New Roman" w:hAnsi="Times New Roman" w:cs="Times New Roman" w:eastAsia="Times New Roman" w:hint="default"/>
        </w:rPr>
        <w:t>21.54%</w:t>
      </w:r>
      <w:r>
        <w:rPr/>
        <w:t>。</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12"/>
          <w:pgSz w:w="11910" w:h="16840"/>
          <w:pgMar w:footer="979" w:header="747" w:top="1060" w:bottom="1160" w:left="980" w:right="0"/>
          <w:pgNumType w:start="67"/>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公司报告期未发生与日常经营相关的关联交易。</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89"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1"/>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公司报告期不存在承包情况。</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709"/>
        <w:gridCol w:w="920"/>
        <w:gridCol w:w="925"/>
        <w:gridCol w:w="1305"/>
        <w:gridCol w:w="1054"/>
        <w:gridCol w:w="1038"/>
        <w:gridCol w:w="1051"/>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4"/>
              <w:jc w:val="left"/>
              <w:rPr>
                <w:rFonts w:ascii="宋体" w:hAnsi="宋体" w:cs="宋体" w:eastAsia="宋体" w:hint="default"/>
                <w:sz w:val="18"/>
                <w:szCs w:val="18"/>
              </w:rPr>
            </w:pPr>
            <w:r>
              <w:rPr>
                <w:rFonts w:ascii="宋体" w:hAnsi="宋体" w:cs="宋体" w:eastAsia="宋体" w:hint="default"/>
                <w:sz w:val="18"/>
                <w:szCs w:val="18"/>
              </w:rPr>
              <w:t>深圳市润安科技发展 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3" w:right="0"/>
              <w:jc w:val="left"/>
              <w:rPr>
                <w:rFonts w:ascii="Times New Roman" w:hAnsi="Times New Roman" w:cs="Times New Roman" w:eastAsia="Times New Roman" w:hint="default"/>
                <w:sz w:val="18"/>
                <w:szCs w:val="18"/>
              </w:rPr>
            </w:pPr>
            <w:r>
              <w:rPr>
                <w:rFonts w:ascii="Times New Roman"/>
                <w:sz w:val="18"/>
              </w:rPr>
              <w:t>1,500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2" w:right="0"/>
              <w:jc w:val="left"/>
              <w:rPr>
                <w:rFonts w:ascii="Times New Roman" w:hAnsi="Times New Roman" w:cs="Times New Roman" w:eastAsia="Times New Roman" w:hint="default"/>
                <w:sz w:val="18"/>
                <w:szCs w:val="18"/>
              </w:rPr>
            </w:pPr>
            <w:r>
              <w:rPr>
                <w:rFonts w:ascii="Times New Roman"/>
                <w:sz w:val="18"/>
              </w:rPr>
              <w:t>1,500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5" w:right="113"/>
              <w:jc w:val="both"/>
              <w:rPr>
                <w:rFonts w:ascii="宋体" w:hAnsi="宋体" w:cs="宋体" w:eastAsia="宋体" w:hint="default"/>
                <w:sz w:val="18"/>
                <w:szCs w:val="18"/>
              </w:rPr>
            </w:pPr>
            <w:r>
              <w:rPr>
                <w:rFonts w:ascii="宋体" w:hAnsi="宋体" w:cs="宋体" w:eastAsia="宋体" w:hint="default"/>
                <w:sz w:val="18"/>
                <w:szCs w:val="18"/>
              </w:rPr>
              <w:t>实际融资项 下债务履行 期限届满起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2"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3"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9"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609"/>
        <w:gridCol w:w="2235"/>
        <w:gridCol w:w="2087"/>
        <w:gridCol w:w="2633"/>
      </w:tblGrid>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1,500</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w:t>
            </w:r>
          </w:p>
        </w:tc>
      </w:tr>
      <w:tr>
        <w:trPr>
          <w:trHeight w:val="393"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89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pStyle w:val="BodyText"/>
        <w:spacing w:line="240" w:lineRule="auto" w:before="85"/>
        <w:ind w:left="0" w:right="1130"/>
        <w:jc w:val="right"/>
      </w:pPr>
      <w:r>
        <w:rPr/>
        <w:t>单位：万元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单项金额重大或安全性较低、流动性较差、不保本的高风险委托理财具体情况</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单位：万元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1"/>
        <w:gridCol w:w="561"/>
        <w:gridCol w:w="562"/>
        <w:gridCol w:w="561"/>
        <w:gridCol w:w="550"/>
        <w:gridCol w:w="547"/>
        <w:gridCol w:w="546"/>
        <w:gridCol w:w="527"/>
      </w:tblGrid>
      <w:tr>
        <w:trPr>
          <w:trHeight w:val="715"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9" w:right="100"/>
              <w:jc w:val="left"/>
              <w:rPr>
                <w:rFonts w:ascii="宋体" w:hAnsi="宋体" w:cs="宋体" w:eastAsia="宋体" w:hint="default"/>
                <w:sz w:val="18"/>
                <w:szCs w:val="18"/>
              </w:rPr>
            </w:pPr>
            <w:r>
              <w:rPr>
                <w:rFonts w:ascii="宋体" w:hAnsi="宋体" w:cs="宋体" w:eastAsia="宋体" w:hint="default"/>
                <w:sz w:val="18"/>
                <w:szCs w:val="18"/>
              </w:rPr>
              <w:t>受托 机构</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9" w:right="109"/>
              <w:jc w:val="left"/>
              <w:rPr>
                <w:rFonts w:ascii="宋体" w:hAnsi="宋体" w:cs="宋体" w:eastAsia="宋体" w:hint="default"/>
                <w:sz w:val="18"/>
                <w:szCs w:val="18"/>
              </w:rPr>
            </w:pPr>
            <w:r>
              <w:rPr>
                <w:rFonts w:ascii="宋体" w:hAnsi="宋体" w:cs="宋体" w:eastAsia="宋体" w:hint="default"/>
                <w:sz w:val="18"/>
                <w:szCs w:val="18"/>
              </w:rPr>
              <w:t>受托 机构</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4" w:right="95"/>
              <w:jc w:val="left"/>
              <w:rPr>
                <w:rFonts w:ascii="宋体" w:hAnsi="宋体" w:cs="宋体" w:eastAsia="宋体" w:hint="default"/>
                <w:sz w:val="18"/>
                <w:szCs w:val="18"/>
              </w:rPr>
            </w:pPr>
            <w:r>
              <w:rPr>
                <w:rFonts w:ascii="宋体" w:hAnsi="宋体" w:cs="宋体" w:eastAsia="宋体" w:hint="default"/>
                <w:sz w:val="18"/>
                <w:szCs w:val="18"/>
              </w:rPr>
              <w:t>报酬 确定</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4" w:right="94"/>
              <w:jc w:val="left"/>
              <w:rPr>
                <w:rFonts w:ascii="宋体" w:hAnsi="宋体" w:cs="宋体" w:eastAsia="宋体" w:hint="default"/>
                <w:sz w:val="18"/>
                <w:szCs w:val="18"/>
              </w:rPr>
            </w:pPr>
            <w:r>
              <w:rPr>
                <w:rFonts w:ascii="宋体" w:hAnsi="宋体" w:cs="宋体" w:eastAsia="宋体" w:hint="default"/>
                <w:sz w:val="18"/>
                <w:szCs w:val="18"/>
              </w:rPr>
              <w:t>参考 年化</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4" w:right="95"/>
              <w:jc w:val="left"/>
              <w:rPr>
                <w:rFonts w:ascii="宋体" w:hAnsi="宋体" w:cs="宋体" w:eastAsia="宋体" w:hint="default"/>
                <w:sz w:val="18"/>
                <w:szCs w:val="18"/>
              </w:rPr>
            </w:pPr>
            <w:r>
              <w:rPr>
                <w:rFonts w:ascii="宋体" w:hAnsi="宋体" w:cs="宋体" w:eastAsia="宋体" w:hint="default"/>
                <w:sz w:val="18"/>
                <w:szCs w:val="18"/>
              </w:rPr>
              <w:t>报告 期实</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4" w:right="94"/>
              <w:jc w:val="left"/>
              <w:rPr>
                <w:rFonts w:ascii="宋体" w:hAnsi="宋体" w:cs="宋体" w:eastAsia="宋体" w:hint="default"/>
                <w:sz w:val="18"/>
                <w:szCs w:val="18"/>
              </w:rPr>
            </w:pPr>
            <w:r>
              <w:rPr>
                <w:rFonts w:ascii="宋体" w:hAnsi="宋体" w:cs="宋体" w:eastAsia="宋体" w:hint="default"/>
                <w:sz w:val="18"/>
                <w:szCs w:val="18"/>
              </w:rPr>
              <w:t>报告 期损</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88" w:right="89"/>
              <w:jc w:val="left"/>
              <w:rPr>
                <w:rFonts w:ascii="宋体" w:hAnsi="宋体" w:cs="宋体" w:eastAsia="宋体" w:hint="default"/>
                <w:sz w:val="18"/>
                <w:szCs w:val="18"/>
              </w:rPr>
            </w:pPr>
            <w:r>
              <w:rPr>
                <w:rFonts w:ascii="宋体" w:hAnsi="宋体" w:cs="宋体" w:eastAsia="宋体" w:hint="default"/>
                <w:sz w:val="18"/>
                <w:szCs w:val="18"/>
              </w:rPr>
              <w:t>计提 减值</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87" w:right="89"/>
              <w:jc w:val="left"/>
              <w:rPr>
                <w:rFonts w:ascii="宋体" w:hAnsi="宋体" w:cs="宋体" w:eastAsia="宋体" w:hint="default"/>
                <w:sz w:val="18"/>
                <w:szCs w:val="18"/>
              </w:rPr>
            </w:pPr>
            <w:r>
              <w:rPr>
                <w:rFonts w:ascii="宋体" w:hAnsi="宋体" w:cs="宋体" w:eastAsia="宋体" w:hint="default"/>
                <w:sz w:val="18"/>
                <w:szCs w:val="18"/>
              </w:rPr>
              <w:t>是否 经过</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87" w:right="86"/>
              <w:jc w:val="left"/>
              <w:rPr>
                <w:rFonts w:ascii="宋体" w:hAnsi="宋体" w:cs="宋体" w:eastAsia="宋体" w:hint="default"/>
                <w:sz w:val="18"/>
                <w:szCs w:val="18"/>
              </w:rPr>
            </w:pPr>
            <w:r>
              <w:rPr>
                <w:rFonts w:ascii="宋体" w:hAnsi="宋体" w:cs="宋体" w:eastAsia="宋体" w:hint="default"/>
                <w:sz w:val="18"/>
                <w:szCs w:val="18"/>
              </w:rPr>
              <w:t>未来 是否</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85" w:right="71"/>
              <w:jc w:val="left"/>
              <w:rPr>
                <w:rFonts w:ascii="宋体" w:hAnsi="宋体" w:cs="宋体" w:eastAsia="宋体" w:hint="default"/>
                <w:sz w:val="18"/>
                <w:szCs w:val="18"/>
              </w:rPr>
            </w:pPr>
            <w:r>
              <w:rPr>
                <w:rFonts w:ascii="宋体" w:hAnsi="宋体" w:cs="宋体" w:eastAsia="宋体" w:hint="default"/>
                <w:sz w:val="18"/>
                <w:szCs w:val="18"/>
              </w:rPr>
              <w:t>事项 概述</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611"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9" w:right="0"/>
              <w:jc w:val="both"/>
              <w:rPr>
                <w:rFonts w:ascii="宋体" w:hAnsi="宋体" w:cs="宋体" w:eastAsia="宋体" w:hint="default"/>
                <w:sz w:val="18"/>
                <w:szCs w:val="18"/>
              </w:rPr>
            </w:pPr>
            <w:r>
              <w:rPr>
                <w:rFonts w:ascii="宋体" w:hAnsi="宋体" w:cs="宋体" w:eastAsia="宋体" w:hint="default"/>
                <w:sz w:val="18"/>
                <w:szCs w:val="18"/>
              </w:rPr>
              <w:t>名称</w:t>
            </w:r>
          </w:p>
          <w:p>
            <w:pPr>
              <w:pStyle w:val="TableParagraph"/>
              <w:spacing w:line="319" w:lineRule="auto" w:before="76"/>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4" w:right="95" w:hanging="90"/>
              <w:jc w:val="left"/>
              <w:rPr>
                <w:rFonts w:ascii="宋体" w:hAnsi="宋体" w:cs="宋体" w:eastAsia="宋体" w:hint="default"/>
                <w:sz w:val="18"/>
                <w:szCs w:val="18"/>
              </w:rPr>
            </w:pPr>
            <w:r>
              <w:rPr>
                <w:rFonts w:ascii="宋体" w:hAnsi="宋体" w:cs="宋体" w:eastAsia="宋体" w:hint="default"/>
                <w:sz w:val="18"/>
                <w:szCs w:val="18"/>
              </w:rPr>
              <w:t>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4" w:right="95"/>
              <w:jc w:val="both"/>
              <w:rPr>
                <w:rFonts w:ascii="宋体" w:hAnsi="宋体" w:cs="宋体" w:eastAsia="宋体" w:hint="default"/>
                <w:sz w:val="18"/>
                <w:szCs w:val="18"/>
              </w:rPr>
            </w:pPr>
            <w:r>
              <w:rPr>
                <w:rFonts w:ascii="宋体" w:hAnsi="宋体" w:cs="宋体" w:eastAsia="宋体" w:hint="default"/>
                <w:sz w:val="18"/>
                <w:szCs w:val="18"/>
              </w:rPr>
              <w:t>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4" w:right="94"/>
              <w:jc w:val="both"/>
              <w:rPr>
                <w:rFonts w:ascii="宋体" w:hAnsi="宋体" w:cs="宋体" w:eastAsia="宋体" w:hint="default"/>
                <w:sz w:val="18"/>
                <w:szCs w:val="18"/>
              </w:rPr>
            </w:pPr>
            <w:r>
              <w:rPr>
                <w:rFonts w:ascii="宋体" w:hAnsi="宋体" w:cs="宋体" w:eastAsia="宋体" w:hint="default"/>
                <w:sz w:val="18"/>
                <w:szCs w:val="18"/>
              </w:rPr>
              <w:t>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88" w:right="89"/>
              <w:jc w:val="left"/>
              <w:rPr>
                <w:rFonts w:ascii="宋体" w:hAnsi="宋体" w:cs="宋体" w:eastAsia="宋体" w:hint="default"/>
                <w:sz w:val="18"/>
                <w:szCs w:val="18"/>
              </w:rPr>
            </w:pPr>
            <w:r>
              <w:rPr>
                <w:rFonts w:ascii="宋体" w:hAnsi="宋体" w:cs="宋体" w:eastAsia="宋体" w:hint="default"/>
                <w:sz w:val="18"/>
                <w:szCs w:val="18"/>
              </w:rPr>
              <w:t>准备 金额</w:t>
            </w:r>
          </w:p>
          <w:p>
            <w:pPr>
              <w:pStyle w:val="TableParagraph"/>
              <w:spacing w:line="319" w:lineRule="auto" w:before="19"/>
              <w:ind w:left="88" w:right="89"/>
              <w:jc w:val="left"/>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7" w:right="89"/>
              <w:jc w:val="left"/>
              <w:rPr>
                <w:rFonts w:ascii="宋体" w:hAnsi="宋体" w:cs="宋体" w:eastAsia="宋体" w:hint="default"/>
                <w:sz w:val="18"/>
                <w:szCs w:val="18"/>
              </w:rPr>
            </w:pPr>
            <w:r>
              <w:rPr>
                <w:rFonts w:ascii="宋体" w:hAnsi="宋体" w:cs="宋体" w:eastAsia="宋体" w:hint="default"/>
                <w:sz w:val="18"/>
                <w:szCs w:val="18"/>
              </w:rPr>
              <w:t>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7" w:right="86"/>
              <w:jc w:val="both"/>
              <w:rPr>
                <w:rFonts w:ascii="宋体" w:hAnsi="宋体" w:cs="宋体" w:eastAsia="宋体" w:hint="default"/>
                <w:sz w:val="18"/>
                <w:szCs w:val="18"/>
              </w:rPr>
            </w:pPr>
            <w:r>
              <w:rPr>
                <w:rFonts w:ascii="宋体" w:hAnsi="宋体" w:cs="宋体" w:eastAsia="宋体" w:hint="default"/>
                <w:sz w:val="18"/>
                <w:szCs w:val="18"/>
              </w:rPr>
              <w:t>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3" w:right="20"/>
              <w:jc w:val="center"/>
              <w:rPr>
                <w:rFonts w:ascii="宋体" w:hAnsi="宋体" w:cs="宋体" w:eastAsia="宋体" w:hint="default"/>
                <w:sz w:val="18"/>
                <w:szCs w:val="18"/>
              </w:rPr>
            </w:pPr>
            <w:r>
              <w:rPr>
                <w:rFonts w:ascii="宋体" w:hAnsi="宋体" w:cs="宋体" w:eastAsia="宋体" w:hint="default"/>
                <w:sz w:val="18"/>
                <w:szCs w:val="18"/>
              </w:rPr>
              <w:t>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44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番禺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 益、封 闭式</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本金 及收 益于 产品 到期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个工 作日 内根 据实 际情 况一 次性 支付</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37.65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7.72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37.65</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44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番禺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 益、封 闭式</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本金 及收 益于 产品 到期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个工 作日 内根 据实 际情 况一 次性 支付</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4.35%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73.59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36.99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73.59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317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番禺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31"/>
              <w:jc w:val="left"/>
              <w:rPr>
                <w:rFonts w:ascii="宋体" w:hAnsi="宋体" w:cs="宋体" w:eastAsia="宋体" w:hint="default"/>
                <w:sz w:val="18"/>
                <w:szCs w:val="18"/>
              </w:rPr>
            </w:pPr>
            <w:r>
              <w:rPr>
                <w:rFonts w:ascii="宋体" w:hAnsi="宋体" w:cs="宋体" w:eastAsia="宋体" w:hint="default"/>
                <w:sz w:val="18"/>
                <w:szCs w:val="18"/>
              </w:rPr>
              <w:t>保本浮 动收 益、封 闭式</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本金 及收 益于 产品 到期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个工 作日 内根 据实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86.53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86.53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86.53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298"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际情 况一 次性 支付</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番禺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 益、封 闭式</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本金 及收 益于 产品 到期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个工 作日 内根 据实 际情 况一 次性 支付</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63.8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63.8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63.80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44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番禺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 益、封 闭式</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本金 及收 益于 产品 到期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个工 作日 内根 据实 际情 况一 次性 支付</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12.84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12.84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12.84</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348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广州 番禺 天安 科技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国债、 中央 银行 票据、 金融 债等 法律、 法规、 监管 规定 允许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到期 日一 次性 返还 产品 存款 本金 和约 定的 产品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24.31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24.31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24.31</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4"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bl>
    <w:p>
      <w:pPr>
        <w:spacing w:after="0" w:line="364"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859"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范围 内的 其他 低风 险高 流动 性的 金融 资产</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广州 番禺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银行 间市 场央 </w:t>
            </w:r>
            <w:r>
              <w:rPr>
                <w:rFonts w:ascii="宋体" w:hAnsi="宋体" w:cs="宋体" w:eastAsia="宋体" w:hint="default"/>
                <w:spacing w:val="-12"/>
                <w:sz w:val="18"/>
                <w:szCs w:val="18"/>
              </w:rPr>
              <w:t>票、国</w:t>
            </w:r>
            <w:r>
              <w:rPr>
                <w:rFonts w:ascii="宋体" w:hAnsi="宋体" w:cs="宋体" w:eastAsia="宋体" w:hint="default"/>
                <w:sz w:val="18"/>
                <w:szCs w:val="18"/>
              </w:rPr>
              <w:t> 债金 融债、 企业 </w:t>
            </w:r>
            <w:r>
              <w:rPr>
                <w:rFonts w:ascii="宋体" w:hAnsi="宋体" w:cs="宋体" w:eastAsia="宋体" w:hint="default"/>
                <w:spacing w:val="-12"/>
                <w:sz w:val="18"/>
                <w:szCs w:val="18"/>
              </w:rPr>
              <w:t>债、短</w:t>
            </w:r>
            <w:r>
              <w:rPr>
                <w:rFonts w:ascii="宋体" w:hAnsi="宋体" w:cs="宋体" w:eastAsia="宋体" w:hint="default"/>
                <w:sz w:val="18"/>
                <w:szCs w:val="18"/>
              </w:rPr>
              <w:t> </w:t>
            </w:r>
            <w:r>
              <w:rPr>
                <w:rFonts w:ascii="宋体" w:hAnsi="宋体" w:cs="宋体" w:eastAsia="宋体" w:hint="default"/>
                <w:spacing w:val="-12"/>
                <w:sz w:val="18"/>
                <w:szCs w:val="18"/>
              </w:rPr>
              <w:t>融、中</w:t>
            </w:r>
            <w:r>
              <w:rPr>
                <w:rFonts w:ascii="宋体" w:hAnsi="宋体" w:cs="宋体" w:eastAsia="宋体" w:hint="default"/>
                <w:sz w:val="18"/>
                <w:szCs w:val="18"/>
              </w:rPr>
              <w:t> 期票 </w:t>
            </w:r>
            <w:r>
              <w:rPr>
                <w:rFonts w:ascii="宋体" w:hAnsi="宋体" w:cs="宋体" w:eastAsia="宋体" w:hint="default"/>
                <w:spacing w:val="-12"/>
                <w:sz w:val="18"/>
                <w:szCs w:val="18"/>
              </w:rPr>
              <w:t>据、同</w:t>
            </w:r>
            <w:r>
              <w:rPr>
                <w:rFonts w:ascii="宋体" w:hAnsi="宋体" w:cs="宋体" w:eastAsia="宋体" w:hint="default"/>
                <w:sz w:val="18"/>
                <w:szCs w:val="18"/>
              </w:rPr>
              <w:t> 业拆 </w:t>
            </w:r>
            <w:r>
              <w:rPr>
                <w:rFonts w:ascii="宋体" w:hAnsi="宋体" w:cs="宋体" w:eastAsia="宋体" w:hint="default"/>
                <w:spacing w:val="-12"/>
                <w:sz w:val="18"/>
                <w:szCs w:val="18"/>
              </w:rPr>
              <w:t>借、同</w:t>
            </w:r>
            <w:r>
              <w:rPr>
                <w:rFonts w:ascii="宋体" w:hAnsi="宋体" w:cs="宋体" w:eastAsia="宋体" w:hint="default"/>
                <w:sz w:val="18"/>
                <w:szCs w:val="18"/>
              </w:rPr>
              <w:t> 业存 </w:t>
            </w:r>
            <w:r>
              <w:rPr>
                <w:rFonts w:ascii="宋体" w:hAnsi="宋体" w:cs="宋体" w:eastAsia="宋体" w:hint="default"/>
                <w:spacing w:val="-12"/>
                <w:sz w:val="18"/>
                <w:szCs w:val="18"/>
              </w:rPr>
              <w:t>款、债</w:t>
            </w:r>
            <w:r>
              <w:rPr>
                <w:rFonts w:ascii="宋体" w:hAnsi="宋体" w:cs="宋体" w:eastAsia="宋体" w:hint="default"/>
                <w:sz w:val="18"/>
                <w:szCs w:val="18"/>
              </w:rPr>
              <w:t> 券或 票据 回购 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both"/>
              <w:rPr>
                <w:rFonts w:ascii="宋体" w:hAnsi="宋体" w:cs="宋体" w:eastAsia="宋体" w:hint="default"/>
                <w:sz w:val="18"/>
                <w:szCs w:val="18"/>
              </w:rPr>
            </w:pPr>
            <w:r>
              <w:rPr>
                <w:rFonts w:ascii="宋体" w:hAnsi="宋体" w:cs="宋体" w:eastAsia="宋体" w:hint="default"/>
                <w:sz w:val="18"/>
                <w:szCs w:val="18"/>
              </w:rPr>
              <w:t>投资 到期 日一 次性 返还 产品 存款 本金 和约 定的 产品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4.75%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44.31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44.31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44.31</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44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番禺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 益、封 闭式</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本金 及收 益于 产品 到期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个工 作日 内根 据实 际情 况一 次性 支付</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50.08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50.08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40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保本浮</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结构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本金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4.65%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25.96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25.96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25.96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巨潮</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410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银行 股份 有限 公司 广州 分行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1"/>
              <w:jc w:val="left"/>
              <w:rPr>
                <w:rFonts w:ascii="宋体" w:hAnsi="宋体" w:cs="宋体" w:eastAsia="宋体" w:hint="default"/>
                <w:sz w:val="18"/>
                <w:szCs w:val="18"/>
              </w:rPr>
            </w:pPr>
            <w:r>
              <w:rPr>
                <w:rFonts w:ascii="宋体" w:hAnsi="宋体" w:cs="宋体" w:eastAsia="宋体" w:hint="default"/>
                <w:sz w:val="18"/>
                <w:szCs w:val="18"/>
              </w:rPr>
              <w:t>动收 益、封 闭式</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1"/>
              <w:jc w:val="left"/>
              <w:rPr>
                <w:rFonts w:ascii="宋体" w:hAnsi="宋体" w:cs="宋体" w:eastAsia="宋体" w:hint="default"/>
                <w:sz w:val="18"/>
                <w:szCs w:val="18"/>
              </w:rPr>
            </w:pPr>
            <w:r>
              <w:rPr>
                <w:rFonts w:ascii="宋体" w:hAnsi="宋体" w:cs="宋体" w:eastAsia="宋体" w:hint="default"/>
                <w:sz w:val="18"/>
                <w:szCs w:val="18"/>
              </w:rPr>
              <w:t>及收 益于 产品 到期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个工 作日 内根 据实 际情 况一 次性 支付</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0"/>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资讯： </w:t>
            </w:r>
            <w:hyperlink r:id="rId13">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z w:val="18"/>
                <w:szCs w:val="18"/>
              </w:rPr>
              <w:t> cninfo</w:t>
            </w:r>
          </w:p>
          <w:p>
            <w:pPr>
              <w:pStyle w:val="TableParagraph"/>
              <w:spacing w:line="364" w:lineRule="auto" w:before="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601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 广州 番禺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银行 间市 场央 </w:t>
            </w:r>
            <w:r>
              <w:rPr>
                <w:rFonts w:ascii="宋体" w:hAnsi="宋体" w:cs="宋体" w:eastAsia="宋体" w:hint="default"/>
                <w:spacing w:val="-12"/>
                <w:sz w:val="18"/>
                <w:szCs w:val="18"/>
              </w:rPr>
              <w:t>票、国</w:t>
            </w:r>
            <w:r>
              <w:rPr>
                <w:rFonts w:ascii="宋体" w:hAnsi="宋体" w:cs="宋体" w:eastAsia="宋体" w:hint="default"/>
                <w:sz w:val="18"/>
                <w:szCs w:val="18"/>
              </w:rPr>
              <w:t> 债金 融债、 企业 </w:t>
            </w:r>
            <w:r>
              <w:rPr>
                <w:rFonts w:ascii="宋体" w:hAnsi="宋体" w:cs="宋体" w:eastAsia="宋体" w:hint="default"/>
                <w:spacing w:val="-12"/>
                <w:sz w:val="18"/>
                <w:szCs w:val="18"/>
              </w:rPr>
              <w:t>债、短</w:t>
            </w:r>
            <w:r>
              <w:rPr>
                <w:rFonts w:ascii="宋体" w:hAnsi="宋体" w:cs="宋体" w:eastAsia="宋体" w:hint="default"/>
                <w:sz w:val="18"/>
                <w:szCs w:val="18"/>
              </w:rPr>
              <w:t> </w:t>
            </w:r>
            <w:r>
              <w:rPr>
                <w:rFonts w:ascii="宋体" w:hAnsi="宋体" w:cs="宋体" w:eastAsia="宋体" w:hint="default"/>
                <w:spacing w:val="-12"/>
                <w:sz w:val="18"/>
                <w:szCs w:val="18"/>
              </w:rPr>
              <w:t>融、中</w:t>
            </w:r>
            <w:r>
              <w:rPr>
                <w:rFonts w:ascii="宋体" w:hAnsi="宋体" w:cs="宋体" w:eastAsia="宋体" w:hint="default"/>
                <w:sz w:val="18"/>
                <w:szCs w:val="18"/>
              </w:rPr>
              <w:t> 期票 </w:t>
            </w:r>
            <w:r>
              <w:rPr>
                <w:rFonts w:ascii="宋体" w:hAnsi="宋体" w:cs="宋体" w:eastAsia="宋体" w:hint="default"/>
                <w:spacing w:val="-12"/>
                <w:sz w:val="18"/>
                <w:szCs w:val="18"/>
              </w:rPr>
              <w:t>据、同</w:t>
            </w:r>
            <w:r>
              <w:rPr>
                <w:rFonts w:ascii="宋体" w:hAnsi="宋体" w:cs="宋体" w:eastAsia="宋体" w:hint="default"/>
                <w:sz w:val="18"/>
                <w:szCs w:val="18"/>
              </w:rPr>
              <w:t> 业拆 </w:t>
            </w:r>
            <w:r>
              <w:rPr>
                <w:rFonts w:ascii="宋体" w:hAnsi="宋体" w:cs="宋体" w:eastAsia="宋体" w:hint="default"/>
                <w:spacing w:val="-12"/>
                <w:sz w:val="18"/>
                <w:szCs w:val="18"/>
              </w:rPr>
              <w:t>借、同</w:t>
            </w:r>
            <w:r>
              <w:rPr>
                <w:rFonts w:ascii="宋体" w:hAnsi="宋体" w:cs="宋体" w:eastAsia="宋体" w:hint="default"/>
                <w:sz w:val="18"/>
                <w:szCs w:val="18"/>
              </w:rPr>
              <w:t> 业存 </w:t>
            </w:r>
            <w:r>
              <w:rPr>
                <w:rFonts w:ascii="宋体" w:hAnsi="宋体" w:cs="宋体" w:eastAsia="宋体" w:hint="default"/>
                <w:spacing w:val="-12"/>
                <w:sz w:val="18"/>
                <w:szCs w:val="18"/>
              </w:rPr>
              <w:t>款、债</w:t>
            </w:r>
            <w:r>
              <w:rPr>
                <w:rFonts w:ascii="宋体" w:hAnsi="宋体" w:cs="宋体" w:eastAsia="宋体" w:hint="default"/>
                <w:sz w:val="18"/>
                <w:szCs w:val="18"/>
              </w:rPr>
              <w:t> 券或 票据 回购 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both"/>
              <w:rPr>
                <w:rFonts w:ascii="宋体" w:hAnsi="宋体" w:cs="宋体" w:eastAsia="宋体" w:hint="default"/>
                <w:sz w:val="18"/>
                <w:szCs w:val="18"/>
              </w:rPr>
            </w:pPr>
            <w:r>
              <w:rPr>
                <w:rFonts w:ascii="宋体" w:hAnsi="宋体" w:cs="宋体" w:eastAsia="宋体" w:hint="default"/>
                <w:sz w:val="18"/>
                <w:szCs w:val="18"/>
              </w:rPr>
              <w:t>投资 到期 日一 次性 返还 产品 存款 本金 和约 定的 产品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14.61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14.61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14.61</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379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 广州 番禺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银行 间市 场央 </w:t>
            </w:r>
            <w:r>
              <w:rPr>
                <w:rFonts w:ascii="宋体" w:hAnsi="宋体" w:cs="宋体" w:eastAsia="宋体" w:hint="default"/>
                <w:spacing w:val="-12"/>
                <w:sz w:val="18"/>
                <w:szCs w:val="18"/>
              </w:rPr>
              <w:t>票、国</w:t>
            </w:r>
            <w:r>
              <w:rPr>
                <w:rFonts w:ascii="宋体" w:hAnsi="宋体" w:cs="宋体" w:eastAsia="宋体" w:hint="default"/>
                <w:sz w:val="18"/>
                <w:szCs w:val="18"/>
              </w:rPr>
              <w:t> 债金 融债、 企业 </w:t>
            </w:r>
            <w:r>
              <w:rPr>
                <w:rFonts w:ascii="宋体" w:hAnsi="宋体" w:cs="宋体" w:eastAsia="宋体" w:hint="default"/>
                <w:spacing w:val="-12"/>
                <w:sz w:val="18"/>
                <w:szCs w:val="18"/>
              </w:rPr>
              <w:t>债、短</w:t>
            </w:r>
            <w:r>
              <w:rPr>
                <w:rFonts w:ascii="宋体" w:hAnsi="宋体" w:cs="宋体" w:eastAsia="宋体" w:hint="default"/>
                <w:sz w:val="18"/>
                <w:szCs w:val="18"/>
              </w:rPr>
              <w:t> </w:t>
            </w:r>
            <w:r>
              <w:rPr>
                <w:rFonts w:ascii="宋体" w:hAnsi="宋体" w:cs="宋体" w:eastAsia="宋体" w:hint="default"/>
                <w:spacing w:val="-12"/>
                <w:sz w:val="18"/>
                <w:szCs w:val="18"/>
              </w:rPr>
              <w:t>融、中</w:t>
            </w:r>
            <w:r>
              <w:rPr>
                <w:rFonts w:ascii="宋体" w:hAnsi="宋体" w:cs="宋体" w:eastAsia="宋体" w:hint="default"/>
                <w:sz w:val="18"/>
                <w:szCs w:val="18"/>
              </w:rPr>
              <w:t> 期票 </w:t>
            </w:r>
            <w:r>
              <w:rPr>
                <w:rFonts w:ascii="宋体" w:hAnsi="宋体" w:cs="宋体" w:eastAsia="宋体" w:hint="default"/>
                <w:spacing w:val="-12"/>
                <w:sz w:val="18"/>
                <w:szCs w:val="18"/>
              </w:rPr>
              <w:t>据、同</w:t>
            </w:r>
            <w:r>
              <w:rPr>
                <w:rFonts w:ascii="宋体" w:hAnsi="宋体" w:cs="宋体" w:eastAsia="宋体" w:hint="default"/>
                <w:sz w:val="18"/>
                <w:szCs w:val="18"/>
              </w:rPr>
              <w:t> 业拆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投资 到期 日一 次性 返还 产品 存款 本金 和约 定的 产品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63" w:right="0"/>
              <w:jc w:val="left"/>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101" w:right="0"/>
              <w:jc w:val="center"/>
              <w:rPr>
                <w:rFonts w:ascii="Times New Roman" w:hAnsi="Times New Roman" w:cs="Times New Roman" w:eastAsia="Times New Roman" w:hint="default"/>
                <w:sz w:val="18"/>
                <w:szCs w:val="18"/>
              </w:rPr>
            </w:pPr>
            <w:r>
              <w:rPr>
                <w:rFonts w:ascii="Times New Roman"/>
                <w:sz w:val="18"/>
              </w:rPr>
              <w:t>41.05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100" w:right="0"/>
              <w:jc w:val="center"/>
              <w:rPr>
                <w:rFonts w:ascii="Times New Roman" w:hAnsi="Times New Roman" w:cs="Times New Roman" w:eastAsia="Times New Roman" w:hint="default"/>
                <w:sz w:val="18"/>
                <w:szCs w:val="18"/>
              </w:rPr>
            </w:pPr>
            <w:r>
              <w:rPr>
                <w:rFonts w:ascii="Times New Roman"/>
                <w:sz w:val="18"/>
              </w:rPr>
              <w:t>41.05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sz w:val="18"/>
              </w:rPr>
              <w:t>41.05</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39"/>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4"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bl>
    <w:p>
      <w:pPr>
        <w:spacing w:after="0" w:line="364"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3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12"/>
                <w:sz w:val="18"/>
                <w:szCs w:val="18"/>
              </w:rPr>
              <w:t>借、同</w:t>
            </w:r>
            <w:r>
              <w:rPr>
                <w:rFonts w:ascii="宋体" w:hAnsi="宋体" w:cs="宋体" w:eastAsia="宋体" w:hint="default"/>
                <w:sz w:val="18"/>
                <w:szCs w:val="18"/>
              </w:rPr>
              <w:t> 业存 </w:t>
            </w:r>
            <w:r>
              <w:rPr>
                <w:rFonts w:ascii="宋体" w:hAnsi="宋体" w:cs="宋体" w:eastAsia="宋体" w:hint="default"/>
                <w:spacing w:val="-12"/>
                <w:sz w:val="18"/>
                <w:szCs w:val="18"/>
              </w:rPr>
              <w:t>款、债</w:t>
            </w:r>
            <w:r>
              <w:rPr>
                <w:rFonts w:ascii="宋体" w:hAnsi="宋体" w:cs="宋体" w:eastAsia="宋体" w:hint="default"/>
                <w:sz w:val="18"/>
                <w:szCs w:val="18"/>
              </w:rPr>
              <w:t> 券或 票据 回购 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 益、封 闭式</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本金 及收 益于 产品 到期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个工 作日 内根 据实 际情 况一 次性 支付</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3.70%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22.09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22.09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22.09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44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 益、封 闭式</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本金 及收 益于 产品 到期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个工 作日 内根 据实 际情 况一 次性 支付</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47.55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47.55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47.55</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 益、封 闭式</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本金 及收 益于 产品 到期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个工 作日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63" w:right="0"/>
              <w:jc w:val="left"/>
              <w:rPr>
                <w:rFonts w:ascii="Times New Roman" w:hAnsi="Times New Roman" w:cs="Times New Roman" w:eastAsia="Times New Roman" w:hint="default"/>
                <w:sz w:val="18"/>
                <w:szCs w:val="18"/>
              </w:rPr>
            </w:pPr>
            <w:r>
              <w:rPr>
                <w:rFonts w:ascii="Times New Roman"/>
                <w:sz w:val="18"/>
              </w:rPr>
              <w:t>3.85%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101" w:right="0"/>
              <w:jc w:val="center"/>
              <w:rPr>
                <w:rFonts w:ascii="Times New Roman" w:hAnsi="Times New Roman" w:cs="Times New Roman" w:eastAsia="Times New Roman" w:hint="default"/>
                <w:sz w:val="18"/>
                <w:szCs w:val="18"/>
              </w:rPr>
            </w:pPr>
            <w:r>
              <w:rPr>
                <w:rFonts w:ascii="Times New Roman"/>
                <w:sz w:val="18"/>
              </w:rPr>
              <w:t>32.44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100" w:right="0"/>
              <w:jc w:val="center"/>
              <w:rPr>
                <w:rFonts w:ascii="Times New Roman" w:hAnsi="Times New Roman" w:cs="Times New Roman" w:eastAsia="Times New Roman" w:hint="default"/>
                <w:sz w:val="18"/>
                <w:szCs w:val="18"/>
              </w:rPr>
            </w:pPr>
            <w:r>
              <w:rPr>
                <w:rFonts w:ascii="Times New Roman"/>
                <w:sz w:val="18"/>
              </w:rPr>
              <w:t>30.15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36"/>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内根 据实 际情 况一 次性 支付</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 益、封 闭式</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本金 及收 益于 产品 到期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个工 作日 内根 据实 际情 况一 次性 支付</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19.76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13.31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383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 广州 番禺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到期 日一 次性 返还 产品 存款 本金 和约 定的 产品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63" w:right="0"/>
              <w:jc w:val="left"/>
              <w:rPr>
                <w:rFonts w:ascii="Times New Roman" w:hAnsi="Times New Roman" w:cs="Times New Roman" w:eastAsia="Times New Roman" w:hint="default"/>
                <w:sz w:val="18"/>
                <w:szCs w:val="18"/>
              </w:rPr>
            </w:pPr>
            <w:r>
              <w:rPr>
                <w:rFonts w:ascii="Times New Roman"/>
                <w:sz w:val="18"/>
              </w:rPr>
              <w:t>4.05%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1" w:right="0"/>
              <w:jc w:val="center"/>
              <w:rPr>
                <w:rFonts w:ascii="Times New Roman" w:hAnsi="Times New Roman" w:cs="Times New Roman" w:eastAsia="Times New Roman" w:hint="default"/>
                <w:sz w:val="18"/>
                <w:szCs w:val="18"/>
              </w:rPr>
            </w:pPr>
            <w:r>
              <w:rPr>
                <w:rFonts w:ascii="Times New Roman"/>
                <w:sz w:val="18"/>
              </w:rPr>
              <w:t>18.84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0" w:right="0"/>
              <w:jc w:val="center"/>
              <w:rPr>
                <w:rFonts w:ascii="Times New Roman" w:hAnsi="Times New Roman" w:cs="Times New Roman" w:eastAsia="Times New Roman" w:hint="default"/>
                <w:sz w:val="18"/>
                <w:szCs w:val="18"/>
              </w:rPr>
            </w:pPr>
            <w:r>
              <w:rPr>
                <w:rFonts w:ascii="Times New Roman"/>
                <w:sz w:val="18"/>
              </w:rPr>
              <w:t>10.26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60"/>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348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日后 的两 个工 作日 内支 付结 构性 存款 本金 及收</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5.66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2.36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4"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bl>
    <w:p>
      <w:pPr>
        <w:spacing w:after="0" w:line="364"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62"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 益、封 闭式</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本金 及收 益于 产品 到期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个工 作日 内根 据实 际情 况一 次性 支付</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3.95%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13">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402"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543.48</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9" w:space="0" w:color="D2D2D2"/>
              <w:bottom w:val="single" w:sz="4" w:space="0" w:color="000000"/>
              <w:right w:val="single" w:sz="9" w:space="0" w:color="D2D2D2"/>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Times New Roman" w:hAnsi="Times New Roman" w:cs="Times New Roman" w:eastAsia="Times New Roman" w:hint="default"/>
          <w:sz w:val="7"/>
          <w:szCs w:val="7"/>
        </w:rPr>
      </w:pPr>
    </w:p>
    <w:p>
      <w:pPr>
        <w:pStyle w:val="BodyText"/>
        <w:spacing w:line="240" w:lineRule="auto" w:before="44"/>
        <w:ind w:right="0"/>
        <w:jc w:val="left"/>
      </w:pPr>
      <w:r>
        <w:rPr/>
        <w:t>委托理财出现预期无法收回本金或存在其他可能导致减值的情形</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227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3"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2"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1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both"/>
              <w:rPr>
                <w:rFonts w:ascii="宋体" w:hAnsi="宋体" w:cs="宋体" w:eastAsia="宋体" w:hint="default"/>
                <w:sz w:val="18"/>
                <w:szCs w:val="18"/>
              </w:rPr>
            </w:pPr>
            <w:r>
              <w:rPr>
                <w:rFonts w:ascii="宋体" w:hAnsi="宋体" w:cs="宋体" w:eastAsia="宋体" w:hint="default"/>
                <w:sz w:val="18"/>
                <w:szCs w:val="18"/>
              </w:rPr>
              <w:t>重庆浩 云公共 安全物 联网技 术有限</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重庆市 公安局 渝北区 分局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提供符 合使用 要求的 设备、 安装及</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23,911.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执行 中，已 累计确 认收入</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9,626.3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hyperlink r:id="rId11">
              <w:r>
                <w:rPr>
                  <w:rFonts w:ascii="Times New Roman" w:hAnsi="Times New Roman" w:cs="Times New Roman" w:eastAsia="Times New Roman" w:hint="default"/>
                  <w:sz w:val="18"/>
                  <w:szCs w:val="18"/>
                </w:rPr>
                <w:t>http://w</w:t>
              </w:r>
            </w:hyperlink>
          </w:p>
          <w:p>
            <w:pPr>
              <w:pStyle w:val="TableParagraph"/>
              <w:spacing w:line="362" w:lineRule="auto" w:before="23"/>
              <w:ind w:left="22" w:right="89"/>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67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技术等 服务</w:t>
            </w: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m.cn</w:t>
            </w:r>
          </w:p>
        </w:tc>
      </w:tr>
      <w:tr>
        <w:trPr>
          <w:trHeight w:val="383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63"/>
              <w:jc w:val="both"/>
              <w:rPr>
                <w:rFonts w:ascii="宋体" w:hAnsi="宋体" w:cs="宋体" w:eastAsia="宋体" w:hint="default"/>
                <w:sz w:val="18"/>
                <w:szCs w:val="18"/>
              </w:rPr>
            </w:pPr>
            <w:r>
              <w:rPr>
                <w:rFonts w:ascii="宋体" w:hAnsi="宋体" w:cs="宋体" w:eastAsia="宋体" w:hint="default"/>
                <w:sz w:val="18"/>
                <w:szCs w:val="18"/>
              </w:rPr>
              <w:t>浩云科 技股份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广州市 番禺节 能科技 园发展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广东省 广州市 番禺区 东环街 番禺大 道北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z w:val="18"/>
                <w:szCs w:val="18"/>
              </w:rPr>
              <w:t>天安总 部中心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（认购 协议）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10" w:right="0"/>
              <w:jc w:val="left"/>
              <w:rPr>
                <w:rFonts w:ascii="Times New Roman" w:hAnsi="Times New Roman" w:cs="Times New Roman" w:eastAsia="Times New Roman" w:hint="default"/>
                <w:sz w:val="18"/>
                <w:szCs w:val="18"/>
              </w:rPr>
            </w:pPr>
            <w:r>
              <w:rPr>
                <w:rFonts w:ascii="Times New Roman"/>
                <w:sz w:val="18"/>
              </w:rPr>
              <w:t>18,000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65"/>
              <w:jc w:val="left"/>
              <w:rPr>
                <w:rFonts w:ascii="宋体" w:hAnsi="宋体" w:cs="宋体" w:eastAsia="宋体" w:hint="default"/>
                <w:sz w:val="18"/>
                <w:szCs w:val="18"/>
              </w:rPr>
            </w:pPr>
            <w:r>
              <w:rPr>
                <w:rFonts w:ascii="宋体" w:hAnsi="宋体" w:cs="宋体" w:eastAsia="宋体" w:hint="default"/>
                <w:sz w:val="18"/>
                <w:szCs w:val="18"/>
              </w:rPr>
              <w:t>合同款 项已支 付完 毕，产 权证书 正在办 理中。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38" w:lineRule="auto"/>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hyperlink r:id="rId11">
              <w:r>
                <w:rPr>
                  <w:rFonts w:ascii="Times New Roman" w:hAnsi="Times New Roman" w:cs="Times New Roman" w:eastAsia="Times New Roman" w:hint="default"/>
                  <w:sz w:val="18"/>
                  <w:szCs w:val="18"/>
                </w:rPr>
                <w:t>http://w</w:t>
              </w:r>
            </w:hyperlink>
          </w:p>
          <w:p>
            <w:pPr>
              <w:pStyle w:val="TableParagraph"/>
              <w:spacing w:line="362" w:lineRule="auto" w:before="23"/>
              <w:ind w:left="22" w:right="89"/>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258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浩云科 技股份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北京市 公安局 通州分 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北京市 通州区 公共安 全视频 监控建 设联网 应用项 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8,560.6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3"/>
              <w:jc w:val="left"/>
              <w:rPr>
                <w:rFonts w:ascii="宋体" w:hAnsi="宋体" w:cs="宋体" w:eastAsia="宋体" w:hint="default"/>
                <w:sz w:val="18"/>
                <w:szCs w:val="18"/>
              </w:rPr>
            </w:pPr>
            <w:r>
              <w:rPr>
                <w:rFonts w:ascii="宋体" w:hAnsi="宋体" w:cs="宋体" w:eastAsia="宋体" w:hint="default"/>
                <w:sz w:val="18"/>
                <w:szCs w:val="18"/>
              </w:rPr>
              <w:t>执行 中，已 累计确 认收 入：</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3,777.0</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hyperlink r:id="rId11">
              <w:r>
                <w:rPr>
                  <w:rFonts w:ascii="Times New Roman" w:hAnsi="Times New Roman" w:cs="Times New Roman" w:eastAsia="Times New Roman" w:hint="default"/>
                  <w:sz w:val="18"/>
                  <w:szCs w:val="18"/>
                </w:rPr>
                <w:t>http://w</w:t>
              </w:r>
            </w:hyperlink>
          </w:p>
          <w:p>
            <w:pPr>
              <w:pStyle w:val="TableParagraph"/>
              <w:spacing w:line="362" w:lineRule="auto" w:before="23"/>
              <w:ind w:left="22" w:right="89"/>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321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63"/>
              <w:jc w:val="both"/>
              <w:rPr>
                <w:rFonts w:ascii="宋体" w:hAnsi="宋体" w:cs="宋体" w:eastAsia="宋体" w:hint="default"/>
                <w:sz w:val="18"/>
                <w:szCs w:val="18"/>
              </w:rPr>
            </w:pPr>
            <w:r>
              <w:rPr>
                <w:rFonts w:ascii="宋体" w:hAnsi="宋体" w:cs="宋体" w:eastAsia="宋体" w:hint="default"/>
                <w:sz w:val="18"/>
                <w:szCs w:val="18"/>
              </w:rPr>
              <w:t>深圳市 润安科 技发展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深圳市 公安局 大鹏分 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大鹏新 区</w:t>
            </w:r>
            <w:r>
              <w:rPr>
                <w:rFonts w:ascii="Times New Roman" w:hAnsi="Times New Roman" w:cs="Times New Roman" w:eastAsia="Times New Roman" w:hint="default"/>
                <w:sz w:val="18"/>
                <w:szCs w:val="18"/>
              </w:rPr>
              <w:t>“</w:t>
            </w:r>
            <w:r>
              <w:rPr>
                <w:rFonts w:ascii="宋体" w:hAnsi="宋体" w:cs="宋体" w:eastAsia="宋体" w:hint="default"/>
                <w:sz w:val="18"/>
                <w:szCs w:val="18"/>
              </w:rPr>
              <w:t>雪 亮工 </w:t>
            </w:r>
            <w:r>
              <w:rPr>
                <w:rFonts w:ascii="宋体" w:hAnsi="宋体" w:cs="宋体" w:eastAsia="宋体" w:hint="default"/>
                <w:spacing w:val="-10"/>
                <w:sz w:val="18"/>
                <w:szCs w:val="18"/>
              </w:rPr>
              <w:t>程</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（二</w:t>
            </w:r>
            <w:r>
              <w:rPr>
                <w:rFonts w:ascii="宋体" w:hAnsi="宋体" w:cs="宋体" w:eastAsia="宋体" w:hint="default"/>
                <w:spacing w:val="-87"/>
                <w:sz w:val="18"/>
                <w:szCs w:val="18"/>
              </w:rPr>
              <w:t> </w:t>
            </w:r>
            <w:r>
              <w:rPr>
                <w:rFonts w:ascii="宋体" w:hAnsi="宋体" w:cs="宋体" w:eastAsia="宋体" w:hint="default"/>
                <w:sz w:val="18"/>
                <w:szCs w:val="18"/>
              </w:rPr>
              <w:t>期）第 一批高 清一类 及智能 配电设 备采购</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62"/>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2,753.2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3"/>
              <w:jc w:val="left"/>
              <w:rPr>
                <w:rFonts w:ascii="宋体" w:hAnsi="宋体" w:cs="宋体" w:eastAsia="宋体" w:hint="default"/>
                <w:sz w:val="18"/>
                <w:szCs w:val="18"/>
              </w:rPr>
            </w:pPr>
            <w:r>
              <w:rPr>
                <w:rFonts w:ascii="宋体" w:hAnsi="宋体" w:cs="宋体" w:eastAsia="宋体" w:hint="default"/>
                <w:sz w:val="18"/>
                <w:szCs w:val="18"/>
              </w:rPr>
              <w:t>执行完 毕，已 累计确 认收 入：</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2,502.9</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38" w:lineRule="auto"/>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hyperlink r:id="rId11">
              <w:r>
                <w:rPr>
                  <w:rFonts w:ascii="Times New Roman" w:hAnsi="Times New Roman" w:cs="Times New Roman" w:eastAsia="Times New Roman" w:hint="default"/>
                  <w:sz w:val="18"/>
                  <w:szCs w:val="18"/>
                </w:rPr>
                <w:t>http://w</w:t>
              </w:r>
            </w:hyperlink>
          </w:p>
          <w:p>
            <w:pPr>
              <w:pStyle w:val="TableParagraph"/>
              <w:spacing w:line="362" w:lineRule="auto" w:before="23"/>
              <w:ind w:left="22" w:right="89"/>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bookmarkStart w:name="十七、社会责任情况" w:id="96"/>
      <w:bookmarkEnd w:id="96"/>
      <w:r>
        <w:rPr>
          <w:b w:val="0"/>
          <w:bCs w:val="0"/>
        </w:rPr>
      </w:r>
      <w:r>
        <w:rPr/>
        <w:t>十七、社会责任情况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51" w:lineRule="auto"/>
        <w:ind w:right="1034" w:firstLine="360"/>
        <w:jc w:val="left"/>
      </w:pPr>
      <w:r>
        <w:rPr>
          <w:spacing w:val="-3"/>
        </w:rPr>
        <w:t>公司自成立以来，始终秉持</w:t>
      </w:r>
      <w:r>
        <w:rPr>
          <w:rFonts w:ascii="Times New Roman" w:hAnsi="Times New Roman" w:cs="Times New Roman" w:eastAsia="Times New Roman" w:hint="default"/>
          <w:spacing w:val="-3"/>
        </w:rPr>
        <w:t>“</w:t>
      </w:r>
      <w:r>
        <w:rPr>
          <w:spacing w:val="-3"/>
        </w:rPr>
        <w:t>以创新满足客户需求，实现企业价值，创造社会文明</w:t>
      </w:r>
      <w:r>
        <w:rPr>
          <w:rFonts w:ascii="Times New Roman" w:hAnsi="Times New Roman" w:cs="Times New Roman" w:eastAsia="Times New Roman" w:hint="default"/>
          <w:spacing w:val="-3"/>
        </w:rPr>
        <w:t>”</w:t>
      </w:r>
      <w:r>
        <w:rPr>
          <w:spacing w:val="-3"/>
        </w:rPr>
        <w:t>的核心价值观，不断创新、精益求精，</w:t>
      </w:r>
      <w:r>
        <w:rPr/>
        <w:t> </w:t>
      </w:r>
      <w:r>
        <w:rPr>
          <w:spacing w:val="-2"/>
        </w:rPr>
        <w:t>追求企业、社会与环境的和谐发展。</w:t>
      </w:r>
      <w:r>
        <w:rPr>
          <w:rFonts w:ascii="Times New Roman" w:hAnsi="Times New Roman" w:cs="Times New Roman" w:eastAsia="Times New Roman" w:hint="default"/>
          <w:spacing w:val="-2"/>
        </w:rPr>
        <w:t>2018</w:t>
      </w:r>
      <w:r>
        <w:rPr>
          <w:spacing w:val="-2"/>
        </w:rPr>
        <w:t>年，公司业绩继续保持稳步增长，为公司股东交上了一份满意的答卷，同时，公司</w:t>
      </w:r>
      <w:r>
        <w:rPr>
          <w:spacing w:val="-61"/>
        </w:rPr>
        <w:t> </w:t>
      </w:r>
      <w:r>
        <w:rPr>
          <w:spacing w:val="-61"/>
        </w:rPr>
      </w:r>
      <w:r>
        <w:rPr/>
        <w:t>也积极承担对员工、客户、债权人、社会等其他利益相关者的责任。</w:t>
      </w:r>
    </w:p>
    <w:p>
      <w:pPr>
        <w:pStyle w:val="BodyText"/>
        <w:spacing w:line="240" w:lineRule="auto" w:before="112"/>
        <w:ind w:left="514" w:right="0"/>
        <w:jc w:val="left"/>
      </w:pPr>
      <w:r>
        <w:rPr/>
        <w:t>在保障股东权益方面，公司严格按照《公司法》、《证券法》、《深圳证券交易所创业板上市公司规范运作指引》等有</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1133"/>
        <w:jc w:val="both"/>
      </w:pPr>
      <w:r>
        <w:rPr>
          <w:spacing w:val="-2"/>
        </w:rPr>
        <w:t>关法律、法规及规范性文件的要求，不断提升和完善法人治理结构，强化规范运作；及时、准确、真实、完整地进行信息披</w:t>
      </w:r>
      <w:r>
        <w:rPr>
          <w:spacing w:val="-70"/>
        </w:rPr>
        <w:t> </w:t>
      </w:r>
      <w:r>
        <w:rPr>
          <w:spacing w:val="-70"/>
        </w:rPr>
      </w:r>
      <w:r>
        <w:rPr/>
        <w:t>露，充分保障股东权益；严格落实《招股说明书》和《公司章程》以及《未来三年（</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-2018</w:t>
      </w:r>
      <w:r>
        <w:rPr/>
        <w:t>年）股东回报规划》中关 于利润分配的规定，使股东切实共享公司发展的经营成果。</w:t>
      </w:r>
    </w:p>
    <w:p>
      <w:pPr>
        <w:pStyle w:val="BodyText"/>
        <w:spacing w:line="465" w:lineRule="auto" w:before="104"/>
        <w:ind w:right="1128" w:firstLine="290"/>
        <w:jc w:val="both"/>
      </w:pPr>
      <w:r>
        <w:rPr>
          <w:spacing w:val="-1"/>
        </w:rPr>
        <w:t>在保障员工权益方面，公司一直坚持以人为本的人才理念，重视保护职工利益，严格遵守劳动法等有关规定，与职工签</w:t>
      </w:r>
      <w:r>
        <w:rPr/>
        <w:t> </w:t>
      </w:r>
      <w:r>
        <w:rPr>
          <w:spacing w:val="-2"/>
        </w:rPr>
        <w:t>订劳动合同，为员工购买</w:t>
      </w:r>
      <w:r>
        <w:rPr>
          <w:rFonts w:ascii="Times New Roman" w:hAnsi="Times New Roman" w:cs="Times New Roman" w:eastAsia="Times New Roman" w:hint="default"/>
          <w:spacing w:val="-2"/>
        </w:rPr>
        <w:t>“</w:t>
      </w:r>
      <w:r>
        <w:rPr>
          <w:spacing w:val="-2"/>
        </w:rPr>
        <w:t>五险一金</w:t>
      </w:r>
      <w:r>
        <w:rPr>
          <w:rFonts w:ascii="Times New Roman" w:hAnsi="Times New Roman" w:cs="Times New Roman" w:eastAsia="Times New Roman" w:hint="default"/>
          <w:spacing w:val="-2"/>
        </w:rPr>
        <w:t>”</w:t>
      </w:r>
      <w:r>
        <w:rPr>
          <w:spacing w:val="-2"/>
        </w:rPr>
        <w:t>，并结合市场行情和公司自身特点制定有竞争力的薪酬，同时公司上市后积极筹划并实</w:t>
      </w:r>
      <w:r>
        <w:rPr>
          <w:spacing w:val="-45"/>
        </w:rPr>
        <w:t> </w:t>
      </w:r>
      <w:r>
        <w:rPr>
          <w:spacing w:val="-45"/>
        </w:rPr>
      </w:r>
      <w:r>
        <w:rPr>
          <w:spacing w:val="-2"/>
        </w:rPr>
        <w:t>施了三期股权激励计划，让员工共享公司发展成果，实现员工与公司的双赢；公司注重员工素质提升，结合员工能力素质及</w:t>
      </w:r>
      <w:r>
        <w:rPr>
          <w:spacing w:val="-66"/>
        </w:rPr>
        <w:t> </w:t>
      </w:r>
      <w:r>
        <w:rPr>
          <w:spacing w:val="-66"/>
        </w:rPr>
      </w:r>
      <w:r>
        <w:rPr/>
        <w:t>培训需求情况，除了每月开展新员工培训外，还不定期组织管理干部管理水平提升培训、业务转岗培训、</w:t>
      </w:r>
      <w:r>
        <w:rPr>
          <w:rFonts w:ascii="Times New Roman" w:hAnsi="Times New Roman" w:cs="Times New Roman" w:eastAsia="Times New Roman" w:hint="default"/>
        </w:rPr>
        <w:t>CT1</w:t>
      </w:r>
      <w:r>
        <w:rPr/>
        <w:t>和</w:t>
      </w:r>
      <w:r>
        <w:rPr>
          <w:rFonts w:ascii="Times New Roman" w:hAnsi="Times New Roman" w:cs="Times New Roman" w:eastAsia="Times New Roman" w:hint="default"/>
        </w:rPr>
        <w:t>CT2</w:t>
      </w:r>
      <w:r>
        <w:rPr/>
        <w:t>培训、 </w:t>
      </w:r>
      <w:r>
        <w:rPr>
          <w:spacing w:val="-2"/>
        </w:rPr>
        <w:t>业务培训、技术类培训、工程售后类培训等各类培训，持续提高员工综合素质及管理干部管理水平；公司提倡企业文化，坚</w:t>
      </w:r>
      <w:r>
        <w:rPr>
          <w:spacing w:val="-66"/>
        </w:rPr>
        <w:t> </w:t>
      </w:r>
      <w:r>
        <w:rPr>
          <w:spacing w:val="-66"/>
        </w:rPr>
      </w:r>
      <w:r>
        <w:rPr/>
        <w:t>持为员工提供宿舍、休闲团建会所以及</w:t>
      </w:r>
      <w:r>
        <w:rPr>
          <w:rFonts w:ascii="Times New Roman" w:hAnsi="Times New Roman" w:cs="Times New Roman" w:eastAsia="Times New Roman" w:hint="default"/>
        </w:rPr>
        <w:t>“</w:t>
      </w:r>
      <w:r>
        <w:rPr/>
        <w:t>上下班</w:t>
      </w:r>
      <w:r>
        <w:rPr>
          <w:rFonts w:ascii="Times New Roman" w:hAnsi="Times New Roman" w:cs="Times New Roman" w:eastAsia="Times New Roman" w:hint="default"/>
        </w:rPr>
        <w:t>”</w:t>
      </w:r>
      <w:r>
        <w:rPr/>
        <w:t>班车等各项生活便利。</w:t>
      </w:r>
    </w:p>
    <w:p>
      <w:pPr>
        <w:pStyle w:val="BodyText"/>
        <w:spacing w:line="451" w:lineRule="auto" w:before="71"/>
        <w:ind w:right="1122" w:firstLine="290"/>
        <w:jc w:val="left"/>
      </w:pPr>
      <w:r>
        <w:rPr/>
        <w:t>在保障客户权益方面，公司始终践行</w:t>
      </w:r>
      <w:r>
        <w:rPr>
          <w:rFonts w:ascii="Times New Roman" w:hAnsi="Times New Roman" w:cs="Times New Roman" w:eastAsia="Times New Roman" w:hint="default"/>
        </w:rPr>
        <w:t>“</w:t>
      </w:r>
      <w:r>
        <w:rPr/>
        <w:t>客户是中心，服务是价值</w:t>
      </w:r>
      <w:r>
        <w:rPr>
          <w:rFonts w:ascii="Times New Roman" w:hAnsi="Times New Roman" w:cs="Times New Roman" w:eastAsia="Times New Roman" w:hint="default"/>
        </w:rPr>
        <w:t>”</w:t>
      </w:r>
      <w:r>
        <w:rPr/>
        <w:t>的企业文化，在研发上不断创新，在产品质量上精益求 精，在服务上超客户预期，持续提升客户对公司产品和服务的满意度，适度加强客户粘性，誓与客户共同成长。</w:t>
      </w:r>
    </w:p>
    <w:p>
      <w:pPr>
        <w:pStyle w:val="BodyText"/>
        <w:spacing w:line="477" w:lineRule="auto" w:before="112"/>
        <w:ind w:right="0" w:firstLine="290"/>
        <w:jc w:val="left"/>
      </w:pPr>
      <w:r>
        <w:rPr/>
        <w:t>在保障供应商及债权人权益方面，公司始终坚持诚信为本，主动听取供应商和债权人的建议和意见，严格执行签署的各 </w:t>
      </w:r>
      <w:r>
        <w:rPr>
          <w:spacing w:val="-4"/>
        </w:rPr>
        <w:t>项合约；同时公司提倡恪守商业道德，严格防范商业贿赂，让供应商将主要精力放在产品质量、供货的高效及服务的优质上，</w:t>
      </w:r>
      <w:r>
        <w:rPr>
          <w:spacing w:val="-46"/>
        </w:rPr>
        <w:t> </w:t>
      </w:r>
      <w:r>
        <w:rPr>
          <w:spacing w:val="-46"/>
        </w:rPr>
      </w:r>
      <w:r>
        <w:rPr/>
        <w:t>力争实现双赢局面。</w:t>
      </w:r>
    </w:p>
    <w:p>
      <w:pPr>
        <w:pStyle w:val="BodyText"/>
        <w:spacing w:line="477" w:lineRule="auto" w:before="93"/>
        <w:ind w:right="0" w:firstLine="290"/>
        <w:jc w:val="left"/>
      </w:pPr>
      <w:r>
        <w:rPr>
          <w:spacing w:val="-1"/>
        </w:rPr>
        <w:t>在保障社会等其他利益相关者权益方面，公司始终将依法经营作为公司运行的基本原则，注重企业经济效益与社会效益</w:t>
      </w:r>
      <w:r>
        <w:rPr/>
        <w:t> 的同步共赢；公司严格遵守国家法律、法规、政策的规定，始终依法经营，积极纳税，支持地方经济的发展。</w:t>
      </w:r>
    </w:p>
    <w:p>
      <w:pPr>
        <w:spacing w:line="240" w:lineRule="auto" w:before="2"/>
        <w:rPr>
          <w:rFonts w:ascii="宋体" w:hAnsi="宋体" w:cs="宋体" w:eastAsia="宋体" w:hint="default"/>
          <w:sz w:val="25"/>
          <w:szCs w:val="25"/>
        </w:rPr>
      </w:pPr>
    </w:p>
    <w:p>
      <w:pPr>
        <w:pStyle w:val="Heading3"/>
        <w:spacing w:line="240" w:lineRule="auto"/>
        <w:ind w:right="0"/>
        <w:jc w:val="both"/>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240" w:lineRule="auto"/>
        <w:ind w:right="0"/>
        <w:jc w:val="both"/>
      </w:pPr>
      <w:r>
        <w:rPr/>
        <w:t>公司报告年度暂未开展精准扶贫工作，也暂无后续精准扶贫计划。</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8" w:lineRule="auto"/>
        <w:ind w:right="5712"/>
        <w:jc w:val="left"/>
      </w:pPr>
      <w:r>
        <w:rPr/>
        <w:t>上市公司及其子公司是否属于环境保护部门公布的重点排污单位 否</w:t>
      </w:r>
    </w:p>
    <w:p>
      <w:pPr>
        <w:pStyle w:val="BodyText"/>
        <w:spacing w:line="477" w:lineRule="auto" w:before="62"/>
        <w:ind w:right="1032"/>
        <w:jc w:val="left"/>
      </w:pPr>
      <w:r>
        <w:rPr/>
        <w:t>公司及其子公司不属于环境保护部门公布的重点排污单位。公司及子公司在日常经营中认真执行有关环保方面的各项法律、 法规及规范性文件的规定和要求，报告期内未发生因违法违规而受到处罚的情况。</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footerReference w:type="default" r:id="rId14"/>
          <w:pgSz w:w="11910" w:h="16840"/>
          <w:pgMar w:footer="1459" w:header="747" w:top="1060" w:bottom="1640" w:left="980" w:right="0"/>
          <w:pgNumType w:start="79"/>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6" w:lineRule="auto"/>
        <w:ind w:right="1131"/>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日，公司召开</w:t>
      </w:r>
      <w:r>
        <w:rPr>
          <w:rFonts w:ascii="Times New Roman" w:hAnsi="Times New Roman" w:cs="Times New Roman" w:eastAsia="Times New Roman" w:hint="default"/>
          <w:spacing w:val="-2"/>
        </w:rPr>
        <w:t>2018</w:t>
      </w:r>
      <w:r>
        <w:rPr>
          <w:spacing w:val="-2"/>
        </w:rPr>
        <w:t>年第一次临时股东大会和第三届职工代表大会第</w:t>
      </w:r>
      <w:r>
        <w:rPr>
          <w:rFonts w:ascii="Times New Roman" w:hAnsi="Times New Roman" w:cs="Times New Roman" w:eastAsia="Times New Roman" w:hint="default"/>
          <w:spacing w:val="-2"/>
        </w:rPr>
        <w:t>2</w:t>
      </w:r>
      <w:r>
        <w:rPr>
          <w:spacing w:val="-2"/>
        </w:rPr>
        <w:t>次会议，分别选举产生了第三届董事会董</w:t>
      </w:r>
      <w:r>
        <w:rPr>
          <w:spacing w:val="-55"/>
        </w:rPr>
        <w:t> </w:t>
      </w:r>
      <w:r>
        <w:rPr>
          <w:spacing w:val="-55"/>
        </w:rPr>
      </w:r>
      <w:r>
        <w:rPr>
          <w:spacing w:val="-2"/>
        </w:rPr>
        <w:t>事成员、第三届监事会非职工代表监事和第三届监事会职工代表监事；同日，公司召开第三届董事会第一次会议和第三届监</w:t>
      </w:r>
      <w:r>
        <w:rPr>
          <w:spacing w:val="-66"/>
        </w:rPr>
        <w:t> </w:t>
      </w:r>
      <w:r>
        <w:rPr>
          <w:spacing w:val="-66"/>
        </w:rPr>
      </w:r>
      <w:r>
        <w:rPr>
          <w:spacing w:val="-2"/>
        </w:rPr>
        <w:t>事会第一次会议，审议通过了选举第三届董事会董事长、董事会各专门委员会委员、第三届监事会主席和聘任公司高级管理</w:t>
      </w:r>
      <w:r>
        <w:rPr>
          <w:spacing w:val="-66"/>
        </w:rPr>
        <w:t> </w:t>
      </w:r>
      <w:r>
        <w:rPr>
          <w:spacing w:val="-66"/>
        </w:rPr>
      </w:r>
      <w:r>
        <w:rPr/>
        <w:t>人员、证券事务代表以及内审负责人等相关议案，完成了公司董事会、监事会的换届选举工作，具体内容详见公司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3</w:t>
      </w:r>
      <w:r>
        <w:rPr/>
        <w:t>日披露于巨潮资讯网的相关公告（公告编号：</w:t>
      </w:r>
      <w:r>
        <w:rPr>
          <w:rFonts w:ascii="Times New Roman" w:hAnsi="Times New Roman" w:cs="Times New Roman" w:eastAsia="Times New Roman" w:hint="default"/>
        </w:rPr>
        <w:t>2018-001</w:t>
      </w:r>
      <w:r>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日，公司收到控股股东、实际控制人茅庆江先生增持公司股份的计划，基于对公司未来发展前景的信心及对 公司投资价值的认同，拟计划自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日起</w:t>
      </w:r>
      <w:r>
        <w:rPr>
          <w:rFonts w:ascii="Times New Roman" w:hAnsi="Times New Roman" w:cs="Times New Roman" w:eastAsia="Times New Roman" w:hint="default"/>
        </w:rPr>
        <w:t>6</w:t>
      </w:r>
      <w:r>
        <w:rPr/>
        <w:t>个月内通过深圳证券交易所交易系统增持公司股份，累计增持股份数量不 </w:t>
      </w:r>
      <w:r>
        <w:rPr>
          <w:spacing w:val="-1"/>
        </w:rPr>
        <w:t>超过公司总股本的的</w:t>
      </w:r>
      <w:r>
        <w:rPr>
          <w:rFonts w:ascii="Times New Roman" w:hAnsi="Times New Roman" w:cs="Times New Roman" w:eastAsia="Times New Roman" w:hint="default"/>
          <w:spacing w:val="-1"/>
        </w:rPr>
        <w:t>2%</w:t>
      </w:r>
      <w:r>
        <w:rPr>
          <w:spacing w:val="-1"/>
        </w:rPr>
        <w:t>且累计增持金额不低于人民币</w:t>
      </w:r>
      <w:r>
        <w:rPr>
          <w:rFonts w:ascii="Times New Roman" w:hAnsi="Times New Roman" w:cs="Times New Roman" w:eastAsia="Times New Roman" w:hint="default"/>
          <w:spacing w:val="-1"/>
        </w:rPr>
        <w:t>2,000.00</w:t>
      </w:r>
      <w:r>
        <w:rPr>
          <w:spacing w:val="-1"/>
        </w:rPr>
        <w:t>万元；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9</w:t>
      </w:r>
      <w:r>
        <w:rPr>
          <w:spacing w:val="-1"/>
        </w:rPr>
        <w:t>日，公司接到控股股东、实际控制人茅庆江</w:t>
      </w:r>
      <w:r>
        <w:rPr>
          <w:spacing w:val="-83"/>
        </w:rPr>
        <w:t> </w:t>
      </w:r>
      <w:r>
        <w:rPr>
          <w:spacing w:val="-83"/>
        </w:rPr>
      </w:r>
      <w:r>
        <w:rPr/>
        <w:t>先生函告，茅庆江先生于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日期间通过深圳证券交易所证券交易系统集中竞价交易方式累计增持 了</w:t>
      </w:r>
      <w:r>
        <w:rPr>
          <w:rFonts w:ascii="Times New Roman" w:hAnsi="Times New Roman" w:cs="Times New Roman" w:eastAsia="Times New Roman" w:hint="default"/>
        </w:rPr>
        <w:t>988,118</w:t>
      </w:r>
      <w:r>
        <w:rPr/>
        <w:t>股公司股份，占公司目前总股本的</w:t>
      </w:r>
      <w:r>
        <w:rPr>
          <w:rFonts w:ascii="Times New Roman" w:hAnsi="Times New Roman" w:cs="Times New Roman" w:eastAsia="Times New Roman" w:hint="default"/>
        </w:rPr>
        <w:t>0.242%</w:t>
      </w:r>
      <w:r>
        <w:rPr/>
        <w:t>，累计增持金额为</w:t>
      </w:r>
      <w:r>
        <w:rPr>
          <w:rFonts w:ascii="Times New Roman" w:hAnsi="Times New Roman" w:cs="Times New Roman" w:eastAsia="Times New Roman" w:hint="default"/>
        </w:rPr>
        <w:t>2,004.50</w:t>
      </w:r>
      <w:r>
        <w:rPr/>
        <w:t>万元（已超过人民币</w:t>
      </w:r>
      <w:r>
        <w:rPr>
          <w:rFonts w:ascii="Times New Roman" w:hAnsi="Times New Roman" w:cs="Times New Roman" w:eastAsia="Times New Roman" w:hint="default"/>
        </w:rPr>
        <w:t>2,000</w:t>
      </w:r>
      <w:r>
        <w:rPr/>
        <w:t>万元）</w:t>
      </w:r>
      <w:r>
        <w:rPr>
          <w:rFonts w:ascii="Times New Roman" w:hAnsi="Times New Roman" w:cs="Times New Roman" w:eastAsia="Times New Roman" w:hint="default"/>
        </w:rPr>
        <w:t>,</w:t>
      </w:r>
      <w:r>
        <w:rPr/>
        <w:t>已完成其本 人的增持计划，前述具体内容详见公司分别于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日披露于巨潮资讯网的相关公告（公告编号： </w:t>
      </w:r>
      <w:r>
        <w:rPr>
          <w:rFonts w:ascii="Times New Roman" w:hAnsi="Times New Roman" w:cs="Times New Roman" w:eastAsia="Times New Roman" w:hint="default"/>
        </w:rPr>
        <w:t>2018-006</w:t>
      </w:r>
      <w:r>
        <w:rPr/>
        <w:t>；</w:t>
      </w:r>
      <w:r>
        <w:rPr>
          <w:rFonts w:ascii="Times New Roman" w:hAnsi="Times New Roman" w:cs="Times New Roman" w:eastAsia="Times New Roman" w:hint="default"/>
        </w:rPr>
        <w:t>2018-033</w:t>
      </w:r>
      <w:r>
        <w:rPr/>
        <w:t>）。</w:t>
      </w:r>
    </w:p>
    <w:p>
      <w:pPr>
        <w:pStyle w:val="BodyText"/>
        <w:spacing w:line="453" w:lineRule="auto" w:before="39"/>
        <w:ind w:right="104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日，公司与广东冠网信息科技有限公司（以下简称</w:t>
      </w:r>
      <w:r>
        <w:rPr>
          <w:rFonts w:ascii="Times New Roman" w:hAnsi="Times New Roman" w:cs="Times New Roman" w:eastAsia="Times New Roman" w:hint="default"/>
        </w:rPr>
        <w:t>“</w:t>
      </w:r>
      <w:r>
        <w:rPr/>
        <w:t>冠网科技</w:t>
      </w:r>
      <w:r>
        <w:rPr>
          <w:rFonts w:ascii="Times New Roman" w:hAnsi="Times New Roman" w:cs="Times New Roman" w:eastAsia="Times New Roman" w:hint="default"/>
        </w:rPr>
        <w:t>”</w:t>
      </w:r>
      <w:r>
        <w:rPr/>
        <w:t>）、王庆、胡海涛、曹义峰、廖永建以及邓杰 签署了投资并购框架协议，框架协议约定公司拟以支付现金方式投资并购冠网科技</w:t>
      </w:r>
      <w:r>
        <w:rPr>
          <w:rFonts w:ascii="Times New Roman" w:hAnsi="Times New Roman" w:cs="Times New Roman" w:eastAsia="Times New Roman" w:hint="default"/>
        </w:rPr>
        <w:t>60.00%</w:t>
      </w:r>
      <w:r>
        <w:rPr/>
        <w:t>的股权。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日，公司召开第三届董事会第十次会议、第三届监事会第十次会议，审议通过了《关于公司签署投资并购协议的</w:t>
      </w:r>
      <w:r>
        <w:rPr>
          <w:spacing w:val="-60"/>
        </w:rPr>
        <w:t> </w:t>
      </w:r>
      <w:r>
        <w:rPr>
          <w:spacing w:val="-60"/>
        </w:rPr>
      </w:r>
      <w:r>
        <w:rPr>
          <w:spacing w:val="-2"/>
        </w:rPr>
        <w:t>议案》，同意公司先以支付现金方式认购冠网科技</w:t>
      </w:r>
      <w:r>
        <w:rPr>
          <w:rFonts w:ascii="Times New Roman" w:hAnsi="Times New Roman" w:cs="Times New Roman" w:eastAsia="Times New Roman" w:hint="default"/>
          <w:spacing w:val="-2"/>
        </w:rPr>
        <w:t>15.00%</w:t>
      </w:r>
      <w:r>
        <w:rPr>
          <w:spacing w:val="-2"/>
        </w:rPr>
        <w:t>的股权，其次以支付现金方式购买广州新启企业管理合伙企业（有</w:t>
      </w:r>
      <w:r>
        <w:rPr>
          <w:spacing w:val="-73"/>
        </w:rPr>
        <w:t> </w:t>
      </w:r>
      <w:r>
        <w:rPr>
          <w:spacing w:val="-73"/>
        </w:rPr>
      </w:r>
      <w:r>
        <w:rPr>
          <w:spacing w:val="-2"/>
        </w:rPr>
        <w:t>限合伙）持有的冠网科技</w:t>
      </w:r>
      <w:r>
        <w:rPr>
          <w:rFonts w:ascii="Times New Roman" w:hAnsi="Times New Roman" w:cs="Times New Roman" w:eastAsia="Times New Roman" w:hint="default"/>
          <w:spacing w:val="-2"/>
        </w:rPr>
        <w:t>45.05%</w:t>
      </w:r>
      <w:r>
        <w:rPr>
          <w:spacing w:val="-2"/>
        </w:rPr>
        <w:t>的股权，即支付现金</w:t>
      </w:r>
      <w:r>
        <w:rPr>
          <w:rFonts w:ascii="Times New Roman" w:hAnsi="Times New Roman" w:cs="Times New Roman" w:eastAsia="Times New Roman" w:hint="default"/>
          <w:spacing w:val="-2"/>
        </w:rPr>
        <w:t>7,771.17</w:t>
      </w:r>
      <w:r>
        <w:rPr>
          <w:spacing w:val="-2"/>
        </w:rPr>
        <w:t>万元投资并购冠网科技</w:t>
      </w:r>
      <w:r>
        <w:rPr>
          <w:rFonts w:ascii="Times New Roman" w:hAnsi="Times New Roman" w:cs="Times New Roman" w:eastAsia="Times New Roman" w:hint="default"/>
          <w:spacing w:val="-2"/>
        </w:rPr>
        <w:t>60.05%</w:t>
      </w:r>
      <w:r>
        <w:rPr>
          <w:spacing w:val="-2"/>
        </w:rPr>
        <w:t>的股权，王庆、胡海涛、曹义峰、</w:t>
      </w:r>
      <w:r>
        <w:rPr>
          <w:spacing w:val="-78"/>
        </w:rPr>
        <w:t> </w:t>
      </w:r>
      <w:r>
        <w:rPr>
          <w:spacing w:val="-78"/>
        </w:rPr>
      </w:r>
      <w:r>
        <w:rPr>
          <w:spacing w:val="-2"/>
        </w:rPr>
        <w:t>廖永建、邓杰与广州新启企业管理合伙企业（有限合伙）承诺，冠网科技在</w:t>
      </w:r>
      <w:r>
        <w:rPr>
          <w:rFonts w:ascii="Times New Roman" w:hAnsi="Times New Roman" w:cs="Times New Roman" w:eastAsia="Times New Roman" w:hint="default"/>
          <w:spacing w:val="-2"/>
        </w:rPr>
        <w:t>2018</w:t>
      </w:r>
      <w:r>
        <w:rPr>
          <w:spacing w:val="-2"/>
        </w:rPr>
        <w:t>年度、</w:t>
      </w:r>
      <w:r>
        <w:rPr>
          <w:rFonts w:ascii="Times New Roman" w:hAnsi="Times New Roman" w:cs="Times New Roman" w:eastAsia="Times New Roman" w:hint="default"/>
          <w:spacing w:val="-2"/>
        </w:rPr>
        <w:t>2019</w:t>
      </w:r>
      <w:r>
        <w:rPr>
          <w:spacing w:val="-2"/>
        </w:rPr>
        <w:t>年度和</w:t>
      </w:r>
      <w:r>
        <w:rPr>
          <w:rFonts w:ascii="Times New Roman" w:hAnsi="Times New Roman" w:cs="Times New Roman" w:eastAsia="Times New Roman" w:hint="default"/>
          <w:spacing w:val="-2"/>
        </w:rPr>
        <w:t>2020</w:t>
      </w:r>
      <w:r>
        <w:rPr>
          <w:spacing w:val="-2"/>
        </w:rPr>
        <w:t>年度经审计的扣除非</w:t>
      </w:r>
      <w:r>
        <w:rPr>
          <w:spacing w:val="-54"/>
        </w:rPr>
        <w:t> </w:t>
      </w:r>
      <w:r>
        <w:rPr>
          <w:spacing w:val="-2"/>
        </w:rPr>
        <w:t>经常性损益的净利润分别不低于</w:t>
      </w:r>
      <w:r>
        <w:rPr>
          <w:rFonts w:ascii="Times New Roman" w:hAnsi="Times New Roman" w:cs="Times New Roman" w:eastAsia="Times New Roman" w:hint="default"/>
          <w:spacing w:val="-2"/>
        </w:rPr>
        <w:t>800</w:t>
      </w:r>
      <w:r>
        <w:rPr>
          <w:spacing w:val="-2"/>
        </w:rPr>
        <w:t>万元、</w:t>
      </w:r>
      <w:r>
        <w:rPr>
          <w:rFonts w:ascii="Times New Roman" w:hAnsi="Times New Roman" w:cs="Times New Roman" w:eastAsia="Times New Roman" w:hint="default"/>
          <w:spacing w:val="-2"/>
        </w:rPr>
        <w:t>1,000</w:t>
      </w:r>
      <w:r>
        <w:rPr>
          <w:spacing w:val="-2"/>
        </w:rPr>
        <w:t>万元以及</w:t>
      </w:r>
      <w:r>
        <w:rPr>
          <w:rFonts w:ascii="Times New Roman" w:hAnsi="Times New Roman" w:cs="Times New Roman" w:eastAsia="Times New Roman" w:hint="default"/>
          <w:spacing w:val="-2"/>
        </w:rPr>
        <w:t>1,300</w:t>
      </w:r>
      <w:r>
        <w:rPr>
          <w:spacing w:val="-2"/>
        </w:rPr>
        <w:t>万元；王庆、胡海涛、曹义峰、廖永建、邓杰承诺，将所获得</w:t>
      </w:r>
      <w:r>
        <w:rPr>
          <w:spacing w:val="-59"/>
        </w:rPr>
        <w:t> </w:t>
      </w:r>
      <w:r>
        <w:rPr>
          <w:spacing w:val="-59"/>
        </w:rPr>
      </w:r>
      <w:r>
        <w:rPr/>
        <w:t>的</w:t>
      </w:r>
      <w:r>
        <w:rPr>
          <w:rFonts w:ascii="Times New Roman" w:hAnsi="Times New Roman" w:cs="Times New Roman" w:eastAsia="Times New Roman" w:hint="default"/>
        </w:rPr>
        <w:t>30.00%</w:t>
      </w:r>
      <w:r>
        <w:rPr/>
        <w:t>的股权转让对价款即</w:t>
      </w:r>
      <w:r>
        <w:rPr>
          <w:rFonts w:ascii="Times New Roman" w:hAnsi="Times New Roman" w:cs="Times New Roman" w:eastAsia="Times New Roman" w:hint="default"/>
        </w:rPr>
        <w:t>1,749.00</w:t>
      </w:r>
      <w:r>
        <w:rPr/>
        <w:t>万元，于收到对价款之日起</w:t>
      </w:r>
      <w:r>
        <w:rPr>
          <w:rFonts w:ascii="Times New Roman" w:hAnsi="Times New Roman" w:cs="Times New Roman" w:eastAsia="Times New Roman" w:hint="default"/>
        </w:rPr>
        <w:t>1</w:t>
      </w:r>
      <w:r>
        <w:rPr/>
        <w:t>个月内，按照其各自在广州新启企业管理合伙企业（有 限合伙）中的出资份额比例通过中国证券市场允许的交易方式购买浩云科技的股票。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日，公司收到冠网科技办理完成将公司登记为冠网科技股东并完成董事会等组织机构变更登记等工商变更备案 登记手续且已领取新的《营业执照》的通知，公司就该进展情况及时予以了公告。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日，公司收到王庆、胡海涛、曹义峰、邓杰和廖永建的告知函，获悉其已从二级市场购买公司股票成交金额合</w:t>
      </w:r>
      <w:r>
        <w:rPr>
          <w:spacing w:val="-58"/>
        </w:rPr>
        <w:t> </w:t>
      </w:r>
      <w:r>
        <w:rPr>
          <w:spacing w:val="-58"/>
        </w:rPr>
      </w:r>
      <w:r>
        <w:rPr/>
        <w:t>计</w:t>
      </w:r>
      <w:r>
        <w:rPr>
          <w:rFonts w:ascii="Times New Roman" w:hAnsi="Times New Roman" w:cs="Times New Roman" w:eastAsia="Times New Roman" w:hint="default"/>
        </w:rPr>
        <w:t>1,750.0263</w:t>
      </w:r>
      <w:r>
        <w:rPr/>
        <w:t>万元，已按协议约定履行完毕购买浩云科技股票的承诺，公司就该进展情况及时予以了公告。 上述具体内容详见公司分别于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日披露于巨潮资讯网的相关公 告（公告编号：</w:t>
      </w:r>
      <w:r>
        <w:rPr>
          <w:rFonts w:ascii="Times New Roman" w:hAnsi="Times New Roman" w:cs="Times New Roman" w:eastAsia="Times New Roman" w:hint="default"/>
        </w:rPr>
        <w:t>2018-032</w:t>
      </w:r>
      <w:r>
        <w:rPr/>
        <w:t>；</w:t>
      </w:r>
      <w:r>
        <w:rPr>
          <w:rFonts w:ascii="Times New Roman" w:hAnsi="Times New Roman" w:cs="Times New Roman" w:eastAsia="Times New Roman" w:hint="default"/>
        </w:rPr>
        <w:t>2018-036</w:t>
      </w:r>
      <w:r>
        <w:rPr/>
        <w:t>；</w:t>
      </w:r>
      <w:r>
        <w:rPr>
          <w:rFonts w:ascii="Times New Roman" w:hAnsi="Times New Roman" w:cs="Times New Roman" w:eastAsia="Times New Roman" w:hint="default"/>
        </w:rPr>
        <w:t>2018-041</w:t>
      </w:r>
      <w:r>
        <w:rPr/>
        <w:t>；</w:t>
      </w:r>
      <w:r>
        <w:rPr>
          <w:rFonts w:ascii="Times New Roman" w:hAnsi="Times New Roman" w:cs="Times New Roman" w:eastAsia="Times New Roman" w:hint="default"/>
        </w:rPr>
        <w:t>2018-044</w:t>
      </w:r>
      <w:r>
        <w:rPr/>
        <w:t>）。</w:t>
      </w:r>
    </w:p>
    <w:p>
      <w:pPr>
        <w:pStyle w:val="BodyText"/>
        <w:spacing w:line="451" w:lineRule="auto" w:before="42"/>
        <w:ind w:right="0"/>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日，公司与广州大学经友好协商签订了《共建</w:t>
      </w:r>
      <w:r>
        <w:rPr>
          <w:rFonts w:ascii="Times New Roman" w:hAnsi="Times New Roman" w:cs="Times New Roman" w:eastAsia="Times New Roman" w:hint="default"/>
          <w:spacing w:val="-2"/>
        </w:rPr>
        <w:t>“</w:t>
      </w:r>
      <w:r>
        <w:rPr>
          <w:spacing w:val="-2"/>
        </w:rPr>
        <w:t>公共安全智能联合实验室</w:t>
      </w:r>
      <w:r>
        <w:rPr>
          <w:rFonts w:ascii="Times New Roman" w:hAnsi="Times New Roman" w:cs="Times New Roman" w:eastAsia="Times New Roman" w:hint="default"/>
          <w:spacing w:val="-2"/>
        </w:rPr>
        <w:t>”</w:t>
      </w:r>
      <w:r>
        <w:rPr>
          <w:spacing w:val="-2"/>
        </w:rPr>
        <w:t>框架协议书》，通过联合实验室共</w:t>
      </w:r>
      <w:r>
        <w:rPr>
          <w:spacing w:val="-38"/>
        </w:rPr>
        <w:t> </w:t>
      </w:r>
      <w:r>
        <w:rPr>
          <w:spacing w:val="-38"/>
        </w:rPr>
      </w:r>
      <w:r>
        <w:rPr>
          <w:spacing w:val="-2"/>
        </w:rPr>
        <w:t>同开展国家级和省市级重大专项、产业化基金、电子发展基金等项目的立项、申报和项目的执行工作，整合和发挥双方各自</w:t>
      </w:r>
    </w:p>
    <w:p>
      <w:pPr>
        <w:spacing w:after="0" w:line="451" w:lineRule="auto"/>
        <w:jc w:val="left"/>
        <w:sectPr>
          <w:footerReference w:type="default" r:id="rId15"/>
          <w:pgSz w:w="11910" w:h="16840"/>
          <w:pgMar w:footer="1481" w:header="747" w:top="1060" w:bottom="1680" w:left="980" w:right="0"/>
          <w:pgNumType w:start="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2018-039</w:t>
      </w:r>
      <w:r>
        <w:rPr/>
        <w:t>）。</w:t>
      </w:r>
    </w:p>
    <w:p>
      <w:pPr>
        <w:spacing w:line="240" w:lineRule="auto" w:before="9"/>
        <w:rPr>
          <w:rFonts w:ascii="宋体" w:hAnsi="宋体" w:cs="宋体" w:eastAsia="宋体" w:hint="default"/>
          <w:sz w:val="16"/>
          <w:szCs w:val="16"/>
        </w:rPr>
      </w:pPr>
    </w:p>
    <w:p>
      <w:pPr>
        <w:pStyle w:val="BodyText"/>
        <w:spacing w:line="460" w:lineRule="auto"/>
        <w:ind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日，公司董事会收到公司持股</w:t>
      </w:r>
      <w:r>
        <w:rPr>
          <w:rFonts w:ascii="Times New Roman" w:hAnsi="Times New Roman" w:cs="Times New Roman" w:eastAsia="Times New Roman" w:hint="default"/>
        </w:rPr>
        <w:t>3%</w:t>
      </w:r>
      <w:r>
        <w:rPr/>
        <w:t>以上股东暨副总经理徐彪先生提交的《关于提议浩云科技股份有限公司回 </w:t>
      </w:r>
      <w:r>
        <w:rPr>
          <w:spacing w:val="-2"/>
        </w:rPr>
        <w:t>购股份的函》，建议公司尽快启动股票回购的相关程序，通过二级市场以集中竞价方式回购部分社会公众股，回购价格不超</w:t>
      </w:r>
      <w:r>
        <w:rPr>
          <w:spacing w:val="-66"/>
        </w:rPr>
        <w:t> </w:t>
      </w:r>
      <w:r>
        <w:rPr>
          <w:spacing w:val="-66"/>
        </w:rPr>
      </w:r>
      <w:r>
        <w:rPr>
          <w:spacing w:val="-2"/>
        </w:rPr>
        <w:t>过</w:t>
      </w:r>
      <w:r>
        <w:rPr>
          <w:rFonts w:ascii="Times New Roman" w:hAnsi="Times New Roman" w:cs="Times New Roman" w:eastAsia="Times New Roman" w:hint="default"/>
          <w:spacing w:val="-2"/>
        </w:rPr>
        <w:t>12.8</w:t>
      </w:r>
      <w:r>
        <w:rPr>
          <w:spacing w:val="-2"/>
        </w:rPr>
        <w:t>元</w:t>
      </w:r>
      <w:r>
        <w:rPr>
          <w:rFonts w:ascii="Times New Roman" w:hAnsi="Times New Roman" w:cs="Times New Roman" w:eastAsia="Times New Roman" w:hint="default"/>
          <w:spacing w:val="-2"/>
        </w:rPr>
        <w:t>/</w:t>
      </w:r>
      <w:r>
        <w:rPr>
          <w:spacing w:val="-2"/>
        </w:rPr>
        <w:t>股，建议本次回购股份的资金总额不低于</w:t>
      </w:r>
      <w:r>
        <w:rPr>
          <w:rFonts w:ascii="Times New Roman" w:hAnsi="Times New Roman" w:cs="Times New Roman" w:eastAsia="Times New Roman" w:hint="default"/>
          <w:spacing w:val="-2"/>
        </w:rPr>
        <w:t>4,000</w:t>
      </w:r>
      <w:r>
        <w:rPr>
          <w:spacing w:val="-2"/>
        </w:rPr>
        <w:t>万元（含</w:t>
      </w:r>
      <w:r>
        <w:rPr>
          <w:rFonts w:ascii="Times New Roman" w:hAnsi="Times New Roman" w:cs="Times New Roman" w:eastAsia="Times New Roman" w:hint="default"/>
          <w:spacing w:val="-2"/>
        </w:rPr>
        <w:t>4,000</w:t>
      </w:r>
      <w:r>
        <w:rPr>
          <w:spacing w:val="-2"/>
        </w:rPr>
        <w:t>万元），且不超过</w:t>
      </w:r>
      <w:r>
        <w:rPr>
          <w:rFonts w:ascii="Times New Roman" w:hAnsi="Times New Roman" w:cs="Times New Roman" w:eastAsia="Times New Roman" w:hint="default"/>
          <w:spacing w:val="-2"/>
        </w:rPr>
        <w:t>8,000</w:t>
      </w:r>
      <w:r>
        <w:rPr>
          <w:spacing w:val="-2"/>
        </w:rPr>
        <w:t>万元（含</w:t>
      </w:r>
      <w:r>
        <w:rPr>
          <w:rFonts w:ascii="Times New Roman" w:hAnsi="Times New Roman" w:cs="Times New Roman" w:eastAsia="Times New Roman" w:hint="default"/>
          <w:spacing w:val="-2"/>
        </w:rPr>
        <w:t>8,000</w:t>
      </w:r>
      <w:r>
        <w:rPr>
          <w:spacing w:val="-2"/>
        </w:rPr>
        <w:t>万元），资金来</w:t>
      </w:r>
      <w:r>
        <w:rPr>
          <w:spacing w:val="-53"/>
        </w:rPr>
        <w:t> </w:t>
      </w:r>
      <w:r>
        <w:rPr>
          <w:spacing w:val="-53"/>
        </w:rPr>
      </w:r>
      <w:r>
        <w:rPr>
          <w:spacing w:val="-2"/>
        </w:rPr>
        <w:t>源为公司自有资金，回购期限按照《公司法》和《公司章程》规定的权力机构（董事会或股东大会）审议通过回购方案之日</w:t>
      </w:r>
      <w:r>
        <w:rPr>
          <w:spacing w:val="-71"/>
        </w:rPr>
        <w:t> </w:t>
      </w:r>
      <w:r>
        <w:rPr>
          <w:spacing w:val="-71"/>
        </w:rPr>
      </w:r>
      <w:r>
        <w:rPr/>
        <w:t>起</w:t>
      </w:r>
      <w:r>
        <w:rPr>
          <w:rFonts w:ascii="Times New Roman" w:hAnsi="Times New Roman" w:cs="Times New Roman" w:eastAsia="Times New Roman" w:hint="default"/>
        </w:rPr>
        <w:t>9</w:t>
      </w:r>
      <w:r>
        <w:rPr/>
        <w:t>个月内。回购的股票将用于员工持股计划、股权激励、依法注销减少公司注册资本以及法律法规许可的其他用途，建议 公司董事会依据有关法律法规决定具体实施方式。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日，公司召开第三届董事会第十二次会议和第三届监事会第十二次会议，审议通过了《关于回购公司股份预案 </w:t>
      </w:r>
      <w:r>
        <w:rPr>
          <w:spacing w:val="-2"/>
        </w:rPr>
        <w:t>的议案》等相关议案，拟同意公司通过深圳证券交易所股票交易系统以集中竞价交易方式回购股份，其中回购总金额不低于</w:t>
      </w:r>
      <w:r>
        <w:rPr>
          <w:spacing w:val="-66"/>
        </w:rPr>
        <w:t> </w:t>
      </w:r>
      <w:r>
        <w:rPr>
          <w:spacing w:val="-66"/>
        </w:rPr>
      </w:r>
      <w:r>
        <w:rPr>
          <w:spacing w:val="-2"/>
        </w:rPr>
        <w:t>人民币</w:t>
      </w:r>
      <w:r>
        <w:rPr>
          <w:rFonts w:ascii="Times New Roman" w:hAnsi="Times New Roman" w:cs="Times New Roman" w:eastAsia="Times New Roman" w:hint="default"/>
          <w:spacing w:val="-2"/>
        </w:rPr>
        <w:t>4,000</w:t>
      </w:r>
      <w:r>
        <w:rPr>
          <w:spacing w:val="-2"/>
        </w:rPr>
        <w:t>万元（含</w:t>
      </w:r>
      <w:r>
        <w:rPr>
          <w:rFonts w:ascii="Times New Roman" w:hAnsi="Times New Roman" w:cs="Times New Roman" w:eastAsia="Times New Roman" w:hint="default"/>
          <w:spacing w:val="-2"/>
        </w:rPr>
        <w:t>4,000</w:t>
      </w:r>
      <w:r>
        <w:rPr>
          <w:spacing w:val="-2"/>
        </w:rPr>
        <w:t>万元），且不超过人民币</w:t>
      </w:r>
      <w:r>
        <w:rPr>
          <w:rFonts w:ascii="Times New Roman" w:hAnsi="Times New Roman" w:cs="Times New Roman" w:eastAsia="Times New Roman" w:hint="default"/>
          <w:spacing w:val="-2"/>
        </w:rPr>
        <w:t>8,000</w:t>
      </w:r>
      <w:r>
        <w:rPr>
          <w:spacing w:val="-2"/>
        </w:rPr>
        <w:t>万元（含</w:t>
      </w:r>
      <w:r>
        <w:rPr>
          <w:rFonts w:ascii="Times New Roman" w:hAnsi="Times New Roman" w:cs="Times New Roman" w:eastAsia="Times New Roman" w:hint="default"/>
          <w:spacing w:val="-2"/>
        </w:rPr>
        <w:t>8,000</w:t>
      </w:r>
      <w:r>
        <w:rPr>
          <w:spacing w:val="-2"/>
        </w:rPr>
        <w:t>万元），回购价格不超过</w:t>
      </w:r>
      <w:r>
        <w:rPr>
          <w:rFonts w:ascii="Times New Roman" w:hAnsi="Times New Roman" w:cs="Times New Roman" w:eastAsia="Times New Roman" w:hint="default"/>
          <w:spacing w:val="-2"/>
        </w:rPr>
        <w:t>12.8</w:t>
      </w:r>
      <w:r>
        <w:rPr>
          <w:spacing w:val="-2"/>
        </w:rPr>
        <w:t>元</w:t>
      </w:r>
      <w:r>
        <w:rPr>
          <w:rFonts w:ascii="Times New Roman" w:hAnsi="Times New Roman" w:cs="Times New Roman" w:eastAsia="Times New Roman" w:hint="default"/>
          <w:spacing w:val="-2"/>
        </w:rPr>
        <w:t>/</w:t>
      </w:r>
      <w:r>
        <w:rPr>
          <w:spacing w:val="-2"/>
        </w:rPr>
        <w:t>股，回购期限自股东</w:t>
      </w:r>
      <w:r>
        <w:rPr>
          <w:spacing w:val="-57"/>
        </w:rPr>
        <w:t> </w:t>
      </w:r>
      <w:r>
        <w:rPr>
          <w:spacing w:val="-57"/>
        </w:rPr>
      </w:r>
      <w:r>
        <w:rPr>
          <w:spacing w:val="-2"/>
        </w:rPr>
        <w:t>大会审议通过本次回购股份预案之日起不超过</w:t>
      </w:r>
      <w:r>
        <w:rPr>
          <w:rFonts w:ascii="Times New Roman" w:hAnsi="Times New Roman" w:cs="Times New Roman" w:eastAsia="Times New Roman" w:hint="default"/>
          <w:spacing w:val="-2"/>
        </w:rPr>
        <w:t>9</w:t>
      </w:r>
      <w:r>
        <w:rPr>
          <w:spacing w:val="-2"/>
        </w:rPr>
        <w:t>个月，同时提请股东会授权公司董事会具体办理本次回购股份工作相关事宜。</w:t>
      </w:r>
      <w:r>
        <w:rPr>
          <w:spacing w:val="-62"/>
        </w:rPr>
        <w:t> </w:t>
      </w:r>
      <w:r>
        <w:rPr>
          <w:spacing w:val="-62"/>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日，公司依照回购股份相关规定披露了《关于回购股份事项前十名股东持股信息的公告》。</w:t>
      </w:r>
    </w:p>
    <w:p>
      <w:pPr>
        <w:pStyle w:val="BodyText"/>
        <w:spacing w:line="470" w:lineRule="auto" w:before="35"/>
        <w:ind w:right="1035"/>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20</w:t>
      </w:r>
      <w:r>
        <w:rPr>
          <w:spacing w:val="-3"/>
        </w:rPr>
        <w:t>日，公司</w:t>
      </w:r>
      <w:r>
        <w:rPr>
          <w:rFonts w:ascii="Times New Roman" w:hAnsi="Times New Roman" w:cs="Times New Roman" w:eastAsia="Times New Roman" w:hint="default"/>
          <w:spacing w:val="-3"/>
        </w:rPr>
        <w:t>2018</w:t>
      </w:r>
      <w:r>
        <w:rPr>
          <w:spacing w:val="-3"/>
        </w:rPr>
        <w:t>年第四次临时股东大会如期在公司会议室召开，逐项审议通过了《关于回购公司股份预案的议案》</w:t>
      </w:r>
      <w:r>
        <w:rPr>
          <w:spacing w:val="-81"/>
        </w:rPr>
        <w:t> </w:t>
      </w:r>
      <w:r>
        <w:rPr>
          <w:spacing w:val="-81"/>
        </w:rPr>
      </w:r>
      <w:r>
        <w:rPr>
          <w:spacing w:val="-2"/>
        </w:rPr>
        <w:t>和《关于提请股东大会授权董事会具体办理本次回购股份工作相关事宜的议案》，广东信达律师事务所对本次股东大会进行</w:t>
      </w:r>
      <w:r>
        <w:rPr>
          <w:spacing w:val="-66"/>
        </w:rPr>
        <w:t> </w:t>
      </w:r>
      <w:r>
        <w:rPr>
          <w:spacing w:val="-66"/>
        </w:rPr>
      </w:r>
      <w:r>
        <w:rPr>
          <w:spacing w:val="-2"/>
        </w:rPr>
        <w:t>了见证并出具了本次股东大会出席会议人员及召集人资格合法有效、本次股东大会的表决程序合法、表决结果合法有效的结</w:t>
      </w:r>
      <w:r>
        <w:rPr>
          <w:spacing w:val="-64"/>
        </w:rPr>
        <w:t> </w:t>
      </w:r>
      <w:r>
        <w:rPr>
          <w:spacing w:val="-64"/>
        </w:rPr>
      </w:r>
      <w:r>
        <w:rPr/>
        <w:t>论性意见。同日，公司依法披露了关于回购股份的债权人通知。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日，公司完成在中国证券登记结算公司深圳分公司开立回购专用证券账户的工作并及时发布了相关进展公告。</w:t>
      </w:r>
    </w:p>
    <w:p>
      <w:pPr>
        <w:pStyle w:val="BodyText"/>
        <w:spacing w:line="451" w:lineRule="auto" w:before="27"/>
        <w:ind w:right="1039"/>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11</w:t>
      </w:r>
      <w:r>
        <w:rPr>
          <w:spacing w:val="-3"/>
        </w:rPr>
        <w:t>日，公司发布回购报告书，公司拟以集中竞价交易方式使用不低于人民币</w:t>
      </w:r>
      <w:r>
        <w:rPr>
          <w:rFonts w:ascii="Times New Roman" w:hAnsi="Times New Roman" w:cs="Times New Roman" w:eastAsia="Times New Roman" w:hint="default"/>
          <w:spacing w:val="-3"/>
        </w:rPr>
        <w:t>4,000</w:t>
      </w:r>
      <w:r>
        <w:rPr>
          <w:spacing w:val="-3"/>
        </w:rPr>
        <w:t>万元（含）且不超过人民币</w:t>
      </w:r>
      <w:r>
        <w:rPr>
          <w:rFonts w:ascii="Times New Roman" w:hAnsi="Times New Roman" w:cs="Times New Roman" w:eastAsia="Times New Roman" w:hint="default"/>
          <w:spacing w:val="-3"/>
        </w:rPr>
        <w:t>8,000</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2"/>
        </w:rPr>
        <w:t>万元（含）的自有资金回购公司股份，回购股份的价格不超过人民币</w:t>
      </w:r>
      <w:r>
        <w:rPr>
          <w:rFonts w:ascii="Times New Roman" w:hAnsi="Times New Roman" w:cs="Times New Roman" w:eastAsia="Times New Roman" w:hint="default"/>
          <w:spacing w:val="-2"/>
        </w:rPr>
        <w:t>12.8</w:t>
      </w:r>
      <w:r>
        <w:rPr>
          <w:spacing w:val="-2"/>
        </w:rPr>
        <w:t>元</w:t>
      </w:r>
      <w:r>
        <w:rPr>
          <w:rFonts w:ascii="Times New Roman" w:hAnsi="Times New Roman" w:cs="Times New Roman" w:eastAsia="Times New Roman" w:hint="default"/>
          <w:spacing w:val="-2"/>
        </w:rPr>
        <w:t>/</w:t>
      </w:r>
      <w:r>
        <w:rPr>
          <w:spacing w:val="-2"/>
        </w:rPr>
        <w:t>股，用于员工持股计划、股权激励。回购期限为</w:t>
      </w:r>
      <w:r>
        <w:rPr>
          <w:spacing w:val="-68"/>
        </w:rPr>
        <w:t> </w:t>
      </w:r>
      <w:r>
        <w:rPr>
          <w:spacing w:val="-68"/>
        </w:rPr>
      </w:r>
      <w:r>
        <w:rPr/>
        <w:t>自股东大会审议通过本次回购股份预案之日起不超过</w:t>
      </w:r>
      <w:r>
        <w:rPr>
          <w:rFonts w:ascii="Times New Roman" w:hAnsi="Times New Roman" w:cs="Times New Roman" w:eastAsia="Times New Roman" w:hint="default"/>
        </w:rPr>
        <w:t>9</w:t>
      </w:r>
      <w:r>
        <w:rPr/>
        <w:t>个月。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日，公司首次通过股票回购专用账户以集中竞价方式实施回购公司股份</w:t>
      </w:r>
      <w:r>
        <w:rPr>
          <w:rFonts w:ascii="Times New Roman" w:hAnsi="Times New Roman" w:cs="Times New Roman" w:eastAsia="Times New Roman" w:hint="default"/>
        </w:rPr>
        <w:t>779,100</w:t>
      </w:r>
      <w:r>
        <w:rPr/>
        <w:t>股，占公司总股本的</w:t>
      </w:r>
      <w:r>
        <w:rPr>
          <w:rFonts w:ascii="Times New Roman" w:hAnsi="Times New Roman" w:cs="Times New Roman" w:eastAsia="Times New Roman" w:hint="default"/>
        </w:rPr>
        <w:t>0.19%</w:t>
      </w:r>
      <w:r>
        <w:rPr/>
        <w:t>，本</w:t>
      </w:r>
      <w:r>
        <w:rPr>
          <w:spacing w:val="-17"/>
        </w:rPr>
        <w:t> </w:t>
      </w:r>
      <w:r>
        <w:rPr/>
        <w:t>次回购股份的最高成交价为</w:t>
      </w:r>
      <w:r>
        <w:rPr>
          <w:rFonts w:ascii="Times New Roman" w:hAnsi="Times New Roman" w:cs="Times New Roman" w:eastAsia="Times New Roman" w:hint="default"/>
        </w:rPr>
        <w:t>10.42</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10.00</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7,997,943.38</w:t>
      </w:r>
      <w:r>
        <w:rPr/>
        <w:t>元（不含交易费用）。 </w:t>
      </w:r>
      <w:r>
        <w:rPr>
          <w:spacing w:val="-1"/>
        </w:rPr>
        <w:t>截至报告期末，公司以集中竞价交易方式累计回购公司股份</w:t>
      </w:r>
      <w:r>
        <w:rPr>
          <w:rFonts w:ascii="Times New Roman" w:hAnsi="Times New Roman" w:cs="Times New Roman" w:eastAsia="Times New Roman" w:hint="default"/>
          <w:spacing w:val="-1"/>
        </w:rPr>
        <w:t>1,838,500</w:t>
      </w:r>
      <w:r>
        <w:rPr>
          <w:spacing w:val="-1"/>
        </w:rPr>
        <w:t>股，占公司总股本的</w:t>
      </w:r>
      <w:r>
        <w:rPr>
          <w:rFonts w:ascii="Times New Roman" w:hAnsi="Times New Roman" w:cs="Times New Roman" w:eastAsia="Times New Roman" w:hint="default"/>
          <w:spacing w:val="-1"/>
        </w:rPr>
        <w:t>0.45%</w:t>
      </w:r>
      <w:r>
        <w:rPr>
          <w:spacing w:val="-1"/>
        </w:rPr>
        <w:t>，最高成交价为</w:t>
      </w:r>
      <w:r>
        <w:rPr>
          <w:rFonts w:ascii="Times New Roman" w:hAnsi="Times New Roman" w:cs="Times New Roman" w:eastAsia="Times New Roman" w:hint="default"/>
          <w:spacing w:val="-1"/>
        </w:rPr>
        <w:t>10.59</w:t>
      </w:r>
      <w:r>
        <w:rPr>
          <w:spacing w:val="-1"/>
        </w:rPr>
        <w:t>元</w:t>
      </w:r>
      <w:r>
        <w:rPr>
          <w:rFonts w:ascii="Times New Roman" w:hAnsi="Times New Roman" w:cs="Times New Roman" w:eastAsia="Times New Roman" w:hint="default"/>
          <w:spacing w:val="-1"/>
        </w:rPr>
        <w:t>/</w:t>
      </w:r>
      <w:r>
        <w:rPr>
          <w:spacing w:val="-1"/>
        </w:rPr>
        <w:t>股，</w:t>
      </w:r>
      <w:r>
        <w:rPr>
          <w:spacing w:val="-39"/>
        </w:rPr>
        <w:t> </w:t>
      </w:r>
      <w:r>
        <w:rPr/>
        <w:t>最低成交价为</w:t>
      </w:r>
      <w:r>
        <w:rPr>
          <w:rFonts w:ascii="Times New Roman" w:hAnsi="Times New Roman" w:cs="Times New Roman" w:eastAsia="Times New Roman" w:hint="default"/>
        </w:rPr>
        <w:t>10.00</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18,995,303.67</w:t>
      </w:r>
      <w:r>
        <w:rPr/>
        <w:t>元（不含交易费用）。 以上事项具体内容详见公司分别于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 </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11</w:t>
      </w:r>
      <w:r>
        <w:rPr>
          <w:spacing w:val="-6"/>
        </w:rPr>
        <w:t>日、</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26</w:t>
      </w:r>
      <w:r>
        <w:rPr>
          <w:spacing w:val="-6"/>
        </w:rPr>
        <w:t>日以及</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2</w:t>
      </w:r>
      <w:r>
        <w:rPr>
          <w:spacing w:val="-6"/>
        </w:rPr>
        <w:t>日披露于巨潮资讯网的相关公告（公告编号：</w:t>
      </w:r>
      <w:r>
        <w:rPr>
          <w:rFonts w:ascii="Times New Roman" w:hAnsi="Times New Roman" w:cs="Times New Roman" w:eastAsia="Times New Roman" w:hint="default"/>
          <w:spacing w:val="-6"/>
        </w:rPr>
        <w:t>2018-049</w:t>
      </w:r>
      <w:r>
        <w:rPr>
          <w:spacing w:val="-6"/>
        </w:rPr>
        <w:t>；</w:t>
      </w:r>
      <w:r>
        <w:rPr>
          <w:rFonts w:ascii="Times New Roman" w:hAnsi="Times New Roman" w:cs="Times New Roman" w:eastAsia="Times New Roman" w:hint="default"/>
          <w:spacing w:val="-6"/>
        </w:rPr>
        <w:t>2018-050</w:t>
      </w:r>
      <w:r>
        <w:rPr>
          <w:spacing w:val="-6"/>
        </w:rPr>
        <w:t>；</w:t>
      </w:r>
      <w:r>
        <w:rPr>
          <w:rFonts w:ascii="Times New Roman" w:hAnsi="Times New Roman" w:cs="Times New Roman" w:eastAsia="Times New Roman" w:hint="default"/>
          <w:spacing w:val="-6"/>
        </w:rPr>
        <w:t>2018-055</w:t>
      </w:r>
      <w:r>
        <w:rPr>
          <w:spacing w:val="-6"/>
        </w:rPr>
        <w:t>；</w:t>
      </w:r>
    </w:p>
    <w:p>
      <w:pPr>
        <w:pStyle w:val="BodyText"/>
        <w:spacing w:line="240" w:lineRule="auto" w:before="43"/>
        <w:ind w:right="0"/>
        <w:jc w:val="left"/>
      </w:pPr>
      <w:r>
        <w:rPr>
          <w:rFonts w:ascii="Times New Roman" w:hAnsi="Times New Roman" w:cs="Times New Roman" w:eastAsia="Times New Roman" w:hint="default"/>
        </w:rPr>
        <w:t>2018-056</w:t>
      </w:r>
      <w:r>
        <w:rPr/>
        <w:t>；</w:t>
      </w:r>
      <w:r>
        <w:rPr>
          <w:rFonts w:ascii="Times New Roman" w:hAnsi="Times New Roman" w:cs="Times New Roman" w:eastAsia="Times New Roman" w:hint="default"/>
        </w:rPr>
        <w:t>2018-057</w:t>
      </w:r>
      <w:r>
        <w:rPr/>
        <w:t>；</w:t>
      </w:r>
      <w:r>
        <w:rPr>
          <w:rFonts w:ascii="Times New Roman" w:hAnsi="Times New Roman" w:cs="Times New Roman" w:eastAsia="Times New Roman" w:hint="default"/>
        </w:rPr>
        <w:t>2018-059</w:t>
      </w:r>
      <w:r>
        <w:rPr/>
        <w:t>；</w:t>
      </w:r>
      <w:r>
        <w:rPr>
          <w:rFonts w:ascii="Times New Roman" w:hAnsi="Times New Roman" w:cs="Times New Roman" w:eastAsia="Times New Roman" w:hint="default"/>
        </w:rPr>
        <w:t>2018-061</w:t>
      </w:r>
      <w:r>
        <w:rPr/>
        <w:t>；</w:t>
      </w:r>
      <w:r>
        <w:rPr>
          <w:rFonts w:ascii="Times New Roman" w:hAnsi="Times New Roman" w:cs="Times New Roman" w:eastAsia="Times New Roman" w:hint="default"/>
        </w:rPr>
        <w:t>2019-001</w:t>
      </w:r>
      <w:r>
        <w:rPr/>
        <w:t>）。</w:t>
      </w:r>
    </w:p>
    <w:p>
      <w:pPr>
        <w:spacing w:line="240" w:lineRule="auto" w:before="10"/>
        <w:rPr>
          <w:rFonts w:ascii="宋体" w:hAnsi="宋体" w:cs="宋体" w:eastAsia="宋体" w:hint="default"/>
          <w:sz w:val="16"/>
          <w:szCs w:val="16"/>
        </w:rPr>
      </w:pPr>
    </w:p>
    <w:p>
      <w:pPr>
        <w:pStyle w:val="BodyText"/>
        <w:spacing w:line="451" w:lineRule="auto"/>
        <w:ind w:right="1129"/>
        <w:jc w:val="both"/>
        <w:rPr>
          <w:rFonts w:ascii="Times New Roman" w:hAnsi="Times New Roman" w:cs="Times New Roman" w:eastAsia="Times New Roman" w:hint="default"/>
        </w:rPr>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14</w:t>
      </w:r>
      <w:r>
        <w:rPr>
          <w:spacing w:val="-2"/>
        </w:rPr>
        <w:t>日，公司召开第二届董事会第十六次会议，审议通过了《关于公司拟购买房产的议案》，同意公司为解决本</w:t>
      </w:r>
      <w:r>
        <w:rPr>
          <w:spacing w:val="-60"/>
        </w:rPr>
        <w:t> </w:t>
      </w:r>
      <w:r>
        <w:rPr>
          <w:spacing w:val="-60"/>
        </w:rPr>
      </w:r>
      <w:r>
        <w:rPr/>
        <w:t>次非公开发行募投项目用地，出资购买广州市番禺节能科技园发展有限公司拥有的位于广州市番禺区番禺大道北</w:t>
      </w:r>
      <w:r>
        <w:rPr>
          <w:rFonts w:ascii="Times New Roman" w:hAnsi="Times New Roman" w:cs="Times New Roman" w:eastAsia="Times New Roman" w:hint="default"/>
        </w:rPr>
        <w:t>555</w:t>
      </w:r>
      <w:r>
        <w:rPr/>
        <w:t>号的天 </w:t>
      </w:r>
      <w:r>
        <w:rPr>
          <w:spacing w:val="-2"/>
        </w:rPr>
        <w:t>安总部中心</w:t>
      </w:r>
      <w:r>
        <w:rPr>
          <w:rFonts w:ascii="Times New Roman" w:hAnsi="Times New Roman" w:cs="Times New Roman" w:eastAsia="Times New Roman" w:hint="default"/>
          <w:spacing w:val="-2"/>
        </w:rPr>
        <w:t>22</w:t>
      </w:r>
      <w:r>
        <w:rPr>
          <w:spacing w:val="-2"/>
        </w:rPr>
        <w:t>号楼整栋（包括车库），公司本次关于购买房产事项的具体内容详见公司分别于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14</w:t>
      </w:r>
    </w:p>
    <w:p>
      <w:pPr>
        <w:spacing w:after="0" w:line="451" w:lineRule="auto"/>
        <w:jc w:val="both"/>
        <w:rPr>
          <w:rFonts w:ascii="Times New Roman" w:hAnsi="Times New Roman" w:cs="Times New Roman" w:eastAsia="Times New Roman" w:hint="default"/>
        </w:rPr>
        <w:sectPr>
          <w:footerReference w:type="default" r:id="rId16"/>
          <w:pgSz w:w="11910" w:h="16840"/>
          <w:pgMar w:footer="979" w:header="747" w:top="1060" w:bottom="1160" w:left="980" w:right="0"/>
          <w:pgNumType w:start="8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456" w:lineRule="auto" w:before="44"/>
        <w:ind w:right="1042"/>
        <w:jc w:val="left"/>
      </w:pPr>
      <w:r>
        <w:rPr/>
        <w:t>日披露于巨潮咨询网（</w:t>
      </w:r>
      <w:hyperlink r:id="rId17">
        <w:r>
          <w:rPr>
            <w:rFonts w:ascii="Times New Roman" w:hAnsi="Times New Roman" w:cs="Times New Roman" w:eastAsia="Times New Roman" w:hint="default"/>
          </w:rPr>
          <w:t>http://www.cninfo.com.cn</w:t>
        </w:r>
      </w:hyperlink>
      <w:r>
        <w:rPr/>
        <w:t>）上的《关于公司拟购买房产的公告》（公告编号：</w:t>
      </w:r>
      <w:r>
        <w:rPr>
          <w:rFonts w:ascii="Times New Roman" w:hAnsi="Times New Roman" w:cs="Times New Roman" w:eastAsia="Times New Roman" w:hint="default"/>
        </w:rPr>
        <w:t>2016-015</w:t>
      </w:r>
      <w:r>
        <w:rPr/>
        <w:t>）以及《关于</w:t>
      </w:r>
      <w:r>
        <w:rPr>
          <w:w w:val="99"/>
        </w:rPr>
        <w:t> </w:t>
      </w:r>
      <w:r>
        <w:rPr/>
        <w:t>公司购买房产事项的进展公告》（公告编号：</w:t>
      </w:r>
      <w:r>
        <w:rPr>
          <w:rFonts w:ascii="Times New Roman" w:hAnsi="Times New Roman" w:cs="Times New Roman" w:eastAsia="Times New Roman" w:hint="default"/>
        </w:rPr>
        <w:t>2017-007</w:t>
      </w:r>
      <w:r>
        <w:rPr/>
        <w:t>）。截至报告期末，公司已支付完毕前述合同所有款项且相关房产已</w:t>
      </w:r>
      <w:r>
        <w:rPr>
          <w:w w:val="99"/>
        </w:rPr>
        <w:t> </w:t>
      </w:r>
      <w:r>
        <w:rPr/>
        <w:t>由卖方交付公司使用，目前相关房产的产权证书尚在办理过程中。</w:t>
      </w:r>
      <w:r>
        <w:rPr>
          <w:w w:val="99"/>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日，公司与北京市公安局通州分局签署了《北京市通州区公共安全视频监控建设联网应用项目（第一包）</w:t>
      </w:r>
      <w:r>
        <w:rPr>
          <w:w w:val="99"/>
        </w:rPr>
        <w:t> </w:t>
      </w:r>
      <w:r>
        <w:rPr>
          <w:spacing w:val="-2"/>
        </w:rPr>
        <w:t>合同书，合同总金额为</w:t>
      </w:r>
      <w:r>
        <w:rPr>
          <w:rFonts w:ascii="Times New Roman" w:hAnsi="Times New Roman" w:cs="Times New Roman" w:eastAsia="Times New Roman" w:hint="default"/>
          <w:spacing w:val="-2"/>
        </w:rPr>
        <w:t>8,560.6107</w:t>
      </w:r>
      <w:r>
        <w:rPr>
          <w:spacing w:val="-2"/>
        </w:rPr>
        <w:t>万元，合同的主要内容详见公司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日披露于巨潮资讯网的相关公告（公告编号：</w:t>
      </w:r>
      <w:r>
        <w:rPr>
          <w:spacing w:val="-48"/>
        </w:rPr>
        <w:t> </w:t>
      </w:r>
      <w:r>
        <w:rPr>
          <w:spacing w:val="-48"/>
        </w:rPr>
      </w:r>
      <w:r>
        <w:rPr>
          <w:rFonts w:ascii="Times New Roman" w:hAnsi="Times New Roman" w:cs="Times New Roman" w:eastAsia="Times New Roman" w:hint="default"/>
        </w:rPr>
        <w:t>2017-052</w:t>
      </w:r>
      <w:r>
        <w:rPr/>
        <w:t>）。截至报告期末，已累计实现收入</w:t>
      </w:r>
      <w:r>
        <w:rPr>
          <w:rFonts w:ascii="Times New Roman" w:hAnsi="Times New Roman" w:cs="Times New Roman" w:eastAsia="Times New Roman" w:hint="default"/>
        </w:rPr>
        <w:t>3,777.06</w:t>
      </w:r>
      <w:r>
        <w:rPr/>
        <w:t>万元。</w:t>
      </w:r>
    </w:p>
    <w:p>
      <w:pPr>
        <w:pStyle w:val="BodyText"/>
        <w:spacing w:line="456" w:lineRule="auto" w:before="39"/>
        <w:ind w:right="1129"/>
        <w:jc w:val="left"/>
      </w:pPr>
      <w:r>
        <w:rPr>
          <w:rFonts w:ascii="Times New Roman" w:hAnsi="Times New Roman" w:cs="Times New Roman" w:eastAsia="Times New Roman" w:hint="default"/>
          <w:spacing w:val="-1"/>
        </w:rPr>
        <w:t>8</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日，公司与雷洪文（雷洪文为公司持股</w:t>
      </w:r>
      <w:r>
        <w:rPr>
          <w:rFonts w:ascii="Times New Roman" w:hAnsi="Times New Roman" w:cs="Times New Roman" w:eastAsia="Times New Roman" w:hint="default"/>
          <w:spacing w:val="-1"/>
        </w:rPr>
        <w:t>5%</w:t>
      </w:r>
      <w:r>
        <w:rPr>
          <w:spacing w:val="-1"/>
        </w:rPr>
        <w:t>以上股东、董事、总经理）、讯之美物联网服务有限公司（以下</w:t>
      </w:r>
      <w:r>
        <w:rPr>
          <w:spacing w:val="-83"/>
        </w:rPr>
        <w:t> </w:t>
      </w:r>
      <w:r>
        <w:rPr>
          <w:spacing w:val="-83"/>
        </w:rPr>
      </w:r>
      <w:r>
        <w:rPr>
          <w:spacing w:val="-1"/>
        </w:rPr>
        <w:t>简称</w:t>
      </w:r>
      <w:r>
        <w:rPr>
          <w:rFonts w:ascii="Times New Roman" w:hAnsi="Times New Roman" w:cs="Times New Roman" w:eastAsia="Times New Roman" w:hint="default"/>
          <w:spacing w:val="-1"/>
        </w:rPr>
        <w:t>“</w:t>
      </w:r>
      <w:r>
        <w:rPr>
          <w:spacing w:val="-1"/>
        </w:rPr>
        <w:t>讯之美</w:t>
      </w:r>
      <w:r>
        <w:rPr>
          <w:rFonts w:ascii="Times New Roman" w:hAnsi="Times New Roman" w:cs="Times New Roman" w:eastAsia="Times New Roman" w:hint="default"/>
          <w:spacing w:val="-1"/>
        </w:rPr>
        <w:t>”</w:t>
      </w:r>
      <w:r>
        <w:rPr>
          <w:spacing w:val="-1"/>
        </w:rPr>
        <w:t>）及其股东广州洛冬投资合伙企业（有限合伙）（以下简称</w:t>
      </w:r>
      <w:r>
        <w:rPr>
          <w:rFonts w:ascii="Times New Roman" w:hAnsi="Times New Roman" w:cs="Times New Roman" w:eastAsia="Times New Roman" w:hint="default"/>
          <w:spacing w:val="-1"/>
        </w:rPr>
        <w:t>“</w:t>
      </w:r>
      <w:r>
        <w:rPr>
          <w:spacing w:val="-1"/>
        </w:rPr>
        <w:t>洛冬投资</w:t>
      </w:r>
      <w:r>
        <w:rPr>
          <w:rFonts w:ascii="Times New Roman" w:hAnsi="Times New Roman" w:cs="Times New Roman" w:eastAsia="Times New Roman" w:hint="default"/>
          <w:spacing w:val="-1"/>
        </w:rPr>
        <w:t>”</w:t>
      </w:r>
      <w:r>
        <w:rPr>
          <w:spacing w:val="-1"/>
        </w:rPr>
        <w:t>）、重庆洛尔投资有限公司签署增资及</w:t>
      </w:r>
      <w:r>
        <w:rPr>
          <w:spacing w:val="-82"/>
        </w:rPr>
        <w:t> </w:t>
      </w:r>
      <w:r>
        <w:rPr>
          <w:spacing w:val="-82"/>
        </w:rPr>
      </w:r>
      <w:r>
        <w:rPr>
          <w:spacing w:val="-2"/>
        </w:rPr>
        <w:t>股权转让意向性协议，约定讯之美先通过增资扩股的方式吸收新股东雷洪文，由雷洪文先期以现金方式认购讯之美此次全部</w:t>
      </w:r>
      <w:r>
        <w:rPr>
          <w:spacing w:val="-64"/>
        </w:rPr>
        <w:t> </w:t>
      </w:r>
      <w:r>
        <w:rPr>
          <w:spacing w:val="-64"/>
        </w:rPr>
      </w:r>
      <w:r>
        <w:rPr/>
        <w:t>新增注册资本，占讯之美增资后总股本的</w:t>
      </w:r>
      <w:r>
        <w:rPr>
          <w:rFonts w:ascii="Times New Roman" w:hAnsi="Times New Roman" w:cs="Times New Roman" w:eastAsia="Times New Roman" w:hint="default"/>
        </w:rPr>
        <w:t>6.00%</w:t>
      </w:r>
      <w:r>
        <w:rPr/>
        <w:t>，其次公司以支付现金方式购买洛冬投资和雷洪文持有的增资后讯之美 </w:t>
      </w:r>
      <w:r>
        <w:rPr>
          <w:rFonts w:ascii="Times New Roman" w:hAnsi="Times New Roman" w:cs="Times New Roman" w:eastAsia="Times New Roman" w:hint="default"/>
          <w:spacing w:val="-4"/>
        </w:rPr>
        <w:t>53.58%</w:t>
      </w:r>
      <w:r>
        <w:rPr>
          <w:spacing w:val="-4"/>
        </w:rPr>
        <w:t>和</w:t>
      </w:r>
      <w:r>
        <w:rPr>
          <w:rFonts w:ascii="Times New Roman" w:hAnsi="Times New Roman" w:cs="Times New Roman" w:eastAsia="Times New Roman" w:hint="default"/>
          <w:spacing w:val="-4"/>
        </w:rPr>
        <w:t>6.00%</w:t>
      </w:r>
      <w:r>
        <w:rPr>
          <w:spacing w:val="-4"/>
        </w:rPr>
        <w:t>的股权，即合计持有增资后讯之美</w:t>
      </w:r>
      <w:r>
        <w:rPr>
          <w:rFonts w:ascii="Times New Roman" w:hAnsi="Times New Roman" w:cs="Times New Roman" w:eastAsia="Times New Roman" w:hint="default"/>
          <w:spacing w:val="-4"/>
        </w:rPr>
        <w:t>59.58%</w:t>
      </w:r>
      <w:r>
        <w:rPr>
          <w:spacing w:val="-4"/>
        </w:rPr>
        <w:t>的股权，具体内容详见公司</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18</w:t>
      </w:r>
      <w:r>
        <w:rPr>
          <w:spacing w:val="-4"/>
        </w:rPr>
        <w:t>日披露于巨潮资讯网的《浩</w:t>
      </w:r>
      <w:r>
        <w:rPr>
          <w:spacing w:val="-41"/>
        </w:rPr>
        <w:t> </w:t>
      </w:r>
      <w:r>
        <w:rPr>
          <w:spacing w:val="-41"/>
        </w:rPr>
      </w:r>
      <w:r>
        <w:rPr>
          <w:spacing w:val="-1"/>
        </w:rPr>
        <w:t>云科技：关于签署收购股权意向性协议暨关联交易的提示性公告》（公告编号：</w:t>
      </w:r>
      <w:r>
        <w:rPr>
          <w:rFonts w:ascii="Times New Roman" w:hAnsi="Times New Roman" w:cs="Times New Roman" w:eastAsia="Times New Roman" w:hint="default"/>
          <w:spacing w:val="-1"/>
        </w:rPr>
        <w:t>2018-060</w:t>
      </w:r>
      <w:r>
        <w:rPr>
          <w:spacing w:val="-1"/>
        </w:rPr>
        <w:t>）。截至报告期末，该事项尚在筹</w:t>
      </w:r>
      <w:r>
        <w:rPr>
          <w:spacing w:val="-87"/>
        </w:rPr>
        <w:t> </w:t>
      </w:r>
      <w:r>
        <w:rPr>
          <w:spacing w:val="-87"/>
        </w:rPr>
      </w:r>
      <w:r>
        <w:rPr/>
        <w:t>划过程中。</w:t>
      </w:r>
    </w:p>
    <w:p>
      <w:pPr>
        <w:spacing w:line="240" w:lineRule="auto" w:before="8"/>
        <w:rPr>
          <w:rFonts w:ascii="宋体" w:hAnsi="宋体" w:cs="宋体" w:eastAsia="宋体" w:hint="default"/>
          <w:sz w:val="24"/>
          <w:szCs w:val="24"/>
        </w:rPr>
      </w:pPr>
    </w:p>
    <w:p>
      <w:pPr>
        <w:pStyle w:val="Heading2"/>
        <w:spacing w:line="240" w:lineRule="auto"/>
        <w:ind w:right="0"/>
        <w:jc w:val="left"/>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9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1</w:t>
      </w:r>
      <w:r>
        <w:rPr/>
        <w:t>、深圳市润安科技发展有限公司（以下简称</w:t>
      </w:r>
      <w:r>
        <w:rPr>
          <w:rFonts w:ascii="Times New Roman" w:hAnsi="Times New Roman" w:cs="Times New Roman" w:eastAsia="Times New Roman" w:hint="default"/>
        </w:rPr>
        <w:t>“</w:t>
      </w:r>
      <w:r>
        <w:rPr/>
        <w:t>润安科技</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1</w:t>
      </w:r>
      <w:r>
        <w:rPr/>
        <w:t>）员工股权激励框架方案事项</w:t>
      </w:r>
    </w:p>
    <w:p>
      <w:pPr>
        <w:spacing w:line="240" w:lineRule="auto" w:before="9"/>
        <w:rPr>
          <w:rFonts w:ascii="宋体" w:hAnsi="宋体" w:cs="宋体" w:eastAsia="宋体" w:hint="default"/>
          <w:sz w:val="16"/>
          <w:szCs w:val="16"/>
        </w:rPr>
      </w:pPr>
    </w:p>
    <w:p>
      <w:pPr>
        <w:pStyle w:val="BodyText"/>
        <w:spacing w:line="463" w:lineRule="auto"/>
        <w:ind w:right="1040" w:firstLine="360"/>
        <w:jc w:val="left"/>
      </w:pP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11</w:t>
      </w:r>
      <w:r>
        <w:rPr>
          <w:spacing w:val="-7"/>
        </w:rPr>
        <w:t>月</w:t>
      </w:r>
      <w:r>
        <w:rPr>
          <w:rFonts w:ascii="Times New Roman" w:hAnsi="Times New Roman" w:cs="Times New Roman" w:eastAsia="Times New Roman" w:hint="default"/>
          <w:spacing w:val="-7"/>
        </w:rPr>
        <w:t>27</w:t>
      </w:r>
      <w:r>
        <w:rPr>
          <w:spacing w:val="-7"/>
        </w:rPr>
        <w:t>日，公司召开第二届董事会第四十二次会议，审议通过了《关于控股子公司员工股权激励框架方案的议案》，</w:t>
      </w:r>
      <w:r>
        <w:rPr/>
        <w:t> </w:t>
      </w:r>
      <w:r>
        <w:rPr>
          <w:spacing w:val="-2"/>
        </w:rPr>
        <w:t>同意公司控股子公司润安科技实施本次员工股权激励框架方案，具体内容详见公司同日披露于巨潮资讯网的相关公告（公告</w:t>
      </w:r>
      <w:r>
        <w:rPr>
          <w:spacing w:val="-64"/>
        </w:rPr>
        <w:t> </w:t>
      </w:r>
      <w:r>
        <w:rPr>
          <w:spacing w:val="-64"/>
        </w:rPr>
      </w:r>
      <w:r>
        <w:rPr/>
        <w:t>编号：</w:t>
      </w:r>
      <w:r>
        <w:rPr>
          <w:rFonts w:ascii="Times New Roman" w:hAnsi="Times New Roman" w:cs="Times New Roman" w:eastAsia="Times New Roman" w:hint="default"/>
        </w:rPr>
        <w:t>2017-054</w:t>
      </w:r>
      <w:r>
        <w:rPr/>
        <w:t>）。</w:t>
      </w:r>
    </w:p>
    <w:p>
      <w:pPr>
        <w:pStyle w:val="BodyText"/>
        <w:spacing w:line="451" w:lineRule="auto" w:before="33"/>
        <w:ind w:right="1048" w:firstLine="360"/>
        <w:jc w:val="left"/>
      </w:pPr>
      <w:r>
        <w:rPr/>
        <w:t>报告期内，润安科技已实施完成了其第一期股权激励计划并办理了相关工商变更登记手续，具体内容详见公司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 </w:t>
      </w:r>
      <w:r>
        <w:rPr>
          <w:spacing w:val="-2"/>
        </w:rPr>
        <w:t>月</w:t>
      </w:r>
      <w:r>
        <w:rPr>
          <w:rFonts w:ascii="Times New Roman" w:hAnsi="Times New Roman" w:cs="Times New Roman" w:eastAsia="Times New Roman" w:hint="default"/>
          <w:spacing w:val="-2"/>
        </w:rPr>
        <w:t>3</w:t>
      </w:r>
      <w:r>
        <w:rPr>
          <w:spacing w:val="-2"/>
        </w:rPr>
        <w:t>日披露于巨潮资讯网的《浩云科技：关于控股子公司实施员工股权激励框架方案的进展公告》（公告编号：</w:t>
      </w:r>
      <w:r>
        <w:rPr>
          <w:rFonts w:ascii="Times New Roman" w:hAnsi="Times New Roman" w:cs="Times New Roman" w:eastAsia="Times New Roman" w:hint="default"/>
          <w:spacing w:val="-2"/>
        </w:rPr>
        <w:t>2018-001</w:t>
      </w:r>
      <w:r>
        <w:rPr>
          <w:spacing w:val="-2"/>
        </w:rPr>
        <w:t>）。</w:t>
      </w:r>
      <w:r>
        <w:rPr/>
      </w:r>
    </w:p>
    <w:p>
      <w:pPr>
        <w:pStyle w:val="BodyText"/>
        <w:spacing w:line="240" w:lineRule="auto" w:before="43"/>
        <w:ind w:right="0"/>
        <w:jc w:val="left"/>
      </w:pPr>
      <w:r>
        <w:rPr/>
        <w:t>（</w:t>
      </w:r>
      <w:r>
        <w:rPr>
          <w:rFonts w:ascii="Times New Roman" w:hAnsi="Times New Roman" w:cs="Times New Roman" w:eastAsia="Times New Roman" w:hint="default"/>
        </w:rPr>
        <w:t>2</w:t>
      </w:r>
      <w:r>
        <w:rPr/>
        <w:t>）入围中国电信广东省云业务合作伙伴招募项目事项</w:t>
      </w:r>
    </w:p>
    <w:p>
      <w:pPr>
        <w:spacing w:line="240" w:lineRule="auto" w:before="9"/>
        <w:rPr>
          <w:rFonts w:ascii="宋体" w:hAnsi="宋体" w:cs="宋体" w:eastAsia="宋体" w:hint="default"/>
          <w:sz w:val="16"/>
          <w:szCs w:val="16"/>
        </w:rPr>
      </w:pPr>
    </w:p>
    <w:p>
      <w:pPr>
        <w:pStyle w:val="BodyText"/>
        <w:spacing w:line="451" w:lineRule="auto"/>
        <w:ind w:right="113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日，润安科技收到由中国电信股份有限公司广东分公司发起的</w:t>
      </w:r>
      <w:r>
        <w:rPr>
          <w:rFonts w:ascii="Times New Roman" w:hAnsi="Times New Roman" w:cs="Times New Roman" w:eastAsia="Times New Roman" w:hint="default"/>
        </w:rPr>
        <w:t>“</w:t>
      </w:r>
      <w:r>
        <w:rPr/>
        <w:t>云业务合作伙伴招募项目</w:t>
      </w:r>
      <w:r>
        <w:rPr>
          <w:rFonts w:ascii="Times New Roman" w:hAnsi="Times New Roman" w:cs="Times New Roman" w:eastAsia="Times New Roman" w:hint="default"/>
        </w:rPr>
        <w:t>”</w:t>
      </w:r>
      <w:r>
        <w:rPr/>
        <w:t>的入围通知书， 告知润安科技被确定为云集成类别、云应用类别的省级合作伙伴，具体内容详见公司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日披露于巨潮资讯网的相 关公告（公告编号：</w:t>
      </w:r>
      <w:r>
        <w:rPr>
          <w:rFonts w:ascii="Times New Roman" w:hAnsi="Times New Roman" w:cs="Times New Roman" w:eastAsia="Times New Roman" w:hint="default"/>
        </w:rPr>
        <w:t>2018-051</w:t>
      </w:r>
      <w:r>
        <w:rPr/>
        <w:t>）。</w:t>
      </w:r>
    </w:p>
    <w:p>
      <w:pPr>
        <w:pStyle w:val="BodyText"/>
        <w:spacing w:line="451" w:lineRule="auto" w:before="43"/>
        <w:ind w:left="659" w:right="1118" w:hanging="506"/>
        <w:jc w:val="left"/>
      </w:pPr>
      <w:r>
        <w:rPr/>
        <w:t>（</w:t>
      </w:r>
      <w:r>
        <w:rPr>
          <w:rFonts w:ascii="Times New Roman" w:hAnsi="Times New Roman" w:cs="Times New Roman" w:eastAsia="Times New Roman" w:hint="default"/>
        </w:rPr>
        <w:t>3</w:t>
      </w:r>
      <w:r>
        <w:rPr/>
        <w:t>）与中国电信广东分公司签署信息化合作框架协议事项 </w:t>
      </w:r>
      <w:r>
        <w:rPr>
          <w:spacing w:val="-1"/>
        </w:rPr>
        <w:t>报告期内，润安科技与中国电信股份有限公司广东分公司签订了《信息化合作框架协议（解决方案类）》，双方同意</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1043"/>
        <w:jc w:val="left"/>
      </w:pPr>
      <w:r>
        <w:rPr>
          <w:spacing w:val="-4"/>
        </w:rPr>
        <w:t>建立信息化合作关系，在全省联合开展政企客户信息化业务拓展，合作范围涵盖智慧政务领域，依托双方各自在市场、技术、</w:t>
      </w:r>
      <w:r>
        <w:rPr>
          <w:spacing w:val="-46"/>
        </w:rPr>
        <w:t> </w:t>
      </w:r>
      <w:r>
        <w:rPr>
          <w:spacing w:val="-46"/>
        </w:rPr>
      </w:r>
      <w:r>
        <w:rPr/>
        <w:t>产品、资源、渠道等方面的优势，打造品牌优势，实现共赢，具体内容详见公司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日披露于巨潮资讯网的相关公 告（公告编号：</w:t>
      </w:r>
      <w:r>
        <w:rPr>
          <w:rFonts w:ascii="Times New Roman" w:hAnsi="Times New Roman" w:cs="Times New Roman" w:eastAsia="Times New Roman" w:hint="default"/>
        </w:rPr>
        <w:t>2018-052</w:t>
      </w:r>
      <w:r>
        <w:rPr/>
        <w:t>）。</w:t>
      </w:r>
    </w:p>
    <w:p>
      <w:pPr>
        <w:pStyle w:val="BodyText"/>
        <w:spacing w:line="451" w:lineRule="auto" w:before="34"/>
        <w:ind w:left="514" w:right="0" w:hanging="360"/>
        <w:jc w:val="left"/>
      </w:pPr>
      <w:r>
        <w:rPr/>
        <w:t>（</w:t>
      </w:r>
      <w:r>
        <w:rPr>
          <w:rFonts w:ascii="Times New Roman" w:hAnsi="Times New Roman" w:cs="Times New Roman" w:eastAsia="Times New Roman" w:hint="default"/>
        </w:rPr>
        <w:t>4</w:t>
      </w:r>
      <w:r>
        <w:rPr/>
        <w:t>）与深圳市公安局大鹏分局签署重大合同事项 </w:t>
      </w:r>
      <w:r>
        <w:rPr>
          <w:spacing w:val="-2"/>
        </w:rPr>
        <w:t>报告期内，润安科技与深圳市公安局大鹏分局签署了《大鹏新区</w:t>
      </w:r>
      <w:r>
        <w:rPr>
          <w:rFonts w:ascii="Times New Roman" w:hAnsi="Times New Roman" w:cs="Times New Roman" w:eastAsia="Times New Roman" w:hint="default"/>
          <w:spacing w:val="-2"/>
        </w:rPr>
        <w:t>“</w:t>
      </w:r>
      <w:r>
        <w:rPr>
          <w:spacing w:val="-2"/>
        </w:rPr>
        <w:t>雪亮工程</w:t>
      </w:r>
      <w:r>
        <w:rPr>
          <w:rFonts w:ascii="Times New Roman" w:hAnsi="Times New Roman" w:cs="Times New Roman" w:eastAsia="Times New Roman" w:hint="default"/>
          <w:spacing w:val="-2"/>
        </w:rPr>
        <w:t>”</w:t>
      </w:r>
      <w:r>
        <w:rPr>
          <w:spacing w:val="-2"/>
        </w:rPr>
        <w:t>（二期）第一批高清一类及智能配电设备采</w:t>
      </w:r>
    </w:p>
    <w:p>
      <w:pPr>
        <w:pStyle w:val="BodyText"/>
        <w:spacing w:line="240" w:lineRule="auto" w:before="43"/>
        <w:ind w:right="0"/>
        <w:jc w:val="left"/>
      </w:pPr>
      <w:r>
        <w:rPr/>
        <w:t>购合同》，合同金额为人民币</w:t>
      </w:r>
      <w:r>
        <w:rPr>
          <w:rFonts w:ascii="Times New Roman" w:hAnsi="Times New Roman" w:cs="Times New Roman" w:eastAsia="Times New Roman" w:hint="default"/>
        </w:rPr>
        <w:t>27,532,080</w:t>
      </w:r>
      <w:r>
        <w:rPr/>
        <w:t>元，具体内容详见公司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日披露于巨潮资讯网的相关公告（公告编号：</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2018-053</w:t>
      </w:r>
      <w:r>
        <w:rPr/>
        <w:t>），截至报告期末，润安科技已就该合同确认收入</w:t>
      </w:r>
      <w:r>
        <w:rPr>
          <w:rFonts w:ascii="Times New Roman" w:hAnsi="Times New Roman" w:cs="Times New Roman" w:eastAsia="Times New Roman" w:hint="default"/>
        </w:rPr>
        <w:t>2,502.92</w:t>
      </w:r>
      <w:r>
        <w:rPr/>
        <w:t>万元。</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w:t>
      </w:r>
      <w:r>
        <w:rPr/>
        <w:t>、西藏浩云创业投资有限公司（以下简称</w:t>
      </w:r>
      <w:r>
        <w:rPr>
          <w:rFonts w:ascii="Times New Roman" w:hAnsi="Times New Roman" w:cs="Times New Roman" w:eastAsia="Times New Roman" w:hint="default"/>
        </w:rPr>
        <w:t>“</w:t>
      </w:r>
      <w:r>
        <w:rPr/>
        <w:t>西藏浩云</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1</w:t>
      </w:r>
      <w:r>
        <w:rPr/>
        <w:t>）参与投资设立的股权投资基金完成备案登记事项</w:t>
      </w:r>
    </w:p>
    <w:p>
      <w:pPr>
        <w:spacing w:line="240" w:lineRule="auto" w:before="9"/>
        <w:rPr>
          <w:rFonts w:ascii="宋体" w:hAnsi="宋体" w:cs="宋体" w:eastAsia="宋体" w:hint="default"/>
          <w:sz w:val="16"/>
          <w:szCs w:val="16"/>
        </w:rPr>
      </w:pPr>
    </w:p>
    <w:p>
      <w:pPr>
        <w:pStyle w:val="BodyText"/>
        <w:spacing w:line="451" w:lineRule="auto"/>
        <w:ind w:right="1132"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27</w:t>
      </w:r>
      <w:r>
        <w:rPr>
          <w:spacing w:val="-2"/>
        </w:rPr>
        <w:t>日，公司召开了第二届董事会第三十九次会议，审议通过了《关于全资子公司参与投资设立股权投资基金</w:t>
      </w:r>
      <w:r>
        <w:rPr/>
        <w:t> 的议案》，同意全资子公司西藏浩云出资人民币</w:t>
      </w:r>
      <w:r>
        <w:rPr>
          <w:rFonts w:ascii="Times New Roman" w:hAnsi="Times New Roman" w:cs="Times New Roman" w:eastAsia="Times New Roman" w:hint="default"/>
        </w:rPr>
        <w:t>9,000</w:t>
      </w:r>
      <w:r>
        <w:rPr/>
        <w:t>万元，作为有限合伙人与深圳琢石投资有限公司、广州云信科技创业 投资合伙企业（有限合伙）合作投资设立广州云智科技创业投资合伙企业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基金</w:t>
      </w:r>
      <w:r>
        <w:rPr>
          <w:rFonts w:ascii="Times New Roman" w:hAnsi="Times New Roman" w:cs="Times New Roman" w:eastAsia="Times New Roman" w:hint="default"/>
        </w:rPr>
        <w:t>”</w:t>
      </w:r>
      <w:r>
        <w:rPr/>
        <w:t>），具体内容详见公 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日披露于巨潮资讯网的相关公告（公告编号：</w:t>
      </w:r>
      <w:r>
        <w:rPr>
          <w:rFonts w:ascii="Times New Roman" w:hAnsi="Times New Roman" w:cs="Times New Roman" w:eastAsia="Times New Roman" w:hint="default"/>
        </w:rPr>
        <w:t>2017-048</w:t>
      </w:r>
      <w:r>
        <w:rPr/>
        <w:t>）。</w:t>
      </w:r>
    </w:p>
    <w:p>
      <w:pPr>
        <w:pStyle w:val="BodyText"/>
        <w:spacing w:line="451" w:lineRule="auto" w:before="43"/>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日，公司收到基金管理人深圳琢石投资有限公司的通知，上述基金已在中国证券投资基金业协会完成备案手</w:t>
      </w:r>
      <w:r>
        <w:rPr/>
        <w:t> 续，并取得了《私募投资基金备案证明》（备案编号：</w:t>
      </w:r>
      <w:r>
        <w:rPr>
          <w:rFonts w:ascii="Times New Roman" w:hAnsi="Times New Roman" w:cs="Times New Roman" w:eastAsia="Times New Roman" w:hint="default"/>
        </w:rPr>
        <w:t>SY3675</w:t>
      </w:r>
      <w:r>
        <w:rPr/>
        <w:t>），具体内容详见公司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日披露于巨潮资讯网的相 关公告（公告编号：</w:t>
      </w:r>
      <w:r>
        <w:rPr>
          <w:rFonts w:ascii="Times New Roman" w:hAnsi="Times New Roman" w:cs="Times New Roman" w:eastAsia="Times New Roman" w:hint="default"/>
        </w:rPr>
        <w:t>2018-006</w:t>
      </w:r>
      <w:r>
        <w:rPr/>
        <w:t>）。</w:t>
      </w:r>
    </w:p>
    <w:p>
      <w:pPr>
        <w:pStyle w:val="BodyText"/>
        <w:spacing w:line="240" w:lineRule="auto" w:before="43"/>
        <w:ind w:right="0"/>
        <w:jc w:val="left"/>
      </w:pPr>
      <w:r>
        <w:rPr/>
        <w:t>（</w:t>
      </w:r>
      <w:r>
        <w:rPr>
          <w:rFonts w:ascii="Times New Roman" w:hAnsi="Times New Roman" w:cs="Times New Roman" w:eastAsia="Times New Roman" w:hint="default"/>
        </w:rPr>
        <w:t>2</w:t>
      </w:r>
      <w:r>
        <w:rPr/>
        <w:t>）参与认购基金份额暨对外投资事项</w:t>
      </w:r>
    </w:p>
    <w:p>
      <w:pPr>
        <w:spacing w:line="240" w:lineRule="auto" w:before="9"/>
        <w:rPr>
          <w:rFonts w:ascii="宋体" w:hAnsi="宋体" w:cs="宋体" w:eastAsia="宋体" w:hint="default"/>
          <w:sz w:val="16"/>
          <w:szCs w:val="16"/>
        </w:rPr>
      </w:pPr>
    </w:p>
    <w:p>
      <w:pPr>
        <w:pStyle w:val="BodyText"/>
        <w:spacing w:line="458" w:lineRule="auto"/>
        <w:ind w:right="0"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日，公司召开第三届董事会第四次会议，审议通过了《关于全资子公司参与认购基金份额暨对外投资的议 </w:t>
      </w:r>
      <w:r>
        <w:rPr>
          <w:spacing w:val="-2"/>
        </w:rPr>
        <w:t>案》，同意全资子公司西藏浩云对外签署《宁波清科嘉豪和嘉投资管理合伙企业（有限合伙）合伙协议》，并作为有限合伙</w:t>
      </w:r>
      <w:r>
        <w:rPr>
          <w:spacing w:val="-72"/>
        </w:rPr>
        <w:t> </w:t>
      </w:r>
      <w:r>
        <w:rPr>
          <w:spacing w:val="-72"/>
        </w:rPr>
      </w:r>
      <w:r>
        <w:rPr>
          <w:spacing w:val="-1"/>
        </w:rPr>
        <w:t>人以自有资金参与认购宁波清科嘉豪和嘉投资管理合伙企业（有限合伙）（以下简称</w:t>
      </w:r>
      <w:r>
        <w:rPr>
          <w:rFonts w:ascii="Times New Roman" w:hAnsi="Times New Roman" w:cs="Times New Roman" w:eastAsia="Times New Roman" w:hint="default"/>
          <w:spacing w:val="-1"/>
        </w:rPr>
        <w:t>“</w:t>
      </w:r>
      <w:r>
        <w:rPr>
          <w:spacing w:val="-1"/>
        </w:rPr>
        <w:t>基金</w:t>
      </w:r>
      <w:r>
        <w:rPr>
          <w:rFonts w:ascii="Times New Roman" w:hAnsi="Times New Roman" w:cs="Times New Roman" w:eastAsia="Times New Roman" w:hint="default"/>
          <w:spacing w:val="-1"/>
        </w:rPr>
        <w:t>”</w:t>
      </w:r>
      <w:r>
        <w:rPr>
          <w:spacing w:val="-1"/>
        </w:rPr>
        <w:t>）的出资份额人民币</w:t>
      </w:r>
      <w:r>
        <w:rPr>
          <w:rFonts w:ascii="Times New Roman" w:hAnsi="Times New Roman" w:cs="Times New Roman" w:eastAsia="Times New Roman" w:hint="default"/>
          <w:spacing w:val="-1"/>
        </w:rPr>
        <w:t>2,000</w:t>
      </w:r>
      <w:r>
        <w:rPr>
          <w:spacing w:val="-1"/>
        </w:rPr>
        <w:t>万元。</w:t>
      </w:r>
      <w:r>
        <w:rPr>
          <w:spacing w:val="-53"/>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日，公司收到基金管理人杭州清科投资管理有限公司的通知，上述基金已在中国证券投资基金业协会完成备案</w:t>
      </w:r>
      <w:r>
        <w:rPr>
          <w:spacing w:val="-56"/>
        </w:rPr>
        <w:t> </w:t>
      </w:r>
      <w:r>
        <w:rPr>
          <w:spacing w:val="-56"/>
        </w:rPr>
      </w:r>
      <w:r>
        <w:rPr/>
        <w:t>手续，并取得了《私募投资基金备案证明》（备案编号：</w:t>
      </w:r>
      <w:r>
        <w:rPr>
          <w:rFonts w:ascii="Times New Roman" w:hAnsi="Times New Roman" w:cs="Times New Roman" w:eastAsia="Times New Roman" w:hint="default"/>
        </w:rPr>
        <w:t>SEG234</w:t>
      </w:r>
      <w:r>
        <w:rPr/>
        <w:t>）。</w:t>
      </w:r>
    </w:p>
    <w:p>
      <w:pPr>
        <w:pStyle w:val="BodyText"/>
        <w:spacing w:line="240" w:lineRule="auto" w:before="37"/>
        <w:ind w:left="514" w:right="0"/>
        <w:jc w:val="left"/>
      </w:pPr>
      <w:r>
        <w:rPr/>
        <w:t>上述具体内容详见公司分别于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日披露于巨潮资讯网的相关公告（公告编号：</w:t>
      </w:r>
      <w:r>
        <w:rPr>
          <w:rFonts w:ascii="Times New Roman" w:hAnsi="Times New Roman" w:cs="Times New Roman" w:eastAsia="Times New Roman" w:hint="default"/>
        </w:rPr>
        <w:t>2018-015</w:t>
      </w:r>
      <w:r>
        <w:rPr/>
        <w:t>；</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2018-054</w:t>
      </w:r>
      <w:r>
        <w:rPr/>
        <w:t>）。</w:t>
      </w:r>
    </w:p>
    <w:p>
      <w:pPr>
        <w:spacing w:line="240" w:lineRule="auto" w:before="9"/>
        <w:rPr>
          <w:rFonts w:ascii="宋体" w:hAnsi="宋体" w:cs="宋体" w:eastAsia="宋体" w:hint="default"/>
          <w:sz w:val="16"/>
          <w:szCs w:val="16"/>
        </w:rPr>
      </w:pPr>
    </w:p>
    <w:p>
      <w:pPr>
        <w:pStyle w:val="BodyText"/>
        <w:spacing w:line="451" w:lineRule="auto"/>
        <w:ind w:left="514" w:right="0" w:hanging="360"/>
        <w:jc w:val="left"/>
      </w:pPr>
      <w:r>
        <w:rPr>
          <w:rFonts w:ascii="Times New Roman" w:hAnsi="Times New Roman" w:cs="Times New Roman" w:eastAsia="Times New Roman" w:hint="default"/>
        </w:rPr>
        <w:t>3</w:t>
      </w:r>
      <w:r>
        <w:rPr/>
        <w:t>、广州市浩耘元鸿信息技术有限公司（以下简称</w:t>
      </w:r>
      <w:r>
        <w:rPr>
          <w:rFonts w:ascii="Times New Roman" w:hAnsi="Times New Roman" w:cs="Times New Roman" w:eastAsia="Times New Roman" w:hint="default"/>
        </w:rPr>
        <w:t>“</w:t>
      </w:r>
      <w:r>
        <w:rPr/>
        <w:t>浩耘元鸿</w:t>
      </w:r>
      <w:r>
        <w:rPr>
          <w:rFonts w:ascii="Times New Roman" w:hAnsi="Times New Roman" w:cs="Times New Roman" w:eastAsia="Times New Roman" w:hint="default"/>
        </w:rPr>
        <w:t>”</w:t>
      </w:r>
      <w:r>
        <w:rPr/>
        <w:t>） </w:t>
      </w:r>
      <w:r>
        <w:rPr>
          <w:spacing w:val="-2"/>
        </w:rPr>
        <w:t>浩耘元鸿系公司与湖南源鸿科技股份有限公司合资设立并由公司控股的子公司，鉴于浩耘元鸿成立后未能如期实际开展</w:t>
      </w:r>
    </w:p>
    <w:p>
      <w:pPr>
        <w:pStyle w:val="BodyText"/>
        <w:spacing w:line="451" w:lineRule="auto" w:before="74"/>
        <w:ind w:right="1131"/>
        <w:jc w:val="both"/>
      </w:pPr>
      <w:r>
        <w:rPr>
          <w:spacing w:val="-2"/>
        </w:rPr>
        <w:t>业务，为优化公司资产结构，降低运营成本，浩耘元鸿于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日召开股东会决议，决议解散浩耘元鸿并授权浩耘元</w:t>
      </w:r>
      <w:r>
        <w:rPr>
          <w:spacing w:val="-58"/>
        </w:rPr>
        <w:t> </w:t>
      </w:r>
      <w:r>
        <w:rPr>
          <w:spacing w:val="-58"/>
        </w:rPr>
      </w:r>
      <w:r>
        <w:rPr/>
        <w:t>鸿财务人员办理相关清算和注销事宜，截至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日，公司收到由广州市番禺区工商行政管理局下发的《企业核准简 易注销登记通知书》，至此，浩耘元鸿的注销登记手续已全部办理完毕。</w:t>
      </w:r>
    </w:p>
    <w:p>
      <w:pPr>
        <w:pStyle w:val="BodyText"/>
        <w:spacing w:line="240" w:lineRule="auto" w:before="74"/>
        <w:ind w:left="514" w:right="0"/>
        <w:jc w:val="left"/>
      </w:pPr>
      <w:r>
        <w:rPr/>
        <w:t>本次注销将使公司合并报表范围发生相应变化，但不会对公司合并报表和财务情况产生实质性影响。</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firstLine="360"/>
        <w:jc w:val="left"/>
      </w:pPr>
      <w:r>
        <w:rPr>
          <w:spacing w:val="-2"/>
        </w:rPr>
        <w:t>根据《公司章程》和公司《对外投资管理制度》的规定，本次注销事项在公司总经理的审批权限范围内，无需提交公司</w:t>
      </w:r>
      <w:r>
        <w:rPr/>
        <w:t> 董事会和股东大会审议。</w:t>
      </w:r>
    </w:p>
    <w:p>
      <w:pPr>
        <w:pStyle w:val="BodyText"/>
        <w:spacing w:line="240" w:lineRule="auto" w:before="54"/>
        <w:ind w:left="514" w:right="0"/>
        <w:jc w:val="left"/>
      </w:pPr>
      <w:r>
        <w:rPr/>
        <w:t>上述内容详见公司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日披露于巨潮资讯网的相关公告（公告编号：</w:t>
      </w:r>
      <w:r>
        <w:rPr>
          <w:rFonts w:ascii="Times New Roman" w:hAnsi="Times New Roman" w:cs="Times New Roman" w:eastAsia="Times New Roman" w:hint="default"/>
        </w:rPr>
        <w:t>2018-005</w:t>
      </w:r>
      <w:r>
        <w:rPr/>
        <w:t>）。</w:t>
      </w:r>
    </w:p>
    <w:p>
      <w:pPr>
        <w:spacing w:line="240" w:lineRule="auto" w:before="10"/>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4</w:t>
      </w:r>
      <w:r>
        <w:rPr/>
        <w:t>、辛集市浩云智慧城市科技有限公司（以下简称</w:t>
      </w:r>
      <w:r>
        <w:rPr>
          <w:rFonts w:ascii="Times New Roman" w:hAnsi="Times New Roman" w:cs="Times New Roman" w:eastAsia="Times New Roman" w:hint="default"/>
        </w:rPr>
        <w:t>“</w:t>
      </w:r>
      <w:r>
        <w:rPr/>
        <w:t>辛集浩云</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6"/>
          <w:szCs w:val="16"/>
        </w:rPr>
      </w:pPr>
    </w:p>
    <w:p>
      <w:pPr>
        <w:pStyle w:val="BodyText"/>
        <w:spacing w:line="451" w:lineRule="auto"/>
        <w:ind w:right="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日，公司与辛集市政府经友好协商签订了《智慧城市战略合作框架协议》，双方意向在智慧城市信息化基</w:t>
      </w:r>
      <w:r>
        <w:rPr/>
        <w:t> 础设施、公共安全体系等方面展开合作。</w:t>
      </w:r>
    </w:p>
    <w:p>
      <w:pPr>
        <w:pStyle w:val="BodyText"/>
        <w:spacing w:line="240" w:lineRule="auto" w:before="74"/>
        <w:ind w:left="514" w:right="0"/>
        <w:jc w:val="left"/>
      </w:pPr>
      <w:r>
        <w:rPr/>
        <w:t>报告期内，为落实前述合作并拓展公司业务范围，公司决定以自有资金人民币</w:t>
      </w:r>
      <w:r>
        <w:rPr>
          <w:rFonts w:ascii="Times New Roman" w:hAnsi="Times New Roman" w:cs="Times New Roman" w:eastAsia="Times New Roman" w:hint="default"/>
        </w:rPr>
        <w:t>5,000</w:t>
      </w:r>
      <w:r>
        <w:rPr/>
        <w:t>万元在辛集市投资设立全资子公司</w:t>
      </w:r>
    </w:p>
    <w:p>
      <w:pPr>
        <w:spacing w:line="240" w:lineRule="auto" w:before="9"/>
        <w:rPr>
          <w:rFonts w:ascii="宋体" w:hAnsi="宋体" w:cs="宋体" w:eastAsia="宋体" w:hint="default"/>
          <w:sz w:val="16"/>
          <w:szCs w:val="16"/>
        </w:rPr>
      </w:pPr>
    </w:p>
    <w:p>
      <w:pPr>
        <w:pStyle w:val="BodyText"/>
        <w:spacing w:line="451" w:lineRule="auto"/>
        <w:ind w:left="514" w:right="1122" w:hanging="360"/>
        <w:jc w:val="left"/>
      </w:pPr>
      <w:r>
        <w:rPr>
          <w:rFonts w:ascii="Times New Roman" w:hAnsi="Times New Roman" w:cs="Times New Roman" w:eastAsia="Times New Roman" w:hint="default"/>
        </w:rPr>
        <w:t>“</w:t>
      </w:r>
      <w:r>
        <w:rPr/>
        <w:t>辛集市浩云智慧城市科技有限公司</w:t>
      </w:r>
      <w:r>
        <w:rPr>
          <w:rFonts w:ascii="Times New Roman" w:hAnsi="Times New Roman" w:cs="Times New Roman" w:eastAsia="Times New Roman" w:hint="default"/>
        </w:rPr>
        <w:t>”</w:t>
      </w:r>
      <w:r>
        <w:rPr/>
        <w:t>并领取了营业执照。 以上内容详见公司分别于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日披露于巨潮资讯网的相关公告（公告编号：</w:t>
      </w:r>
    </w:p>
    <w:p>
      <w:pPr>
        <w:pStyle w:val="BodyText"/>
        <w:spacing w:line="240" w:lineRule="auto" w:before="43"/>
        <w:ind w:right="0"/>
        <w:jc w:val="left"/>
      </w:pPr>
      <w:r>
        <w:rPr>
          <w:rFonts w:ascii="Times New Roman" w:hAnsi="Times New Roman" w:cs="Times New Roman" w:eastAsia="Times New Roman" w:hint="default"/>
        </w:rPr>
        <w:t>2017-057</w:t>
      </w:r>
      <w:r>
        <w:rPr/>
        <w:t>；</w:t>
      </w:r>
      <w:r>
        <w:rPr>
          <w:rFonts w:ascii="Times New Roman" w:hAnsi="Times New Roman" w:cs="Times New Roman" w:eastAsia="Times New Roman" w:hint="default"/>
        </w:rPr>
        <w:t>2018-016</w:t>
      </w:r>
      <w:r>
        <w:rPr/>
        <w:t>；</w:t>
      </w:r>
      <w:r>
        <w:rPr>
          <w:rFonts w:ascii="Times New Roman" w:hAnsi="Times New Roman" w:cs="Times New Roman" w:eastAsia="Times New Roman" w:hint="default"/>
        </w:rPr>
        <w:t>2018-022</w:t>
      </w:r>
      <w:r>
        <w:rPr/>
        <w:t>）。</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5</w:t>
      </w:r>
      <w:r>
        <w:rPr/>
        <w:t>、重庆浩云公共安全物联网技术有限公司（以下简称</w:t>
      </w:r>
      <w:r>
        <w:rPr>
          <w:rFonts w:ascii="Times New Roman" w:hAnsi="Times New Roman" w:cs="Times New Roman" w:eastAsia="Times New Roman" w:hint="default"/>
        </w:rPr>
        <w:t>“</w:t>
      </w:r>
      <w:r>
        <w:rPr/>
        <w:t>浩云物联</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6"/>
          <w:szCs w:val="16"/>
        </w:rPr>
      </w:pPr>
    </w:p>
    <w:p>
      <w:pPr>
        <w:pStyle w:val="BodyText"/>
        <w:spacing w:line="451" w:lineRule="auto"/>
        <w:ind w:right="0" w:firstLine="360"/>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w:t>
      </w:r>
      <w:r>
        <w:rPr>
          <w:spacing w:val="-2"/>
        </w:rPr>
        <w:t>日，公司获悉全资子公司浩云物联于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日与重庆市公安局渝北区分局签署了《渝北区公共安全视频</w:t>
      </w:r>
      <w:r>
        <w:rPr/>
        <w:t> 监控工程服务（智慧天网）合同书》，合同金额为</w:t>
      </w:r>
      <w:r>
        <w:rPr>
          <w:rFonts w:ascii="Times New Roman" w:hAnsi="Times New Roman" w:cs="Times New Roman" w:eastAsia="Times New Roman" w:hint="default"/>
        </w:rPr>
        <w:t>23,911.55</w:t>
      </w:r>
      <w:r>
        <w:rPr/>
        <w:t>万元，具体内容详见公司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日披露于巨潮资讯网</w:t>
      </w:r>
    </w:p>
    <w:p>
      <w:pPr>
        <w:pStyle w:val="BodyText"/>
        <w:spacing w:line="451" w:lineRule="auto" w:before="43"/>
        <w:ind w:right="1147"/>
        <w:jc w:val="left"/>
      </w:pPr>
      <w:r>
        <w:rPr/>
        <w:t>（</w:t>
      </w:r>
      <w:hyperlink r:id="rId17">
        <w:r>
          <w:rPr>
            <w:rFonts w:ascii="Times New Roman" w:hAnsi="Times New Roman" w:cs="Times New Roman" w:eastAsia="Times New Roman" w:hint="default"/>
          </w:rPr>
          <w:t>http://www.cninfo.com.cn</w:t>
        </w:r>
      </w:hyperlink>
      <w:r>
        <w:rPr/>
        <w:t>）上的《关于全资子公司签署重大合同的公告》（公告编号：</w:t>
      </w:r>
      <w:r>
        <w:rPr>
          <w:rFonts w:ascii="Times New Roman" w:hAnsi="Times New Roman" w:cs="Times New Roman" w:eastAsia="Times New Roman" w:hint="default"/>
        </w:rPr>
        <w:t>2016-039</w:t>
      </w:r>
      <w:r>
        <w:rPr/>
        <w:t>）。截至报告期末，浩云 物联就上述合同已累计确认收入</w:t>
      </w:r>
      <w:r>
        <w:rPr>
          <w:rFonts w:ascii="Times New Roman" w:hAnsi="Times New Roman" w:cs="Times New Roman" w:eastAsia="Times New Roman" w:hint="default"/>
        </w:rPr>
        <w:t>9,626.38</w:t>
      </w:r>
      <w:r>
        <w:rPr/>
        <w:t>万元。</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六节 股份变动及股东情况" w:id="102"/>
      <w:bookmarkEnd w:id="102"/>
      <w:r>
        <w:rPr>
          <w:b w:val="0"/>
          <w:bCs w:val="0"/>
        </w:rPr>
      </w:r>
      <w:bookmarkStart w:name="_bookmark4"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before="26"/>
        <w:ind w:right="0"/>
        <w:jc w:val="left"/>
        <w:rPr>
          <w:b w:val="0"/>
          <w:bCs w:val="0"/>
        </w:rPr>
      </w:pPr>
      <w:bookmarkStart w:name="一、股份变动情况" w:id="104"/>
      <w:bookmarkEnd w:id="104"/>
      <w:r>
        <w:rPr>
          <w:b w:val="0"/>
          <w:bCs w:val="0"/>
        </w:rPr>
      </w:r>
      <w:r>
        <w:rPr/>
        <w:t>一、股份变动情况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单位：股</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137,313,5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62.88%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15,614,61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80,278,20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-64,009,4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31,883,40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169,196,9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41.42%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137,313,5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62.88%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15,614,61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80,278,20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-64,009,4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31,883,40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169,196,9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41.42%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25,660,70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11.75%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12,760,92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-38,421,6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-25,660,7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111,652,8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51.13%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15,614,61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67,517,27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-25,587,7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57,544,10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169,196,9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41.42%</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81,057,09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37.12%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94,418,31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63,817,84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158,236,1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239,293,2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58.58%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81,057,09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37.12%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94,418,31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63,817,84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158,236,1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239,293,2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58.58%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218,370,6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15,614,61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174,696,5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-191,573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190,119,5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408,490,2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股份变动的原因</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451" w:lineRule="auto"/>
        <w:ind w:right="111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日，经公司第三届董事会第二次会议、第三届监事会第二次会议审议通过了《关于公司</w:t>
      </w:r>
      <w:r>
        <w:rPr>
          <w:rFonts w:ascii="Times New Roman" w:hAnsi="Times New Roman" w:cs="Times New Roman" w:eastAsia="Times New Roman" w:hint="default"/>
        </w:rPr>
        <w:t>&lt;2018</w:t>
      </w:r>
      <w:r>
        <w:rPr/>
        <w:t>年股票期权与 限制性股票激励计划（草案）及其摘要</w:t>
      </w:r>
      <w:r>
        <w:rPr>
          <w:rFonts w:ascii="Times New Roman" w:hAnsi="Times New Roman" w:cs="Times New Roman" w:eastAsia="Times New Roman" w:hint="default"/>
        </w:rPr>
        <w:t>&gt;</w:t>
      </w:r>
      <w:r>
        <w:rPr/>
        <w:t>的议案》，同意拟向公司及子公司高级管理人员、中层管理人员和核心人员授予权 益总计</w:t>
      </w:r>
      <w:r>
        <w:rPr>
          <w:rFonts w:ascii="Times New Roman" w:hAnsi="Times New Roman" w:cs="Times New Roman" w:eastAsia="Times New Roman" w:hint="default"/>
        </w:rPr>
        <w:t>1,275</w:t>
      </w:r>
      <w:r>
        <w:rPr/>
        <w:t>万份，其中：股票期权</w:t>
      </w:r>
      <w:r>
        <w:rPr>
          <w:rFonts w:ascii="Times New Roman" w:hAnsi="Times New Roman" w:cs="Times New Roman" w:eastAsia="Times New Roman" w:hint="default"/>
        </w:rPr>
        <w:t>150</w:t>
      </w:r>
      <w:r>
        <w:rPr/>
        <w:t>万份，限制性股票</w:t>
      </w:r>
      <w:r>
        <w:rPr>
          <w:rFonts w:ascii="Times New Roman" w:hAnsi="Times New Roman" w:cs="Times New Roman" w:eastAsia="Times New Roman" w:hint="default"/>
        </w:rPr>
        <w:t>1,125</w:t>
      </w:r>
      <w:r>
        <w:rPr/>
        <w:t>万股（首次授予</w:t>
      </w:r>
      <w:r>
        <w:rPr>
          <w:rFonts w:ascii="Times New Roman" w:hAnsi="Times New Roman" w:cs="Times New Roman" w:eastAsia="Times New Roman" w:hint="default"/>
        </w:rPr>
        <w:t>900</w:t>
      </w:r>
      <w:r>
        <w:rPr/>
        <w:t>万股，预留部分</w:t>
      </w:r>
      <w:r>
        <w:rPr>
          <w:rFonts w:ascii="Times New Roman" w:hAnsi="Times New Roman" w:cs="Times New Roman" w:eastAsia="Times New Roman" w:hint="default"/>
        </w:rPr>
        <w:t>225</w:t>
      </w:r>
      <w:r>
        <w:rPr/>
        <w:t>万股）。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日，公司召开的</w:t>
      </w:r>
      <w:r>
        <w:rPr>
          <w:rFonts w:ascii="Times New Roman" w:hAnsi="Times New Roman" w:cs="Times New Roman" w:eastAsia="Times New Roman" w:hint="default"/>
        </w:rPr>
        <w:t>2018</w:t>
      </w:r>
      <w:r>
        <w:rPr/>
        <w:t>年第二次临时股东大会审议通过了前述相关议案并授权董事会办理相关事项。 因</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日，权益分派方案已实施完毕，故股票期权由</w:t>
      </w:r>
      <w:r>
        <w:rPr>
          <w:rFonts w:ascii="Times New Roman" w:hAnsi="Times New Roman" w:cs="Times New Roman" w:eastAsia="Times New Roman" w:hint="default"/>
        </w:rPr>
        <w:t>150</w:t>
      </w:r>
      <w:r>
        <w:rPr/>
        <w:t>万份调整为</w:t>
      </w:r>
      <w:r>
        <w:rPr>
          <w:rFonts w:ascii="Times New Roman" w:hAnsi="Times New Roman" w:cs="Times New Roman" w:eastAsia="Times New Roman" w:hint="default"/>
        </w:rPr>
        <w:t>270.0435</w:t>
      </w:r>
      <w:r>
        <w:rPr/>
        <w:t>万份，限制性股票由</w:t>
      </w:r>
      <w:r>
        <w:rPr>
          <w:rFonts w:ascii="Times New Roman" w:hAnsi="Times New Roman" w:cs="Times New Roman" w:eastAsia="Times New Roman" w:hint="default"/>
        </w:rPr>
        <w:t>1,125</w:t>
      </w:r>
      <w:r>
        <w:rPr/>
        <w:t>万股调整为 </w:t>
      </w:r>
      <w:r>
        <w:rPr>
          <w:rFonts w:ascii="Times New Roman" w:hAnsi="Times New Roman" w:cs="Times New Roman" w:eastAsia="Times New Roman" w:hint="default"/>
          <w:spacing w:val="-1"/>
        </w:rPr>
        <w:t>2,025.3266</w:t>
      </w:r>
      <w:r>
        <w:rPr>
          <w:spacing w:val="-1"/>
        </w:rPr>
        <w:t>万股（首次授予由</w:t>
      </w:r>
      <w:r>
        <w:rPr>
          <w:rFonts w:ascii="Times New Roman" w:hAnsi="Times New Roman" w:cs="Times New Roman" w:eastAsia="Times New Roman" w:hint="default"/>
          <w:spacing w:val="-1"/>
        </w:rPr>
        <w:t>900</w:t>
      </w:r>
      <w:r>
        <w:rPr>
          <w:spacing w:val="-1"/>
        </w:rPr>
        <w:t>万股调整为</w:t>
      </w:r>
      <w:r>
        <w:rPr>
          <w:rFonts w:ascii="Times New Roman" w:hAnsi="Times New Roman" w:cs="Times New Roman" w:eastAsia="Times New Roman" w:hint="default"/>
          <w:spacing w:val="-1"/>
        </w:rPr>
        <w:t>1,620.2613</w:t>
      </w:r>
      <w:r>
        <w:rPr>
          <w:spacing w:val="-1"/>
        </w:rPr>
        <w:t>万股，预留部分由</w:t>
      </w:r>
      <w:r>
        <w:rPr>
          <w:rFonts w:ascii="Times New Roman" w:hAnsi="Times New Roman" w:cs="Times New Roman" w:eastAsia="Times New Roman" w:hint="default"/>
          <w:spacing w:val="-1"/>
        </w:rPr>
        <w:t>225</w:t>
      </w:r>
      <w:r>
        <w:rPr>
          <w:spacing w:val="-1"/>
        </w:rPr>
        <w:t>万股调整为</w:t>
      </w:r>
      <w:r>
        <w:rPr>
          <w:rFonts w:ascii="Times New Roman" w:hAnsi="Times New Roman" w:cs="Times New Roman" w:eastAsia="Times New Roman" w:hint="default"/>
          <w:spacing w:val="-1"/>
        </w:rPr>
        <w:t>405.0653</w:t>
      </w:r>
      <w:r>
        <w:rPr>
          <w:spacing w:val="-1"/>
        </w:rPr>
        <w:t>万股）。</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4</w:t>
      </w:r>
      <w:r>
        <w:rPr>
          <w:spacing w:val="-1"/>
        </w:rPr>
        <w:t>日，经</w:t>
      </w:r>
      <w:r>
        <w:rPr>
          <w:spacing w:val="-59"/>
        </w:rPr>
        <w:t> </w:t>
      </w:r>
      <w:r>
        <w:rPr>
          <w:spacing w:val="-59"/>
        </w:rPr>
      </w:r>
      <w:r>
        <w:rPr>
          <w:spacing w:val="-2"/>
        </w:rPr>
        <w:t>公司第三届董事会第七次会议、第三届监事会第七次会议审议通过了《关于调整三期股权激励计划相关事项的议案》和《关</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3" w:lineRule="auto"/>
        <w:ind w:right="1032"/>
        <w:jc w:val="left"/>
      </w:pPr>
      <w:r>
        <w:rPr>
          <w:spacing w:val="-2"/>
        </w:rPr>
        <w:t>于向激励对象首次授予</w:t>
      </w:r>
      <w:r>
        <w:rPr>
          <w:rFonts w:ascii="Times New Roman" w:hAnsi="Times New Roman" w:cs="Times New Roman" w:eastAsia="Times New Roman" w:hint="default"/>
          <w:spacing w:val="-2"/>
        </w:rPr>
        <w:t>2018</w:t>
      </w:r>
      <w:r>
        <w:rPr>
          <w:spacing w:val="-2"/>
        </w:rPr>
        <w:t>年激励计划股票期权与限制性股票的议案》，对股票期权、限制性股票的授予数量、授予人数进</w:t>
      </w:r>
      <w:r>
        <w:rPr>
          <w:spacing w:val="-62"/>
        </w:rPr>
        <w:t> </w:t>
      </w:r>
      <w:r>
        <w:rPr>
          <w:spacing w:val="-62"/>
        </w:rPr>
      </w:r>
      <w:r>
        <w:rPr/>
        <w:t>行了调整，将股票期权的授予总数由</w:t>
      </w:r>
      <w:r>
        <w:rPr>
          <w:rFonts w:ascii="Times New Roman" w:hAnsi="Times New Roman" w:cs="Times New Roman" w:eastAsia="Times New Roman" w:hint="default"/>
        </w:rPr>
        <w:t>270.0435</w:t>
      </w:r>
      <w:r>
        <w:rPr/>
        <w:t>万份调整为</w:t>
      </w:r>
      <w:r>
        <w:rPr>
          <w:rFonts w:ascii="Times New Roman" w:hAnsi="Times New Roman" w:cs="Times New Roman" w:eastAsia="Times New Roman" w:hint="default"/>
        </w:rPr>
        <w:t>100.816</w:t>
      </w:r>
      <w:r>
        <w:rPr/>
        <w:t>万份，激励对象人数由</w:t>
      </w:r>
      <w:r>
        <w:rPr>
          <w:rFonts w:ascii="Times New Roman" w:hAnsi="Times New Roman" w:cs="Times New Roman" w:eastAsia="Times New Roman" w:hint="default"/>
        </w:rPr>
        <w:t>218</w:t>
      </w:r>
      <w:r>
        <w:rPr/>
        <w:t>人调整为</w:t>
      </w:r>
      <w:r>
        <w:rPr>
          <w:rFonts w:ascii="Times New Roman" w:hAnsi="Times New Roman" w:cs="Times New Roman" w:eastAsia="Times New Roman" w:hint="default"/>
        </w:rPr>
        <w:t>12</w:t>
      </w:r>
      <w:r>
        <w:rPr/>
        <w:t>人。限制性股票的授 予总数由</w:t>
      </w:r>
      <w:r>
        <w:rPr>
          <w:rFonts w:ascii="Times New Roman" w:hAnsi="Times New Roman" w:cs="Times New Roman" w:eastAsia="Times New Roman" w:hint="default"/>
        </w:rPr>
        <w:t>2,025.3266</w:t>
      </w:r>
      <w:r>
        <w:rPr/>
        <w:t>万股调整为</w:t>
      </w:r>
      <w:r>
        <w:rPr>
          <w:rFonts w:ascii="Times New Roman" w:hAnsi="Times New Roman" w:cs="Times New Roman" w:eastAsia="Times New Roman" w:hint="default"/>
        </w:rPr>
        <w:t>1,966.5272</w:t>
      </w:r>
      <w:r>
        <w:rPr/>
        <w:t>万股，其中，首次授予限制性股票的数量由</w:t>
      </w:r>
      <w:r>
        <w:rPr>
          <w:rFonts w:ascii="Times New Roman" w:hAnsi="Times New Roman" w:cs="Times New Roman" w:eastAsia="Times New Roman" w:hint="default"/>
        </w:rPr>
        <w:t>1,620.2613</w:t>
      </w:r>
      <w:r>
        <w:rPr/>
        <w:t>万股调整为</w:t>
      </w:r>
      <w:r>
        <w:rPr>
          <w:rFonts w:ascii="Times New Roman" w:hAnsi="Times New Roman" w:cs="Times New Roman" w:eastAsia="Times New Roman" w:hint="default"/>
        </w:rPr>
        <w:t>1,561.4619</w:t>
      </w:r>
      <w:r>
        <w:rPr/>
        <w:t>万股， 激励对象人数由</w:t>
      </w:r>
      <w:r>
        <w:rPr>
          <w:rFonts w:ascii="Times New Roman" w:hAnsi="Times New Roman" w:cs="Times New Roman" w:eastAsia="Times New Roman" w:hint="default"/>
        </w:rPr>
        <w:t>222</w:t>
      </w:r>
      <w:r>
        <w:rPr/>
        <w:t>人调整为</w:t>
      </w:r>
      <w:r>
        <w:rPr>
          <w:rFonts w:ascii="Times New Roman" w:hAnsi="Times New Roman" w:cs="Times New Roman" w:eastAsia="Times New Roman" w:hint="default"/>
        </w:rPr>
        <w:t>188</w:t>
      </w:r>
      <w:r>
        <w:rPr/>
        <w:t>人；预留限制性股票数量不变，仍为</w:t>
      </w:r>
      <w:r>
        <w:rPr>
          <w:rFonts w:ascii="Times New Roman" w:hAnsi="Times New Roman" w:cs="Times New Roman" w:eastAsia="Times New Roman" w:hint="default"/>
        </w:rPr>
        <w:t>405.0653</w:t>
      </w:r>
      <w:r>
        <w:rPr/>
        <w:t>万股。并确定了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日为授予日。上述 股票期权已于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日登记完成，限制性股票已于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日上市。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日，经公司第三届董事会第五次会议、第三届监事会第五次会议审议通过了《关于</w:t>
      </w:r>
      <w:r>
        <w:rPr>
          <w:rFonts w:ascii="Times New Roman" w:hAnsi="Times New Roman" w:cs="Times New Roman" w:eastAsia="Times New Roman" w:hint="default"/>
          <w:spacing w:val="-2"/>
        </w:rPr>
        <w:t>&lt;2017</w:t>
      </w:r>
      <w:r>
        <w:rPr>
          <w:spacing w:val="-2"/>
        </w:rPr>
        <w:t>年度利润分配预案</w:t>
      </w:r>
      <w:r>
        <w:rPr>
          <w:rFonts w:ascii="Times New Roman" w:hAnsi="Times New Roman" w:cs="Times New Roman" w:eastAsia="Times New Roman" w:hint="default"/>
          <w:spacing w:val="-2"/>
        </w:rPr>
        <w:t>&gt;</w:t>
      </w:r>
      <w:r>
        <w:rPr>
          <w:rFonts w:ascii="Times New Roman" w:hAnsi="Times New Roman" w:cs="Times New Roman" w:eastAsia="Times New Roman" w:hint="default"/>
          <w:spacing w:val="-31"/>
        </w:rPr>
        <w:t> </w:t>
      </w:r>
      <w:r>
        <w:rPr/>
        <w:t>的议案》，同意以截至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日的总股本</w:t>
      </w:r>
      <w:r>
        <w:rPr>
          <w:rFonts w:ascii="Times New Roman" w:hAnsi="Times New Roman" w:cs="Times New Roman" w:eastAsia="Times New Roman" w:hint="default"/>
        </w:rPr>
        <w:t>218,370,659</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1.02</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 合计派发现金股利</w:t>
      </w:r>
      <w:r>
        <w:rPr>
          <w:rFonts w:ascii="Times New Roman" w:hAnsi="Times New Roman" w:cs="Times New Roman" w:eastAsia="Times New Roman" w:hint="default"/>
        </w:rPr>
        <w:t>22,273,807.22</w:t>
      </w:r>
      <w:r>
        <w:rPr/>
        <w:t>元（含税），剩余未分配利润结转以后年度；同时，以资本公积金向全体股东每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 </w:t>
      </w:r>
      <w:r>
        <w:rPr>
          <w:spacing w:val="-2"/>
        </w:rPr>
        <w:t>股，合计转增股份数量为</w:t>
      </w:r>
      <w:r>
        <w:rPr>
          <w:rFonts w:ascii="Times New Roman" w:hAnsi="Times New Roman" w:cs="Times New Roman" w:eastAsia="Times New Roman" w:hint="default"/>
          <w:spacing w:val="-2"/>
        </w:rPr>
        <w:t>174,696,527</w:t>
      </w:r>
      <w:r>
        <w:rPr>
          <w:spacing w:val="-2"/>
        </w:rPr>
        <w:t>股。董事会审议利润分配预案后至权益分派实施公告确定的股权登记日前公司股本发生</w:t>
      </w:r>
      <w:r>
        <w:rPr>
          <w:spacing w:val="-56"/>
        </w:rPr>
        <w:t> </w:t>
      </w:r>
      <w:r>
        <w:rPr>
          <w:spacing w:val="-56"/>
        </w:rPr>
      </w:r>
      <w:r>
        <w:rPr/>
        <w:t>变动的，将按照分配总额不变的原则对各分配比例进行调整。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日，公司召开的</w:t>
      </w:r>
      <w:r>
        <w:rPr>
          <w:rFonts w:ascii="Times New Roman" w:hAnsi="Times New Roman" w:cs="Times New Roman" w:eastAsia="Times New Roman" w:hint="default"/>
        </w:rPr>
        <w:t>2017</w:t>
      </w:r>
      <w:r>
        <w:rPr/>
        <w:t>年年度股东大会审议通过了前述议案并授权董事会办理相关事项。</w:t>
      </w:r>
    </w:p>
    <w:p>
      <w:pPr>
        <w:pStyle w:val="BodyText"/>
        <w:spacing w:line="456" w:lineRule="auto" w:before="41"/>
        <w:ind w:right="111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日，公司办理完成部分（</w:t>
      </w:r>
      <w:r>
        <w:rPr>
          <w:rFonts w:ascii="Times New Roman" w:hAnsi="Times New Roman" w:cs="Times New Roman" w:eastAsia="Times New Roman" w:hint="default"/>
        </w:rPr>
        <w:t>79,220</w:t>
      </w:r>
      <w:r>
        <w:rPr/>
        <w:t>股）限制性股票的回购注销手续，公司总股本变更为</w:t>
      </w:r>
      <w:r>
        <w:rPr>
          <w:rFonts w:ascii="Times New Roman" w:hAnsi="Times New Roman" w:cs="Times New Roman" w:eastAsia="Times New Roman" w:hint="default"/>
        </w:rPr>
        <w:t>218,291,439</w:t>
      </w:r>
      <w:r>
        <w:rPr/>
        <w:t>股，按照</w:t>
      </w:r>
      <w:r>
        <w:rPr>
          <w:rFonts w:ascii="Times New Roman" w:hAnsi="Times New Roman" w:cs="Times New Roman" w:eastAsia="Times New Roman" w:hint="default"/>
        </w:rPr>
        <w:t>“</w:t>
      </w:r>
      <w:r>
        <w:rPr/>
        <w:t>分配 总额不变</w:t>
      </w:r>
      <w:r>
        <w:rPr>
          <w:rFonts w:ascii="Times New Roman" w:hAnsi="Times New Roman" w:cs="Times New Roman" w:eastAsia="Times New Roman" w:hint="default"/>
        </w:rPr>
        <w:t>”</w:t>
      </w:r>
      <w:r>
        <w:rPr/>
        <w:t>的原则，公司</w:t>
      </w:r>
      <w:r>
        <w:rPr>
          <w:rFonts w:ascii="Times New Roman" w:hAnsi="Times New Roman" w:cs="Times New Roman" w:eastAsia="Times New Roman" w:hint="default"/>
        </w:rPr>
        <w:t>2017</w:t>
      </w:r>
      <w:r>
        <w:rPr/>
        <w:t>年度权益分派方案变更为：以公司现有总股本</w:t>
      </w:r>
      <w:r>
        <w:rPr>
          <w:rFonts w:ascii="Times New Roman" w:hAnsi="Times New Roman" w:cs="Times New Roman" w:eastAsia="Times New Roman" w:hint="default"/>
        </w:rPr>
        <w:t>218,291,439</w:t>
      </w:r>
      <w:r>
        <w:rPr/>
        <w:t>股为基数，向全体股东每</w:t>
      </w:r>
      <w:r>
        <w:rPr>
          <w:rFonts w:ascii="Times New Roman" w:hAnsi="Times New Roman" w:cs="Times New Roman" w:eastAsia="Times New Roman" w:hint="default"/>
        </w:rPr>
        <w:t>10</w:t>
      </w:r>
      <w:r>
        <w:rPr/>
        <w:t>派发现金 </w:t>
      </w:r>
      <w:r>
        <w:rPr>
          <w:spacing w:val="-2"/>
        </w:rPr>
        <w:t>股利人民币</w:t>
      </w:r>
      <w:r>
        <w:rPr>
          <w:rFonts w:ascii="Times New Roman" w:hAnsi="Times New Roman" w:cs="Times New Roman" w:eastAsia="Times New Roman" w:hint="default"/>
          <w:spacing w:val="-2"/>
        </w:rPr>
        <w:t>1.020370</w:t>
      </w:r>
      <w:r>
        <w:rPr>
          <w:spacing w:val="-2"/>
        </w:rPr>
        <w:t>元（含税）同时，以资本公积金向全体股东每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8.002903</w:t>
      </w:r>
      <w:r>
        <w:rPr>
          <w:spacing w:val="-2"/>
        </w:rPr>
        <w:t>股。上述分派方案已于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日实</w:t>
      </w:r>
      <w:r>
        <w:rPr>
          <w:spacing w:val="-43"/>
        </w:rPr>
        <w:t> </w:t>
      </w:r>
      <w:r>
        <w:rPr/>
        <w:t>施完毕。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日，股东茅庆江、茅屏萍、张忠民、广州市常森投资咨询有限责任公司和广州市碧天投资咨询有限公司其首</w:t>
      </w:r>
      <w:r>
        <w:rPr>
          <w:spacing w:val="-58"/>
        </w:rPr>
        <w:t> </w:t>
      </w:r>
      <w:r>
        <w:rPr>
          <w:spacing w:val="-58"/>
        </w:rPr>
      </w:r>
      <w:r>
        <w:rPr/>
        <w:t>次公开发行前已发行的股份限售期届满共有</w:t>
      </w:r>
      <w:r>
        <w:rPr>
          <w:rFonts w:ascii="Times New Roman" w:hAnsi="Times New Roman" w:cs="Times New Roman" w:eastAsia="Times New Roman" w:hint="default"/>
        </w:rPr>
        <w:t>37,665,600</w:t>
      </w:r>
      <w:r>
        <w:rPr/>
        <w:t>股股票上市流通。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日，公司第二期激励计划首次授予限制性股票第二个解锁期和预留部分限制性股票第一个解锁期解锁条件达</w:t>
      </w:r>
      <w:r>
        <w:rPr>
          <w:spacing w:val="-56"/>
        </w:rPr>
        <w:t> </w:t>
      </w:r>
      <w:r>
        <w:rPr>
          <w:spacing w:val="-56"/>
        </w:rPr>
      </w:r>
      <w:r>
        <w:rPr/>
        <w:t>成，</w:t>
      </w:r>
      <w:r>
        <w:rPr>
          <w:rFonts w:ascii="Times New Roman" w:hAnsi="Times New Roman" w:cs="Times New Roman" w:eastAsia="Times New Roman" w:hint="default"/>
        </w:rPr>
        <w:t>63</w:t>
      </w:r>
      <w:r>
        <w:rPr/>
        <w:t>名激励对象持有的共</w:t>
      </w:r>
      <w:r>
        <w:rPr>
          <w:rFonts w:ascii="Times New Roman" w:hAnsi="Times New Roman" w:cs="Times New Roman" w:eastAsia="Times New Roman" w:hint="default"/>
        </w:rPr>
        <w:t>683,461</w:t>
      </w:r>
      <w:r>
        <w:rPr/>
        <w:t>股股票上市流通。 </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8</w:t>
      </w:r>
      <w:r>
        <w:rPr>
          <w:spacing w:val="-3"/>
        </w:rPr>
        <w:t>日，公司披露了《关于控股股东、实际控制人增持公司股份计划的公告》，茅庆江先生于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9</w:t>
      </w:r>
      <w:r>
        <w:rPr>
          <w:spacing w:val="-3"/>
        </w:rPr>
        <w:t>日至</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30"/>
        </w:rPr>
        <w:t> </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11</w:t>
      </w:r>
      <w:r>
        <w:rPr>
          <w:spacing w:val="-1"/>
        </w:rPr>
        <w:t>日期间通过深圳证券交易所证券交易系统集中竞价交易方式累计增持了</w:t>
      </w:r>
      <w:r>
        <w:rPr>
          <w:rFonts w:ascii="Times New Roman" w:hAnsi="Times New Roman" w:cs="Times New Roman" w:eastAsia="Times New Roman" w:hint="default"/>
          <w:spacing w:val="-1"/>
        </w:rPr>
        <w:t>988,118</w:t>
      </w:r>
      <w:r>
        <w:rPr>
          <w:spacing w:val="-1"/>
        </w:rPr>
        <w:t>股公司股份，该计划已于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3"/>
        </w:rPr>
        <w:t> </w:t>
      </w:r>
      <w:r>
        <w:rPr/>
        <w:t>日实施完毕。 </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日，股东长信基金－浦发银行－云南国际信托－云信智兴</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2013</w:t>
      </w:r>
      <w:r>
        <w:rPr>
          <w:spacing w:val="-2"/>
        </w:rPr>
        <w:t>号单一资金信托、赣州君恺投资咨询有</w:t>
      </w:r>
      <w:r>
        <w:rPr>
          <w:spacing w:val="-50"/>
        </w:rPr>
        <w:t> </w:t>
      </w:r>
      <w:r>
        <w:rPr>
          <w:spacing w:val="-50"/>
        </w:rPr>
      </w:r>
      <w:r>
        <w:rPr/>
        <w:t>限公司、嘉兴君重资产管理有限公司－君重</w:t>
      </w:r>
      <w:r>
        <w:rPr>
          <w:rFonts w:ascii="Times New Roman" w:hAnsi="Times New Roman" w:cs="Times New Roman" w:eastAsia="Times New Roman" w:hint="default"/>
        </w:rPr>
        <w:t>PIPE6</w:t>
      </w:r>
      <w:r>
        <w:rPr/>
        <w:t>号私募投资基金和宁波梅山保税港区东旼投资合伙企业（有限合伙）其非 公开发行股份限售期届满共有</w:t>
      </w:r>
      <w:r>
        <w:rPr>
          <w:rFonts w:ascii="Times New Roman" w:hAnsi="Times New Roman" w:cs="Times New Roman" w:eastAsia="Times New Roman" w:hint="default"/>
        </w:rPr>
        <w:t>28,706,291</w:t>
      </w:r>
      <w:r>
        <w:rPr/>
        <w:t>股股票上市流通。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日，因部分员工辞职使其不具备股权激励资格，公司回购注销其持有的共</w:t>
      </w:r>
      <w:r>
        <w:rPr>
          <w:rFonts w:ascii="Times New Roman" w:hAnsi="Times New Roman" w:cs="Times New Roman" w:eastAsia="Times New Roman" w:hint="default"/>
        </w:rPr>
        <w:t>112,353</w:t>
      </w:r>
      <w:r>
        <w:rPr/>
        <w:t>股股票，并于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 </w:t>
      </w:r>
      <w:r>
        <w:rPr/>
        <w:t>日办理完成回购注销手续。 </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日，公司第一期激励计划首次授予限制性股票第三个解锁期和预留部分限制性股票第二个解锁期解锁条件 达成，</w:t>
      </w:r>
      <w:r>
        <w:rPr>
          <w:rFonts w:ascii="Times New Roman" w:hAnsi="Times New Roman" w:cs="Times New Roman" w:eastAsia="Times New Roman" w:hint="default"/>
        </w:rPr>
        <w:t>96</w:t>
      </w:r>
      <w:r>
        <w:rPr/>
        <w:t>名激励对象持有的共</w:t>
      </w:r>
      <w:r>
        <w:rPr>
          <w:rFonts w:ascii="Times New Roman" w:hAnsi="Times New Roman" w:cs="Times New Roman" w:eastAsia="Times New Roman" w:hint="default"/>
        </w:rPr>
        <w:t>917,941</w:t>
      </w:r>
      <w:r>
        <w:rPr/>
        <w:t>股股票上市流通。</w:t>
      </w:r>
    </w:p>
    <w:p>
      <w:pPr>
        <w:spacing w:after="0" w:line="45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股份变动的批准情况</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9"/>
          <w:szCs w:val="19"/>
        </w:rPr>
      </w:pPr>
    </w:p>
    <w:p>
      <w:pPr>
        <w:pStyle w:val="BodyText"/>
        <w:spacing w:line="456" w:lineRule="auto"/>
        <w:ind w:right="103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日，经公司第三届董事会第二次会议、第三届监事会第二次会议审议通过了《关于公司</w:t>
      </w:r>
      <w:r>
        <w:rPr>
          <w:rFonts w:ascii="Times New Roman" w:hAnsi="Times New Roman" w:cs="Times New Roman" w:eastAsia="Times New Roman" w:hint="default"/>
        </w:rPr>
        <w:t>&lt;2018</w:t>
      </w:r>
      <w:r>
        <w:rPr/>
        <w:t>年股票期权与 限制性股票激励计划（草案）及其摘要</w:t>
      </w:r>
      <w:r>
        <w:rPr>
          <w:rFonts w:ascii="Times New Roman" w:hAnsi="Times New Roman" w:cs="Times New Roman" w:eastAsia="Times New Roman" w:hint="default"/>
        </w:rPr>
        <w:t>&gt;</w:t>
      </w:r>
      <w:r>
        <w:rPr/>
        <w:t>的议案》，同意拟向公司及子公司高级管理人员、中层管理人员和核心人员授予权 </w:t>
      </w:r>
      <w:r>
        <w:rPr>
          <w:spacing w:val="-2"/>
        </w:rPr>
        <w:t>益总计</w:t>
      </w:r>
      <w:r>
        <w:rPr>
          <w:rFonts w:ascii="Times New Roman" w:hAnsi="Times New Roman" w:cs="Times New Roman" w:eastAsia="Times New Roman" w:hint="default"/>
          <w:spacing w:val="-2"/>
        </w:rPr>
        <w:t>1,275</w:t>
      </w:r>
      <w:r>
        <w:rPr>
          <w:spacing w:val="-2"/>
        </w:rPr>
        <w:t>万份，其中：股票期权</w:t>
      </w:r>
      <w:r>
        <w:rPr>
          <w:rFonts w:ascii="Times New Roman" w:hAnsi="Times New Roman" w:cs="Times New Roman" w:eastAsia="Times New Roman" w:hint="default"/>
          <w:spacing w:val="-2"/>
        </w:rPr>
        <w:t>150</w:t>
      </w:r>
      <w:r>
        <w:rPr>
          <w:spacing w:val="-2"/>
        </w:rPr>
        <w:t>万份，限制性股票</w:t>
      </w:r>
      <w:r>
        <w:rPr>
          <w:rFonts w:ascii="Times New Roman" w:hAnsi="Times New Roman" w:cs="Times New Roman" w:eastAsia="Times New Roman" w:hint="default"/>
          <w:spacing w:val="-2"/>
        </w:rPr>
        <w:t>1,125</w:t>
      </w:r>
      <w:r>
        <w:rPr>
          <w:spacing w:val="-2"/>
        </w:rPr>
        <w:t>万股（首次授予</w:t>
      </w:r>
      <w:r>
        <w:rPr>
          <w:rFonts w:ascii="Times New Roman" w:hAnsi="Times New Roman" w:cs="Times New Roman" w:eastAsia="Times New Roman" w:hint="default"/>
          <w:spacing w:val="-2"/>
        </w:rPr>
        <w:t>900</w:t>
      </w:r>
      <w:r>
        <w:rPr>
          <w:spacing w:val="-2"/>
        </w:rPr>
        <w:t>万股，预留</w:t>
      </w:r>
      <w:r>
        <w:rPr>
          <w:rFonts w:ascii="Times New Roman" w:hAnsi="Times New Roman" w:cs="Times New Roman" w:eastAsia="Times New Roman" w:hint="default"/>
          <w:spacing w:val="-2"/>
        </w:rPr>
        <w:t>225</w:t>
      </w:r>
      <w:r>
        <w:rPr>
          <w:spacing w:val="-2"/>
        </w:rPr>
        <w:t>万股）。公司独立董事对前</w:t>
      </w:r>
      <w:r>
        <w:rPr>
          <w:spacing w:val="-54"/>
        </w:rPr>
        <w:t> </w:t>
      </w:r>
      <w:r>
        <w:rPr>
          <w:spacing w:val="-54"/>
        </w:rPr>
      </w:r>
      <w:r>
        <w:rPr/>
        <w:t>述事项发表了独立意见，广东信达律师事务所出具了法律意见书。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日，公司召开的</w:t>
      </w:r>
      <w:r>
        <w:rPr>
          <w:rFonts w:ascii="Times New Roman" w:hAnsi="Times New Roman" w:cs="Times New Roman" w:eastAsia="Times New Roman" w:hint="default"/>
        </w:rPr>
        <w:t>2018</w:t>
      </w:r>
      <w:r>
        <w:rPr/>
        <w:t>年第二次临时股东大会审议通过了前述相关议案并授权董事会办理相关事项。 因</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日，权益分派方案已实施完毕，故股票期权由</w:t>
      </w:r>
      <w:r>
        <w:rPr>
          <w:rFonts w:ascii="Times New Roman" w:hAnsi="Times New Roman" w:cs="Times New Roman" w:eastAsia="Times New Roman" w:hint="default"/>
        </w:rPr>
        <w:t>150</w:t>
      </w:r>
      <w:r>
        <w:rPr/>
        <w:t>万份调整为</w:t>
      </w:r>
      <w:r>
        <w:rPr>
          <w:rFonts w:ascii="Times New Roman" w:hAnsi="Times New Roman" w:cs="Times New Roman" w:eastAsia="Times New Roman" w:hint="default"/>
        </w:rPr>
        <w:t>270.0435</w:t>
      </w:r>
      <w:r>
        <w:rPr/>
        <w:t>万份，限制性股票由</w:t>
      </w:r>
      <w:r>
        <w:rPr>
          <w:rFonts w:ascii="Times New Roman" w:hAnsi="Times New Roman" w:cs="Times New Roman" w:eastAsia="Times New Roman" w:hint="default"/>
        </w:rPr>
        <w:t>1,125</w:t>
      </w:r>
      <w:r>
        <w:rPr/>
        <w:t>万股调整为 </w:t>
      </w:r>
      <w:r>
        <w:rPr>
          <w:rFonts w:ascii="Times New Roman" w:hAnsi="Times New Roman" w:cs="Times New Roman" w:eastAsia="Times New Roman" w:hint="default"/>
        </w:rPr>
        <w:t>2,025.3266</w:t>
      </w:r>
      <w:r>
        <w:rPr/>
        <w:t>万股（首次授予由</w:t>
      </w:r>
      <w:r>
        <w:rPr>
          <w:rFonts w:ascii="Times New Roman" w:hAnsi="Times New Roman" w:cs="Times New Roman" w:eastAsia="Times New Roman" w:hint="default"/>
        </w:rPr>
        <w:t>900</w:t>
      </w:r>
      <w:r>
        <w:rPr/>
        <w:t>万股调整为</w:t>
      </w:r>
      <w:r>
        <w:rPr>
          <w:rFonts w:ascii="Times New Roman" w:hAnsi="Times New Roman" w:cs="Times New Roman" w:eastAsia="Times New Roman" w:hint="default"/>
        </w:rPr>
        <w:t>1,620.2613</w:t>
      </w:r>
      <w:r>
        <w:rPr/>
        <w:t>万股，预留部分由</w:t>
      </w:r>
      <w:r>
        <w:rPr>
          <w:rFonts w:ascii="Times New Roman" w:hAnsi="Times New Roman" w:cs="Times New Roman" w:eastAsia="Times New Roman" w:hint="default"/>
        </w:rPr>
        <w:t>225</w:t>
      </w:r>
      <w:r>
        <w:rPr/>
        <w:t>万股调整为</w:t>
      </w:r>
      <w:r>
        <w:rPr>
          <w:rFonts w:ascii="Times New Roman" w:hAnsi="Times New Roman" w:cs="Times New Roman" w:eastAsia="Times New Roman" w:hint="default"/>
        </w:rPr>
        <w:t>405.0653</w:t>
      </w:r>
      <w:r>
        <w:rPr/>
        <w:t>万股）。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日，经 </w:t>
      </w:r>
      <w:r>
        <w:rPr>
          <w:spacing w:val="-2"/>
        </w:rPr>
        <w:t>公司第三届董事会第七次会议、第三届监事会第七次会议审议通过了《关于调整三期股权激励计划相关事项的议案》和《关</w:t>
      </w:r>
      <w:r>
        <w:rPr>
          <w:spacing w:val="-66"/>
        </w:rPr>
        <w:t> </w:t>
      </w:r>
      <w:r>
        <w:rPr>
          <w:spacing w:val="-66"/>
        </w:rPr>
      </w:r>
      <w:r>
        <w:rPr>
          <w:spacing w:val="-2"/>
        </w:rPr>
        <w:t>于向激励对象首次授予</w:t>
      </w:r>
      <w:r>
        <w:rPr>
          <w:rFonts w:ascii="Times New Roman" w:hAnsi="Times New Roman" w:cs="Times New Roman" w:eastAsia="Times New Roman" w:hint="default"/>
          <w:spacing w:val="-2"/>
        </w:rPr>
        <w:t>2018</w:t>
      </w:r>
      <w:r>
        <w:rPr>
          <w:spacing w:val="-2"/>
        </w:rPr>
        <w:t>年激励计划股票期权与限制性股票的议案》，对股票期权、限制性股票的授予数量、授予人数进</w:t>
      </w:r>
      <w:r>
        <w:rPr>
          <w:spacing w:val="-62"/>
        </w:rPr>
        <w:t> </w:t>
      </w:r>
      <w:r>
        <w:rPr>
          <w:spacing w:val="-62"/>
        </w:rPr>
      </w:r>
      <w:r>
        <w:rPr/>
        <w:t>行了调整，将股票期权的授予总数由</w:t>
      </w:r>
      <w:r>
        <w:rPr>
          <w:rFonts w:ascii="Times New Roman" w:hAnsi="Times New Roman" w:cs="Times New Roman" w:eastAsia="Times New Roman" w:hint="default"/>
        </w:rPr>
        <w:t>270.0435</w:t>
      </w:r>
      <w:r>
        <w:rPr/>
        <w:t>万份调整为</w:t>
      </w:r>
      <w:r>
        <w:rPr>
          <w:rFonts w:ascii="Times New Roman" w:hAnsi="Times New Roman" w:cs="Times New Roman" w:eastAsia="Times New Roman" w:hint="default"/>
        </w:rPr>
        <w:t>100.816</w:t>
      </w:r>
      <w:r>
        <w:rPr/>
        <w:t>万份，激励对象人数由</w:t>
      </w:r>
      <w:r>
        <w:rPr>
          <w:rFonts w:ascii="Times New Roman" w:hAnsi="Times New Roman" w:cs="Times New Roman" w:eastAsia="Times New Roman" w:hint="default"/>
        </w:rPr>
        <w:t>218</w:t>
      </w:r>
      <w:r>
        <w:rPr/>
        <w:t>人调整为</w:t>
      </w:r>
      <w:r>
        <w:rPr>
          <w:rFonts w:ascii="Times New Roman" w:hAnsi="Times New Roman" w:cs="Times New Roman" w:eastAsia="Times New Roman" w:hint="default"/>
        </w:rPr>
        <w:t>12</w:t>
      </w:r>
      <w:r>
        <w:rPr/>
        <w:t>人。限制性股票的授 予总数由</w:t>
      </w:r>
      <w:r>
        <w:rPr>
          <w:rFonts w:ascii="Times New Roman" w:hAnsi="Times New Roman" w:cs="Times New Roman" w:eastAsia="Times New Roman" w:hint="default"/>
        </w:rPr>
        <w:t>2,025.3266</w:t>
      </w:r>
      <w:r>
        <w:rPr/>
        <w:t>万股调整为</w:t>
      </w:r>
      <w:r>
        <w:rPr>
          <w:rFonts w:ascii="Times New Roman" w:hAnsi="Times New Roman" w:cs="Times New Roman" w:eastAsia="Times New Roman" w:hint="default"/>
        </w:rPr>
        <w:t>1,966.5272</w:t>
      </w:r>
      <w:r>
        <w:rPr/>
        <w:t>万股，其中，首次授予限制性股票的数量由</w:t>
      </w:r>
      <w:r>
        <w:rPr>
          <w:rFonts w:ascii="Times New Roman" w:hAnsi="Times New Roman" w:cs="Times New Roman" w:eastAsia="Times New Roman" w:hint="default"/>
        </w:rPr>
        <w:t>1,620.2613</w:t>
      </w:r>
      <w:r>
        <w:rPr/>
        <w:t>万股调整为</w:t>
      </w:r>
      <w:r>
        <w:rPr>
          <w:rFonts w:ascii="Times New Roman" w:hAnsi="Times New Roman" w:cs="Times New Roman" w:eastAsia="Times New Roman" w:hint="default"/>
        </w:rPr>
        <w:t>1,561.4619</w:t>
      </w:r>
      <w:r>
        <w:rPr/>
        <w:t>万股， 激励对象人数由</w:t>
      </w:r>
      <w:r>
        <w:rPr>
          <w:rFonts w:ascii="Times New Roman" w:hAnsi="Times New Roman" w:cs="Times New Roman" w:eastAsia="Times New Roman" w:hint="default"/>
        </w:rPr>
        <w:t>222</w:t>
      </w:r>
      <w:r>
        <w:rPr/>
        <w:t>人调整为</w:t>
      </w:r>
      <w:r>
        <w:rPr>
          <w:rFonts w:ascii="Times New Roman" w:hAnsi="Times New Roman" w:cs="Times New Roman" w:eastAsia="Times New Roman" w:hint="default"/>
        </w:rPr>
        <w:t>188</w:t>
      </w:r>
      <w:r>
        <w:rPr/>
        <w:t>人；预留限制性股票数量不变，仍为</w:t>
      </w:r>
      <w:r>
        <w:rPr>
          <w:rFonts w:ascii="Times New Roman" w:hAnsi="Times New Roman" w:cs="Times New Roman" w:eastAsia="Times New Roman" w:hint="default"/>
        </w:rPr>
        <w:t>405.0653</w:t>
      </w:r>
      <w:r>
        <w:rPr/>
        <w:t>万股。并确定了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日为授予日。上述 股票期权已于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日登记完成，限制性股票已于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日上市。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日，经公司第三届董事会第五次会议、第三届监事会第五次会议审议通过了《关于</w:t>
      </w:r>
      <w:r>
        <w:rPr>
          <w:rFonts w:ascii="Times New Roman" w:hAnsi="Times New Roman" w:cs="Times New Roman" w:eastAsia="Times New Roman" w:hint="default"/>
          <w:spacing w:val="-2"/>
        </w:rPr>
        <w:t>&lt;2017</w:t>
      </w:r>
      <w:r>
        <w:rPr>
          <w:spacing w:val="-2"/>
        </w:rPr>
        <w:t>年度利润分配预案</w:t>
      </w:r>
      <w:r>
        <w:rPr>
          <w:rFonts w:ascii="Times New Roman" w:hAnsi="Times New Roman" w:cs="Times New Roman" w:eastAsia="Times New Roman" w:hint="default"/>
          <w:spacing w:val="-2"/>
        </w:rPr>
        <w:t>&gt;</w:t>
      </w:r>
      <w:r>
        <w:rPr>
          <w:rFonts w:ascii="Times New Roman" w:hAnsi="Times New Roman" w:cs="Times New Roman" w:eastAsia="Times New Roman" w:hint="default"/>
          <w:spacing w:val="-31"/>
        </w:rPr>
        <w:t> </w:t>
      </w:r>
      <w:r>
        <w:rPr/>
        <w:t>的议案》，同意以截至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日的总股本</w:t>
      </w:r>
      <w:r>
        <w:rPr>
          <w:rFonts w:ascii="Times New Roman" w:hAnsi="Times New Roman" w:cs="Times New Roman" w:eastAsia="Times New Roman" w:hint="default"/>
        </w:rPr>
        <w:t>218,370,659</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1.02</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 合计派发现金股利</w:t>
      </w:r>
      <w:r>
        <w:rPr>
          <w:rFonts w:ascii="Times New Roman" w:hAnsi="Times New Roman" w:cs="Times New Roman" w:eastAsia="Times New Roman" w:hint="default"/>
        </w:rPr>
        <w:t>22,273,807.22</w:t>
      </w:r>
      <w:r>
        <w:rPr/>
        <w:t>元（含税），剩余未分配利润结转以后年度；同时，以资本公积金向全体股东每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 </w:t>
      </w:r>
      <w:r>
        <w:rPr>
          <w:spacing w:val="-2"/>
        </w:rPr>
        <w:t>股，合计转增股份数量为</w:t>
      </w:r>
      <w:r>
        <w:rPr>
          <w:rFonts w:ascii="Times New Roman" w:hAnsi="Times New Roman" w:cs="Times New Roman" w:eastAsia="Times New Roman" w:hint="default"/>
          <w:spacing w:val="-2"/>
        </w:rPr>
        <w:t>174,696,527</w:t>
      </w:r>
      <w:r>
        <w:rPr>
          <w:spacing w:val="-2"/>
        </w:rPr>
        <w:t>股。董事会审议利润分配预案后至权益分派实施公告确定的股权登记日前公司股本发生</w:t>
      </w:r>
      <w:r>
        <w:rPr>
          <w:spacing w:val="-56"/>
        </w:rPr>
        <w:t> </w:t>
      </w:r>
      <w:r>
        <w:rPr>
          <w:spacing w:val="-56"/>
        </w:rPr>
      </w:r>
      <w:r>
        <w:rPr/>
        <w:t>变动的，将按照分配总额不变的原则对各分配比例进行调整。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日，公司召开的</w:t>
      </w:r>
      <w:r>
        <w:rPr>
          <w:rFonts w:ascii="Times New Roman" w:hAnsi="Times New Roman" w:cs="Times New Roman" w:eastAsia="Times New Roman" w:hint="default"/>
        </w:rPr>
        <w:t>2017</w:t>
      </w:r>
      <w:r>
        <w:rPr/>
        <w:t>年年度股东大会审议通过了前述议案并授权董事会办理相关事项。</w:t>
      </w:r>
    </w:p>
    <w:p>
      <w:pPr>
        <w:pStyle w:val="BodyText"/>
        <w:spacing w:line="451" w:lineRule="auto" w:before="39"/>
        <w:ind w:right="112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日，公司办理完成部分（</w:t>
      </w:r>
      <w:r>
        <w:rPr>
          <w:rFonts w:ascii="Times New Roman" w:hAnsi="Times New Roman" w:cs="Times New Roman" w:eastAsia="Times New Roman" w:hint="default"/>
        </w:rPr>
        <w:t>79,220</w:t>
      </w:r>
      <w:r>
        <w:rPr/>
        <w:t>股）限制性股票的回购注销手续，公司总股本变更为</w:t>
      </w:r>
      <w:r>
        <w:rPr>
          <w:rFonts w:ascii="Times New Roman" w:hAnsi="Times New Roman" w:cs="Times New Roman" w:eastAsia="Times New Roman" w:hint="default"/>
        </w:rPr>
        <w:t>218,291,439</w:t>
      </w:r>
      <w:r>
        <w:rPr/>
        <w:t>股，按照</w:t>
      </w:r>
      <w:r>
        <w:rPr>
          <w:rFonts w:ascii="Times New Roman" w:hAnsi="Times New Roman" w:cs="Times New Roman" w:eastAsia="Times New Roman" w:hint="default"/>
        </w:rPr>
        <w:t>“</w:t>
      </w:r>
      <w:r>
        <w:rPr/>
        <w:t>分配 总额不变</w:t>
      </w:r>
      <w:r>
        <w:rPr>
          <w:rFonts w:ascii="Times New Roman" w:hAnsi="Times New Roman" w:cs="Times New Roman" w:eastAsia="Times New Roman" w:hint="default"/>
        </w:rPr>
        <w:t>”</w:t>
      </w:r>
      <w:r>
        <w:rPr/>
        <w:t>的原则，公司</w:t>
      </w:r>
      <w:r>
        <w:rPr>
          <w:rFonts w:ascii="Times New Roman" w:hAnsi="Times New Roman" w:cs="Times New Roman" w:eastAsia="Times New Roman" w:hint="default"/>
        </w:rPr>
        <w:t>2017</w:t>
      </w:r>
      <w:r>
        <w:rPr/>
        <w:t>年度权益分派方案变更为：以公司现有总股本</w:t>
      </w:r>
      <w:r>
        <w:rPr>
          <w:rFonts w:ascii="Times New Roman" w:hAnsi="Times New Roman" w:cs="Times New Roman" w:eastAsia="Times New Roman" w:hint="default"/>
        </w:rPr>
        <w:t>218,291,439</w:t>
      </w:r>
      <w:r>
        <w:rPr/>
        <w:t>股为基数，向全体股东每</w:t>
      </w:r>
      <w:r>
        <w:rPr>
          <w:rFonts w:ascii="Times New Roman" w:hAnsi="Times New Roman" w:cs="Times New Roman" w:eastAsia="Times New Roman" w:hint="default"/>
        </w:rPr>
        <w:t>10</w:t>
      </w:r>
      <w:r>
        <w:rPr/>
        <w:t>派发现金 股利人民币</w:t>
      </w:r>
      <w:r>
        <w:rPr>
          <w:rFonts w:ascii="Times New Roman" w:hAnsi="Times New Roman" w:cs="Times New Roman" w:eastAsia="Times New Roman" w:hint="default"/>
        </w:rPr>
        <w:t>1.020370</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8.002903</w:t>
      </w:r>
      <w:r>
        <w:rPr/>
        <w:t>股。</w:t>
      </w:r>
      <w:r>
        <w:rPr>
          <w:spacing w:val="-2"/>
        </w:rPr>
        <w:t>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日，经公司第二届董事会第四十次会议、第二届监事会第三十四次会议审议通过了《关于回购注销部分限制</w:t>
      </w:r>
      <w:r>
        <w:rPr>
          <w:spacing w:val="-58"/>
        </w:rPr>
        <w:t> </w:t>
      </w:r>
      <w:r>
        <w:rPr>
          <w:spacing w:val="-58"/>
        </w:rPr>
      </w:r>
      <w:r>
        <w:rPr/>
        <w:t>性股票的议案》，同意回购并注销首期激励计划中</w:t>
      </w:r>
      <w:r>
        <w:rPr>
          <w:rFonts w:ascii="Times New Roman" w:hAnsi="Times New Roman" w:cs="Times New Roman" w:eastAsia="Times New Roman" w:hint="default"/>
        </w:rPr>
        <w:t>5</w:t>
      </w:r>
      <w:r>
        <w:rPr/>
        <w:t>名激励对象已授予但尚未解锁的合计</w:t>
      </w:r>
      <w:r>
        <w:rPr>
          <w:rFonts w:ascii="Times New Roman" w:hAnsi="Times New Roman" w:cs="Times New Roman" w:eastAsia="Times New Roman" w:hint="default"/>
        </w:rPr>
        <w:t>64,273</w:t>
      </w:r>
      <w:r>
        <w:rPr/>
        <w:t>股限制性股票和第二期激励 计划中</w:t>
      </w:r>
      <w:r>
        <w:rPr>
          <w:rFonts w:ascii="Times New Roman" w:hAnsi="Times New Roman" w:cs="Times New Roman" w:eastAsia="Times New Roman" w:hint="default"/>
        </w:rPr>
        <w:t>2</w:t>
      </w:r>
      <w:r>
        <w:rPr/>
        <w:t>名激励对象已授予但尚未解锁的</w:t>
      </w:r>
      <w:r>
        <w:rPr>
          <w:rFonts w:ascii="Times New Roman" w:hAnsi="Times New Roman" w:cs="Times New Roman" w:eastAsia="Times New Roman" w:hint="default"/>
        </w:rPr>
        <w:t>14,947</w:t>
      </w:r>
      <w:r>
        <w:rPr/>
        <w:t>股限制性股票。公司独立董事对前述事项发表了独立意见，广东信达律师事 务所出具了法律意见书。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日，公司办理完成上述回购注销手续。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日，经公司第三届董事会第七次会议、第三届监事会第七次会议审议通过了《关于公司第二期激励计划首次</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8" w:lineRule="auto"/>
        <w:ind w:right="0"/>
        <w:jc w:val="left"/>
      </w:pPr>
      <w:r>
        <w:rPr>
          <w:spacing w:val="-2"/>
        </w:rPr>
        <w:t>授予的限制性股票第二个解锁期可解锁的议案》、《关于公司第二期激励计划预留部分的限制性股票第一个解锁期可解锁的</w:t>
      </w:r>
      <w:r>
        <w:rPr>
          <w:spacing w:val="-64"/>
        </w:rPr>
        <w:t> </w:t>
      </w:r>
      <w:r>
        <w:rPr>
          <w:spacing w:val="-64"/>
        </w:rPr>
      </w:r>
      <w:r>
        <w:rPr>
          <w:spacing w:val="-2"/>
        </w:rPr>
        <w:t>议案》和《关于回购注销部分限制性股票的议案》，同意公司按照相关规定为</w:t>
      </w:r>
      <w:r>
        <w:rPr>
          <w:rFonts w:ascii="Times New Roman" w:hAnsi="Times New Roman" w:cs="Times New Roman" w:eastAsia="Times New Roman" w:hint="default"/>
          <w:spacing w:val="-2"/>
        </w:rPr>
        <w:t>63</w:t>
      </w:r>
      <w:r>
        <w:rPr>
          <w:spacing w:val="-2"/>
        </w:rPr>
        <w:t>名激励对象办理解锁相关事宜；同意回购并</w:t>
      </w:r>
      <w:r>
        <w:rPr>
          <w:spacing w:val="-63"/>
        </w:rPr>
        <w:t> </w:t>
      </w:r>
      <w:r>
        <w:rPr>
          <w:spacing w:val="-63"/>
        </w:rPr>
      </w:r>
      <w:r>
        <w:rPr/>
        <w:t>注销首期激励计划中</w:t>
      </w:r>
      <w:r>
        <w:rPr>
          <w:rFonts w:ascii="Times New Roman" w:hAnsi="Times New Roman" w:cs="Times New Roman" w:eastAsia="Times New Roman" w:hint="default"/>
        </w:rPr>
        <w:t>9</w:t>
      </w:r>
      <w:r>
        <w:rPr/>
        <w:t>名激励对象已授予但尚未解锁的合计</w:t>
      </w:r>
      <w:r>
        <w:rPr>
          <w:rFonts w:ascii="Times New Roman" w:hAnsi="Times New Roman" w:cs="Times New Roman" w:eastAsia="Times New Roman" w:hint="default"/>
        </w:rPr>
        <w:t>50,459</w:t>
      </w:r>
      <w:r>
        <w:rPr/>
        <w:t>股限制性股票和第二期激励计划中</w:t>
      </w:r>
      <w:r>
        <w:rPr>
          <w:rFonts w:ascii="Times New Roman" w:hAnsi="Times New Roman" w:cs="Times New Roman" w:eastAsia="Times New Roman" w:hint="default"/>
        </w:rPr>
        <w:t>5</w:t>
      </w:r>
      <w:r>
        <w:rPr/>
        <w:t>名激励对象已授予但 </w:t>
      </w:r>
      <w:r>
        <w:rPr>
          <w:spacing w:val="-1"/>
        </w:rPr>
        <w:t>尚未解锁的</w:t>
      </w:r>
      <w:r>
        <w:rPr>
          <w:rFonts w:ascii="Times New Roman" w:hAnsi="Times New Roman" w:cs="Times New Roman" w:eastAsia="Times New Roman" w:hint="default"/>
          <w:spacing w:val="-1"/>
        </w:rPr>
        <w:t>61,894</w:t>
      </w:r>
      <w:r>
        <w:rPr>
          <w:spacing w:val="-1"/>
        </w:rPr>
        <w:t>股限制性股票。公司独立董事对前述事项发表了独立意见，广东信达律师事务所出具了法律意见书。</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26"/>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日公司办理完成上述解锁、回购注销手续。 </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9</w:t>
      </w:r>
      <w:r>
        <w:rPr>
          <w:spacing w:val="-2"/>
        </w:rPr>
        <w:t>日，经公司第三届董事会第十三次会议、第三届监事会第十三次会议审议通过了《关于公司首期激励计划首</w:t>
      </w:r>
      <w:r>
        <w:rPr>
          <w:spacing w:val="-58"/>
        </w:rPr>
        <w:t> </w:t>
      </w:r>
      <w:r>
        <w:rPr>
          <w:spacing w:val="-58"/>
        </w:rPr>
      </w:r>
      <w:r>
        <w:rPr>
          <w:spacing w:val="-2"/>
        </w:rPr>
        <w:t>次授予的限制性股票第三个解锁期可解锁的议案》和《关于公司首期激励计划预留部分的限制性股票第二个解锁期可解锁的</w:t>
      </w:r>
      <w:r>
        <w:rPr>
          <w:spacing w:val="-64"/>
        </w:rPr>
        <w:t> </w:t>
      </w:r>
      <w:r>
        <w:rPr>
          <w:spacing w:val="-64"/>
        </w:rPr>
      </w:r>
      <w:r>
        <w:rPr>
          <w:spacing w:val="-2"/>
        </w:rPr>
        <w:t>议案》，同意公司按照相关规定为</w:t>
      </w:r>
      <w:r>
        <w:rPr>
          <w:rFonts w:ascii="Times New Roman" w:hAnsi="Times New Roman" w:cs="Times New Roman" w:eastAsia="Times New Roman" w:hint="default"/>
          <w:spacing w:val="-2"/>
        </w:rPr>
        <w:t>96</w:t>
      </w:r>
      <w:r>
        <w:rPr>
          <w:spacing w:val="-2"/>
        </w:rPr>
        <w:t>名激励对象办理解锁相关事宜。公司独立董事对前述事项发表了独立意见，广东信达律</w:t>
      </w:r>
      <w:r>
        <w:rPr>
          <w:spacing w:val="-64"/>
        </w:rPr>
        <w:t> </w:t>
      </w:r>
      <w:r>
        <w:rPr>
          <w:spacing w:val="-64"/>
        </w:rPr>
      </w:r>
      <w:r>
        <w:rPr/>
        <w:t>师事务所出具了法律意见书。</w:t>
      </w:r>
    </w:p>
    <w:p>
      <w:pPr>
        <w:pStyle w:val="BodyText"/>
        <w:spacing w:line="240" w:lineRule="auto" w:before="109"/>
        <w:ind w:right="0"/>
        <w:jc w:val="left"/>
      </w:pPr>
      <w:r>
        <w:rPr/>
        <w:t>股份变动的过户情况</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1</w:t>
      </w:r>
      <w:r>
        <w:rPr/>
        <w:t>、经公司申请，中国证券登记结算公司深圳分公司已于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日为公司办理完毕限制性股票股份回购注销工作。</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w:t>
      </w:r>
      <w:r>
        <w:rPr/>
        <w:t>、经公司申请，中国证券登记结算公司深圳分公司已于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日为公司办理完毕权益分派股份登记工作。</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3</w:t>
      </w:r>
      <w:r>
        <w:rPr/>
        <w:t>、经公司申请，中国证券登记结算公司深圳分公司已于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日为公司办理完毕股票期权登记工作。</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4</w:t>
      </w:r>
      <w:r>
        <w:rPr/>
        <w:t>、经公司申请，中国证券登记结算公司深圳分公司已于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日为公司办理完毕限制性股票股份登记工作。</w:t>
      </w:r>
    </w:p>
    <w:p>
      <w:pPr>
        <w:spacing w:line="240" w:lineRule="auto" w:before="10"/>
        <w:rPr>
          <w:rFonts w:ascii="宋体" w:hAnsi="宋体" w:cs="宋体" w:eastAsia="宋体" w:hint="default"/>
          <w:sz w:val="16"/>
          <w:szCs w:val="16"/>
        </w:rPr>
      </w:pPr>
    </w:p>
    <w:p>
      <w:pPr>
        <w:pStyle w:val="BodyText"/>
        <w:spacing w:line="489" w:lineRule="auto"/>
        <w:ind w:right="1392"/>
        <w:jc w:val="left"/>
      </w:pPr>
      <w:r>
        <w:rPr>
          <w:rFonts w:ascii="Times New Roman" w:hAnsi="Times New Roman" w:cs="Times New Roman" w:eastAsia="Times New Roman" w:hint="default"/>
        </w:rPr>
        <w:t>5</w:t>
      </w:r>
      <w:r>
        <w:rPr/>
        <w:t>、经公司申请，中国证券登记结算公司深圳分公司已于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日为公司办理完毕限制性股票股份回购注销工作。 股份回购的实施进展情况</w:t>
      </w:r>
    </w:p>
    <w:p>
      <w:pPr>
        <w:pStyle w:val="BodyText"/>
        <w:spacing w:line="487" w:lineRule="auto" w:before="8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本报告期内，公司以集中竞价交易方式累计回购公司股份</w:t>
      </w:r>
      <w:r>
        <w:rPr>
          <w:rFonts w:ascii="Times New Roman" w:hAnsi="Times New Roman" w:cs="Times New Roman" w:eastAsia="Times New Roman" w:hint="default"/>
        </w:rPr>
        <w:t>1,838,500</w:t>
      </w:r>
      <w:r>
        <w:rPr/>
        <w:t>股，占公司总股本的</w:t>
      </w:r>
      <w:r>
        <w:rPr>
          <w:rFonts w:ascii="Times New Roman" w:hAnsi="Times New Roman" w:cs="Times New Roman" w:eastAsia="Times New Roman" w:hint="default"/>
        </w:rPr>
        <w:t>0.45%</w:t>
      </w:r>
      <w:r>
        <w:rPr/>
        <w:t>，最高成交价为</w:t>
      </w:r>
      <w:r>
        <w:rPr>
          <w:rFonts w:ascii="Times New Roman" w:hAnsi="Times New Roman" w:cs="Times New Roman" w:eastAsia="Times New Roman" w:hint="default"/>
        </w:rPr>
        <w:t>10.59</w:t>
      </w:r>
      <w:r>
        <w:rPr/>
        <w:t>元</w:t>
      </w:r>
      <w:r>
        <w:rPr>
          <w:rFonts w:ascii="Times New Roman" w:hAnsi="Times New Roman" w:cs="Times New Roman" w:eastAsia="Times New Roman" w:hint="default"/>
        </w:rPr>
        <w:t>/</w:t>
      </w:r>
      <w:r>
        <w:rPr/>
        <w:t>股，</w:t>
      </w:r>
    </w:p>
    <w:p>
      <w:pPr>
        <w:pStyle w:val="BodyText"/>
        <w:spacing w:line="451" w:lineRule="auto" w:before="13"/>
        <w:ind w:right="1126"/>
        <w:jc w:val="left"/>
      </w:pPr>
      <w:r>
        <w:rPr/>
        <w:t>最低成交价为</w:t>
      </w:r>
      <w:r>
        <w:rPr>
          <w:rFonts w:ascii="Times New Roman" w:hAnsi="Times New Roman" w:cs="Times New Roman" w:eastAsia="Times New Roman" w:hint="default"/>
        </w:rPr>
        <w:t>10.00</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18,995,303.67</w:t>
      </w:r>
      <w:r>
        <w:rPr/>
        <w:t>元（不含交易费用）。 </w:t>
      </w:r>
      <w:r>
        <w:rPr>
          <w:spacing w:val="-1"/>
        </w:rPr>
        <w:t>截止本报告披露之日，公司以集中竞价交易方式累计回购公司股份</w:t>
      </w:r>
      <w:r>
        <w:rPr>
          <w:rFonts w:ascii="Times New Roman" w:hAnsi="Times New Roman" w:cs="Times New Roman" w:eastAsia="Times New Roman" w:hint="default"/>
          <w:spacing w:val="-1"/>
        </w:rPr>
        <w:t>3,883,600</w:t>
      </w:r>
      <w:r>
        <w:rPr>
          <w:spacing w:val="-1"/>
        </w:rPr>
        <w:t>股，占公司总股本的</w:t>
      </w:r>
      <w:r>
        <w:rPr>
          <w:rFonts w:ascii="Times New Roman" w:hAnsi="Times New Roman" w:cs="Times New Roman" w:eastAsia="Times New Roman" w:hint="default"/>
          <w:spacing w:val="-1"/>
        </w:rPr>
        <w:t>0.95%</w:t>
      </w:r>
      <w:r>
        <w:rPr>
          <w:spacing w:val="-1"/>
        </w:rPr>
        <w:t>，最高成交价为</w:t>
      </w:r>
      <w:r>
        <w:rPr>
          <w:rFonts w:ascii="Times New Roman" w:hAnsi="Times New Roman" w:cs="Times New Roman" w:eastAsia="Times New Roman" w:hint="default"/>
          <w:spacing w:val="-1"/>
        </w:rPr>
        <w:t>10.59</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10.00</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39,989,292.82</w:t>
      </w:r>
      <w:r>
        <w:rPr/>
        <w:t>元（不含交易费用）。</w:t>
      </w:r>
    </w:p>
    <w:p>
      <w:pPr>
        <w:pStyle w:val="BodyText"/>
        <w:spacing w:line="240" w:lineRule="auto" w:before="84"/>
        <w:ind w:right="0"/>
        <w:jc w:val="left"/>
      </w:pPr>
      <w:r>
        <w:rPr/>
        <w:t>采用集中竞价方式减持回购股份的实施进展情况</w:t>
      </w:r>
    </w:p>
    <w:p>
      <w:pPr>
        <w:spacing w:line="240" w:lineRule="auto" w:before="12"/>
        <w:rPr>
          <w:rFonts w:ascii="宋体" w:hAnsi="宋体" w:cs="宋体" w:eastAsia="宋体" w:hint="default"/>
          <w:sz w:val="20"/>
          <w:szCs w:val="20"/>
        </w:rPr>
      </w:pPr>
    </w:p>
    <w:p>
      <w:pPr>
        <w:pStyle w:val="BodyText"/>
        <w:spacing w:line="489" w:lineRule="auto"/>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482"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本报告期内股份变动对公司最近一期的基本每股收益、稀释每股收益及归属于公司普通股股东的每股净资影响具体指标详见</w:t>
      </w:r>
      <w:r>
        <w:rPr>
          <w:spacing w:val="-64"/>
        </w:rPr>
        <w:t> </w:t>
      </w:r>
      <w:r>
        <w:rPr>
          <w:spacing w:val="-64"/>
        </w:rPr>
      </w:r>
      <w:r>
        <w:rPr>
          <w:rFonts w:ascii="Times New Roman" w:hAnsi="Times New Roman" w:cs="Times New Roman" w:eastAsia="Times New Roman" w:hint="default"/>
        </w:rPr>
        <w:t>“</w:t>
      </w:r>
      <w:r>
        <w:rPr/>
        <w:t>第二节公司简介和主要财务指标</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五、主要会计数据和财务指标</w:t>
      </w:r>
      <w:r>
        <w:rPr>
          <w:rFonts w:ascii="Times New Roman" w:hAnsi="Times New Roman" w:cs="Times New Roman" w:eastAsia="Times New Roman" w:hint="default"/>
        </w:rPr>
        <w:t>”</w:t>
      </w:r>
      <w:r>
        <w:rPr/>
        <w:t>。</w:t>
      </w:r>
    </w:p>
    <w:p>
      <w:pPr>
        <w:spacing w:after="0" w:line="48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73.857002pt;margin-top:673.539978pt;width:119.2pt;height:15.6pt;mso-position-horizontal-relative:page;mso-position-vertical-relative:page;z-index:-1209880" type="#_x0000_t202" filled="false" stroked="false">
            <v:textbox inset="0,0,0,0">
              <w:txbxContent>
                <w:p>
                  <w:pPr>
                    <w:pStyle w:val="BodyText"/>
                    <w:spacing w:line="208" w:lineRule="exact"/>
                    <w:ind w:left="0" w:right="0"/>
                    <w:jc w:val="left"/>
                  </w:pPr>
                  <w:r>
                    <w:rPr/>
                    <w:t>（有限合伙）</w:t>
                  </w:r>
                </w:p>
              </w:txbxContent>
            </v:textbox>
            <w10:wrap type="none"/>
          </v:shape>
        </w:pict>
      </w:r>
      <w:r>
        <w:rPr/>
        <w:pict>
          <v:group style="position:absolute;margin-left:125.059998pt;margin-top:673.539978pt;width:68pt;height:15.6pt;mso-position-horizontal-relative:page;mso-position-vertical-relative:page;z-index:-1209856" coordorigin="2501,13471" coordsize="1360,312">
            <v:shape style="position:absolute;left:2501;top:13471;width:1360;height:312" coordorigin="2501,13471" coordsize="1360,312" path="m2501,13783l3861,13783,3861,13471,2501,13471,2501,13783xe" filled="true" fillcolor="#ffffff" stroked="false">
              <v:path arrowok="t"/>
              <v:fill type="solid"/>
            </v:shape>
            <w10:wrap type="none"/>
          </v:group>
        </w:pict>
      </w:r>
    </w:p>
    <w:p>
      <w:pPr>
        <w:spacing w:line="240" w:lineRule="auto" w:before="5"/>
        <w:rPr>
          <w:rFonts w:ascii="宋体" w:hAnsi="宋体" w:cs="宋体" w:eastAsia="宋体" w:hint="default"/>
          <w:sz w:val="15"/>
          <w:szCs w:val="15"/>
        </w:rPr>
      </w:pPr>
    </w:p>
    <w:p>
      <w:pPr>
        <w:pStyle w:val="BodyText"/>
        <w:spacing w:line="240" w:lineRule="auto"/>
        <w:ind w:right="0"/>
        <w:jc w:val="left"/>
      </w:pPr>
      <w:r>
        <w:rPr/>
        <w:t>公司认为必要或证券监管机构要求披露的其他内容</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6"/>
          <w:szCs w:val="16"/>
        </w:rPr>
      </w:pPr>
    </w:p>
    <w:p>
      <w:pPr>
        <w:pStyle w:val="BodyText"/>
        <w:spacing w:line="240" w:lineRule="auto" w:before="44"/>
        <w:ind w:left="0" w:right="1130"/>
        <w:jc w:val="right"/>
      </w:pPr>
      <w:r>
        <w:rPr/>
        <w:t>单位：股</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78,918,400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19,729,600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48,702,398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107,891,198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董监高锁定股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2019/1/1</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9,212,760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10,787,240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董监高锁定股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2019/1/1</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6,928,320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6,084,755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13,013,075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董监高锁定股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2019/1/1</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6,928,320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6,084,755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13,013,075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董监高锁定股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2019/1/1</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长信基金－浦发 银行－云南国际 信托－云信智兴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一资金信托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6,414,922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11,548,722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5,133,800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2018/8/23</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张忠民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1,644,134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1,644,134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2018/5/17</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茅屏萍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6,576,533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6,576,533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2018/5/17</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西藏常森创业投 资管理有限公司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5,978,666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5,978,666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2018/5/17</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西藏碧天创业投 资管理有限公司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3,736,667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3,736,667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2018/5/17</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赣州君恺投资咨 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3,275,705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5,897,220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2,621,515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2018/8/23</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嘉兴君重资产管 理有限公司－君 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PIPE6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 投资基金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3,275,705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5,897,220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2,621,515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2018/8/23</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宁波梅山保税港 区东旼投资合伙 企业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2,979,036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5,363,129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2,384,093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2018/8/23</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公司高级管理人 员、中层管理人 员、核心人员</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1,444,394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1,792,975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15,626,981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15,278,400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根据公司《限制 性股票激励计 划》的相关规定 进行解锁</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董监高锁定股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2019/1/1</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137,314,237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68,164,866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100,047,592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169,196,963</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年激励计划 限制性股票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15,614,619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15,614,619</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报告期内证券发行（不含优先股）情况的说明</w:t>
      </w:r>
    </w:p>
    <w:p>
      <w:pPr>
        <w:spacing w:line="240" w:lineRule="auto" w:before="10"/>
        <w:rPr>
          <w:rFonts w:ascii="宋体" w:hAnsi="宋体" w:cs="宋体" w:eastAsia="宋体" w:hint="default"/>
          <w:sz w:val="20"/>
          <w:szCs w:val="20"/>
        </w:rPr>
      </w:pPr>
    </w:p>
    <w:p>
      <w:pPr>
        <w:pStyle w:val="BodyText"/>
        <w:spacing w:line="451" w:lineRule="auto"/>
        <w:ind w:right="1130" w:firstLine="29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11</w:t>
      </w:r>
      <w:r>
        <w:rPr>
          <w:spacing w:val="-1"/>
        </w:rPr>
        <w:t>日，经公司第三届董事会第二次会议、第三届监事会第二次会议审议通过了《关于公司</w:t>
      </w:r>
      <w:r>
        <w:rPr>
          <w:rFonts w:ascii="Times New Roman" w:hAnsi="Times New Roman" w:cs="Times New Roman" w:eastAsia="Times New Roman" w:hint="default"/>
          <w:spacing w:val="-1"/>
        </w:rPr>
        <w:t>&lt;2018</w:t>
      </w:r>
      <w:r>
        <w:rPr>
          <w:spacing w:val="-1"/>
        </w:rPr>
        <w:t>年股票期权与</w:t>
      </w:r>
      <w:r>
        <w:rPr/>
        <w:t> 限制性股票激励计划（草案）及其摘要</w:t>
      </w:r>
      <w:r>
        <w:rPr>
          <w:rFonts w:ascii="Times New Roman" w:hAnsi="Times New Roman" w:cs="Times New Roman" w:eastAsia="Times New Roman" w:hint="default"/>
        </w:rPr>
        <w:t>&gt;</w:t>
      </w:r>
      <w:r>
        <w:rPr/>
        <w:t>的议案》，同意拟向公司及子公司高级管理人员、中层管理人员和核心人员授予权 益总计</w:t>
      </w:r>
      <w:r>
        <w:rPr>
          <w:rFonts w:ascii="Times New Roman" w:hAnsi="Times New Roman" w:cs="Times New Roman" w:eastAsia="Times New Roman" w:hint="default"/>
        </w:rPr>
        <w:t>1,275</w:t>
      </w:r>
      <w:r>
        <w:rPr/>
        <w:t>万份，其中：股票期权</w:t>
      </w:r>
      <w:r>
        <w:rPr>
          <w:rFonts w:ascii="Times New Roman" w:hAnsi="Times New Roman" w:cs="Times New Roman" w:eastAsia="Times New Roman" w:hint="default"/>
        </w:rPr>
        <w:t>150</w:t>
      </w:r>
      <w:r>
        <w:rPr/>
        <w:t>万份，限制性股票</w:t>
      </w:r>
      <w:r>
        <w:rPr>
          <w:rFonts w:ascii="Times New Roman" w:hAnsi="Times New Roman" w:cs="Times New Roman" w:eastAsia="Times New Roman" w:hint="default"/>
        </w:rPr>
        <w:t>1,125</w:t>
      </w:r>
      <w:r>
        <w:rPr/>
        <w:t>万股（首次授予</w:t>
      </w:r>
      <w:r>
        <w:rPr>
          <w:rFonts w:ascii="Times New Roman" w:hAnsi="Times New Roman" w:cs="Times New Roman" w:eastAsia="Times New Roman" w:hint="default"/>
        </w:rPr>
        <w:t>900</w:t>
      </w:r>
      <w:r>
        <w:rPr/>
        <w:t>万股，预留</w:t>
      </w:r>
      <w:r>
        <w:rPr>
          <w:rFonts w:ascii="Times New Roman" w:hAnsi="Times New Roman" w:cs="Times New Roman" w:eastAsia="Times New Roman" w:hint="default"/>
        </w:rPr>
        <w:t>225</w:t>
      </w:r>
      <w:r>
        <w:rPr/>
        <w:t>万股）。</w:t>
      </w:r>
    </w:p>
    <w:p>
      <w:pPr>
        <w:pStyle w:val="BodyText"/>
        <w:spacing w:line="451" w:lineRule="auto" w:before="43"/>
        <w:ind w:left="44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日，公司召开的</w:t>
      </w:r>
      <w:r>
        <w:rPr>
          <w:rFonts w:ascii="Times New Roman" w:hAnsi="Times New Roman" w:cs="Times New Roman" w:eastAsia="Times New Roman" w:hint="default"/>
        </w:rPr>
        <w:t>2018</w:t>
      </w:r>
      <w:r>
        <w:rPr/>
        <w:t>年第二次临时股东大会审议通过了前述相关议案并授权董事会办理相关事项。 </w:t>
      </w:r>
      <w:r>
        <w:rPr>
          <w:spacing w:val="-1"/>
        </w:rPr>
        <w:t>因</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28</w:t>
      </w:r>
      <w:r>
        <w:rPr>
          <w:spacing w:val="-1"/>
        </w:rPr>
        <w:t>日，权益分派方案已实施完毕，故股票期权由</w:t>
      </w:r>
      <w:r>
        <w:rPr>
          <w:rFonts w:ascii="Times New Roman" w:hAnsi="Times New Roman" w:cs="Times New Roman" w:eastAsia="Times New Roman" w:hint="default"/>
          <w:spacing w:val="-1"/>
        </w:rPr>
        <w:t>150</w:t>
      </w:r>
      <w:r>
        <w:rPr>
          <w:spacing w:val="-1"/>
        </w:rPr>
        <w:t>万份调整为</w:t>
      </w:r>
      <w:r>
        <w:rPr>
          <w:rFonts w:ascii="Times New Roman" w:hAnsi="Times New Roman" w:cs="Times New Roman" w:eastAsia="Times New Roman" w:hint="default"/>
          <w:spacing w:val="-1"/>
        </w:rPr>
        <w:t>270.0435</w:t>
      </w:r>
      <w:r>
        <w:rPr>
          <w:spacing w:val="-1"/>
        </w:rPr>
        <w:t>万份，限制性股票由</w:t>
      </w:r>
      <w:r>
        <w:rPr>
          <w:rFonts w:ascii="Times New Roman" w:hAnsi="Times New Roman" w:cs="Times New Roman" w:eastAsia="Times New Roman" w:hint="default"/>
          <w:spacing w:val="-1"/>
        </w:rPr>
        <w:t>1,125</w:t>
      </w:r>
      <w:r>
        <w:rPr>
          <w:spacing w:val="-1"/>
        </w:rPr>
        <w:t>万股调整</w:t>
      </w:r>
    </w:p>
    <w:p>
      <w:pPr>
        <w:pStyle w:val="BodyText"/>
        <w:spacing w:line="456" w:lineRule="auto" w:before="43"/>
        <w:ind w:right="1032"/>
        <w:jc w:val="left"/>
      </w:pPr>
      <w:r>
        <w:rPr/>
        <w:t>为</w:t>
      </w:r>
      <w:r>
        <w:rPr>
          <w:rFonts w:ascii="Times New Roman" w:hAnsi="Times New Roman" w:cs="Times New Roman" w:eastAsia="Times New Roman" w:hint="default"/>
        </w:rPr>
        <w:t>2,025.3266</w:t>
      </w:r>
      <w:r>
        <w:rPr/>
        <w:t>万股（首次授予由</w:t>
      </w:r>
      <w:r>
        <w:rPr>
          <w:rFonts w:ascii="Times New Roman" w:hAnsi="Times New Roman" w:cs="Times New Roman" w:eastAsia="Times New Roman" w:hint="default"/>
        </w:rPr>
        <w:t>900</w:t>
      </w:r>
      <w:r>
        <w:rPr/>
        <w:t>万股调整为</w:t>
      </w:r>
      <w:r>
        <w:rPr>
          <w:rFonts w:ascii="Times New Roman" w:hAnsi="Times New Roman" w:cs="Times New Roman" w:eastAsia="Times New Roman" w:hint="default"/>
        </w:rPr>
        <w:t>1,620.2613</w:t>
      </w:r>
      <w:r>
        <w:rPr/>
        <w:t>万股，预留部分由</w:t>
      </w:r>
      <w:r>
        <w:rPr>
          <w:rFonts w:ascii="Times New Roman" w:hAnsi="Times New Roman" w:cs="Times New Roman" w:eastAsia="Times New Roman" w:hint="default"/>
        </w:rPr>
        <w:t>225</w:t>
      </w:r>
      <w:r>
        <w:rPr/>
        <w:t>万股调整为</w:t>
      </w:r>
      <w:r>
        <w:rPr>
          <w:rFonts w:ascii="Times New Roman" w:hAnsi="Times New Roman" w:cs="Times New Roman" w:eastAsia="Times New Roman" w:hint="default"/>
        </w:rPr>
        <w:t>405.0653</w:t>
      </w:r>
      <w:r>
        <w:rPr/>
        <w:t>万股）。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 </w:t>
      </w:r>
      <w:r>
        <w:rPr>
          <w:spacing w:val="-5"/>
        </w:rPr>
        <w:t>经公司第三届董事会第七次会议、第三届监事会第七次会议审议通过了《关于调整三期股权激励计划相关事项的议案》和《关</w:t>
      </w:r>
      <w:r>
        <w:rPr>
          <w:spacing w:val="-83"/>
        </w:rPr>
        <w:t> </w:t>
      </w:r>
      <w:r>
        <w:rPr>
          <w:spacing w:val="-83"/>
        </w:rPr>
      </w:r>
      <w:r>
        <w:rPr>
          <w:spacing w:val="-2"/>
        </w:rPr>
        <w:t>于向激励对象首次授予</w:t>
      </w:r>
      <w:r>
        <w:rPr>
          <w:rFonts w:ascii="Times New Roman" w:hAnsi="Times New Roman" w:cs="Times New Roman" w:eastAsia="Times New Roman" w:hint="default"/>
          <w:spacing w:val="-2"/>
        </w:rPr>
        <w:t>2018</w:t>
      </w:r>
      <w:r>
        <w:rPr>
          <w:spacing w:val="-2"/>
        </w:rPr>
        <w:t>年激励计划股票期权与限制性股票的议案》，对股票期权、限制性股票的授予数量、授予人数进</w:t>
      </w:r>
      <w:r>
        <w:rPr>
          <w:spacing w:val="-62"/>
        </w:rPr>
        <w:t> </w:t>
      </w:r>
      <w:r>
        <w:rPr>
          <w:spacing w:val="-62"/>
        </w:rPr>
      </w:r>
      <w:r>
        <w:rPr/>
        <w:t>行了调整，将股票期权的授予总数由</w:t>
      </w:r>
      <w:r>
        <w:rPr>
          <w:rFonts w:ascii="Times New Roman" w:hAnsi="Times New Roman" w:cs="Times New Roman" w:eastAsia="Times New Roman" w:hint="default"/>
        </w:rPr>
        <w:t>270.0435</w:t>
      </w:r>
      <w:r>
        <w:rPr/>
        <w:t>万份调整为</w:t>
      </w:r>
      <w:r>
        <w:rPr>
          <w:rFonts w:ascii="Times New Roman" w:hAnsi="Times New Roman" w:cs="Times New Roman" w:eastAsia="Times New Roman" w:hint="default"/>
        </w:rPr>
        <w:t>100.816</w:t>
      </w:r>
      <w:r>
        <w:rPr/>
        <w:t>万份，激励对象人数由</w:t>
      </w:r>
      <w:r>
        <w:rPr>
          <w:rFonts w:ascii="Times New Roman" w:hAnsi="Times New Roman" w:cs="Times New Roman" w:eastAsia="Times New Roman" w:hint="default"/>
        </w:rPr>
        <w:t>218</w:t>
      </w:r>
      <w:r>
        <w:rPr/>
        <w:t>人调整为</w:t>
      </w:r>
      <w:r>
        <w:rPr>
          <w:rFonts w:ascii="Times New Roman" w:hAnsi="Times New Roman" w:cs="Times New Roman" w:eastAsia="Times New Roman" w:hint="default"/>
        </w:rPr>
        <w:t>12</w:t>
      </w:r>
      <w:r>
        <w:rPr/>
        <w:t>人。限制性股票的授 予总数由</w:t>
      </w:r>
      <w:r>
        <w:rPr>
          <w:rFonts w:ascii="Times New Roman" w:hAnsi="Times New Roman" w:cs="Times New Roman" w:eastAsia="Times New Roman" w:hint="default"/>
        </w:rPr>
        <w:t>2,025.3266</w:t>
      </w:r>
      <w:r>
        <w:rPr/>
        <w:t>万股调整为</w:t>
      </w:r>
      <w:r>
        <w:rPr>
          <w:rFonts w:ascii="Times New Roman" w:hAnsi="Times New Roman" w:cs="Times New Roman" w:eastAsia="Times New Roman" w:hint="default"/>
        </w:rPr>
        <w:t>1,966.5272</w:t>
      </w:r>
      <w:r>
        <w:rPr/>
        <w:t>万股，其中，首次授予限制性股票的数量由</w:t>
      </w:r>
      <w:r>
        <w:rPr>
          <w:rFonts w:ascii="Times New Roman" w:hAnsi="Times New Roman" w:cs="Times New Roman" w:eastAsia="Times New Roman" w:hint="default"/>
        </w:rPr>
        <w:t>1,620.2613</w:t>
      </w:r>
      <w:r>
        <w:rPr/>
        <w:t>万股调整为</w:t>
      </w:r>
      <w:r>
        <w:rPr>
          <w:rFonts w:ascii="Times New Roman" w:hAnsi="Times New Roman" w:cs="Times New Roman" w:eastAsia="Times New Roman" w:hint="default"/>
        </w:rPr>
        <w:t>1,561.4619</w:t>
      </w:r>
      <w:r>
        <w:rPr/>
        <w:t>万股， 激励对象人数由</w:t>
      </w:r>
      <w:r>
        <w:rPr>
          <w:rFonts w:ascii="Times New Roman" w:hAnsi="Times New Roman" w:cs="Times New Roman" w:eastAsia="Times New Roman" w:hint="default"/>
        </w:rPr>
        <w:t>222</w:t>
      </w:r>
      <w:r>
        <w:rPr/>
        <w:t>人调整为</w:t>
      </w:r>
      <w:r>
        <w:rPr>
          <w:rFonts w:ascii="Times New Roman" w:hAnsi="Times New Roman" w:cs="Times New Roman" w:eastAsia="Times New Roman" w:hint="default"/>
        </w:rPr>
        <w:t>188</w:t>
      </w:r>
      <w:r>
        <w:rPr/>
        <w:t>人；预留限制性股票数量不变，仍为</w:t>
      </w:r>
      <w:r>
        <w:rPr>
          <w:rFonts w:ascii="Times New Roman" w:hAnsi="Times New Roman" w:cs="Times New Roman" w:eastAsia="Times New Roman" w:hint="default"/>
        </w:rPr>
        <w:t>405.0653</w:t>
      </w:r>
      <w:r>
        <w:rPr/>
        <w:t>万股。并确定了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日为授予日。上述 股票期权已于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日登记完成，限制性股票已于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日上市。</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240" w:lineRule="auto"/>
        <w:ind w:left="44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日，公司对离职的激励对象所持已获授但尚未解锁的限制性股票共计</w:t>
      </w:r>
      <w:r>
        <w:rPr>
          <w:rFonts w:ascii="Times New Roman" w:hAnsi="Times New Roman" w:cs="Times New Roman" w:eastAsia="Times New Roman" w:hint="default"/>
        </w:rPr>
        <w:t>79,220</w:t>
      </w:r>
      <w:r>
        <w:rPr/>
        <w:t>股进行回购注销，公司股份总数</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22"/>
        <w:jc w:val="left"/>
      </w:pPr>
      <w:r>
        <w:rPr/>
        <w:t>由</w:t>
      </w:r>
      <w:r>
        <w:rPr>
          <w:rFonts w:ascii="Times New Roman" w:hAnsi="Times New Roman" w:cs="Times New Roman" w:eastAsia="Times New Roman" w:hint="default"/>
        </w:rPr>
        <w:t>218,370,659</w:t>
      </w:r>
      <w:r>
        <w:rPr/>
        <w:t>股减少至</w:t>
      </w:r>
      <w:r>
        <w:rPr>
          <w:rFonts w:ascii="Times New Roman" w:hAnsi="Times New Roman" w:cs="Times New Roman" w:eastAsia="Times New Roman" w:hint="default"/>
        </w:rPr>
        <w:t>218,291,439</w:t>
      </w:r>
      <w:r>
        <w:rPr/>
        <w:t>股，公司股本结构由限售股股东占比</w:t>
      </w:r>
      <w:r>
        <w:rPr>
          <w:rFonts w:ascii="Times New Roman" w:hAnsi="Times New Roman" w:cs="Times New Roman" w:eastAsia="Times New Roman" w:hint="default"/>
        </w:rPr>
        <w:t>62.88%</w:t>
      </w:r>
      <w:r>
        <w:rPr/>
        <w:t>，无限售条件流通股股东占比</w:t>
      </w:r>
      <w:r>
        <w:rPr>
          <w:rFonts w:ascii="Times New Roman" w:hAnsi="Times New Roman" w:cs="Times New Roman" w:eastAsia="Times New Roman" w:hint="default"/>
        </w:rPr>
        <w:t>37.12%</w:t>
      </w:r>
      <w:r>
        <w:rPr/>
        <w:t>，变为 </w:t>
      </w:r>
      <w:r>
        <w:rPr>
          <w:spacing w:val="-1"/>
        </w:rPr>
        <w:t>限售股股东占比</w:t>
      </w:r>
      <w:r>
        <w:rPr>
          <w:rFonts w:ascii="Times New Roman" w:hAnsi="Times New Roman" w:cs="Times New Roman" w:eastAsia="Times New Roman" w:hint="default"/>
          <w:spacing w:val="-1"/>
        </w:rPr>
        <w:t>62.87%</w:t>
      </w:r>
      <w:r>
        <w:rPr>
          <w:spacing w:val="-1"/>
        </w:rPr>
        <w:t>，无限售条件流通股股东占比</w:t>
      </w:r>
      <w:r>
        <w:rPr>
          <w:rFonts w:ascii="Times New Roman" w:hAnsi="Times New Roman" w:cs="Times New Roman" w:eastAsia="Times New Roman" w:hint="default"/>
          <w:spacing w:val="-1"/>
        </w:rPr>
        <w:t>37.13%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28</w:t>
      </w:r>
      <w:r>
        <w:rPr>
          <w:spacing w:val="-1"/>
        </w:rPr>
        <w:t>日，公司实施完毕</w:t>
      </w:r>
      <w:r>
        <w:rPr>
          <w:rFonts w:ascii="Times New Roman" w:hAnsi="Times New Roman" w:cs="Times New Roman" w:eastAsia="Times New Roman" w:hint="default"/>
          <w:spacing w:val="-1"/>
        </w:rPr>
        <w:t>2017</w:t>
      </w:r>
      <w:r>
        <w:rPr>
          <w:spacing w:val="-1"/>
        </w:rPr>
        <w:t>年度利润分配方案，公司</w:t>
      </w:r>
      <w:r>
        <w:rPr>
          <w:spacing w:val="-50"/>
        </w:rPr>
        <w:t> </w:t>
      </w:r>
      <w:r>
        <w:rPr>
          <w:spacing w:val="-50"/>
        </w:rPr>
      </w:r>
      <w:r>
        <w:rPr/>
        <w:t>总股本从</w:t>
      </w:r>
      <w:r>
        <w:rPr>
          <w:rFonts w:ascii="Times New Roman" w:hAnsi="Times New Roman" w:cs="Times New Roman" w:eastAsia="Times New Roman" w:hint="default"/>
        </w:rPr>
        <w:t>218,291,439</w:t>
      </w:r>
      <w:r>
        <w:rPr/>
        <w:t>股变更为</w:t>
      </w:r>
      <w:r>
        <w:rPr>
          <w:rFonts w:ascii="Times New Roman" w:hAnsi="Times New Roman" w:cs="Times New Roman" w:eastAsia="Times New Roman" w:hint="default"/>
        </w:rPr>
        <w:t>392,987,960</w:t>
      </w:r>
      <w:r>
        <w:rPr/>
        <w:t>股，公司股本结构不变。</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日，公司完成</w:t>
      </w:r>
      <w:r>
        <w:rPr>
          <w:rFonts w:ascii="Times New Roman" w:hAnsi="Times New Roman" w:cs="Times New Roman" w:eastAsia="Times New Roman" w:hint="default"/>
        </w:rPr>
        <w:t>2018</w:t>
      </w:r>
      <w:r>
        <w:rPr/>
        <w:t>年限制性股票的上市流通 事项，向激励对象授予了</w:t>
      </w:r>
      <w:r>
        <w:rPr>
          <w:rFonts w:ascii="Times New Roman" w:hAnsi="Times New Roman" w:cs="Times New Roman" w:eastAsia="Times New Roman" w:hint="default"/>
        </w:rPr>
        <w:t>15,614,619</w:t>
      </w:r>
      <w:r>
        <w:rPr/>
        <w:t>股限制性股票，全部为有条件限售股。本次授予事项完成后，公司总股本由</w:t>
      </w:r>
      <w:r>
        <w:rPr>
          <w:rFonts w:ascii="Times New Roman" w:hAnsi="Times New Roman" w:cs="Times New Roman" w:eastAsia="Times New Roman" w:hint="default"/>
        </w:rPr>
        <w:t>392,987,960 </w:t>
      </w:r>
      <w:r>
        <w:rPr/>
        <w:t>股增加至</w:t>
      </w:r>
      <w:r>
        <w:rPr>
          <w:rFonts w:ascii="Times New Roman" w:hAnsi="Times New Roman" w:cs="Times New Roman" w:eastAsia="Times New Roman" w:hint="default"/>
        </w:rPr>
        <w:t>408,602,579</w:t>
      </w:r>
      <w:r>
        <w:rPr/>
        <w:t>股，公司股本结构由限售股股东占比</w:t>
      </w:r>
      <w:r>
        <w:rPr>
          <w:rFonts w:ascii="Times New Roman" w:hAnsi="Times New Roman" w:cs="Times New Roman" w:eastAsia="Times New Roman" w:hint="default"/>
        </w:rPr>
        <w:t>45.95%</w:t>
      </w:r>
      <w:r>
        <w:rPr/>
        <w:t>，无限售条件流通股股东占比</w:t>
      </w:r>
      <w:r>
        <w:rPr>
          <w:rFonts w:ascii="Times New Roman" w:hAnsi="Times New Roman" w:cs="Times New Roman" w:eastAsia="Times New Roman" w:hint="default"/>
        </w:rPr>
        <w:t>54.05%</w:t>
      </w:r>
      <w:r>
        <w:rPr/>
        <w:t>，变为限售股股东占 </w:t>
      </w:r>
      <w:r>
        <w:rPr>
          <w:spacing w:val="-1"/>
        </w:rPr>
        <w:t>比</w:t>
      </w:r>
      <w:r>
        <w:rPr>
          <w:rFonts w:ascii="Times New Roman" w:hAnsi="Times New Roman" w:cs="Times New Roman" w:eastAsia="Times New Roman" w:hint="default"/>
          <w:spacing w:val="-1"/>
        </w:rPr>
        <w:t>48.02%</w:t>
      </w:r>
      <w:r>
        <w:rPr>
          <w:spacing w:val="-1"/>
        </w:rPr>
        <w:t>，无限售条件流通股股东占比</w:t>
      </w:r>
      <w:r>
        <w:rPr>
          <w:rFonts w:ascii="Times New Roman" w:hAnsi="Times New Roman" w:cs="Times New Roman" w:eastAsia="Times New Roman" w:hint="default"/>
          <w:spacing w:val="-1"/>
        </w:rPr>
        <w:t>51.98%</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18</w:t>
      </w:r>
      <w:r>
        <w:rPr>
          <w:spacing w:val="-1"/>
        </w:rPr>
        <w:t>日，公司对离职的激励对象所持已获授但尚未解锁的限制性股</w:t>
      </w:r>
      <w:r>
        <w:rPr>
          <w:spacing w:val="-54"/>
        </w:rPr>
        <w:t> </w:t>
      </w:r>
      <w:r>
        <w:rPr>
          <w:spacing w:val="-54"/>
        </w:rPr>
      </w:r>
      <w:r>
        <w:rPr/>
        <w:t>票共计</w:t>
      </w:r>
      <w:r>
        <w:rPr>
          <w:rFonts w:ascii="Times New Roman" w:hAnsi="Times New Roman" w:cs="Times New Roman" w:eastAsia="Times New Roman" w:hint="default"/>
        </w:rPr>
        <w:t>112,353</w:t>
      </w:r>
      <w:r>
        <w:rPr/>
        <w:t>股进行回购注销，公司股份总数由</w:t>
      </w:r>
      <w:r>
        <w:rPr>
          <w:rFonts w:ascii="Times New Roman" w:hAnsi="Times New Roman" w:cs="Times New Roman" w:eastAsia="Times New Roman" w:hint="default"/>
        </w:rPr>
        <w:t>408,602,579</w:t>
      </w:r>
      <w:r>
        <w:rPr/>
        <w:t>股减少至</w:t>
      </w:r>
      <w:r>
        <w:rPr>
          <w:rFonts w:ascii="Times New Roman" w:hAnsi="Times New Roman" w:cs="Times New Roman" w:eastAsia="Times New Roman" w:hint="default"/>
        </w:rPr>
        <w:t>408,490,226</w:t>
      </w:r>
      <w:r>
        <w:rPr/>
        <w:t>股，公司股本结构由限售股股东占比 </w:t>
      </w:r>
      <w:r>
        <w:rPr>
          <w:rFonts w:ascii="Times New Roman" w:hAnsi="Times New Roman" w:cs="Times New Roman" w:eastAsia="Times New Roman" w:hint="default"/>
        </w:rPr>
        <w:t>40.83%</w:t>
      </w:r>
      <w:r>
        <w:rPr/>
        <w:t>，无限售条件流通股股东占比</w:t>
      </w:r>
      <w:r>
        <w:rPr>
          <w:rFonts w:ascii="Times New Roman" w:hAnsi="Times New Roman" w:cs="Times New Roman" w:eastAsia="Times New Roman" w:hint="default"/>
        </w:rPr>
        <w:t>59.17%</w:t>
      </w:r>
      <w:r>
        <w:rPr/>
        <w:t>，变为限售股股东占比</w:t>
      </w:r>
      <w:r>
        <w:rPr>
          <w:rFonts w:ascii="Times New Roman" w:hAnsi="Times New Roman" w:cs="Times New Roman" w:eastAsia="Times New Roman" w:hint="default"/>
        </w:rPr>
        <w:t>40.81%</w:t>
      </w:r>
      <w:r>
        <w:rPr/>
        <w:t>，无限售条件流通股股东占比</w:t>
      </w:r>
      <w:r>
        <w:rPr>
          <w:rFonts w:ascii="Times New Roman" w:hAnsi="Times New Roman" w:cs="Times New Roman" w:eastAsia="Times New Roman" w:hint="default"/>
        </w:rPr>
        <w:t>59.19%</w:t>
      </w:r>
      <w:r>
        <w:rPr/>
        <w:t>。</w:t>
      </w:r>
    </w:p>
    <w:p>
      <w:pPr>
        <w:pStyle w:val="BodyText"/>
        <w:spacing w:line="451" w:lineRule="auto" w:before="43"/>
        <w:ind w:right="1129" w:firstLine="290"/>
        <w:jc w:val="left"/>
      </w:pPr>
      <w:r>
        <w:rPr>
          <w:spacing w:val="-3"/>
        </w:rPr>
        <w:t>报告期末，公司总资产为</w:t>
      </w:r>
      <w:r>
        <w:rPr>
          <w:rFonts w:ascii="Times New Roman" w:hAnsi="Times New Roman" w:cs="Times New Roman" w:eastAsia="Times New Roman" w:hint="default"/>
          <w:spacing w:val="-3"/>
        </w:rPr>
        <w:t>1,609,982,065.56</w:t>
      </w:r>
      <w:r>
        <w:rPr>
          <w:spacing w:val="-3"/>
        </w:rPr>
        <w:t>元，比年初增长了</w:t>
      </w:r>
      <w:r>
        <w:rPr>
          <w:rFonts w:ascii="Times New Roman" w:hAnsi="Times New Roman" w:cs="Times New Roman" w:eastAsia="Times New Roman" w:hint="default"/>
          <w:spacing w:val="-3"/>
        </w:rPr>
        <w:t>19.31%</w:t>
      </w:r>
      <w:r>
        <w:rPr>
          <w:spacing w:val="-3"/>
        </w:rPr>
        <w:t>，其中，归属于上市公司股东的净资产</w:t>
      </w:r>
      <w:r>
        <w:rPr>
          <w:rFonts w:ascii="Times New Roman" w:hAnsi="Times New Roman" w:cs="Times New Roman" w:eastAsia="Times New Roman" w:hint="default"/>
          <w:spacing w:val="-3"/>
        </w:rPr>
        <w:t>1,257,626,494.77</w:t>
      </w:r>
      <w:r>
        <w:rPr>
          <w:rFonts w:ascii="Times New Roman" w:hAnsi="Times New Roman" w:cs="Times New Roman" w:eastAsia="Times New Roman" w:hint="default"/>
        </w:rPr>
        <w:t> </w:t>
      </w:r>
      <w:r>
        <w:rPr/>
        <w:t>元，比年初增长了</w:t>
      </w:r>
      <w:r>
        <w:rPr>
          <w:rFonts w:ascii="Times New Roman" w:hAnsi="Times New Roman" w:cs="Times New Roman" w:eastAsia="Times New Roman" w:hint="default"/>
        </w:rPr>
        <w:t>11.16%</w:t>
      </w:r>
      <w:r>
        <w:rPr/>
        <w:t>。公司负债为</w:t>
      </w:r>
      <w:r>
        <w:rPr>
          <w:rFonts w:ascii="Times New Roman" w:hAnsi="Times New Roman" w:cs="Times New Roman" w:eastAsia="Times New Roman" w:hint="default"/>
        </w:rPr>
        <w:t>284,437,055.87</w:t>
      </w:r>
      <w:r>
        <w:rPr/>
        <w:t>元，比年初增长了</w:t>
      </w:r>
      <w:r>
        <w:rPr>
          <w:rFonts w:ascii="Times New Roman" w:hAnsi="Times New Roman" w:cs="Times New Roman" w:eastAsia="Times New Roman" w:hint="default"/>
        </w:rPr>
        <w:t>54.55%</w:t>
      </w:r>
      <w:r>
        <w:rPr/>
        <w:t>。</w:t>
      </w: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0" w:right="1130"/>
        <w:jc w:val="right"/>
      </w:pPr>
      <w:r>
        <w:rPr/>
        <w:pict>
          <v:shape style="position:absolute;margin-left:449.277008pt;margin-top:72.191719pt;width:85.6pt;height:31.2pt;mso-position-horizontal-relative:page;mso-position-vertical-relative:paragraph;z-index:-1209832"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72.191719pt;width:52.45pt;height:31.2pt;mso-position-horizontal-relative:page;mso-position-vertical-relative:paragraph;z-index:-1209808" coordorigin="9648,1444" coordsize="1049,624">
            <v:shape style="position:absolute;left:9648;top:1444;width:1049;height:624" coordorigin="9648,1444" coordsize="1049,624" path="m9648,2068l10697,2068,10697,1444,9648,1444,9648,2068xe" filled="true" fillcolor="#ffffff" stroked="false">
              <v:path arrowok="t"/>
              <v:fill type="solid"/>
            </v:shape>
            <w10:wrap type="none"/>
          </v:group>
        </w:pict>
      </w:r>
      <w:r>
        <w:rPr/>
        <w:t>单位：股</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35"/>
        <w:gridCol w:w="134"/>
        <w:gridCol w:w="673"/>
        <w:gridCol w:w="739"/>
        <w:gridCol w:w="744"/>
        <w:gridCol w:w="830"/>
        <w:gridCol w:w="344"/>
        <w:gridCol w:w="445"/>
        <w:gridCol w:w="824"/>
        <w:gridCol w:w="802"/>
        <w:gridCol w:w="323"/>
        <w:gridCol w:w="1027"/>
        <w:gridCol w:w="279"/>
        <w:gridCol w:w="513"/>
        <w:gridCol w:w="558"/>
      </w:tblGrid>
      <w:tr>
        <w:trPr>
          <w:trHeight w:val="162"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10,585</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12,142</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35.22%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143,854,9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64,936,52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107,891,1</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98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35,963,73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86,702,260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22,114,19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9,830,510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2,114,190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17,170,73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7,932,977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13,013,07</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4,157,662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13,080,000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徐彪</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17,170,73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7,932,977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13,013,07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4,157,662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11,610,000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茅屏萍</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11,839,66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5,263,136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11,839,66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5,616,903</w:t>
            </w: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长信基金－浦发 银行－云南国际 信托－云信智兴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一资金信托</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11,548,72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5,133,800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11,548,72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张忠民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8,955,615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3,781,649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8,955,615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5,058,814</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龙中胜</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8,168,846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3,152,313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810,130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7,358,716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西藏常森创业投 资管理有限公司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7,334,138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1,355,472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7,334,138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赣州君恺投资咨 询有限公司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5,897,220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2,621,515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5,897,220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5,832,940</w:t>
            </w: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嘉兴君重资产管 理有限公司－君 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PIPE6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号私募投 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5,897,220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2,621,515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5,897,220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pacing w:val="-1"/>
                <w:sz w:val="18"/>
                <w:szCs w:val="18"/>
              </w:rPr>
              <w:t>股东茅屏萍与股东茅庆江系姐弟关系，除此以外，公司未知其他股东是否存在关联关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系或是否属一致行动人。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35,963,731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35,963,731</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茅屏萍</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11,839,669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11,839,669</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长信基金－浦发银行－云南国际信 托－云信智兴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 金信托</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11,548,722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11,548,722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张忠民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8,955,615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8,955,615</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龙中胜</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7,358,716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7,358,716</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西藏常森创业投资管理有限公司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7,334,138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7,334,138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赣州君恺投资咨询有限公司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5,897,220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5,897,220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嘉兴君重资产管理有限公司－君重</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PIPE6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5,897,220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5,897,220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5"/>
          <w:szCs w:val="15"/>
        </w:rPr>
      </w:pPr>
    </w:p>
    <w:p>
      <w:pPr>
        <w:pStyle w:val="BodyText"/>
        <w:spacing w:line="240" w:lineRule="auto"/>
        <w:ind w:left="0" w:right="1140"/>
        <w:jc w:val="right"/>
      </w:pPr>
      <w:r>
        <w:rPr/>
        <w:pict>
          <v:shape style="position:absolute;margin-left:56.459999pt;margin-top:-82.268265pt;width:479.2pt;height:174.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3989"/>
                    <w:gridCol w:w="1349"/>
                    <w:gridCol w:w="1350"/>
                  </w:tblGrid>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宁波梅山保税港区东旼投资合伙企 业（有限合伙）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5,363,129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5,363,129</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渤海国际信托股份有限公司－渤海 富盈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4,752,046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4,752,046</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股东茅屏萍与股东茅庆江系姐弟关系，除此以外，公司未知前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名无限售股东之间</w:t>
                        </w:r>
                      </w:p>
                      <w:p>
                        <w:pPr>
                          <w:pStyle w:val="TableParagraph"/>
                          <w:spacing w:line="302" w:lineRule="auto" w:before="63"/>
                          <w:ind w:left="16" w:right="22"/>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名股东之间是否存在关联关系，也未知是否属 一致行动人。</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19"/>
          <w:szCs w:val="19"/>
        </w:rPr>
      </w:pPr>
    </w:p>
    <w:p>
      <w:pPr>
        <w:pStyle w:val="BodyText"/>
        <w:spacing w:line="240" w:lineRule="auto"/>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518" w:lineRule="auto"/>
        <w:ind w:right="8592"/>
        <w:jc w:val="left"/>
      </w:pPr>
      <w:r>
        <w:rPr/>
        <w:pict>
          <v:shape style="position:absolute;margin-left:56.459999pt;margin-top:46.351746pt;width:479.2pt;height:96.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担任本公司董事长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控股股东报告期内变更</w:t>
      </w:r>
    </w:p>
    <w:p>
      <w:pPr>
        <w:spacing w:line="240" w:lineRule="auto" w:before="12"/>
        <w:rPr>
          <w:rFonts w:ascii="宋体" w:hAnsi="宋体" w:cs="宋体" w:eastAsia="宋体" w:hint="default"/>
          <w:sz w:val="20"/>
          <w:szCs w:val="20"/>
        </w:rPr>
      </w:pPr>
    </w:p>
    <w:p>
      <w:pPr>
        <w:pStyle w:val="BodyText"/>
        <w:spacing w:line="489"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518" w:lineRule="auto"/>
        <w:ind w:right="8412"/>
        <w:jc w:val="left"/>
      </w:pPr>
      <w:r>
        <w:rPr/>
        <w:pict>
          <v:shape style="position:absolute;margin-left:56.459999pt;margin-top:46.351734pt;width:479.2pt;height:56.3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t>实际控制人性质：境内自然人 实际控制人类型：自然人</w:t>
      </w:r>
    </w:p>
    <w:p>
      <w:pPr>
        <w:spacing w:after="0" w:line="518"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担任本公司董事长</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7"/>
        <w:rPr>
          <w:rFonts w:ascii="宋体" w:hAnsi="宋体" w:cs="宋体" w:eastAsia="宋体" w:hint="default"/>
          <w:sz w:val="6"/>
          <w:szCs w:val="6"/>
        </w:rPr>
      </w:pPr>
    </w:p>
    <w:p>
      <w:pPr>
        <w:pStyle w:val="BodyText"/>
        <w:spacing w:line="240" w:lineRule="auto" w:before="44"/>
        <w:ind w:right="0"/>
        <w:jc w:val="left"/>
      </w:pPr>
      <w:r>
        <w:rPr/>
        <w:t>实际控制人报告期内变更</w:t>
      </w:r>
    </w:p>
    <w:p>
      <w:pPr>
        <w:spacing w:line="240" w:lineRule="auto" w:before="12"/>
        <w:rPr>
          <w:rFonts w:ascii="宋体" w:hAnsi="宋体" w:cs="宋体" w:eastAsia="宋体" w:hint="default"/>
          <w:sz w:val="20"/>
          <w:szCs w:val="20"/>
        </w:rPr>
      </w:pPr>
    </w:p>
    <w:p>
      <w:pPr>
        <w:pStyle w:val="BodyText"/>
        <w:spacing w:line="504"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2"/>
        <w:rPr>
          <w:rFonts w:ascii="宋体" w:hAnsi="宋体" w:cs="宋体" w:eastAsia="宋体" w:hint="default"/>
          <w:sz w:val="17"/>
          <w:szCs w:val="17"/>
        </w:rPr>
      </w:pPr>
    </w:p>
    <w:p>
      <w:pPr>
        <w:spacing w:line="5430" w:lineRule="exact"/>
        <w:ind w:left="1356" w:right="0" w:firstLine="0"/>
        <w:rPr>
          <w:rFonts w:ascii="宋体" w:hAnsi="宋体" w:cs="宋体" w:eastAsia="宋体" w:hint="default"/>
          <w:sz w:val="20"/>
          <w:szCs w:val="20"/>
        </w:rPr>
      </w:pPr>
      <w:r>
        <w:rPr>
          <w:rFonts w:ascii="宋体" w:hAnsi="宋体" w:cs="宋体" w:eastAsia="宋体" w:hint="default"/>
          <w:position w:val="-108"/>
          <w:sz w:val="20"/>
          <w:szCs w:val="20"/>
        </w:rPr>
        <w:drawing>
          <wp:inline distT="0" distB="0" distL="0" distR="0">
            <wp:extent cx="4591898" cy="34480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8" cstate="print"/>
                    <a:stretch>
                      <a:fillRect/>
                    </a:stretch>
                  </pic:blipFill>
                  <pic:spPr>
                    <a:xfrm>
                      <a:off x="0" y="0"/>
                      <a:ext cx="4591898" cy="3448050"/>
                    </a:xfrm>
                    <a:prstGeom prst="rect">
                      <a:avLst/>
                    </a:prstGeom>
                  </pic:spPr>
                </pic:pic>
              </a:graphicData>
            </a:graphic>
          </wp:inline>
        </w:drawing>
      </w:r>
      <w:r>
        <w:rPr>
          <w:rFonts w:ascii="宋体" w:hAnsi="宋体" w:cs="宋体" w:eastAsia="宋体" w:hint="default"/>
          <w:position w:val="-108"/>
          <w:sz w:val="20"/>
          <w:szCs w:val="20"/>
        </w:rPr>
      </w: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实际控制人通过信托或其他资产管理方式控制公司</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left="3286" w:right="0"/>
        <w:jc w:val="left"/>
        <w:rPr>
          <w:b w:val="0"/>
          <w:bCs w:val="0"/>
        </w:rPr>
      </w:pPr>
      <w:bookmarkStart w:name="第七节 优先股相关情况" w:id="117"/>
      <w:bookmarkEnd w:id="117"/>
      <w:r>
        <w:rPr>
          <w:b w:val="0"/>
          <w:bCs w:val="0"/>
        </w:rPr>
      </w:r>
      <w:bookmarkStart w:name="_bookmark5"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pStyle w:val="BodyText"/>
        <w:spacing w:line="489"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48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9"/>
      <w:bookmarkEnd w:id="119"/>
      <w:r>
        <w:rPr>
          <w:b w:val="0"/>
          <w:bCs w:val="0"/>
        </w:rPr>
      </w:r>
      <w:bookmarkStart w:name="_bookmark6" w:id="120"/>
      <w:bookmarkEnd w:id="120"/>
      <w:r>
        <w:rPr>
          <w:b w:val="0"/>
          <w:bCs w:val="0"/>
        </w:rPr>
      </w:r>
      <w:r>
        <w:rPr/>
        <w:t>第八节</w:t>
      </w:r>
      <w:r>
        <w:rPr>
          <w:spacing w:val="-16"/>
        </w:rPr>
        <w:t> </w:t>
      </w:r>
      <w:r>
        <w:rPr/>
        <w:t>董事、监事、高级管理人员和员工情况</w:t>
      </w:r>
      <w:r>
        <w:rPr>
          <w:b w:val="0"/>
          <w:bCs w:val="0"/>
        </w:rPr>
      </w:r>
    </w:p>
    <w:p>
      <w:pPr>
        <w:spacing w:line="240" w:lineRule="auto" w:before="10"/>
        <w:rPr>
          <w:rFonts w:ascii="宋体" w:hAnsi="宋体" w:cs="宋体" w:eastAsia="宋体" w:hint="default"/>
          <w:b/>
          <w:bCs/>
          <w:sz w:val="44"/>
          <w:szCs w:val="44"/>
        </w:rPr>
      </w:pPr>
    </w:p>
    <w:p>
      <w:pPr>
        <w:pStyle w:val="Heading2"/>
        <w:spacing w:line="240" w:lineRule="auto"/>
        <w:ind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78,918,40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988,118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63,948,41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143,854,9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12,283,68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9,830,510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22,114,19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李耀棠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龙勤梅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陈文芳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徐彪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9,237,760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7,392,890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17,170,73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9,237,760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7,392,890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17,170,73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理、董事 会秘书</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王汉晖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108,017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秦家银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高传江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162,026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162,026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郑盛泰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龙罡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108,017</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109,678,5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3,013,443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88,565,42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201,257,3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r>
    </w:tbl>
    <w:p>
      <w:pPr>
        <w:spacing w:line="240" w:lineRule="auto" w:before="0"/>
        <w:rPr>
          <w:rFonts w:ascii="宋体" w:hAnsi="宋体" w:cs="宋体" w:eastAsia="宋体" w:hint="default"/>
          <w:b/>
          <w:bCs/>
          <w:sz w:val="24"/>
          <w:szCs w:val="24"/>
        </w:rPr>
      </w:pPr>
    </w:p>
    <w:p>
      <w:pPr>
        <w:pStyle w:val="Heading2"/>
        <w:spacing w:line="240" w:lineRule="auto" w:before="26"/>
        <w:ind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秦家银</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高传江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郑盛泰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龙罡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换届新选举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李耀棠</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换届新选举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龙勤梅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换届新选举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陈文芳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换届新选举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换届新选举</w:t>
            </w:r>
          </w:p>
        </w:tc>
      </w:tr>
    </w:tbl>
    <w:p>
      <w:pPr>
        <w:spacing w:line="240" w:lineRule="auto" w:before="0"/>
        <w:rPr>
          <w:rFonts w:ascii="宋体" w:hAnsi="宋体" w:cs="宋体" w:eastAsia="宋体" w:hint="default"/>
          <w:sz w:val="24"/>
          <w:szCs w:val="24"/>
        </w:rPr>
      </w:pPr>
    </w:p>
    <w:p>
      <w:pPr>
        <w:pStyle w:val="Heading2"/>
        <w:spacing w:line="240" w:lineRule="auto" w:before="26"/>
        <w:ind w:right="0"/>
        <w:jc w:val="both"/>
        <w:rPr>
          <w:b w:val="0"/>
          <w:bCs w:val="0"/>
        </w:rPr>
      </w:pPr>
      <w:bookmarkStart w:name="三、任职情况" w:id="123"/>
      <w:bookmarkEnd w:id="123"/>
      <w:r>
        <w:rPr>
          <w:b w:val="0"/>
          <w:bCs w:val="0"/>
        </w:rPr>
      </w:r>
      <w:r>
        <w:rPr/>
        <w:t>三、任职情况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both"/>
      </w:pPr>
      <w:r>
        <w:rPr/>
        <w:t>公司现任董事、监事、高级管理人员专业背景、主要工作经历以及目前在公司的主要职责</w:t>
      </w:r>
    </w:p>
    <w:p>
      <w:pPr>
        <w:spacing w:line="240" w:lineRule="auto" w:before="10"/>
        <w:rPr>
          <w:rFonts w:ascii="宋体" w:hAnsi="宋体" w:cs="宋体" w:eastAsia="宋体" w:hint="default"/>
          <w:sz w:val="20"/>
          <w:szCs w:val="20"/>
        </w:rPr>
      </w:pPr>
    </w:p>
    <w:p>
      <w:pPr>
        <w:pStyle w:val="BodyText"/>
        <w:spacing w:line="240" w:lineRule="auto"/>
        <w:ind w:right="0"/>
        <w:jc w:val="both"/>
      </w:pPr>
      <w:r>
        <w:rPr>
          <w:rFonts w:ascii="Times New Roman" w:hAnsi="Times New Roman" w:cs="Times New Roman" w:eastAsia="Times New Roman" w:hint="default"/>
        </w:rPr>
        <w:t>1</w:t>
      </w:r>
      <w:r>
        <w:rPr/>
        <w:t>、董事会成员：</w:t>
      </w:r>
    </w:p>
    <w:p>
      <w:pPr>
        <w:spacing w:line="240" w:lineRule="auto" w:before="9"/>
        <w:rPr>
          <w:rFonts w:ascii="宋体" w:hAnsi="宋体" w:cs="宋体" w:eastAsia="宋体" w:hint="default"/>
          <w:sz w:val="16"/>
          <w:szCs w:val="16"/>
        </w:rPr>
      </w:pPr>
    </w:p>
    <w:p>
      <w:pPr>
        <w:pStyle w:val="BodyText"/>
        <w:spacing w:line="451" w:lineRule="auto"/>
        <w:ind w:right="1029"/>
        <w:jc w:val="left"/>
      </w:pPr>
      <w:r>
        <w:rPr>
          <w:spacing w:val="-2"/>
        </w:rPr>
        <w:t>（</w:t>
      </w:r>
      <w:r>
        <w:rPr>
          <w:rFonts w:ascii="Times New Roman" w:hAnsi="Times New Roman" w:cs="Times New Roman" w:eastAsia="Times New Roman" w:hint="default"/>
          <w:spacing w:val="-2"/>
        </w:rPr>
        <w:t>1</w:t>
      </w:r>
      <w:r>
        <w:rPr>
          <w:spacing w:val="-2"/>
        </w:rPr>
        <w:t>）茅庆江先生，中国国籍，拥有新西兰永久居留权，</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7</w:t>
      </w:r>
      <w:r>
        <w:rPr>
          <w:spacing w:val="-2"/>
        </w:rPr>
        <w:t>月出生，硕士学历，工程师资格。</w:t>
      </w:r>
      <w:r>
        <w:rPr>
          <w:rFonts w:ascii="Times New Roman" w:hAnsi="Times New Roman" w:cs="Times New Roman" w:eastAsia="Times New Roman" w:hint="default"/>
          <w:spacing w:val="-2"/>
        </w:rPr>
        <w:t>1986</w:t>
      </w:r>
      <w:r>
        <w:rPr>
          <w:spacing w:val="-2"/>
        </w:rPr>
        <w:t>年至</w:t>
      </w:r>
      <w:r>
        <w:rPr>
          <w:rFonts w:ascii="Times New Roman" w:hAnsi="Times New Roman" w:cs="Times New Roman" w:eastAsia="Times New Roman" w:hint="default"/>
          <w:spacing w:val="-2"/>
        </w:rPr>
        <w:t>1989</w:t>
      </w:r>
      <w:r>
        <w:rPr>
          <w:spacing w:val="-2"/>
        </w:rPr>
        <w:t>年，任中国</w:t>
      </w:r>
      <w:r>
        <w:rPr>
          <w:spacing w:val="-52"/>
        </w:rPr>
        <w:t> </w:t>
      </w:r>
      <w:r>
        <w:rPr>
          <w:spacing w:val="-52"/>
        </w:rPr>
      </w:r>
      <w:r>
        <w:rPr>
          <w:spacing w:val="-3"/>
        </w:rPr>
        <w:t>纺织大学自动化系老师、实习研究员；</w:t>
      </w:r>
      <w:r>
        <w:rPr>
          <w:rFonts w:ascii="Times New Roman" w:hAnsi="Times New Roman" w:cs="Times New Roman" w:eastAsia="Times New Roman" w:hint="default"/>
          <w:spacing w:val="-3"/>
        </w:rPr>
        <w:t>1992</w:t>
      </w:r>
      <w:r>
        <w:rPr>
          <w:spacing w:val="-3"/>
        </w:rPr>
        <w:t>年至</w:t>
      </w:r>
      <w:r>
        <w:rPr>
          <w:rFonts w:ascii="Times New Roman" w:hAnsi="Times New Roman" w:cs="Times New Roman" w:eastAsia="Times New Roman" w:hint="default"/>
          <w:spacing w:val="-3"/>
        </w:rPr>
        <w:t>2001</w:t>
      </w:r>
      <w:r>
        <w:rPr>
          <w:spacing w:val="-3"/>
        </w:rPr>
        <w:t>年担任番禺市电子工业总公司副总经理兼番禺市保安器材工程公司经理；</w:t>
      </w:r>
      <w:r>
        <w:rPr>
          <w:spacing w:val="-86"/>
        </w:rPr>
        <w:t> </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年在浩云有限任技术总监、董事长等职务；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月至今，担任本公司董事长。</w:t>
      </w:r>
    </w:p>
    <w:p>
      <w:pPr>
        <w:pStyle w:val="BodyText"/>
        <w:spacing w:line="451" w:lineRule="auto" w:before="43"/>
        <w:ind w:right="1131"/>
        <w:jc w:val="both"/>
      </w:pPr>
      <w:r>
        <w:rPr>
          <w:spacing w:val="-2"/>
        </w:rPr>
        <w:t>（</w:t>
      </w:r>
      <w:r>
        <w:rPr>
          <w:rFonts w:ascii="Times New Roman" w:hAnsi="Times New Roman" w:cs="Times New Roman" w:eastAsia="Times New Roman" w:hint="default"/>
          <w:spacing w:val="-2"/>
        </w:rPr>
        <w:t>2</w:t>
      </w:r>
      <w:r>
        <w:rPr>
          <w:spacing w:val="-2"/>
        </w:rPr>
        <w:t>）雷洪文先生，中国国籍，无永久境外居留权，</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8</w:t>
      </w:r>
      <w:r>
        <w:rPr>
          <w:spacing w:val="-2"/>
        </w:rPr>
        <w:t>月出生，大学本科学历，电子工程师资格。</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1993</w:t>
      </w:r>
      <w:r>
        <w:rPr>
          <w:spacing w:val="-2"/>
        </w:rPr>
        <w:t>年在广</w:t>
      </w:r>
      <w:r>
        <w:rPr>
          <w:spacing w:val="-56"/>
        </w:rPr>
        <w:t> </w:t>
      </w:r>
      <w:r>
        <w:rPr>
          <w:spacing w:val="-56"/>
        </w:rPr>
      </w:r>
      <w:r>
        <w:rPr>
          <w:spacing w:val="-2"/>
        </w:rPr>
        <w:t>东宏达家用电器厂任技术员；</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2001</w:t>
      </w:r>
      <w:r>
        <w:rPr>
          <w:spacing w:val="-2"/>
        </w:rPr>
        <w:t>年任职于番禺市保安器材工程公司；</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2011</w:t>
      </w:r>
      <w:r>
        <w:rPr>
          <w:spacing w:val="-2"/>
        </w:rPr>
        <w:t>年担任浩云有限董事长、执行</w:t>
      </w:r>
      <w:r>
        <w:rPr>
          <w:spacing w:val="-50"/>
        </w:rPr>
        <w:t> </w:t>
      </w:r>
      <w:r>
        <w:rPr>
          <w:spacing w:val="-50"/>
        </w:rPr>
      </w:r>
      <w:r>
        <w:rPr/>
        <w:t>董事等职务；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月至今，担任本公司董事、总经理。</w:t>
      </w:r>
    </w:p>
    <w:p>
      <w:pPr>
        <w:pStyle w:val="BodyText"/>
        <w:spacing w:line="451" w:lineRule="auto" w:before="43"/>
        <w:ind w:right="0"/>
        <w:jc w:val="left"/>
      </w:pPr>
      <w:r>
        <w:rPr>
          <w:spacing w:val="-4"/>
        </w:rPr>
        <w:t>（</w:t>
      </w:r>
      <w:r>
        <w:rPr>
          <w:rFonts w:ascii="Times New Roman" w:hAnsi="Times New Roman" w:cs="Times New Roman" w:eastAsia="Times New Roman" w:hint="default"/>
          <w:spacing w:val="-4"/>
        </w:rPr>
        <w:t>3</w:t>
      </w:r>
      <w:r>
        <w:rPr>
          <w:spacing w:val="-4"/>
        </w:rPr>
        <w:t>）黄洋先生，中国国籍，无永久境外居留权，</w:t>
      </w:r>
      <w:r>
        <w:rPr>
          <w:rFonts w:ascii="Times New Roman" w:hAnsi="Times New Roman" w:cs="Times New Roman" w:eastAsia="Times New Roman" w:hint="default"/>
          <w:spacing w:val="-4"/>
        </w:rPr>
        <w:t>1963</w:t>
      </w:r>
      <w:r>
        <w:rPr>
          <w:spacing w:val="-4"/>
        </w:rPr>
        <w:t>年</w:t>
      </w:r>
      <w:r>
        <w:rPr>
          <w:rFonts w:ascii="Times New Roman" w:hAnsi="Times New Roman" w:cs="Times New Roman" w:eastAsia="Times New Roman" w:hint="default"/>
          <w:spacing w:val="-4"/>
        </w:rPr>
        <w:t>5</w:t>
      </w:r>
      <w:r>
        <w:rPr>
          <w:spacing w:val="-4"/>
        </w:rPr>
        <w:t>月出生，大学本科学历，中国科学院工程师、中国执业专利代理人。</w:t>
      </w:r>
      <w:r>
        <w:rPr>
          <w:spacing w:val="-36"/>
        </w:rPr>
        <w:t> </w:t>
      </w:r>
      <w:r>
        <w:rPr>
          <w:spacing w:val="-36"/>
        </w:rPr>
      </w:r>
      <w:r>
        <w:rPr>
          <w:rFonts w:ascii="Times New Roman" w:hAnsi="Times New Roman" w:cs="Times New Roman" w:eastAsia="Times New Roman" w:hint="default"/>
        </w:rPr>
        <w:t>1986</w:t>
      </w:r>
      <w:r>
        <w:rPr/>
        <w:t>年至</w:t>
      </w:r>
      <w:r>
        <w:rPr>
          <w:rFonts w:ascii="Times New Roman" w:hAnsi="Times New Roman" w:cs="Times New Roman" w:eastAsia="Times New Roman" w:hint="default"/>
        </w:rPr>
        <w:t>1997</w:t>
      </w:r>
      <w:r>
        <w:rPr/>
        <w:t>年在中国科学院广州电子技术研究所担任工程师；</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2001</w:t>
      </w:r>
      <w:r>
        <w:rPr/>
        <w:t>年任职中国科学院广州分院；</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2002 </w:t>
      </w:r>
      <w:r>
        <w:rPr>
          <w:spacing w:val="-2"/>
        </w:rPr>
        <w:t>年，任中国科学院广州专利事务所专利代理人；</w:t>
      </w:r>
      <w:r>
        <w:rPr>
          <w:rFonts w:ascii="Times New Roman" w:hAnsi="Times New Roman" w:cs="Times New Roman" w:eastAsia="Times New Roman" w:hint="default"/>
          <w:spacing w:val="-2"/>
        </w:rPr>
        <w:t>2003</w:t>
      </w:r>
      <w:r>
        <w:rPr>
          <w:spacing w:val="-2"/>
        </w:rPr>
        <w:t>年至今任广州中瀚专利商标事务所执行主任、广州中瀚法律咨询服务有</w:t>
      </w:r>
      <w:r>
        <w:rPr>
          <w:spacing w:val="-62"/>
        </w:rPr>
        <w:t> </w:t>
      </w:r>
      <w:r>
        <w:rPr>
          <w:spacing w:val="-62"/>
        </w:rPr>
      </w:r>
      <w:r>
        <w:rPr/>
        <w:t>限公司总经理；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日至今，担任本公司董事。</w:t>
      </w:r>
    </w:p>
    <w:p>
      <w:pPr>
        <w:pStyle w:val="BodyText"/>
        <w:spacing w:line="451" w:lineRule="auto" w:before="43"/>
        <w:ind w:right="1130"/>
        <w:jc w:val="both"/>
      </w:pPr>
      <w:r>
        <w:rPr/>
        <w:t>（</w:t>
      </w:r>
      <w:r>
        <w:rPr>
          <w:rFonts w:ascii="Times New Roman" w:hAnsi="Times New Roman" w:cs="Times New Roman" w:eastAsia="Times New Roman" w:hint="default"/>
        </w:rPr>
        <w:t>4</w:t>
      </w:r>
      <w:r>
        <w:rPr/>
        <w:t>）蔡祥先生，中国国籍，无境外居留权，</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9</w:t>
      </w:r>
      <w:r>
        <w:rPr/>
        <w:t>月出生，博士学历，副教授。现任中山大学管理学院</w:t>
      </w:r>
      <w:r>
        <w:rPr>
          <w:rFonts w:ascii="Times New Roman" w:hAnsi="Times New Roman" w:cs="Times New Roman" w:eastAsia="Times New Roman" w:hint="default"/>
        </w:rPr>
        <w:t>MPAcc</w:t>
      </w:r>
      <w:r>
        <w:rPr/>
        <w:t>、</w:t>
      </w:r>
      <w:r>
        <w:rPr>
          <w:rFonts w:ascii="Times New Roman" w:hAnsi="Times New Roman" w:cs="Times New Roman" w:eastAsia="Times New Roman" w:hint="default"/>
        </w:rPr>
        <w:t>Maud</w:t>
      </w:r>
      <w:r>
        <w:rPr/>
        <w:t>项 </w:t>
      </w:r>
      <w:r>
        <w:rPr>
          <w:spacing w:val="-2"/>
        </w:rPr>
        <w:t>目学术主任。</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月至今，任广东广金投资管理有限公司董事；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月至今，任广东一力集团制药股份有限公司独立</w:t>
      </w:r>
      <w:r>
        <w:rPr>
          <w:spacing w:val="-55"/>
        </w:rPr>
        <w:t> </w:t>
      </w:r>
      <w:r>
        <w:rPr>
          <w:spacing w:val="-55"/>
        </w:rPr>
      </w:r>
      <w:r>
        <w:rPr>
          <w:spacing w:val="-2"/>
        </w:rPr>
        <w:t>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月至今，任岭南园林股份有限公司独立董事；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月至今任胜蓝科技股份有限公司独立董事；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3"/>
        </w:rPr>
        <w:t> </w:t>
      </w:r>
      <w:r>
        <w:rPr/>
        <w:t>日起，担任本公司独立董事；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月至今，任广东乐心医疗电子股份有限公司独立董事。</w:t>
      </w:r>
    </w:p>
    <w:p>
      <w:pPr>
        <w:pStyle w:val="BodyText"/>
        <w:spacing w:line="451" w:lineRule="auto" w:before="43"/>
        <w:ind w:right="1130"/>
        <w:jc w:val="both"/>
      </w:pPr>
      <w:r>
        <w:rPr/>
        <w:t>（</w:t>
      </w:r>
      <w:r>
        <w:rPr>
          <w:rFonts w:ascii="Times New Roman" w:hAnsi="Times New Roman" w:cs="Times New Roman" w:eastAsia="Times New Roman" w:hint="default"/>
        </w:rPr>
        <w:t>5</w:t>
      </w:r>
      <w:r>
        <w:rPr/>
        <w:t>）李耀棠先生，中国国籍，无境外居留权，</w:t>
      </w:r>
      <w:r>
        <w:rPr>
          <w:rFonts w:ascii="Times New Roman" w:hAnsi="Times New Roman" w:cs="Times New Roman" w:eastAsia="Times New Roman" w:hint="default"/>
        </w:rPr>
        <w:t>1955</w:t>
      </w:r>
      <w:r>
        <w:rPr/>
        <w:t>年</w:t>
      </w:r>
      <w:r>
        <w:rPr>
          <w:rFonts w:ascii="Times New Roman" w:hAnsi="Times New Roman" w:cs="Times New Roman" w:eastAsia="Times New Roman" w:hint="default"/>
        </w:rPr>
        <w:t>7</w:t>
      </w:r>
      <w:r>
        <w:rPr/>
        <w:t>月出生，硕士学历。</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月，历任中国科学院广州 电子技术研究所实习研究员、助理研究员、副研究员、研究员、研究室主任、董事、常务副所长</w:t>
      </w:r>
      <w:r>
        <w:rPr>
          <w:rFonts w:ascii="Times New Roman" w:hAnsi="Times New Roman" w:cs="Times New Roman" w:eastAsia="Times New Roman" w:hint="default"/>
        </w:rPr>
        <w:t>/</w:t>
      </w:r>
      <w:r>
        <w:rPr/>
        <w:t>总经理、所长</w:t>
      </w:r>
      <w:r>
        <w:rPr>
          <w:rFonts w:ascii="Times New Roman" w:hAnsi="Times New Roman" w:cs="Times New Roman" w:eastAsia="Times New Roman" w:hint="default"/>
        </w:rPr>
        <w:t>/</w:t>
      </w:r>
      <w:r>
        <w:rPr/>
        <w:t>董事长，其 </w:t>
      </w:r>
      <w:r>
        <w:rPr>
          <w:spacing w:val="-2"/>
        </w:rPr>
        <w:t>中</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2</w:t>
      </w:r>
      <w:r>
        <w:rPr>
          <w:spacing w:val="-2"/>
        </w:rPr>
        <w:t>月任日本理化学研究所光工学研究室流动研究员；</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月兼任广州晶体科技有限公司</w:t>
      </w:r>
      <w:r>
        <w:rPr>
          <w:spacing w:val="-44"/>
        </w:rPr>
        <w:t> </w:t>
      </w:r>
      <w:r>
        <w:rPr>
          <w:spacing w:val="-2"/>
        </w:rPr>
        <w:t>董事长；</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月至今兼任佛山市蓝箭电子股份有限公司独立董事；</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月至今兼任广东风华高新科技股份有限公司独</w:t>
      </w:r>
      <w:r>
        <w:rPr>
          <w:spacing w:val="-54"/>
        </w:rPr>
        <w:t> </w:t>
      </w:r>
      <w:r>
        <w:rPr/>
        <w:t>立董事；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日起，担任本公司独立董事。</w:t>
      </w:r>
    </w:p>
    <w:p>
      <w:pPr>
        <w:spacing w:after="0" w:line="451"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rFonts w:ascii="Times New Roman" w:hAnsi="Times New Roman" w:cs="Times New Roman" w:eastAsia="Times New Roman" w:hint="default"/>
        </w:rPr>
        <w:t>2</w:t>
      </w:r>
      <w:r>
        <w:rPr/>
        <w:t>、监事会成员：</w:t>
      </w:r>
    </w:p>
    <w:p>
      <w:pPr>
        <w:spacing w:line="240" w:lineRule="auto" w:before="9"/>
        <w:rPr>
          <w:rFonts w:ascii="宋体" w:hAnsi="宋体" w:cs="宋体" w:eastAsia="宋体" w:hint="default"/>
          <w:sz w:val="16"/>
          <w:szCs w:val="16"/>
        </w:rPr>
      </w:pPr>
    </w:p>
    <w:p>
      <w:pPr>
        <w:pStyle w:val="BodyText"/>
        <w:spacing w:line="451" w:lineRule="auto"/>
        <w:ind w:right="1139"/>
        <w:jc w:val="both"/>
      </w:pPr>
      <w:r>
        <w:rPr/>
        <w:t>（</w:t>
      </w:r>
      <w:r>
        <w:rPr>
          <w:rFonts w:ascii="Times New Roman" w:hAnsi="Times New Roman" w:cs="Times New Roman" w:eastAsia="Times New Roman" w:hint="default"/>
        </w:rPr>
        <w:t>1</w:t>
      </w:r>
      <w:r>
        <w:rPr/>
        <w:t>）龙勤梅女士，中国国籍，无永久境外居留权，</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4</w:t>
      </w:r>
      <w:r>
        <w:rPr/>
        <w:t>月出生，高中学历。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spacing w:val="-19"/>
        </w:rPr>
        <w:t> </w:t>
      </w:r>
      <w:r>
        <w:rPr/>
        <w:t>，任职于广州市</w:t>
      </w:r>
      <w:r>
        <w:rPr/>
        <w:t> 安必信通讯设备有限公司，担任仓管员一职；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月就职于本公司，担任生产部仓库组长；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 今任采购员；</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日起，担任本公司职工监事、监事会主席。</w:t>
      </w:r>
    </w:p>
    <w:p>
      <w:pPr>
        <w:pStyle w:val="BodyText"/>
        <w:spacing w:line="451" w:lineRule="auto" w:before="43"/>
        <w:ind w:right="1042"/>
        <w:jc w:val="both"/>
      </w:pPr>
      <w:r>
        <w:rPr>
          <w:spacing w:val="-3"/>
        </w:rPr>
        <w:t>（</w:t>
      </w:r>
      <w:r>
        <w:rPr>
          <w:rFonts w:ascii="Times New Roman" w:hAnsi="Times New Roman" w:cs="Times New Roman" w:eastAsia="Times New Roman" w:hint="default"/>
          <w:spacing w:val="-3"/>
        </w:rPr>
        <w:t>2</w:t>
      </w:r>
      <w:r>
        <w:rPr>
          <w:spacing w:val="-3"/>
        </w:rPr>
        <w:t>）陈文芳女士，中国国籍，无永久境外居留权，</w:t>
      </w:r>
      <w:r>
        <w:rPr>
          <w:rFonts w:ascii="Times New Roman" w:hAnsi="Times New Roman" w:cs="Times New Roman" w:eastAsia="Times New Roman" w:hint="default"/>
          <w:spacing w:val="-3"/>
        </w:rPr>
        <w:t>1987</w:t>
      </w:r>
      <w:r>
        <w:rPr>
          <w:spacing w:val="-3"/>
        </w:rPr>
        <w:t>年</w:t>
      </w:r>
      <w:r>
        <w:rPr>
          <w:rFonts w:ascii="Times New Roman" w:hAnsi="Times New Roman" w:cs="Times New Roman" w:eastAsia="Times New Roman" w:hint="default"/>
          <w:spacing w:val="-3"/>
        </w:rPr>
        <w:t>1</w:t>
      </w:r>
      <w:r>
        <w:rPr>
          <w:spacing w:val="-3"/>
        </w:rPr>
        <w:t>月出生，大学本科学历，</w:t>
      </w:r>
      <w:r>
        <w:rPr>
          <w:rFonts w:ascii="Times New Roman" w:hAnsi="Times New Roman" w:cs="Times New Roman" w:eastAsia="Times New Roman" w:hint="default"/>
          <w:spacing w:val="-3"/>
        </w:rPr>
        <w:t>2009</w:t>
      </w:r>
      <w:r>
        <w:rPr>
          <w:spacing w:val="-3"/>
        </w:rPr>
        <w:t>年毕业于肇庆学院汉语言文学专业，</w:t>
      </w:r>
      <w:r>
        <w:rPr>
          <w:spacing w:val="-83"/>
        </w:rPr>
        <w:t> </w:t>
      </w:r>
      <w:r>
        <w:rPr/>
        <w:t>高级中学教师资格。</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2014</w:t>
      </w:r>
      <w:r>
        <w:rPr/>
        <w:t>年就职于本公司，任售前项目文员；</w:t>
      </w:r>
      <w:r>
        <w:rPr>
          <w:rFonts w:ascii="Times New Roman" w:hAnsi="Times New Roman" w:cs="Times New Roman" w:eastAsia="Times New Roman" w:hint="default"/>
        </w:rPr>
        <w:t>2015</w:t>
      </w:r>
      <w:r>
        <w:rPr/>
        <w:t>年至今，任本公司部门助理兼工程项目组科长；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日起，担任本公司监事。</w:t>
      </w:r>
    </w:p>
    <w:p>
      <w:pPr>
        <w:pStyle w:val="BodyText"/>
        <w:spacing w:line="240" w:lineRule="auto" w:before="43"/>
        <w:ind w:right="0"/>
        <w:jc w:val="both"/>
      </w:pPr>
      <w:r>
        <w:rPr/>
        <w:t>（</w:t>
      </w:r>
      <w:r>
        <w:rPr>
          <w:rFonts w:ascii="Times New Roman" w:hAnsi="Times New Roman" w:cs="Times New Roman" w:eastAsia="Times New Roman" w:hint="default"/>
        </w:rPr>
        <w:t>3</w:t>
      </w:r>
      <w:r>
        <w:rPr/>
        <w:t>）李军先生，中国国籍，无永久境外居留权，</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11</w:t>
      </w:r>
      <w:r>
        <w:rPr/>
        <w:t>月出生，大学专科学历，</w:t>
      </w:r>
      <w:r>
        <w:rPr>
          <w:rFonts w:ascii="Times New Roman" w:hAnsi="Times New Roman" w:cs="Times New Roman" w:eastAsia="Times New Roman" w:hint="default"/>
        </w:rPr>
        <w:t>1999</w:t>
      </w:r>
      <w:r>
        <w:rPr/>
        <w:t>年毕业于湖北省沙市纺织职工大学。</w:t>
      </w:r>
    </w:p>
    <w:p>
      <w:pPr>
        <w:spacing w:line="240" w:lineRule="auto" w:before="9"/>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月就职于沙市众益实业发展有限公司；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月就职于顺德碧桂园任项目设计工程师，</w:t>
      </w:r>
    </w:p>
    <w:p>
      <w:pPr>
        <w:spacing w:line="240" w:lineRule="auto" w:before="9"/>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月至今就职于本公司，任投标方案部设计工程师；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日起，担任本公司监事。</w:t>
      </w:r>
    </w:p>
    <w:p>
      <w:pPr>
        <w:spacing w:line="240" w:lineRule="auto" w:before="9"/>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3</w:t>
      </w:r>
      <w:r>
        <w:rPr/>
        <w:t>、高级管理人员成员：</w:t>
      </w:r>
    </w:p>
    <w:p>
      <w:pPr>
        <w:spacing w:line="240" w:lineRule="auto" w:before="9"/>
        <w:rPr>
          <w:rFonts w:ascii="宋体" w:hAnsi="宋体" w:cs="宋体" w:eastAsia="宋体" w:hint="default"/>
          <w:sz w:val="16"/>
          <w:szCs w:val="16"/>
        </w:rPr>
      </w:pPr>
    </w:p>
    <w:p>
      <w:pPr>
        <w:pStyle w:val="BodyText"/>
        <w:spacing w:line="240" w:lineRule="auto"/>
        <w:ind w:right="0"/>
        <w:jc w:val="both"/>
      </w:pPr>
      <w:r>
        <w:rPr/>
        <w:t>（</w:t>
      </w:r>
      <w:r>
        <w:rPr>
          <w:rFonts w:ascii="Times New Roman" w:hAnsi="Times New Roman" w:cs="Times New Roman" w:eastAsia="Times New Roman" w:hint="default"/>
        </w:rPr>
        <w:t>1</w:t>
      </w:r>
      <w:r>
        <w:rPr/>
        <w:t>）雷洪文先生，简历见上。</w:t>
      </w:r>
    </w:p>
    <w:p>
      <w:pPr>
        <w:spacing w:line="240" w:lineRule="auto" w:before="9"/>
        <w:rPr>
          <w:rFonts w:ascii="宋体" w:hAnsi="宋体" w:cs="宋体" w:eastAsia="宋体" w:hint="default"/>
          <w:sz w:val="16"/>
          <w:szCs w:val="16"/>
        </w:rPr>
      </w:pPr>
    </w:p>
    <w:p>
      <w:pPr>
        <w:pStyle w:val="BodyText"/>
        <w:spacing w:line="451" w:lineRule="auto"/>
        <w:ind w:right="1130"/>
        <w:jc w:val="both"/>
      </w:pPr>
      <w:r>
        <w:rPr>
          <w:spacing w:val="-2"/>
        </w:rPr>
        <w:t>（</w:t>
      </w:r>
      <w:r>
        <w:rPr>
          <w:rFonts w:ascii="Times New Roman" w:hAnsi="Times New Roman" w:cs="Times New Roman" w:eastAsia="Times New Roman" w:hint="default"/>
          <w:spacing w:val="-2"/>
        </w:rPr>
        <w:t>2</w:t>
      </w:r>
      <w:r>
        <w:rPr>
          <w:spacing w:val="-2"/>
        </w:rPr>
        <w:t>）袁小康先生，中国国籍，无永久境外居留权，</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6</w:t>
      </w:r>
      <w:r>
        <w:rPr>
          <w:spacing w:val="-2"/>
        </w:rPr>
        <w:t>月出生，大学本科学历，计算机工程师职称。</w:t>
      </w:r>
      <w:r>
        <w:rPr>
          <w:rFonts w:ascii="Times New Roman" w:hAnsi="Times New Roman" w:cs="Times New Roman" w:eastAsia="Times New Roman" w:hint="default"/>
          <w:spacing w:val="-2"/>
        </w:rPr>
        <w:t>1986</w:t>
      </w:r>
      <w:r>
        <w:rPr>
          <w:spacing w:val="-2"/>
        </w:rPr>
        <w:t>年至</w:t>
      </w:r>
      <w:r>
        <w:rPr>
          <w:rFonts w:ascii="Times New Roman" w:hAnsi="Times New Roman" w:cs="Times New Roman" w:eastAsia="Times New Roman" w:hint="default"/>
          <w:spacing w:val="-2"/>
        </w:rPr>
        <w:t>1992</w:t>
      </w:r>
      <w:r>
        <w:rPr>
          <w:spacing w:val="-2"/>
        </w:rPr>
        <w:t>年在</w:t>
      </w:r>
      <w:r>
        <w:rPr>
          <w:spacing w:val="-55"/>
        </w:rPr>
        <w:t> </w:t>
      </w:r>
      <w:r>
        <w:rPr>
          <w:spacing w:val="-2"/>
        </w:rPr>
        <w:t>广州市外国语学院附中任教；</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1996</w:t>
      </w:r>
      <w:r>
        <w:rPr>
          <w:spacing w:val="-2"/>
        </w:rPr>
        <w:t>年在广州市番禺江南电脑公司工作，任经理；</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2001</w:t>
      </w:r>
      <w:r>
        <w:rPr>
          <w:spacing w:val="-2"/>
        </w:rPr>
        <w:t>年在番禺市保安器材</w:t>
      </w:r>
      <w:r>
        <w:rPr>
          <w:spacing w:val="-50"/>
        </w:rPr>
        <w:t> </w:t>
      </w:r>
      <w:r>
        <w:rPr/>
        <w:t>工程公司工作，</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年就职于广州市浩云安防科技工程有限公司，担任副董事长；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月至今，担任本公司副 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月起至今，担任公司全资子公司重庆浩云公共安全物联网技术有限公司的执行董事；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月起至今， 担任全资子公司西藏浩云创业投资有限公司执行董事；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月至今，担任公司全资子公司辛集市浩云智慧城市科技有限 公司执行董事、经理。</w:t>
      </w:r>
    </w:p>
    <w:p>
      <w:pPr>
        <w:pStyle w:val="BodyText"/>
        <w:spacing w:line="451" w:lineRule="auto" w:before="74"/>
        <w:ind w:right="1132"/>
        <w:jc w:val="both"/>
      </w:pPr>
      <w:r>
        <w:rPr>
          <w:spacing w:val="-2"/>
        </w:rPr>
        <w:t>（</w:t>
      </w:r>
      <w:r>
        <w:rPr>
          <w:rFonts w:ascii="Times New Roman" w:hAnsi="Times New Roman" w:cs="Times New Roman" w:eastAsia="Times New Roman" w:hint="default"/>
          <w:spacing w:val="-2"/>
        </w:rPr>
        <w:t>3</w:t>
      </w:r>
      <w:r>
        <w:rPr>
          <w:spacing w:val="-2"/>
        </w:rPr>
        <w:t>）徐彪先生，中国国籍，无永久境外居留权，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2</w:t>
      </w:r>
      <w:r>
        <w:rPr>
          <w:spacing w:val="-2"/>
        </w:rPr>
        <w:t>月出生，大专学历，助理经济师资格。</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2001</w:t>
      </w:r>
      <w:r>
        <w:rPr>
          <w:spacing w:val="-2"/>
        </w:rPr>
        <w:t>年任职于番禺</w:t>
      </w:r>
      <w:r>
        <w:rPr>
          <w:spacing w:val="-56"/>
        </w:rPr>
        <w:t> </w:t>
      </w:r>
      <w:r>
        <w:rPr>
          <w:spacing w:val="-56"/>
        </w:rPr>
      </w:r>
      <w:r>
        <w:rPr/>
        <w:t>市电子工业总公司；</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年就职于广州市浩云安防科技工程有限公司，历任担任监事、总经理等职务。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 至今，担任本公司副总经理；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月起至今，担任控股子公司广东冠网信息科技有限公司董事长。</w:t>
      </w:r>
    </w:p>
    <w:p>
      <w:pPr>
        <w:pStyle w:val="BodyText"/>
        <w:spacing w:line="240" w:lineRule="auto" w:before="43"/>
        <w:ind w:right="0"/>
        <w:jc w:val="both"/>
      </w:pPr>
      <w:r>
        <w:rPr/>
        <w:t>（</w:t>
      </w:r>
      <w:r>
        <w:rPr>
          <w:rFonts w:ascii="Times New Roman" w:hAnsi="Times New Roman" w:cs="Times New Roman" w:eastAsia="Times New Roman" w:hint="default"/>
        </w:rPr>
        <w:t>4</w:t>
      </w:r>
      <w:r>
        <w:rPr/>
        <w:t>）陈翩女士，中国国籍，无永久境外居留权，</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9</w:t>
      </w:r>
      <w:r>
        <w:rPr/>
        <w:t>月出生，大学本科学历，中国注册会计师，英国特许公认会计师</w:t>
      </w:r>
    </w:p>
    <w:p>
      <w:pPr>
        <w:spacing w:line="240" w:lineRule="auto" w:before="9"/>
        <w:rPr>
          <w:rFonts w:ascii="宋体" w:hAnsi="宋体" w:cs="宋体" w:eastAsia="宋体" w:hint="default"/>
          <w:sz w:val="16"/>
          <w:szCs w:val="16"/>
        </w:rPr>
      </w:pPr>
    </w:p>
    <w:p>
      <w:pPr>
        <w:pStyle w:val="BodyText"/>
        <w:spacing w:line="451" w:lineRule="auto"/>
        <w:ind w:right="1132"/>
        <w:jc w:val="both"/>
      </w:pPr>
      <w:r>
        <w:rPr/>
        <w:t>（</w:t>
      </w:r>
      <w:r>
        <w:rPr>
          <w:rFonts w:ascii="Times New Roman" w:hAnsi="Times New Roman" w:cs="Times New Roman" w:eastAsia="Times New Roman" w:hint="default"/>
        </w:rPr>
        <w:t>ACCA</w:t>
      </w:r>
      <w:r>
        <w:rPr/>
        <w:t>）。历任安永华明会计师事务所审计部经理、毕马威华振会计师事务所审计部经理。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 董事会秘书；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w:t>
      </w:r>
      <w:r>
        <w:rPr/>
        <w:t>担任本公司财务总监；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月，担任海博伦（苏州）环境科技股份有 </w:t>
      </w:r>
      <w:r>
        <w:rPr>
          <w:spacing w:val="-3"/>
        </w:rPr>
        <w:t>限公司董事；</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月至今，担任本公司副总经理；</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月至今，担任广州酷游娱乐科技股份有限公司独立董事；</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年</w:t>
      </w:r>
      <w:r>
        <w:rPr>
          <w:rFonts w:ascii="Times New Roman" w:hAnsi="Times New Roman" w:cs="Times New Roman" w:eastAsia="Times New Roman" w:hint="default"/>
        </w:rPr>
        <w:t>11</w:t>
      </w:r>
      <w:r>
        <w:rPr/>
        <w:t>月至今，担任广州泛恩生物科技有限公司董事。</w:t>
      </w:r>
    </w:p>
    <w:p>
      <w:pPr>
        <w:pStyle w:val="BodyText"/>
        <w:spacing w:line="451" w:lineRule="auto" w:before="43"/>
        <w:ind w:right="1031"/>
        <w:jc w:val="left"/>
      </w:pPr>
      <w:r>
        <w:rPr>
          <w:spacing w:val="-2"/>
        </w:rPr>
        <w:t>（</w:t>
      </w:r>
      <w:r>
        <w:rPr>
          <w:rFonts w:ascii="Times New Roman" w:hAnsi="Times New Roman" w:cs="Times New Roman" w:eastAsia="Times New Roman" w:hint="default"/>
          <w:spacing w:val="-2"/>
        </w:rPr>
        <w:t>5</w:t>
      </w:r>
      <w:r>
        <w:rPr>
          <w:spacing w:val="-2"/>
        </w:rPr>
        <w:t>）王汉晖先生，中国国籍，无永久境外居留权，</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9</w:t>
      </w:r>
      <w:r>
        <w:rPr>
          <w:spacing w:val="-2"/>
        </w:rPr>
        <w:t>月出生，大学本科学历，毕业于暨南大学管理学院注册会计师专</w:t>
      </w:r>
      <w:r>
        <w:rPr>
          <w:spacing w:val="-62"/>
        </w:rPr>
        <w:t> </w:t>
      </w:r>
      <w:r>
        <w:rPr>
          <w:spacing w:val="-62"/>
        </w:rPr>
      </w:r>
      <w:r>
        <w:rPr>
          <w:spacing w:val="-2"/>
        </w:rPr>
        <w:t>业，中国注册会计师、中国注册税务师、会计师。</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月至</w:t>
      </w:r>
      <w:r>
        <w:rPr/>
        <w:t> </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2</w:t>
      </w:r>
      <w:r>
        <w:rPr>
          <w:spacing w:val="-1"/>
        </w:rPr>
        <w:t>月在广东康元会计师事务所有限公司，历任审计员、</w:t>
      </w:r>
      <w:r>
        <w:rPr>
          <w:spacing w:val="-88"/>
        </w:rPr>
        <w:t> </w:t>
      </w:r>
      <w:r>
        <w:rPr>
          <w:spacing w:val="-88"/>
        </w:rPr>
      </w:r>
      <w:r>
        <w:rPr/>
        <w:t>项目经理；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月，就职于广州无线电集团有限公司内审主管一职；</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月在德勤华永会 计师事务所广州分所工作，历任高级审计员、审计经理；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日在广东世运电路科技股份有限公司历</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89" w:lineRule="auto"/>
        <w:ind w:right="5352"/>
        <w:jc w:val="left"/>
      </w:pPr>
      <w:r>
        <w:rPr/>
        <w:t>任财务经理、财务总监；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日至今，任本公司财务总监。 在股东单位任职情况</w:t>
      </w:r>
    </w:p>
    <w:p>
      <w:pPr>
        <w:pStyle w:val="BodyText"/>
        <w:spacing w:line="489" w:lineRule="auto" w:before="8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海博伦（苏州）环境科技股份有限公司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广州酷游娱乐科技股份有限公司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广州泛恩生物科技有限公司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广州中瀚法律咨询服务有限公司</w:t>
            </w:r>
          </w:p>
        </w:tc>
        <w:tc>
          <w:tcPr>
            <w:tcW w:w="1063"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法定代表人、 总经理</w:t>
            </w:r>
          </w:p>
        </w:tc>
        <w:tc>
          <w:tcPr>
            <w:tcW w:w="119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广州中瀚专利商标事务所（普通合伙）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中山大学管理学院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副教授、 </w:t>
            </w:r>
            <w:r>
              <w:rPr>
                <w:rFonts w:ascii="Times New Roman" w:hAnsi="Times New Roman" w:cs="Times New Roman" w:eastAsia="Times New Roman" w:hint="default"/>
                <w:spacing w:val="-3"/>
                <w:sz w:val="18"/>
                <w:szCs w:val="18"/>
              </w:rPr>
              <w:t>MPAcc</w:t>
            </w:r>
            <w:r>
              <w:rPr>
                <w:rFonts w:ascii="宋体" w:hAnsi="宋体" w:cs="宋体" w:eastAsia="宋体" w:hint="default"/>
                <w:spacing w:val="-3"/>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Maud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项目学 术主任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广东广金投资管理有限公司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广东一力集团制药股份有限公司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岭南园林股份有限公司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胜蓝科技股份有限公司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李耀棠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佛山市蓝箭电子股份有限公司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李耀棠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广东风华高新科技股份有限公司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footerReference w:type="default" r:id="rId19"/>
          <w:pgSz w:w="11910" w:h="16840"/>
          <w:pgMar w:footer="979" w:header="747"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公司现任及报告期内离任董事、监事和高级管理人员近三年证券监管机构处罚的情况</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2"/>
        <w:spacing w:line="240" w:lineRule="auto"/>
        <w:ind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right="0"/>
        <w:jc w:val="left"/>
      </w:pPr>
      <w:r>
        <w:rPr/>
        <w:t>董事、监事、高级管理人员报酬的决策程序、确定依据、实际支付情况</w:t>
      </w:r>
    </w:p>
    <w:p>
      <w:pPr>
        <w:spacing w:line="240" w:lineRule="auto" w:before="10"/>
        <w:rPr>
          <w:rFonts w:ascii="宋体" w:hAnsi="宋体" w:cs="宋体" w:eastAsia="宋体" w:hint="default"/>
          <w:sz w:val="20"/>
          <w:szCs w:val="20"/>
        </w:rPr>
      </w:pPr>
    </w:p>
    <w:p>
      <w:pPr>
        <w:pStyle w:val="BodyText"/>
        <w:spacing w:line="472" w:lineRule="auto"/>
        <w:ind w:right="0"/>
        <w:jc w:val="left"/>
      </w:pPr>
      <w:r>
        <w:rPr>
          <w:spacing w:val="-2"/>
        </w:rPr>
        <w:t>公司董事、监事的薪酬政策由</w:t>
      </w:r>
      <w:r>
        <w:rPr>
          <w:rFonts w:ascii="Times New Roman" w:hAnsi="Times New Roman" w:cs="Times New Roman" w:eastAsia="Times New Roman" w:hint="default"/>
          <w:spacing w:val="-2"/>
        </w:rPr>
        <w:t>2015</w:t>
      </w:r>
      <w:r>
        <w:rPr>
          <w:spacing w:val="-2"/>
        </w:rPr>
        <w:t>年年度股东大会审议通过并执行；高级管理人员的薪酬政策由第二届董事会第十六次会议</w:t>
      </w:r>
      <w:r>
        <w:rPr>
          <w:spacing w:val="-60"/>
        </w:rPr>
        <w:t> </w:t>
      </w:r>
      <w:r>
        <w:rPr>
          <w:spacing w:val="-60"/>
        </w:rPr>
      </w:r>
      <w:r>
        <w:rPr/>
        <w:t>审议通过并执行。 </w:t>
      </w:r>
      <w:r>
        <w:rPr>
          <w:spacing w:val="-2"/>
        </w:rPr>
        <w:t>公司独立董事除领取独立董事津贴外，不享有其他福利待遇。其他在公司领取薪酬的董事、监事、高级管理人员的薪酬主要</w:t>
      </w:r>
      <w:r>
        <w:rPr>
          <w:spacing w:val="-66"/>
        </w:rPr>
        <w:t> </w:t>
      </w:r>
      <w:r>
        <w:rPr>
          <w:spacing w:val="-66"/>
        </w:rPr>
      </w:r>
      <w:r>
        <w:rPr>
          <w:spacing w:val="-2"/>
        </w:rPr>
        <w:t>由固定薪酬和年终绩效奖金两部分组成。固定薪酬根据其所任职位的价值、责任、能力、市场薪资行情等因素确定，并考虑</w:t>
      </w:r>
      <w:r>
        <w:rPr>
          <w:spacing w:val="-66"/>
        </w:rPr>
        <w:t> </w:t>
      </w:r>
      <w:r>
        <w:rPr>
          <w:spacing w:val="-66"/>
        </w:rPr>
      </w:r>
      <w:r>
        <w:rPr>
          <w:spacing w:val="-2"/>
        </w:rPr>
        <w:t>其在公司的任职年限及股份分红等其他收入综合平衡确定；年终绩效奖金根据公司年度目标绩效奖金为基础，与公司年度经</w:t>
      </w:r>
      <w:r>
        <w:rPr>
          <w:spacing w:val="-63"/>
        </w:rPr>
        <w:t> </w:t>
      </w:r>
      <w:r>
        <w:rPr>
          <w:spacing w:val="-63"/>
        </w:rPr>
      </w:r>
      <w:r>
        <w:rPr/>
        <w:t>营绩效相挂钩，年终根据当年考核结果统算兑付。 </w:t>
      </w:r>
      <w:r>
        <w:rPr>
          <w:spacing w:val="-2"/>
        </w:rPr>
        <w:t>报告期内，在本公司领取报酬的董事、监事和高级管理人员的年度报酬（包括基本工资、各项奖金、福利、补贴及其他津贴</w:t>
      </w:r>
      <w:r>
        <w:rPr>
          <w:spacing w:val="-68"/>
        </w:rPr>
        <w:t> </w:t>
      </w:r>
      <w:r>
        <w:rPr>
          <w:spacing w:val="-68"/>
        </w:rPr>
      </w:r>
      <w:r>
        <w:rPr/>
        <w:t>等）总额合计为</w:t>
      </w:r>
      <w:r>
        <w:rPr>
          <w:rFonts w:ascii="Times New Roman" w:hAnsi="Times New Roman" w:cs="Times New Roman" w:eastAsia="Times New Roman" w:hint="default"/>
        </w:rPr>
        <w:t>328.94</w:t>
      </w:r>
      <w:r>
        <w:rPr/>
        <w:t>万元。</w:t>
      </w:r>
    </w:p>
    <w:p>
      <w:pPr>
        <w:pStyle w:val="BodyText"/>
        <w:spacing w:line="240" w:lineRule="auto" w:before="66"/>
        <w:ind w:right="0"/>
        <w:jc w:val="left"/>
      </w:pPr>
      <w:r>
        <w:rPr/>
        <w:t>公司报告期内董事、监事和高级管理人员报酬情况</w:t>
      </w:r>
    </w:p>
    <w:p>
      <w:pPr>
        <w:spacing w:line="240" w:lineRule="auto" w:before="11"/>
        <w:rPr>
          <w:rFonts w:ascii="宋体" w:hAnsi="宋体" w:cs="宋体" w:eastAsia="宋体" w:hint="default"/>
          <w:sz w:val="20"/>
          <w:szCs w:val="20"/>
        </w:rPr>
      </w:pPr>
    </w:p>
    <w:p>
      <w:pPr>
        <w:pStyle w:val="BodyText"/>
        <w:spacing w:line="240" w:lineRule="auto"/>
        <w:ind w:left="0" w:right="1130"/>
        <w:jc w:val="right"/>
      </w:pPr>
      <w:r>
        <w:rPr/>
        <w:t>单位：万元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李耀棠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龙勤梅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王汉晖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0"/>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r>
        <w:rPr/>
        <w:pict>
          <v:group style="position:absolute;margin-left:143.720001pt;margin-top:454.419983pt;width:43pt;height:15.6pt;mso-position-horizontal-relative:page;mso-position-vertical-relative:page;z-index:-1209712" coordorigin="2874,9088" coordsize="860,312">
            <v:shape style="position:absolute;left:2874;top:9088;width:860;height:312" coordorigin="2874,9088" coordsize="860,312" path="m2874,9400l3734,9400,3734,9088,2874,9088,2874,9400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秦家银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高传江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郑盛泰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328.94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注：公司于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日进行换届选举，王朝曦先生、秦家银先生、高传江先生、郑盛泰先生和龙罡先生等</w:t>
      </w:r>
      <w:r>
        <w:rPr>
          <w:spacing w:val="-45"/>
        </w:rPr>
        <w:t> </w:t>
      </w:r>
      <w:r>
        <w:rPr>
          <w:rFonts w:ascii="Times New Roman" w:hAnsi="Times New Roman" w:cs="Times New Roman" w:eastAsia="Times New Roman" w:hint="default"/>
        </w:rPr>
        <w:t>5 </w:t>
      </w:r>
      <w:r>
        <w:rPr/>
        <w:t>人因任期</w:t>
      </w:r>
    </w:p>
    <w:p>
      <w:pPr>
        <w:spacing w:line="240" w:lineRule="auto" w:before="9"/>
        <w:rPr>
          <w:rFonts w:ascii="宋体" w:hAnsi="宋体" w:cs="宋体" w:eastAsia="宋体" w:hint="default"/>
          <w:sz w:val="16"/>
          <w:szCs w:val="16"/>
        </w:rPr>
      </w:pPr>
    </w:p>
    <w:p>
      <w:pPr>
        <w:pStyle w:val="BodyText"/>
        <w:spacing w:line="472" w:lineRule="auto"/>
        <w:ind w:right="1123"/>
        <w:jc w:val="left"/>
      </w:pPr>
      <w:r>
        <w:rPr/>
        <w:t>届满离任，王朝曦先生、秦家银先生其独立董事津贴是按季度发放，故</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年不再从公司领取报酬。高传江先生、郑盛泰 </w:t>
      </w:r>
      <w:r>
        <w:rPr>
          <w:spacing w:val="-2"/>
        </w:rPr>
        <w:t>先生和龙罡先生按其实际任职时间领取相应报酬。因郑盛泰先生为西藏常森执行董事，故西藏常森为公司关联方，陈翩女士</w:t>
      </w:r>
      <w:r>
        <w:rPr>
          <w:spacing w:val="-65"/>
        </w:rPr>
        <w:t> </w:t>
      </w:r>
      <w:r>
        <w:rPr>
          <w:spacing w:val="-65"/>
        </w:rPr>
      </w:r>
      <w:r>
        <w:rPr/>
        <w:t>负责对西藏常森的具体事务进行管理，故从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月起从关联方西藏常森领取部分薪酬。 公司董事、高级管理人员报告期内被授予的股权激励情况</w:t>
      </w:r>
    </w:p>
    <w:p>
      <w:pPr>
        <w:pStyle w:val="BodyText"/>
        <w:spacing w:line="240" w:lineRule="auto" w:before="9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19"/>
          <w:szCs w:val="19"/>
        </w:rPr>
      </w:pPr>
    </w:p>
    <w:p>
      <w:pPr>
        <w:pStyle w:val="BodyText"/>
        <w:spacing w:line="240" w:lineRule="auto"/>
        <w:ind w:left="0" w:right="1130"/>
        <w:jc w:val="right"/>
      </w:pPr>
      <w:r>
        <w:rPr/>
        <w:t>单位：股</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69"/>
        <w:gridCol w:w="869"/>
        <w:gridCol w:w="870"/>
        <w:gridCol w:w="870"/>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徐彪</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10.34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5.681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540,087</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10.34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5.681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540,087</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10.34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5.681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540,087</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王汉晖</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10.34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5.681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108,017</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1,728,278</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1,728,278</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上述限制性股票授予日期为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日，限售期为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个月，故截至本报告期末全部为未解锁股份。</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1,267</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77"/>
        <w:gridCol w:w="4792"/>
      </w:tblGrid>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1,267</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1,267</w:t>
            </w:r>
          </w:p>
        </w:tc>
      </w:tr>
    </w:tbl>
    <w:p>
      <w:pPr>
        <w:spacing w:line="240" w:lineRule="auto" w:before="1"/>
        <w:rPr>
          <w:rFonts w:ascii="宋体" w:hAnsi="宋体" w:cs="宋体" w:eastAsia="宋体" w:hint="default"/>
          <w:b/>
          <w:bCs/>
          <w:sz w:val="25"/>
          <w:szCs w:val="25"/>
        </w:rPr>
      </w:pPr>
    </w:p>
    <w:p>
      <w:pPr>
        <w:pStyle w:val="Heading3"/>
        <w:spacing w:line="240" w:lineRule="auto" w:before="35"/>
        <w:ind w:right="0"/>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left="514" w:right="0"/>
        <w:jc w:val="left"/>
      </w:pPr>
      <w:r>
        <w:rPr/>
        <w:t>公司遵循按劳分配、以岗定薪、效率优先、兼顾公平的原则，制定并实施符合公司实际的薪酬分配方案。 </w:t>
      </w:r>
      <w:r>
        <w:rPr>
          <w:spacing w:val="-2"/>
        </w:rPr>
        <w:t>薪酬分配的主要依据是：岗位价值、个人能力素质和业绩贡献。薪酬分配标准参照公司所在地区社会平均工资水平、行</w:t>
      </w:r>
    </w:p>
    <w:p>
      <w:pPr>
        <w:pStyle w:val="BodyText"/>
        <w:spacing w:line="516" w:lineRule="auto" w:before="26"/>
        <w:ind w:right="1843"/>
        <w:jc w:val="left"/>
      </w:pPr>
      <w:r>
        <w:rPr/>
        <w:t>业平均水平、劳动力市场的供求状况、生活费用和物价水平等确定。 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451" w:lineRule="auto" w:before="28"/>
        <w:ind w:right="1130" w:firstLine="325"/>
        <w:jc w:val="both"/>
      </w:pPr>
      <w:r>
        <w:rPr>
          <w:spacing w:val="-1"/>
        </w:rPr>
        <w:t>报告期内职工薪酬总额（计入成本部分）的金额为</w:t>
      </w:r>
      <w:r>
        <w:rPr>
          <w:rFonts w:ascii="Times New Roman" w:hAnsi="Times New Roman" w:cs="Times New Roman" w:eastAsia="Times New Roman" w:hint="default"/>
          <w:spacing w:val="-1"/>
        </w:rPr>
        <w:t>44,409,206.97</w:t>
      </w:r>
      <w:r>
        <w:rPr>
          <w:spacing w:val="-1"/>
        </w:rPr>
        <w:t>元，占公司成本总额的比重为</w:t>
      </w:r>
      <w:r>
        <w:rPr>
          <w:rFonts w:ascii="Times New Roman" w:hAnsi="Times New Roman" w:cs="Times New Roman" w:eastAsia="Times New Roman" w:hint="default"/>
          <w:spacing w:val="-1"/>
        </w:rPr>
        <w:t>10.84%</w:t>
      </w:r>
      <w:r>
        <w:rPr>
          <w:spacing w:val="-1"/>
        </w:rPr>
        <w:t>；报告期内公司利</w:t>
      </w:r>
      <w:r>
        <w:rPr/>
        <w:t> 润与职工薪酬总额同比均有提升，公司利润对职工薪酬总额变化具有一定敏感性。报告期内，核心技术人员</w:t>
      </w:r>
      <w:r>
        <w:rPr>
          <w:rFonts w:ascii="Times New Roman" w:hAnsi="Times New Roman" w:cs="Times New Roman" w:eastAsia="Times New Roman" w:hint="default"/>
        </w:rPr>
        <w:t>201</w:t>
      </w:r>
      <w:r>
        <w:rPr/>
        <w:t>人，较上年 同期增长</w:t>
      </w:r>
      <w:r>
        <w:rPr>
          <w:rFonts w:ascii="Times New Roman" w:hAnsi="Times New Roman" w:cs="Times New Roman" w:eastAsia="Times New Roman" w:hint="default"/>
        </w:rPr>
        <w:t>4.15%</w:t>
      </w:r>
      <w:r>
        <w:rPr/>
        <w:t>，占公司员工总数的</w:t>
      </w:r>
      <w:r>
        <w:rPr>
          <w:rFonts w:ascii="Times New Roman" w:hAnsi="Times New Roman" w:cs="Times New Roman" w:eastAsia="Times New Roman" w:hint="default"/>
        </w:rPr>
        <w:t>15.86%</w:t>
      </w:r>
      <w:r>
        <w:rPr/>
        <w:t>；核心技术人员薪酬为</w:t>
      </w:r>
      <w:r>
        <w:rPr>
          <w:rFonts w:ascii="Times New Roman" w:hAnsi="Times New Roman" w:cs="Times New Roman" w:eastAsia="Times New Roman" w:hint="default"/>
        </w:rPr>
        <w:t>28,039,628.68</w:t>
      </w:r>
      <w:r>
        <w:rPr/>
        <w:t>元，较上年同期增长</w:t>
      </w:r>
      <w:r>
        <w:rPr>
          <w:rFonts w:ascii="Times New Roman" w:hAnsi="Times New Roman" w:cs="Times New Roman" w:eastAsia="Times New Roman" w:hint="default"/>
        </w:rPr>
        <w:t>20.19%</w:t>
      </w:r>
      <w:r>
        <w:rPr/>
        <w:t>，占职工薪酬总 额的</w:t>
      </w:r>
      <w:r>
        <w:rPr>
          <w:rFonts w:ascii="Times New Roman" w:hAnsi="Times New Roman" w:cs="Times New Roman" w:eastAsia="Times New Roman" w:hint="default"/>
        </w:rPr>
        <w:t>18.65%</w:t>
      </w:r>
      <w:r>
        <w:rPr/>
        <w:t>。</w:t>
      </w: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451" w:lineRule="auto"/>
        <w:ind w:right="1088" w:firstLine="342"/>
        <w:jc w:val="both"/>
      </w:pPr>
      <w:r>
        <w:rPr>
          <w:rFonts w:ascii="Times New Roman" w:hAnsi="Times New Roman" w:cs="Times New Roman" w:eastAsia="Times New Roman" w:hint="default"/>
          <w:spacing w:val="-2"/>
        </w:rPr>
        <w:t>2018</w:t>
      </w:r>
      <w:r>
        <w:rPr>
          <w:spacing w:val="-2"/>
        </w:rPr>
        <w:t>年公司从业务发展的实际出发，结合员工能力素质及培训需求情况，除了每月开展新员工培训，还组织开展了管理</w:t>
      </w:r>
      <w:r>
        <w:rPr/>
        <w:t> 类、</w:t>
      </w:r>
      <w:r>
        <w:rPr>
          <w:rFonts w:ascii="Times New Roman" w:hAnsi="Times New Roman" w:cs="Times New Roman" w:eastAsia="Times New Roman" w:hint="default"/>
        </w:rPr>
        <w:t>CT1</w:t>
      </w:r>
      <w:r>
        <w:rPr/>
        <w:t>培训、业务培训、转岗培训、技术类培训、工程售后类培训、研发产品类培训、项目经理培训等近</w:t>
      </w:r>
      <w:r>
        <w:rPr>
          <w:rFonts w:ascii="Times New Roman" w:hAnsi="Times New Roman" w:cs="Times New Roman" w:eastAsia="Times New Roman" w:hint="default"/>
        </w:rPr>
        <w:t>65</w:t>
      </w:r>
      <w:r>
        <w:rPr/>
        <w:t>场专项培训。</w:t>
      </w:r>
    </w:p>
    <w:p>
      <w:pPr>
        <w:spacing w:after="0" w:line="451"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既能使员工的发展促进公司整体目标的实现，又能满足员工个人能力和职业发展的需求，实现公司和个人的双赢。</w:t>
      </w:r>
    </w:p>
    <w:p>
      <w:pPr>
        <w:spacing w:line="240" w:lineRule="auto" w:before="10"/>
        <w:rPr>
          <w:rFonts w:ascii="宋体" w:hAnsi="宋体" w:cs="宋体" w:eastAsia="宋体" w:hint="default"/>
          <w:sz w:val="17"/>
          <w:szCs w:val="17"/>
        </w:rPr>
      </w:pPr>
    </w:p>
    <w:p>
      <w:pPr>
        <w:pStyle w:val="BodyText"/>
        <w:spacing w:line="451" w:lineRule="auto"/>
        <w:ind w:right="0" w:firstLine="360"/>
        <w:jc w:val="left"/>
      </w:pPr>
      <w:r>
        <w:rPr>
          <w:rFonts w:ascii="Times New Roman" w:hAnsi="Times New Roman" w:cs="Times New Roman" w:eastAsia="Times New Roman" w:hint="default"/>
          <w:spacing w:val="-2"/>
        </w:rPr>
        <w:t>2019</w:t>
      </w:r>
      <w:r>
        <w:rPr>
          <w:spacing w:val="-2"/>
        </w:rPr>
        <w:t>年全面搭建讲师团队、课程体系，为员工提供更加全面的知识，辅助员工自我提升及发展；有针对性为管理者提供</w:t>
      </w:r>
      <w:r>
        <w:rPr/>
        <w:t> 相应管理类课程，提升管理人员综合管理能力。</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九节 公司治理" w:id="130"/>
      <w:bookmarkEnd w:id="130"/>
      <w:r>
        <w:rPr>
          <w:b w:val="0"/>
          <w:bCs w:val="0"/>
        </w:rPr>
      </w:r>
      <w:bookmarkStart w:name="_bookmark7"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before="26"/>
        <w:ind w:right="0"/>
        <w:jc w:val="left"/>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0"/>
        <w:rPr>
          <w:rFonts w:ascii="宋体" w:hAnsi="宋体" w:cs="宋体" w:eastAsia="宋体" w:hint="default"/>
          <w:b/>
          <w:bCs/>
          <w:sz w:val="24"/>
          <w:szCs w:val="24"/>
        </w:rPr>
      </w:pPr>
    </w:p>
    <w:p>
      <w:pPr>
        <w:pStyle w:val="BodyText"/>
        <w:spacing w:line="477" w:lineRule="auto" w:before="188"/>
        <w:ind w:right="1130" w:firstLine="290"/>
        <w:jc w:val="both"/>
      </w:pPr>
      <w:r>
        <w:rPr>
          <w:spacing w:val="-1"/>
        </w:rPr>
        <w:t>报告期内，公司严格按照《公司法》《证券法》《上市公司治理准则》《深圳证券交易所创业板股票上市规则》《深圳</w:t>
      </w:r>
      <w:r>
        <w:rPr/>
        <w:t> </w:t>
      </w:r>
      <w:r>
        <w:rPr>
          <w:spacing w:val="-2"/>
        </w:rPr>
        <w:t>证券交易所创业板上市公司规范运作指引》等法律、法规的要求，不断完善法人治理结构，建立健全公司内部控制制度，进</w:t>
      </w:r>
      <w:r>
        <w:rPr>
          <w:spacing w:val="-66"/>
        </w:rPr>
        <w:t> </w:t>
      </w:r>
      <w:r>
        <w:rPr>
          <w:spacing w:val="-66"/>
        </w:rPr>
      </w:r>
      <w:r>
        <w:rPr>
          <w:spacing w:val="-2"/>
        </w:rPr>
        <w:t>一步规范公司运作，形成了权力机构、决策机构、监督机构和管理层之间权责分明、各司其职、相互制衡、科学决策、规范</w:t>
      </w:r>
      <w:r>
        <w:rPr>
          <w:spacing w:val="-72"/>
        </w:rPr>
        <w:t> </w:t>
      </w:r>
      <w:r>
        <w:rPr>
          <w:spacing w:val="-72"/>
        </w:rPr>
      </w:r>
      <w:r>
        <w:rPr>
          <w:spacing w:val="-2"/>
        </w:rPr>
        <w:t>运作的法人治理机构。股东大会、董事会、监事会运作规范，独立董事、董事会各专门委员会各司其职，持续深入开展公司</w:t>
      </w:r>
      <w:r>
        <w:rPr>
          <w:spacing w:val="-68"/>
        </w:rPr>
        <w:t> </w:t>
      </w:r>
      <w:r>
        <w:rPr>
          <w:spacing w:val="-68"/>
        </w:rPr>
      </w:r>
      <w:r>
        <w:rPr/>
        <w:t>治理活动，提高公司治理水平。严格进行信息披露工作，有效维护了公司和投资者的利益。</w:t>
      </w:r>
    </w:p>
    <w:p>
      <w:pPr>
        <w:pStyle w:val="BodyText"/>
        <w:spacing w:line="240" w:lineRule="auto" w:before="54"/>
        <w:ind w:left="444" w:right="0"/>
        <w:jc w:val="left"/>
      </w:pPr>
      <w:r>
        <w:rPr>
          <w:spacing w:val="-2"/>
        </w:rPr>
        <w:t>报告期内，公司制定或修订了《公司章程》，并在实际运行中严格遵守执行，从而保障了公司法人治理结构的高效运作。</w:t>
      </w:r>
    </w:p>
    <w:p>
      <w:pPr>
        <w:spacing w:line="240" w:lineRule="auto" w:before="10"/>
        <w:rPr>
          <w:rFonts w:ascii="宋体" w:hAnsi="宋体" w:cs="宋体" w:eastAsia="宋体" w:hint="default"/>
          <w:sz w:val="17"/>
          <w:szCs w:val="17"/>
        </w:rPr>
      </w:pPr>
    </w:p>
    <w:p>
      <w:pPr>
        <w:pStyle w:val="BodyText"/>
        <w:spacing w:line="477" w:lineRule="auto"/>
        <w:ind w:left="444" w:right="0"/>
        <w:jc w:val="left"/>
      </w:pPr>
      <w:r>
        <w:rPr/>
        <w:t>（一）关于股东与股东大会 </w:t>
      </w:r>
      <w:r>
        <w:rPr>
          <w:spacing w:val="-1"/>
        </w:rPr>
        <w:t>公司严格按照《公司法》《上市公司股东大会规则》《公司章程》《股东大会议事规则》以及深圳证券交易所创业板等</w:t>
      </w:r>
    </w:p>
    <w:p>
      <w:pPr>
        <w:pStyle w:val="BodyText"/>
        <w:spacing w:line="468" w:lineRule="auto" w:before="54"/>
        <w:ind w:right="1032"/>
        <w:jc w:val="left"/>
      </w:pPr>
      <w:r>
        <w:rPr/>
        <w:t>的相关规定和要求，规范股东大会的召集、召开和表决程序，并尽可能为股东参加股东大会创造便利条件，确保所有股东， </w:t>
      </w:r>
      <w:r>
        <w:rPr>
          <w:spacing w:val="-2"/>
        </w:rPr>
        <w:t>特别是中小股东的平等地位，充分行使自己的权利。同时，公司聘请专业律师见证股东大会，确保会议召集、召开以及表决</w:t>
      </w:r>
      <w:r>
        <w:rPr>
          <w:spacing w:val="-66"/>
        </w:rPr>
        <w:t> </w:t>
      </w:r>
      <w:r>
        <w:rPr>
          <w:spacing w:val="-66"/>
        </w:rPr>
      </w:r>
      <w:r>
        <w:rPr>
          <w:spacing w:val="-2"/>
        </w:rPr>
        <w:t>程序符合相关法律规定，维护股东的合法权益。报告期内，公司共召开了</w:t>
      </w:r>
      <w:r>
        <w:rPr>
          <w:rFonts w:ascii="Times New Roman" w:hAnsi="Times New Roman" w:cs="Times New Roman" w:eastAsia="Times New Roman" w:hint="default"/>
          <w:spacing w:val="-2"/>
        </w:rPr>
        <w:t>1</w:t>
      </w:r>
      <w:r>
        <w:rPr>
          <w:spacing w:val="-2"/>
        </w:rPr>
        <w:t>次年度股东大会，</w:t>
      </w:r>
      <w:r>
        <w:rPr>
          <w:rFonts w:ascii="Times New Roman" w:hAnsi="Times New Roman" w:cs="Times New Roman" w:eastAsia="Times New Roman" w:hint="default"/>
          <w:spacing w:val="-2"/>
        </w:rPr>
        <w:t>4</w:t>
      </w:r>
      <w:r>
        <w:rPr>
          <w:spacing w:val="-2"/>
        </w:rPr>
        <w:t>次临时股东大会，会议均由董</w:t>
      </w:r>
      <w:r>
        <w:rPr>
          <w:spacing w:val="-64"/>
        </w:rPr>
        <w:t> </w:t>
      </w:r>
      <w:r>
        <w:rPr>
          <w:spacing w:val="-64"/>
        </w:rPr>
      </w:r>
      <w:r>
        <w:rPr/>
        <w:t>事会召集、召开。</w:t>
      </w:r>
    </w:p>
    <w:p>
      <w:pPr>
        <w:pStyle w:val="BodyText"/>
        <w:spacing w:line="477" w:lineRule="auto" w:before="61"/>
        <w:ind w:left="588" w:right="1138" w:hanging="144"/>
        <w:jc w:val="left"/>
      </w:pPr>
      <w:r>
        <w:rPr/>
        <w:t>（二）关于公司与控股股东 公司控股股东严格按照《上市公司治理准则》《深圳证券交易所创业板股票上市规则》《深圳证券交易所创业板上市</w:t>
      </w:r>
    </w:p>
    <w:p>
      <w:pPr>
        <w:pStyle w:val="BodyText"/>
        <w:spacing w:line="477" w:lineRule="auto" w:before="54"/>
        <w:ind w:right="0"/>
        <w:jc w:val="left"/>
      </w:pPr>
      <w:r>
        <w:rPr>
          <w:spacing w:val="-2"/>
        </w:rPr>
        <w:t>公司规范运作指引》《公司章程》等规定和要求，规范自身行为，并依法行使权利和履行义务，不存在超越股东大会直接或</w:t>
      </w:r>
      <w:r>
        <w:rPr>
          <w:spacing w:val="-67"/>
        </w:rPr>
        <w:t> </w:t>
      </w:r>
      <w:r>
        <w:rPr>
          <w:spacing w:val="-67"/>
        </w:rPr>
      </w:r>
      <w:r>
        <w:rPr>
          <w:spacing w:val="-2"/>
        </w:rPr>
        <w:t>间接干预公司的决策和经营活动的情形，不存在利用其控制地位损害公司和公司其他股东利益的行为，不存在控股股东违规</w:t>
      </w:r>
      <w:r>
        <w:rPr>
          <w:spacing w:val="-63"/>
        </w:rPr>
        <w:t> </w:t>
      </w:r>
      <w:r>
        <w:rPr>
          <w:spacing w:val="-63"/>
        </w:rPr>
      </w:r>
      <w:r>
        <w:rPr>
          <w:spacing w:val="-4"/>
        </w:rPr>
        <w:t>占用公司资金和资产的现象，公司亦不存在为控股股东提供担保的情形。公司拥有独立完整的业务和自主经营能力，在业务、</w:t>
      </w:r>
      <w:r>
        <w:rPr>
          <w:spacing w:val="-44"/>
        </w:rPr>
        <w:t> </w:t>
      </w:r>
      <w:r>
        <w:rPr>
          <w:spacing w:val="-44"/>
        </w:rPr>
      </w:r>
      <w:r>
        <w:rPr/>
        <w:t>资产、人员、机构、财务上独立于控股股东，公司董事会、监事会和内部机构均能够独立运行。</w:t>
      </w:r>
    </w:p>
    <w:p>
      <w:pPr>
        <w:pStyle w:val="BodyText"/>
        <w:spacing w:line="477" w:lineRule="auto" w:before="54"/>
        <w:ind w:left="588" w:right="1048" w:hanging="144"/>
        <w:jc w:val="left"/>
      </w:pPr>
      <w:r>
        <w:rPr/>
        <w:t>（三）关于董事与董事会 公司根据《公司章程》及《董事会议事规则》规定的程序选举董事，组建董事会。公司第三届董事会由</w:t>
      </w:r>
      <w:r>
        <w:rPr>
          <w:rFonts w:ascii="Times New Roman" w:hAnsi="Times New Roman" w:cs="Times New Roman" w:eastAsia="Times New Roman" w:hint="default"/>
        </w:rPr>
        <w:t>5</w:t>
      </w:r>
      <w:r>
        <w:rPr/>
        <w:t>名董事组成，</w:t>
      </w:r>
    </w:p>
    <w:p>
      <w:pPr>
        <w:pStyle w:val="BodyText"/>
        <w:spacing w:line="470" w:lineRule="auto" w:before="21"/>
        <w:ind w:right="1130"/>
        <w:jc w:val="both"/>
      </w:pPr>
      <w:r>
        <w:rPr>
          <w:spacing w:val="-2"/>
        </w:rPr>
        <w:t>其中独立董事</w:t>
      </w:r>
      <w:r>
        <w:rPr>
          <w:rFonts w:ascii="Times New Roman" w:hAnsi="Times New Roman" w:cs="Times New Roman" w:eastAsia="Times New Roman" w:hint="default"/>
          <w:spacing w:val="-2"/>
        </w:rPr>
        <w:t>2</w:t>
      </w:r>
      <w:r>
        <w:rPr>
          <w:spacing w:val="-2"/>
        </w:rPr>
        <w:t>名，外部董事</w:t>
      </w:r>
      <w:r>
        <w:rPr>
          <w:rFonts w:ascii="Times New Roman" w:hAnsi="Times New Roman" w:cs="Times New Roman" w:eastAsia="Times New Roman" w:hint="default"/>
          <w:spacing w:val="-2"/>
        </w:rPr>
        <w:t>1</w:t>
      </w:r>
      <w:r>
        <w:rPr>
          <w:spacing w:val="-2"/>
        </w:rPr>
        <w:t>名，董事会的人数和人员构成符合相关要求。董事会均严格按照《公司章程》及《董事会议事</w:t>
      </w:r>
      <w:r>
        <w:rPr>
          <w:spacing w:val="-67"/>
        </w:rPr>
        <w:t> </w:t>
      </w:r>
      <w:r>
        <w:rPr>
          <w:spacing w:val="-67"/>
        </w:rPr>
      </w:r>
      <w:r>
        <w:rPr>
          <w:spacing w:val="-2"/>
        </w:rPr>
        <w:t>规则》的程序召集、召开。各位董事能够依据《董事会议事规则》《独立董事工作制度》《深圳证券交易所创业板上市公司</w:t>
      </w:r>
      <w:r>
        <w:rPr>
          <w:spacing w:val="-67"/>
        </w:rPr>
        <w:t> </w:t>
      </w:r>
      <w:r>
        <w:rPr>
          <w:spacing w:val="-67"/>
        </w:rPr>
      </w:r>
      <w:r>
        <w:rPr>
          <w:spacing w:val="-2"/>
        </w:rPr>
        <w:t>规范运作指引》等规定开展工作，出席董事会和股东大会，勤勉尽责的履行职责和义务，同时积极参加相关培训，熟悉相关</w:t>
      </w:r>
      <w:r>
        <w:rPr>
          <w:spacing w:val="-66"/>
        </w:rPr>
        <w:t> </w:t>
      </w:r>
      <w:r>
        <w:rPr>
          <w:spacing w:val="-66"/>
        </w:rPr>
      </w:r>
      <w:r>
        <w:rPr>
          <w:spacing w:val="-2"/>
        </w:rPr>
        <w:t>法律法规。公司按照《深圳证券交易所创业板上市公司规范运作指引》的要求，下设有提名委员会、薪酬与考核委员会、战</w:t>
      </w:r>
      <w:r>
        <w:rPr>
          <w:spacing w:val="-68"/>
        </w:rPr>
        <w:t> </w:t>
      </w:r>
      <w:r>
        <w:rPr>
          <w:spacing w:val="-68"/>
        </w:rPr>
      </w:r>
      <w:r>
        <w:rPr/>
        <w:t>略委员会和审计委员会四个专门委员会，各委员会中独立董事占比均超</w:t>
      </w:r>
      <w:r>
        <w:rPr>
          <w:rFonts w:ascii="Times New Roman" w:hAnsi="Times New Roman" w:cs="Times New Roman" w:eastAsia="Times New Roman" w:hint="default"/>
        </w:rPr>
        <w:t>1/2</w:t>
      </w:r>
      <w:r>
        <w:rPr/>
        <w:t>，提高了董事会履职能力和专业化程度，保障了</w:t>
      </w:r>
    </w:p>
    <w:p>
      <w:pPr>
        <w:spacing w:after="0" w:line="47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董事会决策的科学性和规范性。</w:t>
      </w:r>
    </w:p>
    <w:p>
      <w:pPr>
        <w:spacing w:line="240" w:lineRule="auto" w:before="10"/>
        <w:rPr>
          <w:rFonts w:ascii="宋体" w:hAnsi="宋体" w:cs="宋体" w:eastAsia="宋体" w:hint="default"/>
          <w:sz w:val="17"/>
          <w:szCs w:val="17"/>
        </w:rPr>
      </w:pPr>
    </w:p>
    <w:p>
      <w:pPr>
        <w:pStyle w:val="BodyText"/>
        <w:spacing w:line="477" w:lineRule="auto"/>
        <w:ind w:left="588" w:right="1048" w:hanging="144"/>
        <w:jc w:val="left"/>
      </w:pPr>
      <w:r>
        <w:rPr/>
        <w:t>（四）关于监事与监事会 公司根据《公司章程》及《监事会议事规则》规定的程序选举监事，组建监事会。公司第三届监事会由</w:t>
      </w:r>
      <w:r>
        <w:rPr>
          <w:rFonts w:ascii="Times New Roman" w:hAnsi="Times New Roman" w:cs="Times New Roman" w:eastAsia="Times New Roman" w:hint="default"/>
        </w:rPr>
        <w:t>3</w:t>
      </w:r>
      <w:r>
        <w:rPr/>
        <w:t>名监事组成，</w:t>
      </w:r>
    </w:p>
    <w:p>
      <w:pPr>
        <w:pStyle w:val="BodyText"/>
        <w:spacing w:line="468" w:lineRule="auto" w:before="22"/>
        <w:ind w:right="1130"/>
        <w:jc w:val="both"/>
      </w:pPr>
      <w:r>
        <w:rPr/>
        <w:t>其中有</w:t>
      </w:r>
      <w:r>
        <w:rPr>
          <w:rFonts w:ascii="Times New Roman" w:hAnsi="Times New Roman" w:cs="Times New Roman" w:eastAsia="Times New Roman" w:hint="default"/>
        </w:rPr>
        <w:t>1</w:t>
      </w:r>
      <w:r>
        <w:rPr/>
        <w:t>名职工监事，监事会的人数和人员构成符合相关要求。公司监事及监事会严格执行《公司章程》和《监事会议事规 </w:t>
      </w:r>
      <w:r>
        <w:rPr>
          <w:spacing w:val="-2"/>
        </w:rPr>
        <w:t>则》等制度的有关规定，认真履行自己的职责，能够本着对股东负责的精神，出席监事会会议、列席董事会会议、股东大会</w:t>
      </w:r>
      <w:r>
        <w:rPr>
          <w:spacing w:val="-68"/>
        </w:rPr>
        <w:t> </w:t>
      </w:r>
      <w:r>
        <w:rPr>
          <w:spacing w:val="-68"/>
        </w:rPr>
      </w:r>
      <w:r>
        <w:rPr>
          <w:spacing w:val="-2"/>
        </w:rPr>
        <w:t>会议；审核董事会编制的定期报告并提出书面的核查意见，对公司的日常经营、重大事项、财务状况以及公司董事、高级管</w:t>
      </w:r>
      <w:r>
        <w:rPr>
          <w:spacing w:val="-66"/>
        </w:rPr>
        <w:t> </w:t>
      </w:r>
      <w:r>
        <w:rPr>
          <w:spacing w:val="-66"/>
        </w:rPr>
      </w:r>
      <w:r>
        <w:rPr/>
        <w:t>理人员履行职责情况的合法性、合规性进行有效监督，切实维护全体股东的合法权益，保证了公司的规范运作。</w:t>
      </w:r>
    </w:p>
    <w:p>
      <w:pPr>
        <w:pStyle w:val="BodyText"/>
        <w:spacing w:line="477" w:lineRule="auto" w:before="61"/>
        <w:ind w:left="588" w:right="1138" w:hanging="144"/>
        <w:jc w:val="left"/>
      </w:pPr>
      <w:r>
        <w:rPr/>
        <w:t>（五）关于信息披露与透明度 公司严格按照有关法律法规以及《信息披露管理制度》、《投资者关系管理制度》等的要求，真实、准确、及时、公</w:t>
      </w:r>
    </w:p>
    <w:p>
      <w:pPr>
        <w:pStyle w:val="BodyText"/>
        <w:spacing w:line="463" w:lineRule="auto" w:before="54"/>
        <w:ind w:right="0"/>
        <w:jc w:val="left"/>
      </w:pPr>
      <w:r>
        <w:rPr>
          <w:spacing w:val="-2"/>
        </w:rPr>
        <w:t>平、完整地披露有关信息；并指定公司董事会秘书负责信息披露工作，协调公司与投资者的关系，接待投资者来访，回答投</w:t>
      </w:r>
      <w:r>
        <w:rPr>
          <w:spacing w:val="-66"/>
        </w:rPr>
        <w:t> </w:t>
      </w:r>
      <w:r>
        <w:rPr>
          <w:spacing w:val="-66"/>
        </w:rPr>
      </w:r>
      <w:r>
        <w:rPr/>
        <w:t>资者咨询，向投资者提供公司已披露的资料，并指定巨潮资讯（</w:t>
      </w:r>
      <w:hyperlink r:id="rId17">
        <w:r>
          <w:rPr>
            <w:rFonts w:ascii="Times New Roman" w:hAnsi="Times New Roman" w:cs="Times New Roman" w:eastAsia="Times New Roman" w:hint="default"/>
          </w:rPr>
          <w:t>www.cninfo.com.cn</w:t>
        </w:r>
      </w:hyperlink>
      <w:r>
        <w:rPr/>
        <w:t>）为公司信息披露的指定网站，《证券</w:t>
      </w:r>
      <w:r>
        <w:rPr>
          <w:w w:val="99"/>
        </w:rPr>
        <w:t> </w:t>
      </w:r>
      <w:r>
        <w:rPr/>
        <w:t>时报》和《中国证券报》为公司定期报告披露的指定报刊，确保公司所有股东能够以平等的机会获得信息。</w:t>
      </w:r>
    </w:p>
    <w:p>
      <w:pPr>
        <w:pStyle w:val="BodyText"/>
        <w:spacing w:line="477" w:lineRule="auto" w:before="65"/>
        <w:ind w:left="588" w:right="1138" w:hanging="144"/>
        <w:jc w:val="left"/>
      </w:pPr>
      <w:r>
        <w:rPr/>
        <w:t>（六）关于相关利益者 公司充分尊重和维护相关利益者的合法权益，积极与相关利益者合作，加强与各方的沟通和交流，实现社会、股东、</w:t>
      </w:r>
    </w:p>
    <w:p>
      <w:pPr>
        <w:pStyle w:val="BodyText"/>
        <w:spacing w:line="240" w:lineRule="auto" w:before="54"/>
        <w:ind w:right="0"/>
        <w:jc w:val="left"/>
      </w:pPr>
      <w:r>
        <w:rPr/>
        <w:t>公司、员工等各方面利益的协调平衡，共同推动公司持续、稳健发展。</w:t>
      </w:r>
    </w:p>
    <w:p>
      <w:pPr>
        <w:spacing w:line="240" w:lineRule="auto" w:before="10"/>
        <w:rPr>
          <w:rFonts w:ascii="宋体" w:hAnsi="宋体" w:cs="宋体" w:eastAsia="宋体" w:hint="default"/>
          <w:sz w:val="17"/>
          <w:szCs w:val="17"/>
        </w:rPr>
      </w:pPr>
    </w:p>
    <w:p>
      <w:pPr>
        <w:pStyle w:val="BodyText"/>
        <w:spacing w:line="518" w:lineRule="auto"/>
        <w:ind w:left="588" w:right="0" w:hanging="144"/>
        <w:jc w:val="left"/>
      </w:pPr>
      <w:r>
        <w:rPr/>
        <w:t>（七）关于投资者关系管理 公司能够充分尊重和维护相关利益者的合法权益，实现投资者、员工、社会等各方利益的协调平衡，共同推动公司持</w:t>
      </w:r>
    </w:p>
    <w:p>
      <w:pPr>
        <w:pStyle w:val="BodyText"/>
        <w:spacing w:line="477" w:lineRule="auto" w:before="22"/>
        <w:ind w:right="1032"/>
        <w:jc w:val="left"/>
      </w:pPr>
      <w:r>
        <w:rPr/>
        <w:t>续、健康的发展。公司在接待特定对象调研前要求来访的特定对象签署承诺书，安排专人做好投资者来访接待工作。同时， </w:t>
      </w:r>
      <w:r>
        <w:rPr>
          <w:spacing w:val="-2"/>
        </w:rPr>
        <w:t>公司通过定期报告、临时公告、股东大会质询、投资者互动平台、电子邮件、电话、咨询等多种方式与投资者沟通交流，增</w:t>
      </w:r>
      <w:r>
        <w:rPr>
          <w:spacing w:val="-71"/>
        </w:rPr>
        <w:t> </w:t>
      </w:r>
      <w:r>
        <w:rPr>
          <w:spacing w:val="-71"/>
        </w:rPr>
      </w:r>
      <w:r>
        <w:rPr/>
        <w:t>进投资者对公司经营情况、发展前景的了解，维护与投资者的良好关系。</w:t>
      </w:r>
    </w:p>
    <w:p>
      <w:pPr>
        <w:pStyle w:val="BodyText"/>
        <w:spacing w:line="240" w:lineRule="auto" w:before="95"/>
        <w:ind w:right="0"/>
        <w:jc w:val="left"/>
      </w:pPr>
      <w:r>
        <w:rPr/>
        <w:t>公司治理的实际状况与中国证监会发布的有关上市公司治理的规范性文件是否存在重大差异</w:t>
      </w:r>
    </w:p>
    <w:p>
      <w:pPr>
        <w:spacing w:line="240" w:lineRule="auto" w:before="10"/>
        <w:rPr>
          <w:rFonts w:ascii="宋体" w:hAnsi="宋体" w:cs="宋体" w:eastAsia="宋体" w:hint="default"/>
          <w:sz w:val="20"/>
          <w:szCs w:val="20"/>
        </w:rPr>
      </w:pPr>
    </w:p>
    <w:p>
      <w:pPr>
        <w:pStyle w:val="BodyText"/>
        <w:spacing w:line="489" w:lineRule="auto"/>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0"/>
        <w:rPr>
          <w:rFonts w:ascii="宋体" w:hAnsi="宋体" w:cs="宋体" w:eastAsia="宋体" w:hint="default"/>
          <w:b/>
          <w:bCs/>
          <w:sz w:val="24"/>
          <w:szCs w:val="24"/>
        </w:rPr>
      </w:pPr>
    </w:p>
    <w:p>
      <w:pPr>
        <w:pStyle w:val="BodyText"/>
        <w:spacing w:line="468" w:lineRule="auto" w:before="187"/>
        <w:ind w:right="1129"/>
        <w:jc w:val="both"/>
      </w:pPr>
      <w:r>
        <w:rPr>
          <w:spacing w:val="-1"/>
        </w:rPr>
        <w:t>公司与控股股东在业务、人员、资产、机构和财务等方面严格实行</w:t>
      </w:r>
      <w:r>
        <w:rPr>
          <w:rFonts w:ascii="Times New Roman" w:hAnsi="Times New Roman" w:cs="Times New Roman" w:eastAsia="Times New Roman" w:hint="default"/>
          <w:spacing w:val="-1"/>
        </w:rPr>
        <w:t>"</w:t>
      </w:r>
      <w:r>
        <w:rPr>
          <w:spacing w:val="-1"/>
        </w:rPr>
        <w:t>五分开</w:t>
      </w:r>
      <w:r>
        <w:rPr>
          <w:rFonts w:ascii="Times New Roman" w:hAnsi="Times New Roman" w:cs="Times New Roman" w:eastAsia="Times New Roman" w:hint="default"/>
          <w:spacing w:val="-1"/>
        </w:rPr>
        <w:t>"</w:t>
      </w:r>
      <w:r>
        <w:rPr>
          <w:spacing w:val="-1"/>
        </w:rPr>
        <w:t>，各自独立核算，独立承担责任和风险。公司具</w:t>
      </w:r>
      <w:r>
        <w:rPr/>
        <w:t> </w:t>
      </w:r>
      <w:r>
        <w:rPr>
          <w:spacing w:val="-2"/>
        </w:rPr>
        <w:t>有独立完整的业务及自主的经营能力；与控股股东在人员方面完全独立，公司董事长、总经理、副总经理、董事会秘书、财</w:t>
      </w:r>
      <w:r>
        <w:rPr>
          <w:spacing w:val="-67"/>
        </w:rPr>
        <w:t> </w:t>
      </w:r>
      <w:r>
        <w:rPr>
          <w:spacing w:val="-67"/>
        </w:rPr>
      </w:r>
      <w:r>
        <w:rPr>
          <w:spacing w:val="-2"/>
        </w:rPr>
        <w:t>务负责人等高级管理人员均未在股东单位任职，均在公司领取薪酬；公司资产独立完整，与控股股东之间产权关系明确；公</w:t>
      </w:r>
      <w:r>
        <w:rPr>
          <w:spacing w:val="-66"/>
        </w:rPr>
        <w:t> </w:t>
      </w:r>
      <w:r>
        <w:rPr>
          <w:spacing w:val="-66"/>
        </w:rPr>
      </w:r>
      <w:r>
        <w:rPr>
          <w:spacing w:val="-2"/>
        </w:rPr>
        <w:t>司办公机构、生产经营场所与控股股东完全独立，建立了健全的法人治理结构、独立完整的生产经营体系；公司建立了独立</w:t>
      </w:r>
    </w:p>
    <w:p>
      <w:pPr>
        <w:spacing w:after="0" w:line="46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jc w:val="left"/>
      </w:pPr>
      <w:r>
        <w:rPr>
          <w:spacing w:val="-4"/>
        </w:rPr>
        <w:t>的财务部门和财务核算体系，独立在银行开设账户，能够作出独立的财务决策，公司财务人员不在股东单位兼职和领取报酬，</w:t>
      </w:r>
      <w:r>
        <w:rPr>
          <w:spacing w:val="-44"/>
        </w:rPr>
        <w:t> </w:t>
      </w:r>
      <w:r>
        <w:rPr>
          <w:spacing w:val="-44"/>
        </w:rPr>
      </w:r>
      <w:r>
        <w:rPr/>
        <w:t>依法独立进行纳税申报和缴纳。公司相对于控股股东在业务、人员、资产、机构、财务等方面能够保证独立性。</w:t>
      </w:r>
    </w:p>
    <w:p>
      <w:pPr>
        <w:spacing w:line="240" w:lineRule="auto" w:before="5"/>
        <w:rPr>
          <w:rFonts w:ascii="宋体" w:hAnsi="宋体" w:cs="宋体" w:eastAsia="宋体" w:hint="default"/>
          <w:sz w:val="23"/>
          <w:szCs w:val="23"/>
        </w:rPr>
      </w:pPr>
    </w:p>
    <w:p>
      <w:pPr>
        <w:pStyle w:val="Heading2"/>
        <w:spacing w:line="240" w:lineRule="auto"/>
        <w:ind w:right="0"/>
        <w:jc w:val="left"/>
        <w:rPr>
          <w:b w:val="0"/>
          <w:bCs w:val="0"/>
        </w:rPr>
      </w:pPr>
      <w:bookmarkStart w:name="三、同业竞争情况" w:id="134"/>
      <w:bookmarkEnd w:id="134"/>
      <w:r>
        <w:rPr>
          <w:b w:val="0"/>
          <w:bCs w:val="0"/>
        </w:rPr>
      </w:r>
      <w:r>
        <w:rPr/>
        <w:t>三、同业竞争情况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21">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21">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21">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21">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21">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bl>
    <w:p>
      <w:pPr>
        <w:spacing w:line="240" w:lineRule="auto" w:before="1"/>
        <w:rPr>
          <w:rFonts w:ascii="宋体" w:hAnsi="宋体" w:cs="宋体" w:eastAsia="宋体" w:hint="default"/>
          <w:b/>
          <w:bCs/>
          <w:sz w:val="25"/>
          <w:szCs w:val="25"/>
        </w:rPr>
      </w:pPr>
    </w:p>
    <w:p>
      <w:pPr>
        <w:pStyle w:val="Heading3"/>
        <w:spacing w:line="240" w:lineRule="auto" w:before="35"/>
        <w:ind w:right="0"/>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1"/>
        <w:ind w:right="0"/>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秦家银</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李耀棠</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6"/>
        <w:rPr>
          <w:rFonts w:ascii="宋体" w:hAnsi="宋体" w:cs="宋体" w:eastAsia="宋体" w:hint="default"/>
          <w:b/>
          <w:bCs/>
          <w:sz w:val="6"/>
          <w:szCs w:val="6"/>
        </w:rPr>
      </w:pPr>
    </w:p>
    <w:p>
      <w:pPr>
        <w:pStyle w:val="BodyText"/>
        <w:spacing w:line="240" w:lineRule="auto" w:before="44"/>
        <w:ind w:right="0"/>
        <w:jc w:val="left"/>
      </w:pPr>
      <w:r>
        <w:rPr/>
        <w:t>注：王朝曦先生、秦家银先生出席了公司于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日召开的换届选举股东大会。</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独立董事对公司有关事项是否提出异议</w:t>
      </w:r>
    </w:p>
    <w:p>
      <w:pPr>
        <w:spacing w:line="240" w:lineRule="auto" w:before="10"/>
        <w:rPr>
          <w:rFonts w:ascii="宋体" w:hAnsi="宋体" w:cs="宋体" w:eastAsia="宋体" w:hint="default"/>
          <w:sz w:val="20"/>
          <w:szCs w:val="20"/>
        </w:rPr>
      </w:pPr>
    </w:p>
    <w:p>
      <w:pPr>
        <w:pStyle w:val="BodyText"/>
        <w:spacing w:line="489" w:lineRule="auto"/>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独立董事对公司有关建议是否被采纳</w:t>
      </w:r>
    </w:p>
    <w:p>
      <w:pPr>
        <w:spacing w:line="240" w:lineRule="auto" w:before="12"/>
        <w:rPr>
          <w:rFonts w:ascii="宋体" w:hAnsi="宋体" w:cs="宋体" w:eastAsia="宋体" w:hint="default"/>
          <w:sz w:val="20"/>
          <w:szCs w:val="20"/>
        </w:rPr>
      </w:pPr>
    </w:p>
    <w:p>
      <w:pPr>
        <w:pStyle w:val="BodyText"/>
        <w:spacing w:line="489" w:lineRule="auto"/>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463" w:lineRule="auto" w:before="83"/>
        <w:ind w:right="0" w:firstLine="290"/>
        <w:jc w:val="left"/>
      </w:pPr>
      <w:r>
        <w:rPr>
          <w:spacing w:val="-3"/>
        </w:rPr>
        <w:t>公司独立董事在任职期间能够按照《公司法》《上市公司治理准则》《公司章程》及《独立董事工作制度》等有关规定，</w:t>
      </w:r>
      <w:r>
        <w:rPr/>
        <w:t> </w:t>
      </w:r>
      <w:r>
        <w:rPr>
          <w:spacing w:val="-2"/>
        </w:rPr>
        <w:t>恪尽职守、勤勉尽责，在工作中保持独立性，积极出席相关会议，深入了解公司的生产经营状况和重大事项进展情况，为公</w:t>
      </w:r>
      <w:r>
        <w:rPr>
          <w:spacing w:val="-66"/>
        </w:rPr>
        <w:t> </w:t>
      </w:r>
      <w:r>
        <w:rPr>
          <w:spacing w:val="-66"/>
        </w:rPr>
      </w:r>
      <w:r>
        <w:rPr>
          <w:spacing w:val="-2"/>
        </w:rPr>
        <w:t>司的经营发展从各自专业角度提出合理的意见和建议，对聘任公司高级管理人员、股权激励事项、公司为控股子公司向银行</w:t>
      </w:r>
      <w:r>
        <w:rPr>
          <w:spacing w:val="-66"/>
        </w:rPr>
        <w:t> </w:t>
      </w:r>
      <w:r>
        <w:rPr>
          <w:spacing w:val="-66"/>
        </w:rPr>
      </w:r>
      <w:r>
        <w:rPr>
          <w:spacing w:val="-2"/>
        </w:rPr>
        <w:t>申请授信提供担保事项、公司核销资产事项、公司全资子公司参与认购基金份额暨对外投资事项、公司及子公司使用部分闲</w:t>
      </w:r>
      <w:r>
        <w:rPr>
          <w:spacing w:val="-66"/>
        </w:rPr>
        <w:t> </w:t>
      </w:r>
      <w:r>
        <w:rPr>
          <w:spacing w:val="-66"/>
        </w:rPr>
      </w:r>
      <w:r>
        <w:rPr>
          <w:spacing w:val="-2"/>
        </w:rPr>
        <w:t>置自有资金进行委托理财事项、公司拟续聘</w:t>
      </w:r>
      <w:r>
        <w:rPr>
          <w:rFonts w:ascii="Times New Roman" w:hAnsi="Times New Roman" w:cs="Times New Roman" w:eastAsia="Times New Roman" w:hint="default"/>
          <w:spacing w:val="-2"/>
        </w:rPr>
        <w:t>2018</w:t>
      </w:r>
      <w:r>
        <w:rPr>
          <w:spacing w:val="-2"/>
        </w:rPr>
        <w:t>年度审计机构的事项、控股子公司向其关联企业借款的事项、公司</w:t>
      </w:r>
      <w:r>
        <w:rPr>
          <w:rFonts w:ascii="Times New Roman" w:hAnsi="Times New Roman" w:cs="Times New Roman" w:eastAsia="Times New Roman" w:hint="default"/>
          <w:spacing w:val="-2"/>
        </w:rPr>
        <w:t>2017</w:t>
      </w:r>
      <w:r>
        <w:rPr>
          <w:spacing w:val="-2"/>
        </w:rPr>
        <w:t>年度</w:t>
      </w:r>
      <w:r>
        <w:rPr>
          <w:spacing w:val="-58"/>
        </w:rPr>
        <w:t> </w:t>
      </w:r>
      <w:r>
        <w:rPr>
          <w:spacing w:val="-3"/>
        </w:rPr>
        <w:t>控股股东及其他关联方资金占用以及对外担保的事项、公司</w:t>
      </w:r>
      <w:r>
        <w:rPr>
          <w:spacing w:val="-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5"/>
        </w:rPr>
        <w:t> </w:t>
      </w:r>
      <w:r>
        <w:rPr>
          <w:spacing w:val="-6"/>
        </w:rPr>
        <w:t>年度关联交易事项、公司</w:t>
      </w:r>
      <w:r>
        <w:rPr>
          <w:rFonts w:ascii="Times New Roman" w:hAnsi="Times New Roman" w:cs="Times New Roman" w:eastAsia="Times New Roman" w:hint="default"/>
          <w:spacing w:val="-6"/>
        </w:rPr>
        <w:t>2017</w:t>
      </w:r>
      <w:r>
        <w:rPr>
          <w:spacing w:val="-6"/>
        </w:rPr>
        <w:t>年度利润分配预案、公司</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34"/>
        </w:rPr>
        <w:t> </w:t>
      </w:r>
      <w:r>
        <w:rPr>
          <w:spacing w:val="-2"/>
        </w:rPr>
        <w:t>年度内部控制自我评价报告、公司</w:t>
      </w:r>
      <w:r>
        <w:rPr>
          <w:rFonts w:ascii="Times New Roman" w:hAnsi="Times New Roman" w:cs="Times New Roman" w:eastAsia="Times New Roman" w:hint="default"/>
          <w:spacing w:val="-2"/>
        </w:rPr>
        <w:t>2017</w:t>
      </w:r>
      <w:r>
        <w:rPr>
          <w:spacing w:val="-2"/>
        </w:rPr>
        <w:t>年度募集资金存放与实际使用情况专项报告、</w:t>
      </w:r>
      <w:r>
        <w:rPr>
          <w:rFonts w:ascii="Times New Roman" w:hAnsi="Times New Roman" w:cs="Times New Roman" w:eastAsia="Times New Roman" w:hint="default"/>
          <w:spacing w:val="-2"/>
        </w:rPr>
        <w:t>2017</w:t>
      </w:r>
      <w:r>
        <w:rPr>
          <w:spacing w:val="-2"/>
        </w:rPr>
        <w:t>年内部董事和高级管理人员薪酬事</w:t>
      </w:r>
      <w:r>
        <w:rPr>
          <w:spacing w:val="-56"/>
        </w:rPr>
        <w:t> </w:t>
      </w:r>
      <w:r>
        <w:rPr>
          <w:spacing w:val="-2"/>
        </w:rPr>
        <w:t>项、制定</w:t>
      </w:r>
      <w:r>
        <w:rPr>
          <w:rFonts w:ascii="Times New Roman" w:hAnsi="Times New Roman" w:cs="Times New Roman" w:eastAsia="Times New Roman" w:hint="default"/>
          <w:spacing w:val="-2"/>
        </w:rPr>
        <w:t>2018</w:t>
      </w:r>
      <w:r>
        <w:rPr>
          <w:spacing w:val="-2"/>
        </w:rPr>
        <w:t>年内部董事和高级管理人员薪酬方案、修订《董事、监事及高级管理人员薪酬管理制度》事项、会计政策变更</w:t>
      </w:r>
      <w:r>
        <w:rPr>
          <w:spacing w:val="-65"/>
        </w:rPr>
        <w:t> </w:t>
      </w:r>
      <w:r>
        <w:rPr>
          <w:spacing w:val="-65"/>
        </w:rPr>
      </w:r>
      <w:r>
        <w:rPr>
          <w:spacing w:val="-4"/>
        </w:rPr>
        <w:t>事项、续聘公司</w:t>
      </w:r>
      <w:r>
        <w:rPr>
          <w:rFonts w:ascii="Times New Roman" w:hAnsi="Times New Roman" w:cs="Times New Roman" w:eastAsia="Times New Roman" w:hint="default"/>
          <w:spacing w:val="-4"/>
        </w:rPr>
        <w:t>2018</w:t>
      </w:r>
      <w:r>
        <w:rPr>
          <w:spacing w:val="-4"/>
        </w:rPr>
        <w:t>年度审计机构等相关事项发表独立意见，对董事会的科学决策、程序合规及公司的发展起了积极的作用，</w:t>
      </w:r>
      <w:r>
        <w:rPr>
          <w:spacing w:val="-36"/>
        </w:rPr>
        <w:t> </w:t>
      </w:r>
      <w:r>
        <w:rPr>
          <w:spacing w:val="-36"/>
        </w:rPr>
      </w:r>
      <w:r>
        <w:rPr/>
        <w:t>切实地维护了公司及广大公众投资者的利益。</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0"/>
        <w:rPr>
          <w:rFonts w:ascii="宋体" w:hAnsi="宋体" w:cs="宋体" w:eastAsia="宋体" w:hint="default"/>
          <w:b/>
          <w:bCs/>
          <w:sz w:val="24"/>
          <w:szCs w:val="24"/>
        </w:rPr>
      </w:pPr>
    </w:p>
    <w:p>
      <w:pPr>
        <w:pStyle w:val="BodyText"/>
        <w:spacing w:line="451" w:lineRule="auto" w:before="188"/>
        <w:ind w:left="444" w:right="1192"/>
        <w:jc w:val="left"/>
      </w:pPr>
      <w:r>
        <w:rPr/>
        <w:t>报告期内，第三届董事会下设审计委员会、提名委员会、薪酬与考核委员会和战略委员会</w:t>
      </w:r>
      <w:r>
        <w:rPr>
          <w:rFonts w:ascii="Times New Roman" w:hAnsi="Times New Roman" w:cs="Times New Roman" w:eastAsia="Times New Roman" w:hint="default"/>
        </w:rPr>
        <w:t>4</w:t>
      </w:r>
      <w:r>
        <w:rPr/>
        <w:t>个专门委员会。 </w:t>
      </w:r>
      <w:r>
        <w:rPr>
          <w:rFonts w:ascii="Times New Roman" w:hAnsi="Times New Roman" w:cs="Times New Roman" w:eastAsia="Times New Roman" w:hint="default"/>
        </w:rPr>
        <w:t>1</w:t>
      </w:r>
      <w:r>
        <w:rPr/>
        <w:t>、审计委员会 报告期内，公司董事会审计委员会本着勤勉尽责的原则，认真履行职责，共召开</w:t>
      </w:r>
      <w:r>
        <w:rPr>
          <w:rFonts w:ascii="Times New Roman" w:hAnsi="Times New Roman" w:cs="Times New Roman" w:eastAsia="Times New Roman" w:hint="default"/>
        </w:rPr>
        <w:t>9</w:t>
      </w:r>
      <w:r>
        <w:rPr/>
        <w:t>次会议，对为控股子公司向银行申请</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jc w:val="left"/>
      </w:pPr>
      <w:r>
        <w:rPr>
          <w:spacing w:val="-2"/>
        </w:rPr>
        <w:t>授信提供担保、全资子公司参与认购基金份额暨对外投资、控股子公司向其关联企业借款、签署投资并购补充协议、核销资</w:t>
      </w:r>
      <w:r>
        <w:rPr>
          <w:spacing w:val="-66"/>
        </w:rPr>
        <w:t> </w:t>
      </w:r>
      <w:r>
        <w:rPr>
          <w:spacing w:val="-66"/>
        </w:rPr>
      </w:r>
      <w:r>
        <w:rPr/>
        <w:t>产、会计政策变更、定期报告、委托理财事项、审计报告及募集资金存放与使用报告等方面进行了重点关注。</w:t>
      </w:r>
    </w:p>
    <w:p>
      <w:pPr>
        <w:pStyle w:val="BodyText"/>
        <w:spacing w:line="451" w:lineRule="auto" w:before="54"/>
        <w:ind w:left="551" w:right="1130" w:hanging="38"/>
        <w:jc w:val="left"/>
      </w:pPr>
      <w:r>
        <w:rPr>
          <w:rFonts w:ascii="Times New Roman" w:hAnsi="Times New Roman" w:cs="Times New Roman" w:eastAsia="Times New Roman" w:hint="default"/>
        </w:rPr>
        <w:t>2</w:t>
      </w:r>
      <w:r>
        <w:rPr/>
        <w:t>、提名委员会 报告期内，公司董事会提名委员会根据公司《董事会提名委员会工作细则》等相关规定</w:t>
      </w:r>
      <w:r>
        <w:rPr>
          <w:rFonts w:ascii="Times New Roman" w:hAnsi="Times New Roman" w:cs="Times New Roman" w:eastAsia="Times New Roman" w:hint="default"/>
        </w:rPr>
        <w:t>,</w:t>
      </w:r>
      <w:r>
        <w:rPr/>
        <w:t>各委员坚持以公司经营发展及</w:t>
      </w:r>
    </w:p>
    <w:p>
      <w:pPr>
        <w:pStyle w:val="BodyText"/>
        <w:spacing w:line="240" w:lineRule="auto" w:before="43"/>
        <w:ind w:right="0"/>
        <w:jc w:val="both"/>
      </w:pPr>
      <w:r>
        <w:rPr/>
        <w:t>治理需要为依据，为优化公司治理结构积极建言献策。</w:t>
      </w:r>
    </w:p>
    <w:p>
      <w:pPr>
        <w:spacing w:line="240" w:lineRule="auto" w:before="10"/>
        <w:rPr>
          <w:rFonts w:ascii="宋体" w:hAnsi="宋体" w:cs="宋体" w:eastAsia="宋体" w:hint="default"/>
          <w:sz w:val="17"/>
          <w:szCs w:val="17"/>
        </w:rPr>
      </w:pPr>
    </w:p>
    <w:p>
      <w:pPr>
        <w:pStyle w:val="BodyText"/>
        <w:spacing w:line="451" w:lineRule="auto"/>
        <w:ind w:left="516" w:right="1200"/>
        <w:jc w:val="left"/>
      </w:pPr>
      <w:r>
        <w:rPr>
          <w:rFonts w:ascii="Times New Roman" w:hAnsi="Times New Roman" w:cs="Times New Roman" w:eastAsia="Times New Roman" w:hint="default"/>
        </w:rPr>
        <w:t>3</w:t>
      </w:r>
      <w:r>
        <w:rPr/>
        <w:t>、薪酬与考核委员会 报告期内，公司薪酬与考核委员会共召开</w:t>
      </w:r>
      <w:r>
        <w:rPr>
          <w:rFonts w:ascii="Times New Roman" w:hAnsi="Times New Roman" w:cs="Times New Roman" w:eastAsia="Times New Roman" w:hint="default"/>
        </w:rPr>
        <w:t>4</w:t>
      </w:r>
      <w:r>
        <w:rPr/>
        <w:t>次会议，对公司董事</w:t>
      </w:r>
      <w:r>
        <w:rPr>
          <w:rFonts w:ascii="Times New Roman" w:hAnsi="Times New Roman" w:cs="Times New Roman" w:eastAsia="Times New Roman" w:hint="default"/>
        </w:rPr>
        <w:t>/</w:t>
      </w:r>
      <w:r>
        <w:rPr/>
        <w:t>高级管理人员</w:t>
      </w:r>
      <w:r>
        <w:rPr>
          <w:rFonts w:ascii="Times New Roman" w:hAnsi="Times New Roman" w:cs="Times New Roman" w:eastAsia="Times New Roman" w:hint="default"/>
        </w:rPr>
        <w:t>/</w:t>
      </w:r>
      <w:r>
        <w:rPr/>
        <w:t>监事薪酬方案、</w:t>
      </w:r>
      <w:r>
        <w:rPr>
          <w:rFonts w:ascii="Times New Roman" w:hAnsi="Times New Roman" w:cs="Times New Roman" w:eastAsia="Times New Roman" w:hint="default"/>
        </w:rPr>
        <w:t>2018</w:t>
      </w:r>
      <w:r>
        <w:rPr/>
        <w:t>年股票期权与限制</w:t>
      </w:r>
    </w:p>
    <w:p>
      <w:pPr>
        <w:pStyle w:val="BodyText"/>
        <w:spacing w:line="477" w:lineRule="auto" w:before="43"/>
        <w:ind w:right="1131"/>
        <w:jc w:val="both"/>
      </w:pPr>
      <w:r>
        <w:rPr>
          <w:spacing w:val="-2"/>
        </w:rPr>
        <w:t>性股票激励计划、第二期激励计划首次授予的限制性股票第二个解锁期可解锁、第二期激励计划预留部分的限制性股票第一</w:t>
      </w:r>
      <w:r>
        <w:rPr>
          <w:spacing w:val="-64"/>
        </w:rPr>
        <w:t> </w:t>
      </w:r>
      <w:r>
        <w:rPr>
          <w:spacing w:val="-64"/>
        </w:rPr>
      </w:r>
      <w:r>
        <w:rPr>
          <w:spacing w:val="-2"/>
        </w:rPr>
        <w:t>个解锁期可解锁、首期激励计划首次授予的限制性股票第三个解锁期可解锁及首期激励计划预留部分的限制性股票第二个解</w:t>
      </w:r>
      <w:r>
        <w:rPr>
          <w:spacing w:val="-64"/>
        </w:rPr>
        <w:t> </w:t>
      </w:r>
      <w:r>
        <w:rPr>
          <w:spacing w:val="-64"/>
        </w:rPr>
      </w:r>
      <w:r>
        <w:rPr/>
        <w:t>锁期可解锁等事项进行认真审核，为公司董事会作出正确决策起到了积极作用。</w:t>
      </w:r>
    </w:p>
    <w:p>
      <w:pPr>
        <w:pStyle w:val="BodyText"/>
        <w:spacing w:line="489" w:lineRule="auto" w:before="54"/>
        <w:ind w:left="516" w:right="1120"/>
        <w:jc w:val="left"/>
      </w:pPr>
      <w:r>
        <w:rPr>
          <w:rFonts w:ascii="Times New Roman" w:hAnsi="Times New Roman" w:cs="Times New Roman" w:eastAsia="Times New Roman" w:hint="default"/>
        </w:rPr>
        <w:t>4</w:t>
      </w:r>
      <w:r>
        <w:rPr/>
        <w:t>、战略委员会 根据公司《董事会战略委员会工作细则》等相关规定，报告期内，公司董事会战略委员会共召开了</w:t>
      </w:r>
      <w:r>
        <w:rPr>
          <w:rFonts w:ascii="Times New Roman" w:hAnsi="Times New Roman" w:cs="Times New Roman" w:eastAsia="Times New Roman" w:hint="default"/>
        </w:rPr>
        <w:t>1</w:t>
      </w:r>
      <w:r>
        <w:rPr/>
        <w:t>次会议，对公司签</w:t>
      </w:r>
    </w:p>
    <w:p>
      <w:pPr>
        <w:pStyle w:val="BodyText"/>
        <w:spacing w:line="477" w:lineRule="auto" w:before="10"/>
        <w:ind w:right="1032"/>
        <w:jc w:val="left"/>
      </w:pPr>
      <w:r>
        <w:rPr/>
        <w:t>署投资并购协议以及签署投资并购补充协议等事项进行充分研究，积极研究符合公司发展方向的战略布局，为公司的健康、 快速发展出谋划策。</w:t>
      </w:r>
    </w:p>
    <w:p>
      <w:pPr>
        <w:spacing w:line="240" w:lineRule="auto" w:before="5"/>
        <w:rPr>
          <w:rFonts w:ascii="宋体" w:hAnsi="宋体" w:cs="宋体" w:eastAsia="宋体" w:hint="default"/>
          <w:sz w:val="23"/>
          <w:szCs w:val="23"/>
        </w:rPr>
      </w:pPr>
    </w:p>
    <w:p>
      <w:pPr>
        <w:pStyle w:val="Heading2"/>
        <w:spacing w:line="240" w:lineRule="auto"/>
        <w:ind w:right="0"/>
        <w:jc w:val="both"/>
        <w:rPr>
          <w:b w:val="0"/>
          <w:bCs w:val="0"/>
        </w:rPr>
      </w:pPr>
      <w:bookmarkStart w:name="七、监事会工作情况" w:id="143"/>
      <w:bookmarkEnd w:id="143"/>
      <w:r>
        <w:rPr>
          <w:b w:val="0"/>
          <w:bCs w:val="0"/>
        </w:rPr>
      </w:r>
      <w:r>
        <w:rPr/>
        <w:t>七、监事会工作情况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right="0"/>
        <w:jc w:val="both"/>
      </w:pPr>
      <w:r>
        <w:rPr/>
        <w:t>监事会在报告期内的监督活动中发现公司是否存在风险</w:t>
      </w:r>
    </w:p>
    <w:p>
      <w:pPr>
        <w:spacing w:line="240" w:lineRule="auto" w:before="12"/>
        <w:rPr>
          <w:rFonts w:ascii="宋体" w:hAnsi="宋体" w:cs="宋体" w:eastAsia="宋体" w:hint="default"/>
          <w:sz w:val="20"/>
          <w:szCs w:val="20"/>
        </w:rPr>
      </w:pPr>
    </w:p>
    <w:p>
      <w:pPr>
        <w:pStyle w:val="BodyText"/>
        <w:spacing w:line="489" w:lineRule="auto"/>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8"/>
        <w:rPr>
          <w:rFonts w:ascii="宋体" w:hAnsi="宋体" w:cs="宋体" w:eastAsia="宋体" w:hint="default"/>
          <w:sz w:val="22"/>
          <w:szCs w:val="22"/>
        </w:rPr>
      </w:pPr>
    </w:p>
    <w:p>
      <w:pPr>
        <w:pStyle w:val="Heading2"/>
        <w:spacing w:line="240" w:lineRule="auto"/>
        <w:ind w:right="0"/>
        <w:jc w:val="both"/>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0"/>
        <w:rPr>
          <w:rFonts w:ascii="宋体" w:hAnsi="宋体" w:cs="宋体" w:eastAsia="宋体" w:hint="default"/>
          <w:b/>
          <w:bCs/>
          <w:sz w:val="24"/>
          <w:szCs w:val="24"/>
        </w:rPr>
      </w:pPr>
    </w:p>
    <w:p>
      <w:pPr>
        <w:pStyle w:val="BodyText"/>
        <w:spacing w:line="465" w:lineRule="auto" w:before="188"/>
        <w:ind w:right="1129" w:firstLine="290"/>
        <w:jc w:val="both"/>
      </w:pPr>
      <w:r>
        <w:rPr>
          <w:spacing w:val="-1"/>
        </w:rPr>
        <w:t>公司高管人员的薪酬与考核以公司经济效益及工作目标为出发点，根据公司年度经营计划和高级管理人员分管工作的职</w:t>
      </w:r>
      <w:r>
        <w:rPr/>
        <w:t> </w:t>
      </w:r>
      <w:r>
        <w:rPr>
          <w:spacing w:val="-2"/>
        </w:rPr>
        <w:t>责，建立了高级管理人员的薪酬与公司业绩挂钩的绩效考核与激励约束机制，公司高级管理人员实行固定薪酬和年终绩效考</w:t>
      </w:r>
      <w:r>
        <w:rPr>
          <w:spacing w:val="-63"/>
        </w:rPr>
        <w:t> </w:t>
      </w:r>
      <w:r>
        <w:rPr>
          <w:spacing w:val="-63"/>
        </w:rPr>
      </w:r>
      <w:r>
        <w:rPr>
          <w:spacing w:val="-2"/>
        </w:rPr>
        <w:t>核相结合的薪酬制度。每年年终由董事会薪酬与考核委员会进行综合考核，最终以考核结果确定高级管理人员的年度薪酬水</w:t>
      </w:r>
      <w:r>
        <w:rPr>
          <w:spacing w:val="-64"/>
        </w:rPr>
        <w:t> </w:t>
      </w:r>
      <w:r>
        <w:rPr>
          <w:spacing w:val="-64"/>
        </w:rPr>
      </w:r>
      <w:r>
        <w:rPr>
          <w:spacing w:val="-2"/>
        </w:rPr>
        <w:t>平。为奖励高级管理人员在过去经营活动中的付出，同时持续调动高级管理人员的积极性，公司在报告期内实施了</w:t>
      </w:r>
      <w:r>
        <w:rPr>
          <w:rFonts w:ascii="Times New Roman" w:hAnsi="Times New Roman" w:cs="Times New Roman" w:eastAsia="Times New Roman" w:hint="default"/>
          <w:spacing w:val="-2"/>
        </w:rPr>
        <w:t>2018</w:t>
      </w:r>
      <w:r>
        <w:rPr>
          <w:spacing w:val="-2"/>
        </w:rPr>
        <w:t>年股</w:t>
      </w:r>
      <w:r>
        <w:rPr>
          <w:spacing w:val="-61"/>
        </w:rPr>
        <w:t> </w:t>
      </w:r>
      <w:r>
        <w:rPr/>
        <w:t>票期权与限制性股票激励计划首次授予部分，其中限制性股票首次授予涉及的激励对象共计</w:t>
      </w:r>
      <w:r>
        <w:rPr>
          <w:rFonts w:ascii="Times New Roman" w:hAnsi="Times New Roman" w:cs="Times New Roman" w:eastAsia="Times New Roman" w:hint="default"/>
        </w:rPr>
        <w:t>188</w:t>
      </w:r>
      <w:r>
        <w:rPr/>
        <w:t>人，激励对象包括公司实施 </w:t>
      </w:r>
      <w:r>
        <w:rPr>
          <w:spacing w:val="-2"/>
        </w:rPr>
        <w:t>本计划时与公司或公司的子公司具有劳动、劳务或雇佣关系的高级管理人员、中层管理人员、核心技术（业务）人员，其中</w:t>
      </w:r>
      <w:r>
        <w:rPr>
          <w:spacing w:val="-66"/>
        </w:rPr>
        <w:t> </w:t>
      </w:r>
      <w:r>
        <w:rPr>
          <w:spacing w:val="-66"/>
        </w:rPr>
      </w:r>
      <w:r>
        <w:rPr>
          <w:rFonts w:ascii="Times New Roman" w:hAnsi="Times New Roman" w:cs="Times New Roman" w:eastAsia="Times New Roman" w:hint="default"/>
        </w:rPr>
        <w:t>4</w:t>
      </w:r>
      <w:r>
        <w:rPr/>
        <w:t>名高级管理人员共计获授</w:t>
      </w:r>
      <w:r>
        <w:rPr>
          <w:rFonts w:ascii="Times New Roman" w:hAnsi="Times New Roman" w:cs="Times New Roman" w:eastAsia="Times New Roman" w:hint="default"/>
        </w:rPr>
        <w:t>172.8278</w:t>
      </w:r>
      <w:r>
        <w:rPr/>
        <w:t>万股限制性股票，占本次限制性股票激励计划首次授予部分的限制性股票的的</w:t>
      </w:r>
      <w:r>
        <w:rPr>
          <w:rFonts w:ascii="Times New Roman" w:hAnsi="Times New Roman" w:cs="Times New Roman" w:eastAsia="Times New Roman" w:hint="default"/>
        </w:rPr>
        <w:t>11.07%</w:t>
      </w:r>
      <w:r>
        <w:rPr/>
        <w:t>。 公司未来还将通过多层次的综合激励体制，有效调动管理人员的积极性，吸引和稳定优秀管理人才。</w:t>
      </w:r>
    </w:p>
    <w:p>
      <w:pPr>
        <w:spacing w:after="0" w:line="465"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67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before="92"/>
              <w:ind w:left="22" w:right="0"/>
              <w:jc w:val="both"/>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302" w:lineRule="auto" w:before="115"/>
              <w:ind w:left="22" w:right="2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）公司董事、监事或高级管理人员滥用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职权或舞弊，给公司造成损失的；</w:t>
            </w:r>
          </w:p>
          <w:p>
            <w:pPr>
              <w:pStyle w:val="TableParagraph"/>
              <w:spacing w:line="302" w:lineRule="auto" w:before="69"/>
              <w:ind w:left="22" w:right="2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）对已经披露的财务报告出现的重大差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错进行更正；</w:t>
            </w:r>
          </w:p>
          <w:p>
            <w:pPr>
              <w:pStyle w:val="TableParagraph"/>
              <w:spacing w:line="309" w:lineRule="auto" w:before="68"/>
              <w:ind w:left="22" w:right="2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）注册会计师发现当期财务报告存在重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大错报，而内部控制在运行过程中未能发 现该错报；</w:t>
            </w:r>
          </w:p>
          <w:p>
            <w:pPr>
              <w:pStyle w:val="TableParagraph"/>
              <w:spacing w:line="302" w:lineRule="auto" w:before="62"/>
              <w:ind w:left="22" w:right="2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）审计委员会以及内部审计部门对财务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报告内部控制监督无效；</w:t>
            </w:r>
          </w:p>
          <w:p>
            <w:pPr>
              <w:pStyle w:val="TableParagraph"/>
              <w:spacing w:line="302" w:lineRule="auto" w:before="69"/>
              <w:ind w:left="22" w:right="2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）会计师事务所对财务报告出具无法表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示意见或否定意见；</w:t>
            </w:r>
          </w:p>
          <w:p>
            <w:pPr>
              <w:pStyle w:val="TableParagraph"/>
              <w:spacing w:line="302" w:lineRule="auto" w:before="68"/>
              <w:ind w:left="22" w:right="2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）会计师事务所出具内部控制无法表示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意见的鉴证报告。</w:t>
            </w:r>
          </w:p>
          <w:p>
            <w:pPr>
              <w:pStyle w:val="TableParagraph"/>
              <w:spacing w:line="240" w:lineRule="auto" w:before="69"/>
              <w:ind w:left="22" w:right="0"/>
              <w:jc w:val="both"/>
              <w:rPr>
                <w:rFonts w:ascii="宋体" w:hAnsi="宋体" w:cs="宋体" w:eastAsia="宋体" w:hint="default"/>
                <w:sz w:val="18"/>
                <w:szCs w:val="18"/>
              </w:rPr>
            </w:pPr>
            <w:r>
              <w:rPr>
                <w:rFonts w:ascii="宋体" w:hAnsi="宋体" w:cs="宋体" w:eastAsia="宋体" w:hint="default"/>
                <w:sz w:val="18"/>
                <w:szCs w:val="18"/>
              </w:rPr>
              <w:t>重要缺陷：</w:t>
            </w:r>
          </w:p>
          <w:p>
            <w:pPr>
              <w:pStyle w:val="TableParagraph"/>
              <w:spacing w:line="302" w:lineRule="auto" w:before="116"/>
              <w:ind w:left="22" w:right="2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）公司董事、监事或高级管理人员滥用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职权或舞弊，未给公司造成损失的；</w:t>
            </w:r>
          </w:p>
          <w:p>
            <w:pPr>
              <w:pStyle w:val="TableParagraph"/>
              <w:spacing w:line="309" w:lineRule="auto" w:before="68"/>
              <w:ind w:left="22" w:right="5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）会计政策的制定未结合公司实际情 况，直接照搬上市公司相关准则，实际操 作存在较大的人为因素；</w:t>
            </w:r>
          </w:p>
          <w:p>
            <w:pPr>
              <w:pStyle w:val="TableParagraph"/>
              <w:spacing w:line="300" w:lineRule="auto" w:before="62"/>
              <w:ind w:left="22" w:right="-3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）未经授权进行担保、投资有价证券、 金融衍生品交易和处置产权</w:t>
            </w:r>
            <w:r>
              <w:rPr>
                <w:rFonts w:ascii="Times New Roman" w:hAnsi="Times New Roman" w:cs="Times New Roman" w:eastAsia="Times New Roman" w:hint="default"/>
                <w:sz w:val="18"/>
                <w:szCs w:val="18"/>
              </w:rPr>
              <w:t>/</w:t>
            </w:r>
            <w:r>
              <w:rPr>
                <w:rFonts w:ascii="宋体" w:hAnsi="宋体" w:cs="宋体" w:eastAsia="宋体" w:hint="default"/>
                <w:sz w:val="18"/>
                <w:szCs w:val="18"/>
              </w:rPr>
              <w:t>股权、关联交 易造成经济损失；</w:t>
            </w:r>
          </w:p>
        </w:tc>
        <w:tc>
          <w:tcPr>
            <w:tcW w:w="3039" w:type="dxa"/>
            <w:vMerge w:val="restart"/>
            <w:tcBorders>
              <w:top w:val="single" w:sz="4" w:space="0" w:color="000000"/>
              <w:left w:val="single" w:sz="9" w:space="0" w:color="FFFFFF"/>
              <w:right w:val="single" w:sz="4" w:space="0" w:color="000000"/>
            </w:tcBorders>
          </w:tcPr>
          <w:p>
            <w:pPr>
              <w:pStyle w:val="TableParagraph"/>
              <w:spacing w:line="240" w:lineRule="auto" w:before="51"/>
              <w:ind w:left="4" w:right="0"/>
              <w:jc w:val="both"/>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309" w:lineRule="auto" w:before="116"/>
              <w:ind w:left="4"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）严重违反国家法律、法规或规范 </w:t>
            </w:r>
            <w:r>
              <w:rPr>
                <w:rFonts w:ascii="宋体" w:hAnsi="宋体" w:cs="宋体" w:eastAsia="宋体" w:hint="default"/>
                <w:spacing w:val="-4"/>
                <w:sz w:val="18"/>
                <w:szCs w:val="18"/>
              </w:rPr>
              <w:t>性文件，导致被行政法律部门、监管机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构判罚或处罚；</w:t>
            </w:r>
          </w:p>
          <w:p>
            <w:pPr>
              <w:pStyle w:val="TableParagraph"/>
              <w:spacing w:line="240" w:lineRule="auto" w:before="64"/>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）重大事项决策程序违规；</w:t>
            </w:r>
          </w:p>
          <w:p>
            <w:pPr>
              <w:pStyle w:val="TableParagraph"/>
              <w:spacing w:line="309" w:lineRule="auto" w:before="102"/>
              <w:ind w:left="4"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）被主流媒体曝光负面新闻，涉及 </w:t>
            </w:r>
            <w:r>
              <w:rPr>
                <w:rFonts w:ascii="宋体" w:hAnsi="宋体" w:cs="宋体" w:eastAsia="宋体" w:hint="default"/>
                <w:spacing w:val="-4"/>
                <w:sz w:val="18"/>
                <w:szCs w:val="18"/>
              </w:rPr>
              <w:t>面较广且未能及时消除影响，导致公司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生产经营、企业形象受损；</w:t>
            </w:r>
          </w:p>
          <w:p>
            <w:pPr>
              <w:pStyle w:val="TableParagraph"/>
              <w:spacing w:line="302" w:lineRule="auto" w:before="62"/>
              <w:ind w:left="4" w:right="4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）出现产品质量方面的重大事故， 导致严重后果；</w:t>
            </w:r>
          </w:p>
          <w:p>
            <w:pPr>
              <w:pStyle w:val="TableParagraph"/>
              <w:spacing w:line="302" w:lineRule="auto" w:before="68"/>
              <w:ind w:left="4" w:right="4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）高风险业务未有相关制度规范， 重要业务缺乏制度控制；</w:t>
            </w:r>
          </w:p>
          <w:p>
            <w:pPr>
              <w:pStyle w:val="TableParagraph"/>
              <w:spacing w:line="302" w:lineRule="auto" w:before="69"/>
              <w:ind w:left="4" w:right="4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）董事、监事、高级管理人员或核 心技术人员发生非正常重大变化；</w:t>
            </w:r>
          </w:p>
          <w:p>
            <w:pPr>
              <w:pStyle w:val="TableParagraph"/>
              <w:spacing w:line="338" w:lineRule="auto" w:before="69"/>
              <w:ind w:left="4" w:right="2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）其他对公司影响重大的情形。 重要缺陷：</w:t>
            </w:r>
          </w:p>
          <w:p>
            <w:pPr>
              <w:pStyle w:val="TableParagraph"/>
              <w:spacing w:line="302" w:lineRule="auto" w:before="42"/>
              <w:ind w:left="4" w:right="4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）公司违反国家法律、法规或规范 性文件，并受到相关机关轻微处罚；</w:t>
            </w:r>
          </w:p>
          <w:p>
            <w:pPr>
              <w:pStyle w:val="TableParagraph"/>
              <w:spacing w:line="240" w:lineRule="auto" w:before="69"/>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）重大事项决策程序不完善；</w:t>
            </w:r>
          </w:p>
          <w:p>
            <w:pPr>
              <w:pStyle w:val="TableParagraph"/>
              <w:spacing w:line="302" w:lineRule="auto" w:before="101"/>
              <w:ind w:left="4" w:right="4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）媒体出现负面新闻，波及局部区 域，影响较大但未造成股价异动；</w:t>
            </w:r>
          </w:p>
          <w:p>
            <w:pPr>
              <w:pStyle w:val="TableParagraph"/>
              <w:spacing w:line="302" w:lineRule="auto" w:before="69"/>
              <w:ind w:left="4" w:right="4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）公司重要业务制度或系统存在缺 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367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8"/>
        <w:rPr>
          <w:rFonts w:ascii="宋体" w:hAnsi="宋体" w:cs="宋体" w:eastAsia="宋体" w:hint="default"/>
          <w:b/>
          <w:bCs/>
          <w:sz w:val="26"/>
          <w:szCs w:val="26"/>
        </w:rPr>
      </w:pPr>
    </w:p>
    <w:p>
      <w:pPr>
        <w:pStyle w:val="BodyText"/>
        <w:spacing w:line="240" w:lineRule="auto" w:before="44"/>
        <w:ind w:left="0" w:right="1139"/>
        <w:jc w:val="right"/>
      </w:pPr>
      <w:r>
        <w:rPr/>
        <w:pict>
          <v:shape style="position:absolute;margin-left:56.459999pt;margin-top:1.191743pt;width:479.2pt;height:548.7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5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）现金收入不入账、公款私存或违反规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定设立</w:t>
                        </w:r>
                        <w:r>
                          <w:rPr>
                            <w:rFonts w:ascii="Times New Roman" w:hAnsi="Times New Roman" w:cs="Times New Roman" w:eastAsia="Times New Roman" w:hint="default"/>
                            <w:sz w:val="18"/>
                            <w:szCs w:val="18"/>
                          </w:rPr>
                          <w:t>“</w:t>
                        </w:r>
                        <w:r>
                          <w:rPr>
                            <w:rFonts w:ascii="宋体" w:hAnsi="宋体" w:cs="宋体" w:eastAsia="宋体" w:hint="default"/>
                            <w:sz w:val="18"/>
                            <w:szCs w:val="18"/>
                          </w:rPr>
                          <w:t>小金库</w:t>
                        </w:r>
                        <w:r>
                          <w:rPr>
                            <w:rFonts w:ascii="Times New Roman" w:hAnsi="Times New Roman" w:cs="Times New Roman" w:eastAsia="Times New Roman" w:hint="default"/>
                            <w:sz w:val="18"/>
                            <w:szCs w:val="18"/>
                          </w:rPr>
                          <w:t>”</w:t>
                        </w:r>
                        <w:r>
                          <w:rPr>
                            <w:rFonts w:ascii="宋体" w:hAnsi="宋体" w:cs="宋体" w:eastAsia="宋体" w:hint="default"/>
                            <w:sz w:val="18"/>
                            <w:szCs w:val="18"/>
                          </w:rPr>
                          <w:t>等情况；</w:t>
                        </w:r>
                      </w:p>
                      <w:p>
                        <w:pPr>
                          <w:pStyle w:val="TableParagraph"/>
                          <w:spacing w:line="309" w:lineRule="auto" w:before="50"/>
                          <w:ind w:left="23" w:right="22"/>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）对于期末财务报告过程的控制存在一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项或多项缺陷且不能合理保证编制的财务 报表达到真实、准确的目标。</w:t>
                        </w:r>
                      </w:p>
                      <w:p>
                        <w:pPr>
                          <w:pStyle w:val="TableParagraph"/>
                          <w:spacing w:line="319" w:lineRule="auto" w:before="62"/>
                          <w:ind w:left="23" w:right="48"/>
                          <w:jc w:val="both"/>
                          <w:rPr>
                            <w:rFonts w:ascii="宋体" w:hAnsi="宋体" w:cs="宋体" w:eastAsia="宋体" w:hint="default"/>
                            <w:sz w:val="18"/>
                            <w:szCs w:val="18"/>
                          </w:rPr>
                        </w:pPr>
                        <w:r>
                          <w:rPr>
                            <w:rFonts w:ascii="宋体" w:hAnsi="宋体" w:cs="宋体" w:eastAsia="宋体" w:hint="default"/>
                            <w:sz w:val="18"/>
                            <w:szCs w:val="18"/>
                          </w:rPr>
                          <w:t>一般缺陷：不构成重大缺陷或重要缺陷的 其他内部控制缺陷。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）公司关键岗位业务人员流失严重</w:t>
                        </w:r>
                      </w:p>
                      <w:p>
                        <w:pPr>
                          <w:pStyle w:val="TableParagraph"/>
                          <w:spacing w:line="302" w:lineRule="auto" w:before="63"/>
                          <w:ind w:left="22"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）公司内部控制重要缺陷未得到整 改。</w:t>
                        </w:r>
                      </w:p>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一般缺陷：</w:t>
                        </w:r>
                      </w:p>
                      <w:p>
                        <w:pPr>
                          <w:pStyle w:val="TableParagraph"/>
                          <w:spacing w:line="302" w:lineRule="auto" w:before="115"/>
                          <w:ind w:left="22"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）违反企业内部规章制度，但未造 成损失；</w:t>
                        </w:r>
                      </w:p>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）公司决策程序效率不高；</w:t>
                        </w:r>
                      </w:p>
                      <w:p>
                        <w:pPr>
                          <w:pStyle w:val="TableParagraph"/>
                          <w:spacing w:line="302" w:lineRule="auto" w:before="102"/>
                          <w:ind w:left="22" w:right="11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）媒体出现负面新闻，但影响不大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未造成股价异动；</w:t>
                        </w:r>
                      </w:p>
                      <w:p>
                        <w:pPr>
                          <w:pStyle w:val="TableParagraph"/>
                          <w:spacing w:line="302" w:lineRule="auto" w:before="68"/>
                          <w:ind w:left="22"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）公司一般业务制度或系统存在缺 陷；</w:t>
                        </w:r>
                      </w:p>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）公司一般岗位业务人员流失严重</w:t>
                        </w:r>
                      </w:p>
                      <w:p>
                        <w:pPr>
                          <w:pStyle w:val="TableParagraph"/>
                          <w:spacing w:line="302" w:lineRule="auto" w:before="63"/>
                          <w:ind w:left="22"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）公司内部控制一般缺陷未得到整 改；</w:t>
                        </w:r>
                      </w:p>
                      <w:p>
                        <w:pPr>
                          <w:pStyle w:val="TableParagraph"/>
                          <w:spacing w:line="302" w:lineRule="auto" w:before="69"/>
                          <w:ind w:left="22"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）公司内部控制存在以上以外的其 他缺陷。</w:t>
                        </w:r>
                      </w:p>
                    </w:tc>
                  </w:tr>
                  <w:tr>
                    <w:trPr>
                      <w:trHeight w:val="403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300" w:lineRule="auto" w:before="116"/>
                          <w:ind w:left="23" w:right="35"/>
                          <w:jc w:val="both"/>
                          <w:rPr>
                            <w:rFonts w:ascii="宋体" w:hAnsi="宋体" w:cs="宋体" w:eastAsia="宋体" w:hint="default"/>
                            <w:sz w:val="18"/>
                            <w:szCs w:val="18"/>
                          </w:rPr>
                        </w:pPr>
                        <w:r>
                          <w:rPr>
                            <w:rFonts w:ascii="宋体" w:hAnsi="宋体" w:cs="宋体" w:eastAsia="宋体" w:hint="default"/>
                            <w:sz w:val="18"/>
                            <w:szCs w:val="18"/>
                          </w:rPr>
                          <w:t>利润总额存在错报</w:t>
                        </w:r>
                        <w:r>
                          <w:rPr>
                            <w:rFonts w:ascii="宋体" w:hAnsi="宋体" w:cs="宋体" w:eastAsia="宋体" w:hint="default"/>
                            <w:spacing w:val="-1"/>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合并报表利 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p>
                        <w:pPr>
                          <w:pStyle w:val="TableParagraph"/>
                          <w:spacing w:line="240" w:lineRule="auto" w:before="71"/>
                          <w:ind w:left="23" w:right="0"/>
                          <w:jc w:val="both"/>
                          <w:rPr>
                            <w:rFonts w:ascii="宋体" w:hAnsi="宋体" w:cs="宋体" w:eastAsia="宋体" w:hint="default"/>
                            <w:sz w:val="18"/>
                            <w:szCs w:val="18"/>
                          </w:rPr>
                        </w:pPr>
                        <w:r>
                          <w:rPr>
                            <w:rFonts w:ascii="宋体" w:hAnsi="宋体" w:cs="宋体" w:eastAsia="宋体" w:hint="default"/>
                            <w:sz w:val="18"/>
                            <w:szCs w:val="18"/>
                          </w:rPr>
                          <w:t>重要缺陷：</w:t>
                        </w:r>
                      </w:p>
                      <w:p>
                        <w:pPr>
                          <w:pStyle w:val="TableParagraph"/>
                          <w:spacing w:line="300" w:lineRule="auto" w:before="116"/>
                          <w:ind w:left="23" w:right="69"/>
                          <w:jc w:val="both"/>
                          <w:rPr>
                            <w:rFonts w:ascii="宋体" w:hAnsi="宋体" w:cs="宋体" w:eastAsia="宋体" w:hint="default"/>
                            <w:sz w:val="18"/>
                            <w:szCs w:val="18"/>
                          </w:rPr>
                        </w:pPr>
                        <w:r>
                          <w:rPr>
                            <w:rFonts w:ascii="宋体" w:hAnsi="宋体" w:cs="宋体" w:eastAsia="宋体" w:hint="default"/>
                            <w:sz w:val="18"/>
                            <w:szCs w:val="18"/>
                          </w:rPr>
                          <w:t>利润总额存在错报 合并报表利润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错报金额﹤合并报表利润总额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宋体" w:hAnsi="宋体" w:cs="宋体" w:eastAsia="宋体" w:hint="default"/>
                            <w:sz w:val="18"/>
                            <w:szCs w:val="18"/>
                          </w:rPr>
                          <w:t>，且 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52"/>
                          <w:ind w:left="113" w:right="0"/>
                          <w:jc w:val="both"/>
                          <w:rPr>
                            <w:rFonts w:ascii="宋体" w:hAnsi="宋体" w:cs="宋体" w:eastAsia="宋体" w:hint="default"/>
                            <w:sz w:val="18"/>
                            <w:szCs w:val="18"/>
                          </w:rPr>
                        </w:pPr>
                        <w:r>
                          <w:rPr>
                            <w:rFonts w:ascii="宋体" w:hAnsi="宋体" w:cs="宋体" w:eastAsia="宋体" w:hint="default"/>
                            <w:sz w:val="18"/>
                            <w:szCs w:val="18"/>
                          </w:rPr>
                          <w:t>一般缺陷：</w:t>
                        </w:r>
                      </w:p>
                      <w:p>
                        <w:pPr>
                          <w:pStyle w:val="TableParagraph"/>
                          <w:spacing w:line="309" w:lineRule="auto" w:before="115"/>
                          <w:ind w:left="23" w:right="78"/>
                          <w:jc w:val="both"/>
                          <w:rPr>
                            <w:rFonts w:ascii="宋体" w:hAnsi="宋体" w:cs="宋体" w:eastAsia="宋体" w:hint="default"/>
                            <w:sz w:val="18"/>
                            <w:szCs w:val="18"/>
                          </w:rPr>
                        </w:pPr>
                        <w:r>
                          <w:rPr>
                            <w:rFonts w:ascii="宋体" w:hAnsi="宋体" w:cs="宋体" w:eastAsia="宋体" w:hint="default"/>
                            <w:sz w:val="18"/>
                            <w:szCs w:val="18"/>
                          </w:rPr>
                          <w:t>利润总额存在错报 错报金额﹤合并报表 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 </w:t>
                        </w:r>
                        <w:r>
                          <w:rPr>
                            <w:rFonts w:ascii="宋体" w:hAnsi="宋体" w:cs="宋体" w:eastAsia="宋体" w:hint="default"/>
                            <w:sz w:val="18"/>
                            <w:szCs w:val="18"/>
                          </w:rPr>
                          <w:t>万元。</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300" w:lineRule="auto" w:before="116"/>
                          <w:ind w:left="22" w:right="121"/>
                          <w:jc w:val="both"/>
                          <w:rPr>
                            <w:rFonts w:ascii="宋体" w:hAnsi="宋体" w:cs="宋体" w:eastAsia="宋体" w:hint="default"/>
                            <w:sz w:val="18"/>
                            <w:szCs w:val="18"/>
                          </w:rPr>
                        </w:pPr>
                        <w:r>
                          <w:rPr>
                            <w:rFonts w:ascii="宋体" w:hAnsi="宋体" w:cs="宋体" w:eastAsia="宋体" w:hint="default"/>
                            <w:sz w:val="18"/>
                            <w:szCs w:val="18"/>
                          </w:rPr>
                          <w:t>直接损失金额</w:t>
                        </w:r>
                        <w:r>
                          <w:rPr>
                            <w:rFonts w:ascii="宋体" w:hAnsi="宋体" w:cs="宋体" w:eastAsia="宋体" w:hint="default"/>
                            <w:spacing w:val="-1"/>
                            <w:sz w:val="18"/>
                            <w:szCs w:val="18"/>
                          </w:rPr>
                          <w:t> </w:t>
                        </w:r>
                        <w:r>
                          <w:rPr>
                            <w:rFonts w:ascii="宋体" w:hAnsi="宋体" w:cs="宋体" w:eastAsia="宋体" w:hint="default"/>
                            <w:sz w:val="18"/>
                            <w:szCs w:val="18"/>
                          </w:rPr>
                          <w:t>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重要缺陷：</w:t>
                        </w:r>
                      </w:p>
                      <w:p>
                        <w:pPr>
                          <w:pStyle w:val="TableParagraph"/>
                          <w:spacing w:line="300" w:lineRule="auto" w:before="116"/>
                          <w:ind w:left="22" w:right="20"/>
                          <w:jc w:val="left"/>
                          <w:rPr>
                            <w:rFonts w:ascii="宋体" w:hAnsi="宋体" w:cs="宋体" w:eastAsia="宋体" w:hint="default"/>
                            <w:sz w:val="18"/>
                            <w:szCs w:val="18"/>
                          </w:rPr>
                        </w:pPr>
                        <w:r>
                          <w:rPr>
                            <w:rFonts w:ascii="宋体" w:hAnsi="宋体" w:cs="宋体" w:eastAsia="宋体" w:hint="default"/>
                            <w:sz w:val="18"/>
                            <w:szCs w:val="18"/>
                          </w:rPr>
                          <w:t>直接损失金额 净资产额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z w:val="18"/>
                            <w:szCs w:val="18"/>
                          </w:rPr>
                          <w:t>≤</w:t>
                        </w:r>
                        <w:r>
                          <w:rPr>
                            <w:rFonts w:ascii="宋体" w:hAnsi="宋体" w:cs="宋体" w:eastAsia="宋体" w:hint="default"/>
                            <w:sz w:val="18"/>
                            <w:szCs w:val="18"/>
                          </w:rPr>
                          <w:t>直接 损失金额﹤净资产额</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3.00%</w:t>
                        </w:r>
                        <w:r>
                          <w:rPr>
                            <w:rFonts w:ascii="宋体" w:hAnsi="宋体" w:cs="宋体" w:eastAsia="宋体" w:hint="default"/>
                            <w:spacing w:val="-4"/>
                            <w:sz w:val="18"/>
                            <w:szCs w:val="18"/>
                          </w:rPr>
                          <w:t>，且绝对金</w:t>
                        </w:r>
                        <w:r>
                          <w:rPr>
                            <w:rFonts w:ascii="宋体" w:hAnsi="宋体" w:cs="宋体" w:eastAsia="宋体" w:hint="default"/>
                            <w:sz w:val="18"/>
                            <w:szCs w:val="18"/>
                          </w:rPr>
                          <w:t> 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一般缺陷：</w:t>
                        </w: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直接损失金额 错报金额﹤净资产额</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before="26"/>
        <w:ind w:right="0"/>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49"/>
      <w:bookmarkEnd w:id="149"/>
      <w:r>
        <w:rPr>
          <w:b w:val="0"/>
          <w:bCs w:val="0"/>
        </w:rPr>
      </w:r>
      <w:bookmarkStart w:name="_bookmark8" w:id="150"/>
      <w:bookmarkEnd w:id="150"/>
      <w:r>
        <w:rPr>
          <w:b w:val="0"/>
          <w:bCs w:val="0"/>
        </w:rPr>
      </w:r>
      <w:r>
        <w:rPr/>
        <w:t>第十节</w:t>
      </w:r>
      <w:r>
        <w:rPr>
          <w:spacing w:val="-9"/>
        </w:rPr>
        <w:t> </w:t>
      </w:r>
      <w:r>
        <w:rPr/>
        <w:t>公司债券相关情况</w:t>
      </w:r>
      <w:r>
        <w:rPr>
          <w:b w:val="0"/>
          <w:bCs w:val="0"/>
        </w:rPr>
      </w:r>
    </w:p>
    <w:p>
      <w:pPr>
        <w:spacing w:line="240" w:lineRule="auto" w:before="0"/>
        <w:rPr>
          <w:rFonts w:ascii="宋体" w:hAnsi="宋体" w:cs="宋体" w:eastAsia="宋体" w:hint="default"/>
          <w:b/>
          <w:bCs/>
          <w:sz w:val="32"/>
          <w:szCs w:val="32"/>
        </w:rPr>
      </w:pPr>
    </w:p>
    <w:p>
      <w:pPr>
        <w:pStyle w:val="BodyText"/>
        <w:spacing w:line="516" w:lineRule="auto" w:before="217"/>
        <w:ind w:right="2112"/>
        <w:jc w:val="left"/>
      </w:pPr>
      <w:r>
        <w:rPr/>
        <w:t>公司是否存在公开发行并在证券交易所上市，且在年度报告批准报出日未到期或到期未能全额兑付的公司债券 否</w:t>
      </w:r>
    </w:p>
    <w:p>
      <w:pPr>
        <w:spacing w:after="0" w:line="5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51"/>
      <w:bookmarkEnd w:id="151"/>
      <w:r>
        <w:rPr>
          <w:b w:val="0"/>
          <w:bCs w:val="0"/>
        </w:rPr>
      </w:r>
      <w:bookmarkStart w:name="_bookmark9" w:id="152"/>
      <w:bookmarkEnd w:id="15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7-179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禤文欣、卢玲玉</w:t>
            </w:r>
          </w:p>
        </w:tc>
      </w:tr>
    </w:tbl>
    <w:p>
      <w:pPr>
        <w:pStyle w:val="BodyText"/>
        <w:spacing w:line="240" w:lineRule="auto" w:before="51"/>
        <w:ind w:left="0" w:right="976"/>
        <w:jc w:val="center"/>
      </w:pPr>
      <w:r>
        <w:rPr/>
        <w:t>审计报告正文</w:t>
      </w:r>
    </w:p>
    <w:p>
      <w:pPr>
        <w:tabs>
          <w:tab w:pos="668" w:val="left" w:leader="none"/>
          <w:tab w:pos="1337" w:val="left" w:leader="none"/>
          <w:tab w:pos="2005" w:val="left" w:leader="none"/>
        </w:tabs>
        <w:spacing w:before="125"/>
        <w:ind w:left="0" w:right="978" w:firstLine="0"/>
        <w:jc w:val="center"/>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spacing w:after="0"/>
        <w:jc w:val="center"/>
        <w:rPr>
          <w:rFonts w:ascii="宋体" w:hAnsi="宋体" w:cs="宋体" w:eastAsia="宋体" w:hint="default"/>
          <w:sz w:val="36"/>
          <w:szCs w:val="36"/>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6"/>
          <w:szCs w:val="16"/>
        </w:rPr>
      </w:pPr>
    </w:p>
    <w:p>
      <w:pPr>
        <w:spacing w:line="398" w:lineRule="auto" w:before="0"/>
        <w:ind w:left="636" w:right="-19" w:hanging="483"/>
        <w:jc w:val="left"/>
        <w:rPr>
          <w:rFonts w:ascii="宋体" w:hAnsi="宋体" w:cs="宋体" w:eastAsia="宋体" w:hint="default"/>
          <w:sz w:val="18"/>
          <w:szCs w:val="18"/>
        </w:rPr>
      </w:pPr>
      <w:r>
        <w:rPr>
          <w:rFonts w:ascii="宋体" w:hAnsi="宋体" w:cs="宋体" w:eastAsia="宋体" w:hint="default"/>
          <w:sz w:val="18"/>
          <w:szCs w:val="18"/>
        </w:rPr>
        <w:t>浩云股份有限公司全体股东：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40" w:lineRule="auto" w:before="142"/>
        <w:ind w:right="0"/>
        <w:jc w:val="left"/>
      </w:pPr>
      <w:r>
        <w:rPr/>
        <w:br w:type="column"/>
      </w:r>
      <w:r>
        <w:rPr/>
        <w:t>天健审〔</w:t>
      </w:r>
      <w:r>
        <w:rPr>
          <w:rFonts w:ascii="宋体" w:hAnsi="宋体" w:cs="宋体" w:eastAsia="宋体" w:hint="default"/>
        </w:rPr>
        <w:t>2019</w:t>
      </w:r>
      <w:r>
        <w:rPr/>
        <w:t>〕</w:t>
      </w:r>
      <w:r>
        <w:rPr>
          <w:rFonts w:ascii="宋体" w:hAnsi="宋体" w:cs="宋体" w:eastAsia="宋体" w:hint="default"/>
        </w:rPr>
        <w:t>7-179</w:t>
      </w:r>
      <w:r>
        <w:rPr/>
        <w:t>号</w:t>
      </w:r>
    </w:p>
    <w:p>
      <w:pPr>
        <w:spacing w:after="0" w:line="240" w:lineRule="auto"/>
        <w:jc w:val="left"/>
        <w:sectPr>
          <w:type w:val="continuous"/>
          <w:pgSz w:w="11910" w:h="16840"/>
          <w:pgMar w:top="1060" w:bottom="1160" w:left="980" w:right="0"/>
          <w:cols w:num="2" w:equalWidth="0">
            <w:col w:w="2495" w:space="1380"/>
            <w:col w:w="7055"/>
          </w:cols>
        </w:sectPr>
      </w:pPr>
    </w:p>
    <w:p>
      <w:pPr>
        <w:pStyle w:val="BodyText"/>
        <w:spacing w:line="477" w:lineRule="auto" w:before="113"/>
        <w:ind w:right="0" w:firstLine="480"/>
        <w:jc w:val="left"/>
      </w:pPr>
      <w:r>
        <w:rPr>
          <w:spacing w:val="-3"/>
        </w:rPr>
        <w:t>我们审计了浩云科技股份有限公司（以下简称浩云科技）财务报表，包括</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日的合并及母公司资产负债表，</w:t>
      </w:r>
      <w:r>
        <w:rPr/>
        <w:t> </w:t>
      </w:r>
      <w:r>
        <w:rPr>
          <w:rFonts w:ascii="宋体" w:hAnsi="宋体" w:cs="宋体" w:eastAsia="宋体" w:hint="default"/>
        </w:rPr>
        <w:t>2018</w:t>
      </w:r>
      <w:r>
        <w:rPr/>
        <w:t>年度的合并及母公司利润表、合并及母公司现金流量表、合并及母公司所有者权益变动表，以及相关财务报表附注。</w:t>
      </w:r>
    </w:p>
    <w:p>
      <w:pPr>
        <w:pStyle w:val="BodyText"/>
        <w:spacing w:line="477" w:lineRule="auto" w:before="54"/>
        <w:ind w:right="0" w:firstLine="480"/>
        <w:jc w:val="left"/>
      </w:pPr>
      <w:r>
        <w:rPr>
          <w:spacing w:val="-1"/>
        </w:rPr>
        <w:t>我们认为，后附的财务报表在所有重大方面按照企业会计准则的规定编制，公允反映了浩云科技</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w:t>
      </w:r>
      <w:r>
        <w:rPr/>
        <w:t> 并及母公司财务状况，以及</w:t>
      </w:r>
      <w:r>
        <w:rPr>
          <w:rFonts w:ascii="宋体" w:hAnsi="宋体" w:cs="宋体" w:eastAsia="宋体" w:hint="default"/>
        </w:rPr>
        <w:t>2018</w:t>
      </w:r>
      <w:r>
        <w:rPr/>
        <w:t>年度的合并及母公司经营成果和现金流量。</w:t>
      </w:r>
    </w:p>
    <w:p>
      <w:pPr>
        <w:pStyle w:val="BodyText"/>
        <w:spacing w:line="477" w:lineRule="auto" w:before="54"/>
        <w:ind w:left="634" w:right="0" w:firstLine="2"/>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1"/>
        </w:rPr>
        <w:t>我们按照中国注册会计师审计准则的规定执行了审计工作。审计报告的“注册会计师对财务报表审计的责任”部分进</w:t>
      </w:r>
    </w:p>
    <w:p>
      <w:pPr>
        <w:pStyle w:val="BodyText"/>
        <w:spacing w:line="477" w:lineRule="auto" w:before="54"/>
        <w:ind w:right="0"/>
        <w:jc w:val="left"/>
      </w:pPr>
      <w:r>
        <w:rPr>
          <w:spacing w:val="-2"/>
        </w:rPr>
        <w:t>一步阐述了我们在这些准则下的责任。按照中国注册会计师职业道德守则，我们独立于浩云科技，并履行了职业道德方面的</w:t>
      </w:r>
      <w:r>
        <w:rPr>
          <w:spacing w:val="-65"/>
        </w:rPr>
        <w:t> </w:t>
      </w:r>
      <w:r>
        <w:rPr>
          <w:spacing w:val="-65"/>
        </w:rPr>
      </w:r>
      <w:r>
        <w:rPr/>
        <w:t>其他责任。我们相信，我们获取的审计证据是充分、适当的，为发表审计意见提供了基础。</w:t>
      </w:r>
    </w:p>
    <w:p>
      <w:pPr>
        <w:pStyle w:val="BodyText"/>
        <w:spacing w:line="477" w:lineRule="auto" w:before="54"/>
        <w:ind w:left="634"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477" w:lineRule="auto" w:before="54"/>
        <w:ind w:left="634" w:right="5532" w:hanging="480"/>
        <w:jc w:val="left"/>
      </w:pPr>
      <w:r>
        <w:rPr/>
        <w:t>行审计并形成审计意见为背景，我们不对这些事项单独发表意见。 </w:t>
      </w:r>
      <w:r>
        <w:rPr>
          <w:rFonts w:ascii="宋体" w:hAnsi="宋体" w:cs="宋体" w:eastAsia="宋体" w:hint="default"/>
        </w:rPr>
        <w:t>(</w:t>
      </w:r>
      <w:r>
        <w:rPr/>
        <w:t>一</w:t>
      </w:r>
      <w:r>
        <w:rPr>
          <w:rFonts w:ascii="宋体" w:hAnsi="宋体" w:cs="宋体" w:eastAsia="宋体" w:hint="default"/>
        </w:rPr>
        <w:t>) </w:t>
      </w:r>
      <w:r>
        <w:rPr/>
        <w:t>收入确认</w:t>
      </w:r>
    </w:p>
    <w:p>
      <w:pPr>
        <w:pStyle w:val="BodyText"/>
        <w:spacing w:line="477" w:lineRule="auto" w:before="54"/>
        <w:ind w:left="634" w:right="1032"/>
        <w:jc w:val="left"/>
      </w:pPr>
      <w:r>
        <w:rPr>
          <w:rFonts w:ascii="宋体" w:hAnsi="宋体" w:cs="宋体" w:eastAsia="宋体" w:hint="default"/>
        </w:rPr>
        <w:t>1. </w:t>
      </w:r>
      <w:r>
        <w:rPr/>
        <w:t>事项描述 </w:t>
      </w:r>
      <w:r>
        <w:rPr>
          <w:spacing w:val="-3"/>
        </w:rPr>
        <w:t>相关信息披露详见财务报表附注五、</w:t>
      </w:r>
      <w:r>
        <w:rPr>
          <w:rFonts w:ascii="宋体" w:hAnsi="宋体" w:cs="宋体" w:eastAsia="宋体" w:hint="default"/>
          <w:spacing w:val="-3"/>
        </w:rPr>
        <w:t>28</w:t>
      </w:r>
      <w:r>
        <w:rPr>
          <w:spacing w:val="-3"/>
        </w:rPr>
        <w:t>及七、</w:t>
      </w:r>
      <w:r>
        <w:rPr>
          <w:rFonts w:ascii="宋体" w:hAnsi="宋体" w:cs="宋体" w:eastAsia="宋体" w:hint="default"/>
          <w:spacing w:val="-3"/>
        </w:rPr>
        <w:t>52</w:t>
      </w:r>
      <w:r>
        <w:rPr>
          <w:spacing w:val="-3"/>
        </w:rPr>
        <w:t>。浩云科技的收入主要来源于安防系统工程的安装和安防产品的销售。</w:t>
      </w:r>
    </w:p>
    <w:p>
      <w:pPr>
        <w:pStyle w:val="BodyText"/>
        <w:spacing w:line="477" w:lineRule="auto" w:before="54"/>
        <w:ind w:left="634" w:right="0" w:hanging="480"/>
        <w:jc w:val="left"/>
      </w:pPr>
      <w:r>
        <w:rPr>
          <w:rFonts w:ascii="宋体" w:hAnsi="宋体" w:cs="宋体" w:eastAsia="宋体" w:hint="default"/>
        </w:rPr>
        <w:t>2018</w:t>
      </w:r>
      <w:r>
        <w:rPr/>
        <w:t>年度，浩云科技财务报表所示营业收入项目金额为人民币</w:t>
      </w:r>
      <w:r>
        <w:rPr>
          <w:rFonts w:ascii="宋体" w:hAnsi="宋体" w:cs="宋体" w:eastAsia="宋体" w:hint="default"/>
        </w:rPr>
        <w:t>765,302,136.94</w:t>
      </w:r>
      <w:r>
        <w:rPr/>
        <w:t>元。 </w:t>
      </w:r>
      <w:r>
        <w:rPr>
          <w:spacing w:val="-1"/>
        </w:rPr>
        <w:t>根据浩云科技与其客户的销售合同约定，浩云科技在系统安装调试完毕且通过客户验收确认后，相关的收入已经收到</w:t>
      </w:r>
    </w:p>
    <w:p>
      <w:pPr>
        <w:spacing w:after="0" w:line="477"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634" w:right="0" w:hanging="480"/>
        <w:jc w:val="left"/>
      </w:pPr>
      <w:r>
        <w:rPr/>
        <w:t>或取得收款的证据，与安防系统有关的成本能够可靠计量时，确认安防系统收入的实现。 </w:t>
      </w:r>
      <w:r>
        <w:rPr>
          <w:spacing w:val="-1"/>
        </w:rPr>
        <w:t>由于营业收入是浩云科技关键业绩指标之一，可能存在管理层通过不恰当的收入确认以达到特定目标或预期的固有风</w:t>
      </w:r>
    </w:p>
    <w:p>
      <w:pPr>
        <w:pStyle w:val="BodyText"/>
        <w:spacing w:line="477" w:lineRule="auto" w:before="54"/>
        <w:ind w:left="634" w:right="6792" w:hanging="480"/>
        <w:jc w:val="left"/>
      </w:pPr>
      <w:r>
        <w:rPr/>
        <w:t>险。因此，我们将收入确认确定为关键审计事项。 </w:t>
      </w:r>
      <w:r>
        <w:rPr>
          <w:rFonts w:ascii="宋体" w:hAnsi="宋体" w:cs="宋体" w:eastAsia="宋体" w:hint="default"/>
        </w:rPr>
        <w:t>2. </w:t>
      </w:r>
      <w:r>
        <w:rPr/>
        <w:t>审计应对</w:t>
      </w:r>
    </w:p>
    <w:p>
      <w:pPr>
        <w:pStyle w:val="BodyText"/>
        <w:spacing w:line="477" w:lineRule="auto" w:before="54"/>
        <w:ind w:left="634" w:right="0"/>
        <w:jc w:val="left"/>
      </w:pPr>
      <w:r>
        <w:rPr/>
        <w:t>针对收入确认，我们实施的审计程序主要包括： </w:t>
      </w:r>
      <w:r>
        <w:rPr>
          <w:rFonts w:ascii="宋体" w:hAnsi="宋体" w:cs="宋体" w:eastAsia="宋体" w:hint="default"/>
        </w:rPr>
        <w:t>(1)</w:t>
      </w:r>
      <w:r>
        <w:rPr/>
        <w:t>了解与收入确认相关的关键内部控制，评价这些控制的设计，确定其是否得到执行，并测试相关内部控制的运行</w:t>
      </w:r>
    </w:p>
    <w:p>
      <w:pPr>
        <w:pStyle w:val="BodyText"/>
        <w:spacing w:line="240" w:lineRule="auto" w:before="54"/>
        <w:ind w:right="0"/>
        <w:jc w:val="left"/>
      </w:pPr>
      <w:r>
        <w:rPr/>
        <w:t>有效性；</w:t>
      </w:r>
    </w:p>
    <w:p>
      <w:pPr>
        <w:spacing w:line="240" w:lineRule="auto" w:before="10"/>
        <w:rPr>
          <w:rFonts w:ascii="宋体" w:hAnsi="宋体" w:cs="宋体" w:eastAsia="宋体" w:hint="default"/>
          <w:sz w:val="17"/>
          <w:szCs w:val="17"/>
        </w:rPr>
      </w:pPr>
    </w:p>
    <w:p>
      <w:pPr>
        <w:pStyle w:val="BodyText"/>
        <w:spacing w:line="477" w:lineRule="auto"/>
        <w:ind w:right="1138" w:firstLine="480"/>
        <w:jc w:val="both"/>
      </w:pPr>
      <w:r>
        <w:rPr>
          <w:rFonts w:ascii="宋体" w:hAnsi="宋体" w:cs="宋体" w:eastAsia="宋体" w:hint="default"/>
        </w:rPr>
        <w:t>(2)</w:t>
      </w:r>
      <w:r>
        <w:rPr/>
        <w:t>检查主要的销售合同，识别与商品所有权上的主要风险和报酬转移相关的条款，评价收入确认政策是否符合企业 会计准则的规定；</w:t>
      </w:r>
    </w:p>
    <w:p>
      <w:pPr>
        <w:pStyle w:val="BodyText"/>
        <w:spacing w:line="240" w:lineRule="auto" w:before="54"/>
        <w:ind w:left="634" w:right="0"/>
        <w:jc w:val="left"/>
      </w:pPr>
      <w:r>
        <w:rPr>
          <w:rFonts w:ascii="宋体" w:hAnsi="宋体" w:cs="宋体" w:eastAsia="宋体" w:hint="default"/>
        </w:rPr>
        <w:t>(3)</w:t>
      </w:r>
      <w:r>
        <w:rPr/>
        <w:t>对营业收入及毛利率按月度、产品、客户等实施实质性分析程序，识别是否存在重大或异常波动，并查明波动原</w:t>
      </w:r>
    </w:p>
    <w:p>
      <w:pPr>
        <w:spacing w:line="240" w:lineRule="auto" w:before="10"/>
        <w:rPr>
          <w:rFonts w:ascii="宋体" w:hAnsi="宋体" w:cs="宋体" w:eastAsia="宋体" w:hint="default"/>
          <w:sz w:val="17"/>
          <w:szCs w:val="17"/>
        </w:rPr>
      </w:pPr>
    </w:p>
    <w:p>
      <w:pPr>
        <w:pStyle w:val="BodyText"/>
        <w:spacing w:line="240" w:lineRule="auto"/>
        <w:ind w:right="0"/>
        <w:jc w:val="left"/>
      </w:pPr>
      <w:r>
        <w:rPr/>
        <w:t>因；</w:t>
      </w:r>
    </w:p>
    <w:p>
      <w:pPr>
        <w:spacing w:line="240" w:lineRule="auto" w:before="10"/>
        <w:rPr>
          <w:rFonts w:ascii="宋体" w:hAnsi="宋体" w:cs="宋体" w:eastAsia="宋体" w:hint="default"/>
          <w:sz w:val="17"/>
          <w:szCs w:val="17"/>
        </w:rPr>
      </w:pPr>
    </w:p>
    <w:p>
      <w:pPr>
        <w:pStyle w:val="BodyText"/>
        <w:spacing w:line="477" w:lineRule="auto"/>
        <w:ind w:right="1138" w:firstLine="480"/>
        <w:jc w:val="both"/>
      </w:pPr>
      <w:r>
        <w:rPr>
          <w:rFonts w:ascii="宋体" w:hAnsi="宋体" w:cs="宋体" w:eastAsia="宋体" w:hint="default"/>
        </w:rPr>
        <w:t>(4)</w:t>
      </w:r>
      <w:r>
        <w:rPr/>
        <w:t>对于内销收入，以抽样方式检查与收入确认相关的支持性文件，包括销售合同、验收报告、销售发票、出库单、 发货单及客户签收单等；</w:t>
      </w:r>
    </w:p>
    <w:p>
      <w:pPr>
        <w:pStyle w:val="BodyText"/>
        <w:spacing w:line="477" w:lineRule="auto" w:before="54"/>
        <w:ind w:left="634" w:right="0"/>
        <w:jc w:val="left"/>
      </w:pPr>
      <w:r>
        <w:rPr>
          <w:rFonts w:ascii="宋体" w:hAnsi="宋体" w:cs="宋体" w:eastAsia="宋体" w:hint="default"/>
        </w:rPr>
        <w:t>(5)</w:t>
      </w:r>
      <w:r>
        <w:rPr/>
        <w:t>结合应收账款函证，以抽样方式向主要客户函证本期销售额；</w:t>
      </w:r>
      <w:r>
        <w:rPr>
          <w:rFonts w:ascii="宋体" w:hAnsi="宋体" w:cs="宋体" w:eastAsia="宋体" w:hint="default"/>
        </w:rPr>
        <w:t>(6) </w:t>
      </w:r>
      <w:r>
        <w:rPr/>
        <w:t>对本期新增的重要客户进行实地走访。 </w:t>
      </w:r>
      <w:r>
        <w:rPr>
          <w:rFonts w:ascii="宋体" w:hAnsi="宋体" w:cs="宋体" w:eastAsia="宋体" w:hint="default"/>
        </w:rPr>
        <w:t>(6)</w:t>
      </w:r>
      <w:r>
        <w:rPr/>
        <w:t>以抽样方式对资产负债表日前后确认的营业收入核对至验收报告、出库单、发货单、客户签收单等支持性文件，</w:t>
      </w:r>
    </w:p>
    <w:p>
      <w:pPr>
        <w:pStyle w:val="BodyText"/>
        <w:spacing w:line="477" w:lineRule="auto" w:before="54"/>
        <w:ind w:left="634" w:right="4422" w:hanging="480"/>
        <w:jc w:val="left"/>
      </w:pPr>
      <w:r>
        <w:rPr/>
        <w:t>评价营业收入是否在恰当期间确认； </w:t>
      </w:r>
      <w:r>
        <w:rPr>
          <w:rFonts w:ascii="宋体" w:hAnsi="宋体" w:cs="宋体" w:eastAsia="宋体" w:hint="default"/>
        </w:rPr>
        <w:t>(7)</w:t>
      </w:r>
      <w:r>
        <w:rPr/>
        <w:t>检查与营业收入相关的信息是否已在财务报表中作出恰当列报和披露。 </w:t>
      </w:r>
      <w:r>
        <w:rPr>
          <w:rFonts w:ascii="宋体" w:hAnsi="宋体" w:cs="宋体" w:eastAsia="宋体" w:hint="default"/>
        </w:rPr>
        <w:t>(</w:t>
      </w:r>
      <w:r>
        <w:rPr/>
        <w:t>二</w:t>
      </w:r>
      <w:r>
        <w:rPr>
          <w:rFonts w:ascii="宋体" w:hAnsi="宋体" w:cs="宋体" w:eastAsia="宋体" w:hint="default"/>
        </w:rPr>
        <w:t>) </w:t>
      </w:r>
      <w:r>
        <w:rPr/>
        <w:t>应收账款减值</w:t>
      </w:r>
    </w:p>
    <w:p>
      <w:pPr>
        <w:pStyle w:val="BodyText"/>
        <w:spacing w:line="477" w:lineRule="auto" w:before="54"/>
        <w:ind w:left="634" w:right="6582"/>
        <w:jc w:val="left"/>
        <w:rPr>
          <w:rFonts w:ascii="宋体" w:hAnsi="宋体" w:cs="宋体" w:eastAsia="宋体" w:hint="default"/>
        </w:rPr>
      </w:pPr>
      <w:r>
        <w:rPr>
          <w:rFonts w:ascii="宋体" w:hAnsi="宋体" w:cs="宋体" w:eastAsia="宋体" w:hint="default"/>
        </w:rPr>
        <w:t>1. </w:t>
      </w:r>
      <w:r>
        <w:rPr/>
        <w:t>事项描述 相关信息披露详见财务报表附注五、</w:t>
      </w:r>
      <w:r>
        <w:rPr>
          <w:rFonts w:ascii="宋体" w:hAnsi="宋体" w:cs="宋体" w:eastAsia="宋体" w:hint="default"/>
        </w:rPr>
        <w:t>11</w:t>
      </w:r>
      <w:r>
        <w:rPr/>
        <w:t>及七、</w:t>
      </w:r>
      <w:r>
        <w:rPr>
          <w:rFonts w:ascii="宋体" w:hAnsi="宋体" w:cs="宋体" w:eastAsia="宋体" w:hint="default"/>
        </w:rPr>
        <w:t>4</w:t>
      </w:r>
    </w:p>
    <w:p>
      <w:pPr>
        <w:pStyle w:val="BodyText"/>
        <w:spacing w:line="477" w:lineRule="auto" w:before="54"/>
        <w:ind w:right="1040" w:firstLine="480"/>
        <w:jc w:val="both"/>
      </w:pPr>
      <w:r>
        <w:rPr>
          <w:spacing w:val="-1"/>
        </w:rPr>
        <w:t>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日，浩云科技应收账款账面余额为人民币</w:t>
      </w:r>
      <w:r>
        <w:rPr>
          <w:rFonts w:ascii="宋体" w:hAnsi="宋体" w:cs="宋体" w:eastAsia="宋体" w:hint="default"/>
          <w:spacing w:val="-1"/>
        </w:rPr>
        <w:t>350,928,396.30</w:t>
      </w:r>
      <w:r>
        <w:rPr>
          <w:spacing w:val="-1"/>
        </w:rPr>
        <w:t>元，坏账准备为人民币</w:t>
      </w:r>
      <w:r>
        <w:rPr>
          <w:rFonts w:ascii="宋体" w:hAnsi="宋体" w:cs="宋体" w:eastAsia="宋体" w:hint="default"/>
          <w:spacing w:val="-1"/>
        </w:rPr>
        <w:t>30,664,617.86</w:t>
      </w:r>
      <w:r>
        <w:rPr>
          <w:spacing w:val="-1"/>
        </w:rPr>
        <w:t>元，</w:t>
      </w:r>
      <w:r>
        <w:rPr/>
        <w:t> 账面价值为人民币</w:t>
      </w:r>
      <w:r>
        <w:rPr>
          <w:rFonts w:ascii="宋体" w:hAnsi="宋体" w:cs="宋体" w:eastAsia="宋体" w:hint="default"/>
        </w:rPr>
        <w:t>320,263,778.44</w:t>
      </w:r>
      <w:r>
        <w:rPr/>
        <w:t>元。</w:t>
      </w:r>
    </w:p>
    <w:p>
      <w:pPr>
        <w:pStyle w:val="BodyText"/>
        <w:spacing w:line="470" w:lineRule="auto" w:before="54"/>
        <w:ind w:right="1130" w:firstLine="480"/>
        <w:jc w:val="both"/>
      </w:pPr>
      <w:r>
        <w:rPr>
          <w:spacing w:val="-1"/>
        </w:rPr>
        <w:t>对于单独进行减值测试的应收账款，当存在客观证据表明其发生减值时，管理层综合考虑债务人的行业状况、经营情</w:t>
      </w:r>
      <w:r>
        <w:rPr/>
        <w:t> </w:t>
      </w:r>
      <w:r>
        <w:rPr>
          <w:spacing w:val="-2"/>
        </w:rPr>
        <w:t>况、财务状况、涉诉情况、还款记录、担保物价值等因素，估计未来现金流量现值，并确定应计提的坏账准备；对于采用组</w:t>
      </w:r>
      <w:r>
        <w:rPr>
          <w:spacing w:val="-72"/>
        </w:rPr>
        <w:t> </w:t>
      </w:r>
      <w:r>
        <w:rPr>
          <w:spacing w:val="-72"/>
        </w:rPr>
      </w:r>
      <w:r>
        <w:rPr>
          <w:spacing w:val="-2"/>
        </w:rPr>
        <w:t>合方式进行减值测试的应收账款，管理层根据账龄、资产类型、行业分布、担保物类型、逾期状态等依据划分组合，以与该</w:t>
      </w:r>
      <w:r>
        <w:rPr>
          <w:spacing w:val="-68"/>
        </w:rPr>
        <w:t> </w:t>
      </w:r>
      <w:r>
        <w:rPr>
          <w:spacing w:val="-68"/>
        </w:rPr>
      </w:r>
      <w:r>
        <w:rPr>
          <w:rFonts w:ascii="宋体" w:hAnsi="宋体" w:cs="宋体" w:eastAsia="宋体" w:hint="default"/>
          <w:i/>
          <w:spacing w:val="-2"/>
          <w:sz w:val="19"/>
          <w:szCs w:val="19"/>
        </w:rPr>
        <w:t>等</w:t>
      </w:r>
      <w:r>
        <w:rPr>
          <w:spacing w:val="-2"/>
        </w:rPr>
        <w:t>组合具有类似信用风险特征组合的历史损失率为基础，结合现实情况进行调整，估计未来现金流量现值，并确定应计提的</w:t>
      </w:r>
      <w:r>
        <w:rPr>
          <w:spacing w:val="-76"/>
        </w:rPr>
        <w:t> </w:t>
      </w:r>
      <w:r>
        <w:rPr>
          <w:spacing w:val="-76"/>
        </w:rPr>
      </w:r>
      <w:r>
        <w:rPr/>
        <w:t>坏账准备。</w:t>
      </w:r>
    </w:p>
    <w:p>
      <w:pPr>
        <w:pStyle w:val="BodyText"/>
        <w:spacing w:line="477" w:lineRule="auto" w:before="60"/>
        <w:ind w:left="634" w:right="1362"/>
        <w:jc w:val="left"/>
      </w:pPr>
      <w:r>
        <w:rPr/>
        <w:t>由于应收账款金额重大，且应收账款减值测试涉及重大管理层判断，我们将应收账款减值确定为关键审计事项。 </w:t>
      </w:r>
      <w:r>
        <w:rPr>
          <w:rFonts w:ascii="宋体" w:hAnsi="宋体" w:cs="宋体" w:eastAsia="宋体" w:hint="default"/>
        </w:rPr>
        <w:t>2. </w:t>
      </w:r>
      <w:r>
        <w:rPr/>
        <w:t>审计应对 </w:t>
      </w:r>
      <w:r>
        <w:rPr>
          <w:rFonts w:ascii="宋体" w:hAnsi="宋体" w:cs="宋体" w:eastAsia="宋体" w:hint="default"/>
        </w:rPr>
        <w:t>(1)</w:t>
      </w:r>
      <w:r>
        <w:rPr/>
        <w:t>了解与应收账款减值相关的关键内部控制，评价其设计和执行是否有效，并测试相关内部控制的运行有效性；</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634" w:right="0"/>
        <w:jc w:val="left"/>
      </w:pPr>
      <w:r>
        <w:rPr>
          <w:rFonts w:ascii="宋体" w:hAnsi="宋体" w:cs="宋体" w:eastAsia="宋体" w:hint="default"/>
        </w:rPr>
        <w:t>(2)</w:t>
      </w:r>
      <w:r>
        <w:rPr/>
        <w:t>复核管理层对应收账款进行减值测试的相关考虑和客观证据，评价管理层是否充分识别已发生减值的应收账款； </w:t>
      </w:r>
      <w:r>
        <w:rPr>
          <w:rFonts w:ascii="宋体" w:hAnsi="宋体" w:cs="宋体" w:eastAsia="宋体" w:hint="default"/>
        </w:rPr>
        <w:t>(3)</w:t>
      </w:r>
      <w:r>
        <w:rPr/>
        <w:t>对于采用组合方式进行减值测试的应收账款，评价管理层按信用风险特征划分组合的合理性；根据具有类似信用</w:t>
      </w:r>
    </w:p>
    <w:p>
      <w:pPr>
        <w:pStyle w:val="BodyText"/>
        <w:spacing w:line="477" w:lineRule="auto" w:before="54"/>
        <w:ind w:right="1131"/>
        <w:jc w:val="both"/>
      </w:pPr>
      <w:r>
        <w:rPr>
          <w:spacing w:val="-2"/>
        </w:rPr>
        <w:t>风险特征组合的历史损失率及反映当前情况的相关可观察数据等，评价管理层减值测试方法的合理性（包括各组合坏账准备</w:t>
      </w:r>
      <w:r>
        <w:rPr>
          <w:spacing w:val="-64"/>
        </w:rPr>
        <w:t> </w:t>
      </w:r>
      <w:r>
        <w:rPr>
          <w:spacing w:val="-64"/>
        </w:rPr>
      </w:r>
      <w:r>
        <w:rPr>
          <w:spacing w:val="-2"/>
        </w:rPr>
        <w:t>的计提比例）；测试管理层使用数据的准确性和完整性（包括对于以账龄为信用风险特征的应收账款组合，以抽样方式检查</w:t>
      </w:r>
      <w:r>
        <w:rPr>
          <w:spacing w:val="-66"/>
        </w:rPr>
        <w:t> </w:t>
      </w:r>
      <w:r>
        <w:rPr>
          <w:spacing w:val="-66"/>
        </w:rPr>
      </w:r>
      <w:r>
        <w:rPr/>
        <w:t>应收账款账龄的准确性）以及对应计提坏账准备的计算是否准确；</w:t>
      </w:r>
    </w:p>
    <w:p>
      <w:pPr>
        <w:pStyle w:val="BodyText"/>
        <w:spacing w:line="477" w:lineRule="auto" w:before="54"/>
        <w:ind w:left="634" w:right="3882"/>
        <w:jc w:val="left"/>
        <w:rPr>
          <w:rFonts w:ascii="宋体" w:hAnsi="宋体" w:cs="宋体" w:eastAsia="宋体" w:hint="default"/>
        </w:rPr>
      </w:pPr>
      <w:r>
        <w:rPr>
          <w:rFonts w:ascii="宋体" w:hAnsi="宋体" w:cs="宋体" w:eastAsia="宋体" w:hint="default"/>
        </w:rPr>
        <w:t>(4)</w:t>
      </w:r>
      <w:r>
        <w:rPr/>
        <w:t>检查应收账款的期后回款情况，评价管理层计提应收账款坏账准备的合理性； </w:t>
      </w:r>
      <w:r>
        <w:rPr>
          <w:rFonts w:ascii="宋体" w:hAnsi="宋体" w:cs="宋体" w:eastAsia="宋体" w:hint="default"/>
        </w:rPr>
        <w:t>(5)</w:t>
      </w:r>
      <w:r>
        <w:rPr/>
        <w:t>检查与应收账款减值相关的信息是否已在财务报表中作出恰当列报和披露。 </w:t>
      </w:r>
      <w:r>
        <w:rPr>
          <w:rFonts w:ascii="宋体" w:hAnsi="宋体" w:cs="宋体" w:eastAsia="宋体" w:hint="default"/>
          <w:b/>
          <w:bCs/>
        </w:rPr>
        <w:t>四、其他信息</w:t>
      </w:r>
      <w:r>
        <w:rPr>
          <w:rFonts w:ascii="宋体" w:hAnsi="宋体" w:cs="宋体" w:eastAsia="宋体" w:hint="default"/>
        </w:rPr>
      </w:r>
    </w:p>
    <w:p>
      <w:pPr>
        <w:pStyle w:val="BodyText"/>
        <w:spacing w:line="477" w:lineRule="auto" w:before="54"/>
        <w:ind w:left="634" w:right="0"/>
        <w:jc w:val="left"/>
      </w:pPr>
      <w:r>
        <w:rPr/>
        <w:t>管理层对其他信息负责。其他信息包括年度报告中涵盖的信息，但不包括财务报表和我们的审计报告。 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477" w:lineRule="auto" w:before="54"/>
        <w:ind w:left="634" w:right="0" w:hanging="480"/>
        <w:jc w:val="left"/>
      </w:pPr>
      <w:r>
        <w:rPr/>
        <w:t>过程中了解到的情况存在重大不一致或者似乎存在重大错报。 </w:t>
      </w:r>
      <w:r>
        <w:rPr>
          <w:spacing w:val="-1"/>
        </w:rPr>
        <w:t>基于我们已执行的工作，如果我们确定其他信息存在重大错报，我们应当报告该事实。在这方面，我们无任何事项需</w:t>
      </w:r>
    </w:p>
    <w:p>
      <w:pPr>
        <w:pStyle w:val="BodyText"/>
        <w:spacing w:line="240" w:lineRule="auto" w:before="54"/>
        <w:ind w:right="0"/>
        <w:jc w:val="left"/>
      </w:pPr>
      <w:r>
        <w:rPr/>
        <w:t>要报告。</w:t>
      </w:r>
    </w:p>
    <w:p>
      <w:pPr>
        <w:spacing w:line="240" w:lineRule="auto" w:before="10"/>
        <w:rPr>
          <w:rFonts w:ascii="宋体" w:hAnsi="宋体" w:cs="宋体" w:eastAsia="宋体" w:hint="default"/>
          <w:sz w:val="17"/>
          <w:szCs w:val="17"/>
        </w:rPr>
      </w:pPr>
    </w:p>
    <w:p>
      <w:pPr>
        <w:spacing w:line="477" w:lineRule="auto" w:before="0"/>
        <w:ind w:left="634" w:right="0" w:firstLine="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管理层负责按照企业会计准则的规定编制财务报表，使其实现公允反映，并设计、执行和维护必要的内部控制，以使</w:t>
      </w:r>
    </w:p>
    <w:p>
      <w:pPr>
        <w:pStyle w:val="BodyText"/>
        <w:spacing w:line="477" w:lineRule="auto" w:before="54"/>
        <w:ind w:left="634" w:right="0" w:hanging="480"/>
        <w:jc w:val="left"/>
      </w:pPr>
      <w:r>
        <w:rPr/>
        <w:t>财务报表不存在由于舞弊或错误导致的重大错报。 </w:t>
      </w:r>
      <w:r>
        <w:rPr>
          <w:spacing w:val="-1"/>
        </w:rPr>
        <w:t>在编制财务报表时，管理层负责评估浩云科技的持续经营能力，披露与持续经营相关的事项（如适用），并运用持续</w:t>
      </w:r>
    </w:p>
    <w:p>
      <w:pPr>
        <w:spacing w:line="477" w:lineRule="auto" w:before="54"/>
        <w:ind w:left="634" w:right="4512" w:hanging="480"/>
        <w:jc w:val="left"/>
        <w:rPr>
          <w:rFonts w:ascii="宋体" w:hAnsi="宋体" w:cs="宋体" w:eastAsia="宋体" w:hint="default"/>
          <w:sz w:val="18"/>
          <w:szCs w:val="18"/>
        </w:rPr>
      </w:pPr>
      <w:r>
        <w:rPr>
          <w:rFonts w:ascii="宋体" w:hAnsi="宋体" w:cs="宋体" w:eastAsia="宋体" w:hint="default"/>
          <w:sz w:val="18"/>
          <w:szCs w:val="18"/>
        </w:rPr>
        <w:t>经营假设，除非计划进行清算、终止运营或别无其他现实的选择。 浩云科技治理层（以下简称治理层）负责监督浩云科技的财务报告过程。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477" w:lineRule="auto" w:before="54"/>
        <w:ind w:right="1133" w:firstLine="480"/>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477" w:lineRule="auto" w:before="54"/>
        <w:ind w:left="634" w:right="1092"/>
        <w:jc w:val="left"/>
      </w:pPr>
      <w:r>
        <w:rPr/>
        <w:t>在按照审计准则执行审计工作的过程中，我们运用职业判断，并保持职业怀疑。同时，我们也执行以下工作： </w:t>
      </w:r>
      <w:r>
        <w:rPr>
          <w:rFonts w:ascii="宋体" w:hAnsi="宋体" w:cs="宋体" w:eastAsia="宋体" w:hint="default"/>
        </w:rPr>
        <w:t>(</w:t>
      </w:r>
      <w:r>
        <w:rPr/>
        <w:t>一</w:t>
      </w:r>
      <w:r>
        <w:rPr>
          <w:rFonts w:ascii="宋体" w:hAnsi="宋体" w:cs="宋体" w:eastAsia="宋体" w:hint="default"/>
        </w:rPr>
        <w:t>)</w:t>
      </w:r>
      <w:r>
        <w:rPr/>
        <w:t>识别和评估由于舞弊或错误导致的财务报表重大错报风险，设计和实施审计程序以应对这些风险，并获取充分、</w:t>
      </w:r>
    </w:p>
    <w:p>
      <w:pPr>
        <w:pStyle w:val="BodyText"/>
        <w:spacing w:line="477" w:lineRule="auto" w:before="54"/>
        <w:ind w:right="1050"/>
        <w:jc w:val="both"/>
      </w:pPr>
      <w:r>
        <w:rPr/>
        <w:t>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54"/>
        <w:ind w:left="634" w:right="0"/>
        <w:jc w:val="left"/>
      </w:pPr>
      <w:r>
        <w:rPr>
          <w:rFonts w:ascii="宋体" w:hAnsi="宋体" w:cs="宋体" w:eastAsia="宋体" w:hint="default"/>
        </w:rPr>
        <w:t>(</w:t>
      </w:r>
      <w:r>
        <w:rPr/>
        <w:t>二</w:t>
      </w:r>
      <w:r>
        <w:rPr>
          <w:rFonts w:ascii="宋体" w:hAnsi="宋体" w:cs="宋体" w:eastAsia="宋体" w:hint="default"/>
        </w:rPr>
        <w:t>)</w:t>
      </w:r>
      <w:r>
        <w:rPr/>
        <w:t>了解与审计相关的内部控制，以设计恰当的审计程序，但目的并非对内部控制的有效性发表意见。</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634" w:right="0"/>
        <w:jc w:val="left"/>
      </w:pPr>
      <w:r>
        <w:rPr>
          <w:rFonts w:ascii="宋体" w:hAnsi="宋体" w:cs="宋体" w:eastAsia="宋体" w:hint="default"/>
        </w:rPr>
        <w:t>(</w:t>
      </w:r>
      <w:r>
        <w:rPr/>
        <w:t>三</w:t>
      </w:r>
      <w:r>
        <w:rPr>
          <w:rFonts w:ascii="宋体" w:hAnsi="宋体" w:cs="宋体" w:eastAsia="宋体" w:hint="default"/>
        </w:rPr>
        <w:t>)</w:t>
      </w:r>
      <w:r>
        <w:rPr/>
        <w:t>评价管理层选用会计政策的恰当性和作出会计估计及相关披露的合理性。 </w:t>
      </w:r>
      <w:r>
        <w:rPr>
          <w:rFonts w:ascii="宋体" w:hAnsi="宋体" w:cs="宋体" w:eastAsia="宋体" w:hint="default"/>
          <w:spacing w:val="-1"/>
        </w:rPr>
        <w:t>(</w:t>
      </w:r>
      <w:r>
        <w:rPr>
          <w:spacing w:val="-1"/>
        </w:rPr>
        <w:t>四</w:t>
      </w:r>
      <w:r>
        <w:rPr>
          <w:rFonts w:ascii="宋体" w:hAnsi="宋体" w:cs="宋体" w:eastAsia="宋体" w:hint="default"/>
          <w:spacing w:val="-1"/>
        </w:rPr>
        <w:t>)</w:t>
      </w:r>
      <w:r>
        <w:rPr>
          <w:spacing w:val="-1"/>
        </w:rPr>
        <w:t>对管理层使用持续经营假设的恰当性得出结论。同时，根据获取的审计证据，就可能导致对浩云科技持续经营能</w:t>
      </w:r>
    </w:p>
    <w:p>
      <w:pPr>
        <w:pStyle w:val="BodyText"/>
        <w:spacing w:line="477" w:lineRule="auto" w:before="54"/>
        <w:ind w:right="1132"/>
        <w:jc w:val="both"/>
      </w:pP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于截至审计报告日可获得的信息。然而，未来的事项或情况可能导致浩云科技不能持续经营。</w:t>
      </w:r>
    </w:p>
    <w:p>
      <w:pPr>
        <w:pStyle w:val="BodyText"/>
        <w:spacing w:line="477" w:lineRule="auto" w:before="54"/>
        <w:ind w:left="634" w:right="0"/>
        <w:jc w:val="left"/>
      </w:pPr>
      <w:r>
        <w:rPr>
          <w:rFonts w:ascii="宋体" w:hAnsi="宋体" w:cs="宋体" w:eastAsia="宋体" w:hint="default"/>
        </w:rPr>
        <w:t>(</w:t>
      </w:r>
      <w:r>
        <w:rPr/>
        <w:t>五</w:t>
      </w:r>
      <w:r>
        <w:rPr>
          <w:rFonts w:ascii="宋体" w:hAnsi="宋体" w:cs="宋体" w:eastAsia="宋体" w:hint="default"/>
        </w:rPr>
        <w:t>)</w:t>
      </w:r>
      <w:r>
        <w:rPr/>
        <w:t>评价财务报表的总体列报、结构和内容（包括披露），并评价财务报表是否公允反映相关交易和事项。 </w:t>
      </w:r>
      <w:r>
        <w:rPr>
          <w:rFonts w:ascii="宋体" w:hAnsi="宋体" w:cs="宋体" w:eastAsia="宋体" w:hint="default"/>
          <w:spacing w:val="-1"/>
        </w:rPr>
        <w:t>(</w:t>
      </w:r>
      <w:r>
        <w:rPr>
          <w:spacing w:val="-1"/>
        </w:rPr>
        <w:t>六</w:t>
      </w:r>
      <w:r>
        <w:rPr>
          <w:rFonts w:ascii="宋体" w:hAnsi="宋体" w:cs="宋体" w:eastAsia="宋体" w:hint="default"/>
          <w:spacing w:val="-1"/>
        </w:rPr>
        <w:t>)</w:t>
      </w:r>
      <w:r>
        <w:rPr>
          <w:spacing w:val="-1"/>
        </w:rPr>
        <w:t>就浩云科技中实体或业务活动的财务信息获取充分、适当的审计证据，以对财务报表发表审计意见。我们负责指</w:t>
      </w:r>
    </w:p>
    <w:p>
      <w:pPr>
        <w:pStyle w:val="BodyText"/>
        <w:spacing w:line="477" w:lineRule="auto" w:before="54"/>
        <w:ind w:left="634" w:right="0" w:hanging="480"/>
        <w:jc w:val="left"/>
      </w:pPr>
      <w:r>
        <w:rPr/>
        <w:t>导、监督和执行集团审计，并对审计意见承担全部责任。 </w:t>
      </w:r>
      <w:r>
        <w:rPr>
          <w:spacing w:val="-1"/>
        </w:rPr>
        <w:t>我们与治理层就计划的审计范围、时间安排和重大审计发现等事项进行沟通，包括沟通我们在审计中识别出的值得关</w:t>
      </w:r>
    </w:p>
    <w:p>
      <w:pPr>
        <w:pStyle w:val="BodyText"/>
        <w:spacing w:line="477" w:lineRule="auto" w:before="54"/>
        <w:ind w:left="634" w:right="1118" w:hanging="480"/>
        <w:jc w:val="left"/>
      </w:pPr>
      <w:r>
        <w:rPr/>
        <w:t>注的内部控制缺陷。 </w:t>
      </w:r>
      <w:r>
        <w:rPr>
          <w:spacing w:val="-1"/>
        </w:rPr>
        <w:t>我们还就已遵守与独立性相关的职业道德要求向治理层提供声明，并与治理层沟通可能被合理认为影响我们独立性的</w:t>
      </w:r>
    </w:p>
    <w:p>
      <w:pPr>
        <w:pStyle w:val="BodyText"/>
        <w:spacing w:line="477" w:lineRule="auto" w:before="54"/>
        <w:ind w:left="634" w:right="0" w:hanging="480"/>
        <w:jc w:val="left"/>
      </w:pPr>
      <w:r>
        <w:rPr/>
        <w:t>所有关系和其他事项，以及相关的防范措施（如适用）。 </w:t>
      </w:r>
      <w:r>
        <w:rPr>
          <w:spacing w:val="-1"/>
        </w:rPr>
        <w:t>从与治理层沟通过的事项中，我们确定哪些事项对</w:t>
      </w:r>
      <w:r>
        <w:rPr>
          <w:rFonts w:ascii="宋体" w:hAnsi="宋体" w:cs="宋体" w:eastAsia="宋体" w:hint="default"/>
          <w:spacing w:val="-1"/>
        </w:rPr>
        <w:t>2018</w:t>
      </w:r>
      <w:r>
        <w:rPr>
          <w:spacing w:val="-1"/>
        </w:rPr>
        <w:t>年度财务报表审计最为重要，因而构成关键审计事项。我们在</w:t>
      </w:r>
    </w:p>
    <w:p>
      <w:pPr>
        <w:pStyle w:val="BodyText"/>
        <w:spacing w:line="477" w:lineRule="auto" w:before="54"/>
        <w:ind w:right="0"/>
        <w:jc w:val="left"/>
      </w:pPr>
      <w:r>
        <w:rPr>
          <w:spacing w:val="-2"/>
        </w:rPr>
        <w:t>审计报告中描述这些事项，除非法律法规禁止公开披露这些事项，或在极少数情形下，如果合理预期在审计报告中沟通某事</w:t>
      </w:r>
      <w:r>
        <w:rPr>
          <w:spacing w:val="-66"/>
        </w:rPr>
        <w:t> </w:t>
      </w:r>
      <w:r>
        <w:rPr>
          <w:spacing w:val="-66"/>
        </w:rPr>
      </w:r>
      <w:r>
        <w:rPr/>
        <w:t>项造成的负面后果超过在公众利益方面产生的益处，我们确定不应在审计报告中沟通该事项。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tabs>
          <w:tab w:pos="4880" w:val="left" w:leader="none"/>
        </w:tabs>
        <w:spacing w:line="240" w:lineRule="auto"/>
        <w:ind w:right="0"/>
        <w:jc w:val="left"/>
      </w:pPr>
      <w:r>
        <w:rPr/>
        <w:t>天健会计师事务所（特殊普通合伙）</w:t>
        <w:tab/>
        <w:t>中国注册会计师：禤文欣</w:t>
      </w:r>
    </w:p>
    <w:p>
      <w:pPr>
        <w:spacing w:line="240" w:lineRule="auto" w:before="10"/>
        <w:rPr>
          <w:rFonts w:ascii="宋体" w:hAnsi="宋体" w:cs="宋体" w:eastAsia="宋体" w:hint="default"/>
          <w:sz w:val="17"/>
          <w:szCs w:val="17"/>
        </w:rPr>
      </w:pPr>
    </w:p>
    <w:p>
      <w:pPr>
        <w:pStyle w:val="BodyText"/>
        <w:spacing w:line="240" w:lineRule="auto"/>
        <w:ind w:left="0" w:right="39"/>
        <w:jc w:val="center"/>
      </w:pPr>
      <w:r>
        <w:rPr/>
        <w:t>（项目合伙人）</w:t>
      </w:r>
    </w:p>
    <w:p>
      <w:pPr>
        <w:spacing w:line="240" w:lineRule="auto" w:before="10"/>
        <w:rPr>
          <w:rFonts w:ascii="宋体" w:hAnsi="宋体" w:cs="宋体" w:eastAsia="宋体" w:hint="default"/>
          <w:sz w:val="17"/>
          <w:szCs w:val="17"/>
        </w:rPr>
      </w:pPr>
    </w:p>
    <w:p>
      <w:pPr>
        <w:pStyle w:val="BodyText"/>
        <w:tabs>
          <w:tab w:pos="4631" w:val="left" w:leader="none"/>
        </w:tabs>
        <w:spacing w:line="240" w:lineRule="auto"/>
        <w:ind w:left="0" w:right="3714"/>
        <w:jc w:val="center"/>
      </w:pPr>
      <w:r>
        <w:rPr>
          <w:spacing w:val="-1"/>
        </w:rPr>
        <w:t>中国</w:t>
      </w:r>
      <w:r>
        <w:rPr>
          <w:rFonts w:ascii="Times New Roman" w:hAnsi="Times New Roman" w:cs="Times New Roman" w:eastAsia="Times New Roman" w:hint="default"/>
          <w:spacing w:val="-1"/>
        </w:rPr>
        <w:t>·</w:t>
      </w:r>
      <w:r>
        <w:rPr>
          <w:spacing w:val="-1"/>
        </w:rPr>
        <w:t>杭州</w:t>
        <w:tab/>
      </w:r>
      <w:r>
        <w:rPr/>
        <w:t>中国注册会计师：卢玲玉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left="4539" w:right="3714"/>
        <w:jc w:val="center"/>
      </w:pPr>
      <w:r>
        <w:rPr/>
        <w:t>二〇一九年四月十七日</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二、财务报表" w:id="154"/>
      <w:bookmarkEnd w:id="154"/>
      <w:r>
        <w:rPr>
          <w:b w:val="0"/>
          <w:bCs w:val="0"/>
        </w:rPr>
      </w:r>
      <w:r>
        <w:rPr/>
        <w:t>二、财务报表</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t>财务附注中报表的单位为：人民币元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1、合并资产负债表" w:id="155"/>
      <w:bookmarkEnd w:id="15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编制单位：浩云科技股份有限公司</w:t>
      </w:r>
    </w:p>
    <w:p>
      <w:pPr>
        <w:spacing w:line="240" w:lineRule="auto" w:before="10"/>
        <w:rPr>
          <w:rFonts w:ascii="宋体" w:hAnsi="宋体" w:cs="宋体" w:eastAsia="宋体" w:hint="default"/>
          <w:sz w:val="20"/>
          <w:szCs w:val="20"/>
        </w:rPr>
      </w:pPr>
    </w:p>
    <w:p>
      <w:pPr>
        <w:pStyle w:val="BodyText"/>
        <w:spacing w:line="240" w:lineRule="auto"/>
        <w:ind w:left="0" w:right="977"/>
        <w:jc w:val="center"/>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after="0" w:line="240" w:lineRule="auto"/>
        <w:jc w:val="cente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0" w:right="1130"/>
        <w:jc w:val="right"/>
      </w:pPr>
      <w:r>
        <w:rPr/>
        <w:t>单位：元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474,556,354.49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407,539,964.62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320,443,778.44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240,173,912.52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320,263,778.44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240,173,912.52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24,125,058.04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25,782,352.46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19,092,638.98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17,111,171.06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695,725.48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705,143.84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151,342,880.49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134,551,792.21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119,037,741.97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87,858,396.76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1,108,598,452.41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913,017,589.63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75,220,907.64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33,037,709.14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257,252,488.54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303,393,574.35</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1,236,854.70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16,952,910.57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25,980,229.64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16,027,944.90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5,530,382.01</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106,053,284.20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47,382,353.08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2,170,623.63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2,735,250.43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8,842,742.36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5,366,511.25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1,096,100.43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1,470,152.50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501,383,613.15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436,366,406.22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1,609,982,065.56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1,349,383,995.85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61,441,136.39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25,471,007.13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42,565,744.39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65,932,152.38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17,677,183.27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16,530,620.96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43,220,830.24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27,877,304.33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99,765,012.48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20,674,109.76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85,385.62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176,970.98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278,669,906.77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175,935,194.56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188,923.20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188,923.20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5,578,225.90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7,916,002.20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5,767,149.10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8,104,925.40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284,437,055.87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184,040,119.96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408,490,226.00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218,370,659.00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504,973,328.75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591,728,515.76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113,067,750.83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17,966,615.03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45,887,798.57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36,755,219.51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411,342,892.28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302,523,866.21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1,257,626,494.77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1,131,411,645.45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67,918,514.92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33,932,230.44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1,325,545,009.69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1,165,343,875.89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1,609,982,065.56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1,349,383,995.85</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法定代表人：雷洪文</w:t>
        <w:tab/>
        <w:t>主管会计工作负责人：王汉晖</w:t>
        <w:tab/>
        <w:t>会计机构负责人：简玉琴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6"/>
      <w:bookmarkEnd w:id="15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3"/>
        <w:gridCol w:w="3318"/>
        <w:gridCol w:w="2966"/>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312,040,432.39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343,563,718.20</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227,215,753.81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179,180,562.67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227,215,753.81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179,180,562.67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15,808,383.91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17,835,565.86</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27,851,460.26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17,638,478.73</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695,725.48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705,143.84</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128,656,956.61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119,399,572.21</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118,846,178.86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79,940,343.09</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830,419,165.84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757,558,240.76</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254,591,771.87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193,362,871.87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75,220,907.64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33,037,709.14</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203,285,721.62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245,187,224.18</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11,254,100.00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7,953,307.76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9,309,949.43</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5,530,382.01</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1,214,160.23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1,331,277.75</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6,244,099.59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4,277,436.11</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555,040,350.72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498,835,568.48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1,385,459,516.56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1,256,393,809.24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21,036,608.91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9,548,999.49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21,647,056.44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61,197,305.97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14,466,021.04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13,991,700.01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20,764,003.99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14,546,499.95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177,992,942.27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96,606,246.37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85,385.62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176,970.98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255,906,632.65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203,340,751.79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188,923.20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188,923.20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188,923.20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2,588,923.20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256,095,555.85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205,929,674.99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408,490,226.00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218,370,659.00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506,561,100.60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591,731,752.71</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113,067,750.83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17,966,615.03</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45,987,939.90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36,855,360.84</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281,392,445.04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221,472,976.73</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1,129,363,960.71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1,050,464,134.25</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1,385,459,516.56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1,256,393,809.24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7"/>
      <w:bookmarkEnd w:id="15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765,302,136.94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569,795,019.21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765,302,136.94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569,795,019.21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600,602,917.72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446,343,299.94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409,736,762.96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290,203,313.53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6,448,552.47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4,679,987.66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61,712,303.71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53,188,560.41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68,005,664.55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47,073,628.93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42,856,277.15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47,098,182.32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-717,159.63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1,822,955.26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478,781.06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2,457,990.16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1,337,644.28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856,269.15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12,560,516.51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2,276,671.83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9,294,532.48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9,708,291.47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5,434,861.46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705,677.70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179,428,613.16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133,865,688.44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1,639,288.38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1,258,877.79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194,076.06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112,401.11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180,873,825.48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135,012,165.12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22,760,888.60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15,702,441.15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158,112,936.88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119,309,723.97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158,112,936.88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119,309,723.97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140,225,348.38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111,185,107.71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17,887,588.50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8,124,616.26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158,112,936.88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119,309,723.97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140,225,348.38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111,185,107.71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17,887,588.50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8,124,616.26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bl>
    <w:p>
      <w:pPr>
        <w:pStyle w:val="BodyText"/>
        <w:tabs>
          <w:tab w:pos="357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法定代表人：雷洪文</w:t>
        <w:tab/>
        <w:t>主管会计工作负责人：王汉晖</w:t>
        <w:tab/>
        <w:t>会计机构负责人：简玉琴 </w:t>
      </w:r>
      <w:bookmarkStart w:name="4、母公司利润表" w:id="158"/>
      <w:bookmarkEnd w:id="15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553,763,158.87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453,161,003.21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312,785,781.21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260,687,109.00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5,232,484.94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3,876,937.56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56,979,135.97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49,611,415.14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50,838,200.57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36,742,548.42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27,127,793.15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32,068,055.20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-839,636.02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1,268,641.19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1"/>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162,037.50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1,879,567.03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1,117,159.84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739,049.27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7,255,894.24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1,248,543.62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4,553,862.51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3,006,974.93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5,434,861.46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665,230.04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104,372,228.78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71,329,958.05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543,449.88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408,794.75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100,616.47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59,777.33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104,815,062.19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71,678,975.47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13,489,271.57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8,163,198.36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91,325,790.62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63,515,777.11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91,325,790.62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63,515,777.11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91,325,790.62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63,515,777.11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59"/>
      <w:bookmarkEnd w:id="15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734,520,596.71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657,569,914.24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17,053,675.69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4,109,961.38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6,275,928.64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10,598,168.45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757,850,201.04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672,278,044.07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366,210,195.00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323,713,318.65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149,291,969.25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147,582,985.87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46,166,907.55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46,600,271.75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57,671,860.15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41,855,801.61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619,340,931.95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559,752,377.88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138,509,269.09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112,525,666.19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5,770,371.52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40,447.66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125,832.04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36,256.00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468,896,203.56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18,076,703.66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29,347,711.16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191,225,131.47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126,083,700.00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54,880,790.98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605,228,502.14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317,308,831.47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-136,332,298.58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-299,232,127.81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103,258,756.55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346,386,124.68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99,164,755.25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132,258,756.55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445,550,879.93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91,993,125.37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23,350,165.06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20,160,214.89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34,819,563.93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2,319,919.05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78,619,728.99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114,473,259.31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53,639,027.56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331,077,620.62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55,815,998.07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144,371,159.00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406,401,420.74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262,030,261.74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462,217,418.81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406,401,420.74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0"/>
      <w:bookmarkEnd w:id="16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525,334,371.18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532,348,208.41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5,983,951.45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3,722,851.06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68,114,916.16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535,041,173.69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600,463,124.57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298,935,212.99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300,034,424.77</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124,136,219.49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125,227,705.16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30,961,402.74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32,774,953.84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48,151,156.57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35,109,582.43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502,183,991.79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493,146,666.20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32,857,181.90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107,316,458.37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5,770,371.52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125,832.04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36,256.00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468,896,203.56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36,256.00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7,379,094.09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159,388,037.94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124,083,700.00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578,679,094.09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283,471,737.94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-109,782,890.53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-283,435,481.94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88,415,656.55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346,386,124.68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84,164,755.25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88,415,656.55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430,550,879.93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86,193,125.37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22,646,741.18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19,581,791.76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20,705,344.25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2,249,919.05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50,802,085.43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108,024,836.18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37,613,571.12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322,526,043.75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-39,312,137.51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146,407,020.18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342,531,173.84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196,124,153.66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303,219,036.33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342,531,173.84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61"/>
      <w:bookmarkEnd w:id="16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0"/>
        <w:gridCol w:w="551"/>
        <w:gridCol w:w="530"/>
        <w:gridCol w:w="532"/>
        <w:gridCol w:w="530"/>
        <w:gridCol w:w="665"/>
        <w:gridCol w:w="665"/>
        <w:gridCol w:w="665"/>
        <w:gridCol w:w="665"/>
        <w:gridCol w:w="664"/>
        <w:gridCol w:w="666"/>
        <w:gridCol w:w="665"/>
        <w:gridCol w:w="665"/>
        <w:gridCol w:w="659"/>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218,37</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0,659.</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591,728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,515.76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17,966,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615.03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36,755,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219.51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302,523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,866.21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33,932,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230.44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43,875.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r>
      <w:tr>
        <w:trPr>
          <w:trHeight w:val="392"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218,37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0,659.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591,728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,515.76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17,966,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615.03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36,755,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219.51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302,523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,866.21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33,932,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230.44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43,875.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190,11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9,567.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-86,755,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187.01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95,101,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135.80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9,132,5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79.06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108,819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,026.07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33,986,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284.48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160,201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,133.80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140,225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,348.38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17,887,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588.50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158,112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,936.88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71,306,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327.89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95,101,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135.80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16,427,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634.90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8,055,8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72.99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72,801,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037.55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14,843,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103,258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,756.55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88,706,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650.68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1,584,5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34.90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-87,122,</w:t>
            </w:r>
          </w:p>
          <w:p>
            <w:pPr>
              <w:pStyle w:val="TableParagraph"/>
              <w:spacing w:line="240" w:lineRule="auto" w:before="106"/>
              <w:ind w:left="112" w:right="0"/>
              <w:jc w:val="center"/>
              <w:rPr>
                <w:rFonts w:ascii="Times New Roman" w:hAnsi="Times New Roman" w:cs="Times New Roman" w:eastAsia="Times New Roman" w:hint="default"/>
                <w:sz w:val="18"/>
                <w:szCs w:val="18"/>
              </w:rPr>
            </w:pPr>
            <w:r>
              <w:rPr>
                <w:rFonts w:ascii="Times New Roman"/>
                <w:sz w:val="18"/>
              </w:rPr>
              <w:t>115.78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-191,5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-1,494,7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09.66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6,394,4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85.12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-8,080,7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67.78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9,132,5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79.06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-31,406,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322.31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-22,273,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743.25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9,132,5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79.06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-9,132,5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79.06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-22,273,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743.25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-22,273,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743.25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174,69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6,521.</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-174,69</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6,521.0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174,69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6,521.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-174,69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6,521.0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16,635,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006.10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-328,93</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16,306,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067.18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408,49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0,226.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504,973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,328.75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113,067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,750.83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45,887,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798.57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411,342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,892.28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67,918,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514.92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45,009.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202,40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1,442.</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257,160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,617.78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30,809,</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pacing w:val="-3"/>
                <w:sz w:val="18"/>
              </w:rPr>
              <w:t>111.03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30,403,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641.80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215,291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,873.17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25,874,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377.23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700,322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,840.95</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202,40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257,160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30,809,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30,403,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215,291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25,874,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700,322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1,442.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,617.78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0" w:right="0"/>
              <w:jc w:val="left"/>
              <w:rPr>
                <w:rFonts w:ascii="Times New Roman" w:hAnsi="Times New Roman" w:cs="Times New Roman" w:eastAsia="Times New Roman" w:hint="default"/>
                <w:sz w:val="18"/>
                <w:szCs w:val="18"/>
              </w:rPr>
            </w:pPr>
            <w:r>
              <w:rPr>
                <w:rFonts w:ascii="Times New Roman"/>
                <w:spacing w:val="-3"/>
                <w:sz w:val="18"/>
              </w:rPr>
              <w:t>111.03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641.80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,873.17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377.23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,840.95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15,969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,217.0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334,567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,897.98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-12,842,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496.00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6,351,5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77.71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87,231,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993.04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8,057,8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53.21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465,021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,034.94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111,185,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107.71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8,124,6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16.26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119,309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,723.97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15,969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,217.0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328,759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,854.73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-12,842,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496.00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-66,763</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357,504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,804.68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15,945</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,368.0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328,628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,604.48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344,573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,972.48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149,40</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1,662,7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52.20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1,817,1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-125,5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-1,531,5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01.95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-14,659,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648.20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-66,763</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12,935,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832.20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6,351,5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77.71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-23,953,</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114.67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-17,601,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536.96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6,351,5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77.71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-6,351,5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77.71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-17,601,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536.96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-17,601,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536.96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5,808,0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43.25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5,808,0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43.25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218,37</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0,659.</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591,728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,515.76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615.03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36,755,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219.51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302,523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,866.21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33,932,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230.44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1,165,3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43,875.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62"/>
      <w:bookmarkEnd w:id="16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218,370,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659.00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591,731,7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52.71</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17,966,61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5.03</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36,855,36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0.84</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221,472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,976.73</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1,050,464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,134.25</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218,370,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659.00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591,731,7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52.71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17,966,61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36,855,36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0.84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221,472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,976.73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1,050,464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,134.25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190,119,</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567.00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-85,170,6</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52.11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95,101,13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9,132,579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59,919,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468.31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78,899,82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6.46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91,325,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790.62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91,325,79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0.62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15,423,0</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71,306,32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95,101,13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-8,371,76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1.91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15,614,6</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72,801,03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88,415,65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6.55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88,706,65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-88,706,6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50.68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-191,57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-1,494,70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6,394,485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-8,080,76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7.78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9,132,579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-31,406,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322.31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-22,273,7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43.25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9,132,579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-9,132,5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79.06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-22,273,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743.25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-22,273,7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43.25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174,696,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521.00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-174,696,</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521.00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174,696,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521.00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-174,696,</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521.00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18,219,54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18,219,54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408,490,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506,561,1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113,067,7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50.83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45,987,93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9.90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281,392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,445.04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1,129,363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,960.71</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58"/>
        <w:gridCol w:w="675"/>
        <w:gridCol w:w="665"/>
        <w:gridCol w:w="665"/>
        <w:gridCol w:w="665"/>
        <w:gridCol w:w="797"/>
        <w:gridCol w:w="798"/>
        <w:gridCol w:w="798"/>
        <w:gridCol w:w="798"/>
        <w:gridCol w:w="797"/>
        <w:gridCol w:w="676"/>
        <w:gridCol w:w="781"/>
      </w:tblGrid>
      <w:tr>
        <w:trPr>
          <w:trHeight w:val="397" w:hRule="exact"/>
        </w:trPr>
        <w:tc>
          <w:tcPr>
            <w:tcW w:w="14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1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6"/>
              <w:jc w:val="center"/>
              <w:rPr>
                <w:rFonts w:ascii="宋体" w:hAnsi="宋体" w:cs="宋体" w:eastAsia="宋体" w:hint="default"/>
                <w:sz w:val="18"/>
                <w:szCs w:val="18"/>
              </w:rPr>
            </w:pPr>
            <w:r>
              <w:rPr>
                <w:rFonts w:ascii="宋体" w:hAnsi="宋体" w:cs="宋体" w:eastAsia="宋体" w:hint="default"/>
                <w:sz w:val="18"/>
                <w:szCs w:val="18"/>
              </w:rPr>
              <w:t>项目</w:t>
            </w: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58" w:type="dxa"/>
            <w:vMerge/>
            <w:tcBorders>
              <w:left w:val="single" w:sz="4" w:space="0" w:color="000000"/>
              <w:bottom w:val="nil" w:sz="6" w:space="0" w:color="auto"/>
              <w:right w:val="single" w:sz="4" w:space="0" w:color="000000"/>
            </w:tcBorders>
            <w:shd w:val="clear" w:color="auto" w:fill="D2D2D2"/>
          </w:tcPr>
          <w:p>
            <w:pPr/>
          </w:p>
        </w:tc>
        <w:tc>
          <w:tcPr>
            <w:tcW w:w="6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58" w:type="dxa"/>
            <w:vMerge w:val="restart"/>
            <w:tcBorders>
              <w:top w:val="nil" w:sz="6" w:space="0" w:color="auto"/>
              <w:left w:val="single" w:sz="4" w:space="0" w:color="000000"/>
              <w:right w:val="single" w:sz="4" w:space="0" w:color="000000"/>
            </w:tcBorders>
            <w:shd w:val="clear" w:color="auto" w:fill="D2D2D2"/>
          </w:tcPr>
          <w:p>
            <w:pPr/>
          </w:p>
        </w:tc>
        <w:tc>
          <w:tcPr>
            <w:tcW w:w="67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58" w:type="dxa"/>
            <w:vMerge/>
            <w:tcBorders>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58"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vMerge w:val="restart"/>
            <w:tcBorders>
              <w:top w:val="single" w:sz="4" w:space="0" w:color="000000"/>
              <w:left w:val="single" w:sz="10" w:space="0" w:color="D2D2D2"/>
              <w:right w:val="single" w:sz="4" w:space="0" w:color="000000"/>
            </w:tcBorders>
          </w:tcPr>
          <w:p>
            <w:pPr>
              <w:pStyle w:val="TableParagraph"/>
              <w:spacing w:line="240" w:lineRule="auto" w:before="92"/>
              <w:ind w:right="17"/>
              <w:jc w:val="center"/>
              <w:rPr>
                <w:rFonts w:ascii="Times New Roman" w:hAnsi="Times New Roman" w:cs="Times New Roman" w:eastAsia="Times New Roman" w:hint="default"/>
                <w:sz w:val="18"/>
                <w:szCs w:val="18"/>
              </w:rPr>
            </w:pPr>
            <w:r>
              <w:rPr>
                <w:rFonts w:ascii="Times New Roman"/>
                <w:sz w:val="18"/>
              </w:rPr>
              <w:t>202,401,</w:t>
            </w:r>
          </w:p>
          <w:p>
            <w:pPr>
              <w:pStyle w:val="TableParagraph"/>
              <w:spacing w:line="240" w:lineRule="auto" w:before="105"/>
              <w:ind w:left="116" w:right="0"/>
              <w:jc w:val="center"/>
              <w:rPr>
                <w:rFonts w:ascii="Times New Roman" w:hAnsi="Times New Roman" w:cs="Times New Roman" w:eastAsia="Times New Roman" w:hint="default"/>
                <w:sz w:val="18"/>
                <w:szCs w:val="18"/>
              </w:rPr>
            </w:pPr>
            <w:r>
              <w:rPr>
                <w:rFonts w:ascii="Times New Roman"/>
                <w:sz w:val="18"/>
              </w:rPr>
              <w:t>442.00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257,160,6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17.78</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30,809,11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1.03</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30,503,78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3.13</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181,910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,314.29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641,167,0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46.17</w:t>
            </w:r>
          </w:p>
        </w:tc>
      </w:tr>
      <w:tr>
        <w:trPr>
          <w:trHeight w:val="391" w:hRule="exact"/>
        </w:trPr>
        <w:tc>
          <w:tcPr>
            <w:tcW w:w="14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75"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58"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202,401,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257,160,6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17.78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30,809,11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30,503,78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181,910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,314.29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641,167,0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46.17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15,969,2</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17.00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334,571,1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34.93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-12,842,4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96.00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6,351,577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39,562,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662.44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409,297,0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88.08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63,515,</w:t>
            </w:r>
          </w:p>
          <w:p>
            <w:pPr>
              <w:pStyle w:val="TableParagraph"/>
              <w:spacing w:line="240" w:lineRule="auto" w:before="106"/>
              <w:ind w:left="154" w:right="0"/>
              <w:jc w:val="left"/>
              <w:rPr>
                <w:rFonts w:ascii="Times New Roman" w:hAnsi="Times New Roman" w:cs="Times New Roman" w:eastAsia="Times New Roman" w:hint="default"/>
                <w:sz w:val="18"/>
                <w:szCs w:val="18"/>
              </w:rPr>
            </w:pPr>
            <w:r>
              <w:rPr>
                <w:rFonts w:ascii="Times New Roman"/>
                <w:sz w:val="18"/>
              </w:rPr>
              <w:t>777.11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63,515,77</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7.11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15,969,2</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17.00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328,763,0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91.68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-12,842,4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96.00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357,574,8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04.68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15,945,3</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328,628,6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04.48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344,573,9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72.48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1,662,752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1,817,152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-125,55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-1,528,26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-14,659,6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48.20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13,005,83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6,351,577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-23,953,</w:t>
            </w:r>
          </w:p>
          <w:p>
            <w:pPr>
              <w:pStyle w:val="TableParagraph"/>
              <w:spacing w:line="240" w:lineRule="auto" w:before="106"/>
              <w:ind w:left="131" w:right="0"/>
              <w:jc w:val="center"/>
              <w:rPr>
                <w:rFonts w:ascii="Times New Roman" w:hAnsi="Times New Roman" w:cs="Times New Roman" w:eastAsia="Times New Roman" w:hint="default"/>
                <w:sz w:val="18"/>
                <w:szCs w:val="18"/>
              </w:rPr>
            </w:pPr>
            <w:r>
              <w:rPr>
                <w:rFonts w:ascii="Times New Roman"/>
                <w:sz w:val="18"/>
              </w:rPr>
              <w:t>114.67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-17,601,5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36.96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6,351,577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-6,351,5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77.71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-17,601,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536.96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-17,601,5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36.96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5,808,043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5,808,043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218,370,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659.00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591,731,7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52.71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17,966,61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36,855,36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221,472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,976.73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1,050,464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,134.25</w:t>
            </w:r>
          </w:p>
        </w:tc>
      </w:tr>
    </w:tbl>
    <w:p>
      <w:pPr>
        <w:spacing w:line="240" w:lineRule="auto" w:before="4"/>
        <w:rPr>
          <w:rFonts w:ascii="Times New Roman" w:hAnsi="Times New Roman" w:cs="Times New Roman" w:eastAsia="Times New Roman" w:hint="default"/>
          <w:sz w:val="27"/>
          <w:szCs w:val="27"/>
        </w:rPr>
      </w:pPr>
    </w:p>
    <w:p>
      <w:pPr>
        <w:pStyle w:val="Heading2"/>
        <w:spacing w:line="240" w:lineRule="auto" w:before="26"/>
        <w:ind w:right="0"/>
        <w:jc w:val="left"/>
        <w:rPr>
          <w:b w:val="0"/>
          <w:bCs w:val="0"/>
        </w:rPr>
      </w:pPr>
      <w:bookmarkStart w:name="三、公司基本情况" w:id="163"/>
      <w:bookmarkEnd w:id="163"/>
      <w:r>
        <w:rPr>
          <w:b w:val="0"/>
          <w:bCs w:val="0"/>
        </w:rPr>
      </w:r>
      <w:r>
        <w:rPr/>
        <w:t>三、公司基本情况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r>
        <w:rPr>
          <w:rFonts w:ascii="Times New Roman" w:hAnsi="Times New Roman" w:cs="Times New Roman" w:eastAsia="Times New Roman" w:hint="default"/>
        </w:rPr>
        <w:t>1</w:t>
      </w:r>
      <w:r>
        <w:rPr/>
        <w:t>、公司概况</w:t>
      </w:r>
      <w:r>
        <w:rPr>
          <w:b w:val="0"/>
          <w:bCs w:val="0"/>
        </w:rPr>
      </w:r>
    </w:p>
    <w:p>
      <w:pPr>
        <w:spacing w:line="240" w:lineRule="auto" w:before="6"/>
        <w:rPr>
          <w:rFonts w:ascii="宋体" w:hAnsi="宋体" w:cs="宋体" w:eastAsia="宋体" w:hint="default"/>
          <w:b/>
          <w:bCs/>
          <w:sz w:val="15"/>
          <w:szCs w:val="15"/>
        </w:rPr>
      </w:pPr>
    </w:p>
    <w:p>
      <w:pPr>
        <w:pStyle w:val="BodyText"/>
        <w:spacing w:line="463" w:lineRule="auto"/>
        <w:ind w:left="516" w:right="6595"/>
        <w:jc w:val="left"/>
      </w:pPr>
      <w:r>
        <w:rPr/>
        <w:t>公司注册中文名称：浩云科技股份有限公司 公司注册英文名称：</w:t>
      </w:r>
      <w:r>
        <w:rPr>
          <w:rFonts w:ascii="Times New Roman" w:hAnsi="Times New Roman" w:cs="Times New Roman" w:eastAsia="Times New Roman" w:hint="default"/>
        </w:rPr>
        <w:t>Haoyun Technologies</w:t>
      </w:r>
      <w:r>
        <w:rPr>
          <w:rFonts w:ascii="Times New Roman" w:hAnsi="Times New Roman" w:cs="Times New Roman" w:eastAsia="Times New Roman" w:hint="default"/>
          <w:spacing w:val="-5"/>
        </w:rPr>
        <w:t> </w:t>
      </w:r>
      <w:r>
        <w:rPr>
          <w:rFonts w:ascii="Times New Roman" w:hAnsi="Times New Roman" w:cs="Times New Roman" w:eastAsia="Times New Roman" w:hint="default"/>
        </w:rPr>
        <w:t>Co.,Ltd</w:t>
      </w:r>
      <w:r>
        <w:rPr>
          <w:rFonts w:ascii="Times New Roman" w:hAnsi="Times New Roman" w:cs="Times New Roman" w:eastAsia="Times New Roman" w:hint="default"/>
        </w:rPr>
        <w:t> </w:t>
      </w:r>
      <w:r>
        <w:rPr/>
        <w:t>公司简称：浩云科技</w:t>
      </w:r>
    </w:p>
    <w:p>
      <w:pPr>
        <w:pStyle w:val="BodyText"/>
        <w:spacing w:line="451" w:lineRule="auto" w:before="65"/>
        <w:ind w:left="516" w:right="7285"/>
        <w:jc w:val="left"/>
      </w:pPr>
      <w:r>
        <w:rPr/>
        <w:t>股票代码：</w:t>
      </w:r>
      <w:r>
        <w:rPr>
          <w:rFonts w:ascii="Times New Roman" w:hAnsi="Times New Roman" w:cs="Times New Roman" w:eastAsia="Times New Roman" w:hint="default"/>
        </w:rPr>
        <w:t>300448 </w:t>
      </w:r>
      <w:r>
        <w:rPr/>
        <w:t>注册资本与实收资本：</w:t>
      </w:r>
      <w:r>
        <w:rPr>
          <w:rFonts w:ascii="Times New Roman" w:hAnsi="Times New Roman" w:cs="Times New Roman" w:eastAsia="Times New Roman" w:hint="default"/>
        </w:rPr>
        <w:t>408,405,465.00</w:t>
      </w:r>
      <w:r>
        <w:rPr/>
        <w:t>元 法定代表人：雷洪文</w:t>
      </w:r>
    </w:p>
    <w:p>
      <w:pPr>
        <w:pStyle w:val="BodyText"/>
        <w:spacing w:line="451" w:lineRule="auto" w:before="74"/>
        <w:ind w:left="516" w:right="3370"/>
        <w:jc w:val="left"/>
      </w:pPr>
      <w:r>
        <w:rPr/>
        <w:t>注册地址（总部地址）：广州市番禺区东环街番禺大道北</w:t>
      </w:r>
      <w:r>
        <w:rPr>
          <w:rFonts w:ascii="Times New Roman" w:hAnsi="Times New Roman" w:cs="Times New Roman" w:eastAsia="Times New Roman" w:hint="default"/>
        </w:rPr>
        <w:t>555</w:t>
      </w:r>
      <w:r>
        <w:rPr/>
        <w:t>号天安总部中心</w:t>
      </w:r>
      <w:r>
        <w:rPr>
          <w:rFonts w:ascii="Times New Roman" w:hAnsi="Times New Roman" w:cs="Times New Roman" w:eastAsia="Times New Roman" w:hint="default"/>
        </w:rPr>
        <w:t>22</w:t>
      </w:r>
      <w:r>
        <w:rPr/>
        <w:t>号楼</w:t>
      </w:r>
      <w:r>
        <w:rPr>
          <w:rFonts w:ascii="Times New Roman" w:hAnsi="Times New Roman" w:cs="Times New Roman" w:eastAsia="Times New Roman" w:hint="default"/>
        </w:rPr>
        <w:t>102</w:t>
      </w:r>
      <w:r>
        <w:rPr/>
        <w:t>房 公司类型：股份有限公司（上市、自然人投资或控股）</w:t>
      </w:r>
    </w:p>
    <w:p>
      <w:pPr>
        <w:pStyle w:val="Heading3"/>
        <w:spacing w:line="240" w:lineRule="auto" w:before="48"/>
        <w:ind w:right="0"/>
        <w:jc w:val="left"/>
        <w:rPr>
          <w:b w:val="0"/>
          <w:bCs w:val="0"/>
        </w:rPr>
      </w:pPr>
      <w:r>
        <w:rPr>
          <w:rFonts w:ascii="Times New Roman" w:hAnsi="Times New Roman" w:cs="Times New Roman" w:eastAsia="Times New Roman" w:hint="default"/>
        </w:rPr>
        <w:t>2</w:t>
      </w:r>
      <w:r>
        <w:rPr/>
        <w:t>、公司业务性质及经营范围</w:t>
      </w:r>
      <w:r>
        <w:rPr>
          <w:b w:val="0"/>
          <w:bCs w:val="0"/>
        </w:rPr>
      </w:r>
    </w:p>
    <w:p>
      <w:pPr>
        <w:spacing w:line="240" w:lineRule="auto" w:before="6"/>
        <w:rPr>
          <w:rFonts w:ascii="宋体" w:hAnsi="宋体" w:cs="宋体" w:eastAsia="宋体" w:hint="default"/>
          <w:b/>
          <w:bCs/>
          <w:sz w:val="15"/>
          <w:szCs w:val="15"/>
        </w:rPr>
      </w:pPr>
    </w:p>
    <w:p>
      <w:pPr>
        <w:pStyle w:val="BodyText"/>
        <w:spacing w:line="472" w:lineRule="auto"/>
        <w:ind w:right="0" w:firstLine="360"/>
        <w:jc w:val="left"/>
        <w:rPr>
          <w:rFonts w:ascii="宋体" w:hAnsi="宋体" w:cs="宋体" w:eastAsia="宋体" w:hint="default"/>
          <w:sz w:val="21"/>
          <w:szCs w:val="21"/>
        </w:rPr>
      </w:pPr>
      <w:r>
        <w:rPr>
          <w:spacing w:val="-2"/>
        </w:rPr>
        <w:t>公司行业性质为软件和信息技术服务业，经营范围为：计算机技术开发、技术服务；安全技术防范系统设计、施工、维</w:t>
      </w:r>
      <w:r>
        <w:rPr/>
        <w:t> </w:t>
      </w:r>
      <w:r>
        <w:rPr>
          <w:spacing w:val="-2"/>
        </w:rPr>
        <w:t>修；安全技术防范产品批发；安全技术防范产品零售；信息系统集成服务；计算机网络系统工程服务；电子产品批发；电子</w:t>
      </w:r>
      <w:r>
        <w:rPr>
          <w:spacing w:val="-68"/>
        </w:rPr>
        <w:t> </w:t>
      </w:r>
      <w:r>
        <w:rPr>
          <w:spacing w:val="-68"/>
        </w:rPr>
      </w:r>
      <w:r>
        <w:rPr>
          <w:spacing w:val="-4"/>
        </w:rPr>
        <w:t>产品零售；安全技术防范产品制造；网络技术的研究、开发；智能化安装工程服务；场地租赁（不含仓储）；机械设备租赁；</w:t>
      </w:r>
      <w:r>
        <w:rPr>
          <w:spacing w:val="-46"/>
        </w:rPr>
        <w:t> </w:t>
      </w:r>
      <w:r>
        <w:rPr>
          <w:spacing w:val="-46"/>
        </w:rPr>
      </w:r>
      <w:r>
        <w:rPr>
          <w:spacing w:val="-2"/>
        </w:rPr>
        <w:t>房屋租赁；计算机及通讯设备租赁；机电设备安装服务；机电设备安装工程专业承包；防雷工程专业施工；防雷工程专业设</w:t>
      </w:r>
      <w:r>
        <w:rPr>
          <w:spacing w:val="-66"/>
        </w:rPr>
        <w:t> </w:t>
      </w:r>
      <w:r>
        <w:rPr>
          <w:spacing w:val="-66"/>
        </w:rPr>
      </w:r>
      <w:r>
        <w:rPr/>
        <w:t>计服务；电子设备工程安装服务；受金融机构委托从事金融信息技术外包服务。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、本财务报表经公司董事会于</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日批准报出。</w:t>
      </w:r>
      <w:r>
        <w:rPr>
          <w:rFonts w:ascii="宋体" w:hAnsi="宋体" w:cs="宋体" w:eastAsia="宋体" w:hint="default"/>
          <w:sz w:val="21"/>
          <w:szCs w:val="21"/>
        </w:rPr>
      </w:r>
    </w:p>
    <w:p>
      <w:pPr>
        <w:pStyle w:val="Heading3"/>
        <w:spacing w:line="243" w:lineRule="exact"/>
        <w:ind w:right="0"/>
        <w:jc w:val="left"/>
        <w:rPr>
          <w:b w:val="0"/>
          <w:bCs w:val="0"/>
        </w:rPr>
      </w:pP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日，公司合并范围内的子公司包括：广州市浩云安防设备有限公司、广州市苏瑞计</w:t>
      </w:r>
      <w:r>
        <w:rPr>
          <w:b w:val="0"/>
          <w:bCs w:val="0"/>
        </w:rPr>
      </w:r>
    </w:p>
    <w:p>
      <w:pPr>
        <w:pStyle w:val="Heading3"/>
        <w:spacing w:line="408" w:lineRule="auto" w:before="177"/>
        <w:ind w:right="0"/>
        <w:jc w:val="left"/>
        <w:rPr>
          <w:b w:val="0"/>
          <w:bCs w:val="0"/>
        </w:rPr>
      </w:pPr>
      <w:r>
        <w:rPr>
          <w:spacing w:val="-1"/>
          <w:w w:val="95"/>
        </w:rPr>
        <w:t>算机科技有限公司、重庆浩云公共安全物联网技术有限公司、深圳市润安科技发展有限公司、西藏浩云创</w:t>
      </w:r>
      <w:r>
        <w:rPr>
          <w:spacing w:val="58"/>
          <w:w w:val="95"/>
        </w:rPr>
        <w:t> </w:t>
      </w:r>
      <w:r>
        <w:rPr>
          <w:spacing w:val="58"/>
          <w:w w:val="95"/>
        </w:rPr>
      </w:r>
      <w:r>
        <w:rPr>
          <w:spacing w:val="-1"/>
          <w:w w:val="95"/>
        </w:rPr>
        <w:t>业投资有限公司、广州浩昀宏信息技术有限公司、武汉浩立威保安服务有限公司、广东冠网信息科技有限</w:t>
      </w:r>
      <w:r>
        <w:rPr>
          <w:b w:val="0"/>
          <w:bCs w:val="0"/>
          <w:spacing w:val="-1"/>
        </w:rPr>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Heading3"/>
        <w:spacing w:line="398" w:lineRule="auto" w:before="174"/>
        <w:ind w:right="1137"/>
        <w:jc w:val="both"/>
        <w:rPr>
          <w:b w:val="0"/>
          <w:bCs w:val="0"/>
        </w:rPr>
      </w:pPr>
      <w:r>
        <w:rPr/>
        <w:t>公司、辛集市浩云智慧城市科技有限公司和广州市浩耘元鸿信息技术有限公司（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月已注销）十家</w:t>
      </w:r>
      <w:r>
        <w:rPr>
          <w:w w:val="99"/>
        </w:rPr>
        <w:t> </w:t>
      </w:r>
      <w:r>
        <w:rPr>
          <w:spacing w:val="-1"/>
          <w:w w:val="95"/>
        </w:rPr>
        <w:t>子公司纳入本期合并财务报表范围，情况详见本财务报表附注合并范围的变更和在其他主体中的权益之说</w:t>
      </w:r>
      <w:r>
        <w:rPr>
          <w:w w:val="95"/>
        </w:rPr>
        <w:t>   </w:t>
      </w:r>
      <w:r>
        <w:rPr>
          <w:spacing w:val="60"/>
          <w:w w:val="95"/>
        </w:rPr>
        <w:t> </w:t>
      </w:r>
      <w:r>
        <w:rPr>
          <w:spacing w:val="60"/>
          <w:w w:val="95"/>
        </w:rPr>
      </w:r>
      <w:r>
        <w:rPr/>
        <w:t>明。</w:t>
      </w:r>
      <w:r>
        <w:rPr>
          <w:b w:val="0"/>
          <w:bCs w:val="0"/>
        </w:rPr>
      </w:r>
    </w:p>
    <w:p>
      <w:pPr>
        <w:pStyle w:val="BodyText"/>
        <w:spacing w:line="240" w:lineRule="auto" w:before="80"/>
        <w:ind w:right="0"/>
        <w:jc w:val="both"/>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both"/>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both"/>
        <w:rPr>
          <w:b w:val="0"/>
          <w:bCs w:val="0"/>
        </w:rPr>
      </w:pPr>
      <w:bookmarkStart w:name="1、编制基础" w:id="165"/>
      <w:bookmarkEnd w:id="16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both"/>
      </w:pPr>
      <w:r>
        <w:rPr/>
        <w:t>本公司财务报表以持续经营为编制基础。</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2、持续经营" w:id="166"/>
      <w:bookmarkEnd w:id="16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both"/>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both"/>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0"/>
        <w:rPr>
          <w:rFonts w:ascii="宋体" w:hAnsi="宋体" w:cs="宋体" w:eastAsia="宋体" w:hint="default"/>
          <w:b/>
          <w:bCs/>
          <w:sz w:val="24"/>
          <w:szCs w:val="24"/>
        </w:rPr>
      </w:pPr>
    </w:p>
    <w:p>
      <w:pPr>
        <w:pStyle w:val="BodyText"/>
        <w:spacing w:line="516" w:lineRule="auto" w:before="190"/>
        <w:ind w:right="7692"/>
        <w:jc w:val="left"/>
      </w:pPr>
      <w:r>
        <w:rPr/>
        <w:t>公司是否需要遵守特殊行业的披露要求 是</w:t>
      </w:r>
    </w:p>
    <w:p>
      <w:pPr>
        <w:pStyle w:val="BodyText"/>
        <w:spacing w:line="516" w:lineRule="auto" w:before="66"/>
        <w:ind w:right="8232"/>
        <w:jc w:val="left"/>
      </w:pPr>
      <w:r>
        <w:rPr/>
        <w:t>软件与信息技术服务业 具体会计政策和会计估计提示：</w:t>
      </w:r>
    </w:p>
    <w:p>
      <w:pPr>
        <w:pStyle w:val="BodyText"/>
        <w:spacing w:line="477" w:lineRule="auto" w:before="64"/>
        <w:ind w:right="0"/>
        <w:jc w:val="left"/>
      </w:pPr>
      <w:r>
        <w:rPr>
          <w:spacing w:val="-2"/>
        </w:rPr>
        <w:t>本公司根据实际生产经营特点针对应收款项坏账准备计提、固定资产折旧、无形资产摊销、收入确认等交易或事项制定了具</w:t>
      </w:r>
      <w:r>
        <w:rPr>
          <w:spacing w:val="-66"/>
        </w:rPr>
        <w:t> </w:t>
      </w:r>
      <w:r>
        <w:rPr>
          <w:spacing w:val="-66"/>
        </w:rPr>
      </w:r>
      <w:r>
        <w:rPr/>
        <w:t>体会计政策和会计估计。</w:t>
      </w:r>
    </w:p>
    <w:p>
      <w:pPr>
        <w:spacing w:line="240" w:lineRule="auto" w:before="2"/>
        <w:rPr>
          <w:rFonts w:ascii="宋体" w:hAnsi="宋体" w:cs="宋体" w:eastAsia="宋体" w:hint="default"/>
          <w:sz w:val="25"/>
          <w:szCs w:val="25"/>
        </w:rPr>
      </w:pPr>
    </w:p>
    <w:p>
      <w:pPr>
        <w:pStyle w:val="Heading3"/>
        <w:spacing w:line="240" w:lineRule="auto"/>
        <w:ind w:right="0"/>
        <w:jc w:val="both"/>
        <w:rPr>
          <w:b w:val="0"/>
          <w:bCs w:val="0"/>
        </w:rPr>
      </w:pPr>
      <w:bookmarkStart w:name="1、遵循企业会计准则的声明" w:id="168"/>
      <w:bookmarkEnd w:id="16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both"/>
      </w:pPr>
      <w:r>
        <w:rPr>
          <w:spacing w:val="-4"/>
        </w:rPr>
        <w:t>本公司所编制的财务报表符合企业会计准则的要求，真实、完整地反映了公司的财务状况、经营成果和现金流量等有关信息。</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2、会计期间" w:id="169"/>
      <w:bookmarkEnd w:id="16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240" w:lineRule="auto"/>
        <w:ind w:right="0"/>
        <w:jc w:val="both"/>
      </w:pPr>
      <w:r>
        <w:rPr/>
        <w:t>会计年度自公历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3、营业周期" w:id="170"/>
      <w:bookmarkEnd w:id="17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bookmarkStart w:name="4、记账本位币" w:id="171"/>
      <w:bookmarkEnd w:id="17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采用人民币为记账本位币。</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5、同一控制下和非同一控制下企业合并的会计处理方法" w:id="172"/>
      <w:bookmarkEnd w:id="17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68" w:lineRule="auto"/>
        <w:ind w:right="0"/>
        <w:jc w:val="left"/>
      </w:pPr>
      <w:r>
        <w:rPr/>
        <w:t>（</w:t>
      </w:r>
      <w:r>
        <w:rPr>
          <w:rFonts w:ascii="Times New Roman" w:hAnsi="Times New Roman" w:cs="Times New Roman" w:eastAsia="Times New Roman" w:hint="default"/>
        </w:rPr>
        <w:t>1</w:t>
      </w:r>
      <w:r>
        <w:rPr/>
        <w:t>）同一控制下企业合并的会计处理方法 </w:t>
      </w:r>
      <w:r>
        <w:rPr>
          <w:spacing w:val="-2"/>
        </w:rPr>
        <w:t>公司在企业合并中取得的资产和负债，按照合并日被合并方在最终控制方合并财务报表中的账面价值计量。公司按照被合并</w:t>
      </w:r>
      <w:r>
        <w:rPr>
          <w:spacing w:val="-64"/>
        </w:rPr>
        <w:t> </w:t>
      </w:r>
      <w:r>
        <w:rPr>
          <w:spacing w:val="-64"/>
        </w:rPr>
      </w:r>
      <w:r>
        <w:rPr>
          <w:spacing w:val="-2"/>
        </w:rPr>
        <w:t>方所有者权益在最终控制方合并财务报表中的账面价值份额与支付的合并对价账面价值或发行股份面值总额的差额，调整资</w:t>
      </w:r>
      <w:r>
        <w:rPr>
          <w:spacing w:val="-64"/>
        </w:rPr>
        <w:t> </w:t>
      </w:r>
      <w:r>
        <w:rPr>
          <w:spacing w:val="-64"/>
        </w:rPr>
      </w:r>
      <w:r>
        <w:rPr/>
        <w:t>本公积；资本公积不足冲减的，调整留存收益。</w:t>
      </w:r>
    </w:p>
    <w:p>
      <w:pPr>
        <w:pStyle w:val="BodyText"/>
        <w:spacing w:line="470" w:lineRule="auto" w:before="61"/>
        <w:ind w:right="1118"/>
        <w:jc w:val="left"/>
      </w:pPr>
      <w:r>
        <w:rPr/>
        <w:t>（</w:t>
      </w:r>
      <w:r>
        <w:rPr>
          <w:rFonts w:ascii="Times New Roman" w:hAnsi="Times New Roman" w:cs="Times New Roman" w:eastAsia="Times New Roman" w:hint="default"/>
        </w:rPr>
        <w:t>2</w:t>
      </w:r>
      <w:r>
        <w:rPr/>
        <w:t>）非同一控制下企业合并的会计处理方法 </w:t>
      </w:r>
      <w:r>
        <w:rPr>
          <w:spacing w:val="-2"/>
        </w:rPr>
        <w:t>公司在购买日对合并成本大于合并中取得的被购买方可辨认净资产公允价值份额的差额，确认为商誉；如果合并成本小于合</w:t>
      </w:r>
      <w:r>
        <w:rPr>
          <w:spacing w:val="-64"/>
        </w:rPr>
        <w:t> </w:t>
      </w:r>
      <w:r>
        <w:rPr>
          <w:spacing w:val="-64"/>
        </w:rPr>
      </w:r>
      <w:r>
        <w:rPr>
          <w:spacing w:val="-2"/>
        </w:rPr>
        <w:t>并中取得的被购买方可辨认净资产公允价值份额，首先对取得的被购买方各项可辨认资产、负债及或有负债的公允价值以及</w:t>
      </w:r>
      <w:r>
        <w:rPr>
          <w:spacing w:val="-64"/>
        </w:rPr>
        <w:t> </w:t>
      </w:r>
      <w:r>
        <w:rPr>
          <w:spacing w:val="-64"/>
        </w:rPr>
      </w:r>
      <w:r>
        <w:rPr>
          <w:spacing w:val="-2"/>
        </w:rPr>
        <w:t>合并成本的计量进行复核，经复核后合并成本仍小于合并中取得的被购买方可辨认净资产公允价值份额的，其差额计入当期</w:t>
      </w:r>
      <w:r>
        <w:rPr>
          <w:spacing w:val="-64"/>
        </w:rPr>
        <w:t> </w:t>
      </w:r>
      <w:r>
        <w:rPr>
          <w:spacing w:val="-64"/>
        </w:rPr>
      </w:r>
      <w:r>
        <w:rPr/>
        <w:t>损益。</w:t>
      </w:r>
    </w:p>
    <w:p>
      <w:pPr>
        <w:spacing w:line="240" w:lineRule="auto" w:before="7"/>
        <w:rPr>
          <w:rFonts w:ascii="宋体" w:hAnsi="宋体" w:cs="宋体" w:eastAsia="宋体" w:hint="default"/>
          <w:sz w:val="25"/>
          <w:szCs w:val="25"/>
        </w:rPr>
      </w:pPr>
    </w:p>
    <w:p>
      <w:pPr>
        <w:pStyle w:val="Heading3"/>
        <w:spacing w:line="240" w:lineRule="auto"/>
        <w:ind w:right="0"/>
        <w:jc w:val="left"/>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0"/>
        <w:jc w:val="left"/>
      </w:pPr>
      <w:r>
        <w:rPr>
          <w:spacing w:val="-2"/>
        </w:rPr>
        <w:t>母公司将其控制的所有子公司纳入合并财务报表的合并范围。合并财务报表以母公司及其子公司的财务报表为基础，根据其</w:t>
      </w:r>
      <w:r>
        <w:rPr>
          <w:spacing w:val="-64"/>
        </w:rPr>
        <w:t> </w:t>
      </w:r>
      <w:r>
        <w:rPr>
          <w:spacing w:val="-64"/>
        </w:rPr>
      </w:r>
      <w:r>
        <w:rPr/>
        <w:t>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8"/>
        <w:rPr>
          <w:rFonts w:ascii="宋体" w:hAnsi="宋体" w:cs="宋体" w:eastAsia="宋体" w:hint="default"/>
          <w:sz w:val="22"/>
          <w:szCs w:val="22"/>
        </w:rPr>
      </w:pPr>
    </w:p>
    <w:p>
      <w:pPr>
        <w:pStyle w:val="Heading3"/>
        <w:spacing w:line="633" w:lineRule="auto"/>
        <w:ind w:right="6852"/>
        <w:jc w:val="left"/>
        <w:rPr>
          <w:rFonts w:ascii="宋体" w:hAnsi="宋体" w:cs="宋体" w:eastAsia="宋体" w:hint="default"/>
          <w:b w:val="0"/>
          <w:bCs w:val="0"/>
        </w:rPr>
      </w:pPr>
      <w:bookmarkStart w:name="7、合营安排分类及共同经营会计处理方法" w:id="174"/>
      <w:bookmarkEnd w:id="174"/>
      <w:r>
        <w:rPr>
          <w:b w:val="0"/>
          <w:bCs w:val="0"/>
        </w:rPr>
      </w:r>
      <w:r>
        <w:rPr>
          <w:rFonts w:ascii="Times New Roman" w:hAnsi="Times New Roman" w:cs="Times New Roman" w:eastAsia="Times New Roman" w:hint="default"/>
        </w:rPr>
        <w:t>7</w:t>
      </w:r>
      <w:r>
        <w:rPr/>
        <w:t>、合营安排分类及共同经营会计处理方法</w:t>
      </w:r>
      <w:r>
        <w:rPr>
          <w:w w:val="99"/>
        </w:rPr>
        <w:t> </w:t>
      </w:r>
      <w:r>
        <w:rPr>
          <w:rFonts w:ascii="宋体" w:hAnsi="宋体" w:cs="宋体" w:eastAsia="宋体" w:hint="default"/>
          <w:b w:val="0"/>
          <w:bCs w:val="0"/>
        </w:rPr>
        <w:t>无</w:t>
      </w:r>
    </w:p>
    <w:p>
      <w:pPr>
        <w:pStyle w:val="Heading3"/>
        <w:spacing w:line="240" w:lineRule="auto" w:before="148"/>
        <w:ind w:right="0"/>
        <w:jc w:val="left"/>
        <w:rPr>
          <w:b w:val="0"/>
          <w:bCs w:val="0"/>
        </w:rPr>
      </w:pPr>
      <w:bookmarkStart w:name="8、现金及现金等价物的确定标准" w:id="175"/>
      <w:bookmarkEnd w:id="17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477" w:lineRule="auto"/>
        <w:ind w:right="0"/>
        <w:jc w:val="left"/>
      </w:pPr>
      <w:r>
        <w:rPr>
          <w:spacing w:val="-2"/>
        </w:rPr>
        <w:t>列示于现金流量表中的现金是指库存现金以及可以随时用于支付的存款。现金等价物是指企业持有的期限短、流动性强、易</w:t>
      </w:r>
      <w:r>
        <w:rPr>
          <w:spacing w:val="-66"/>
        </w:rPr>
        <w:t> </w:t>
      </w:r>
      <w:r>
        <w:rPr>
          <w:spacing w:val="-66"/>
        </w:rPr>
      </w:r>
      <w:r>
        <w:rPr/>
        <w:t>于转换为已知金额现金、价值变动风险很小的投资。</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9、外币业务和外币报表折算" w:id="176"/>
      <w:bookmarkEnd w:id="17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10、金融工具" w:id="177"/>
      <w:bookmarkEnd w:id="17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r>
        <w:rPr/>
        <w:t>（</w:t>
      </w:r>
      <w:r>
        <w:rPr>
          <w:rFonts w:ascii="Times New Roman" w:hAnsi="Times New Roman" w:cs="Times New Roman" w:eastAsia="Times New Roman" w:hint="default"/>
        </w:rPr>
        <w:t>1</w:t>
      </w:r>
      <w:r>
        <w:rPr/>
        <w:t>）</w:t>
      </w:r>
      <w:r>
        <w:rPr>
          <w:spacing w:val="-20"/>
        </w:rPr>
        <w:t> </w:t>
      </w:r>
      <w:r>
        <w:rPr/>
        <w:t>金融资产和金融负债的分类</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1131" w:firstLine="307"/>
        <w:jc w:val="both"/>
      </w:pPr>
      <w:r>
        <w:rPr>
          <w:spacing w:val="-1"/>
        </w:rPr>
        <w:t>金融资产在初始确认时划分为以下四类：以公允价值计量且其变动计入当期损益的金融资产（包括交易性金融资产和在</w:t>
      </w:r>
      <w:r>
        <w:rPr/>
        <w:t> </w:t>
      </w:r>
      <w:r>
        <w:rPr>
          <w:spacing w:val="-2"/>
        </w:rPr>
        <w:t>初始确认时指定为以公允价值计量且其变动计入当期损益的金融资产）、持有至到期投资、贷款和应收款项、可供出售金融</w:t>
      </w:r>
      <w:r>
        <w:rPr>
          <w:spacing w:val="-66"/>
        </w:rPr>
        <w:t> </w:t>
      </w:r>
      <w:r>
        <w:rPr>
          <w:spacing w:val="-66"/>
        </w:rPr>
      </w:r>
      <w:r>
        <w:rPr/>
        <w:t>资产。</w:t>
      </w:r>
    </w:p>
    <w:p>
      <w:pPr>
        <w:pStyle w:val="BodyText"/>
        <w:spacing w:line="477" w:lineRule="auto" w:before="92"/>
        <w:ind w:right="0" w:firstLine="290"/>
        <w:jc w:val="left"/>
      </w:pPr>
      <w:r>
        <w:rPr>
          <w:spacing w:val="-1"/>
        </w:rPr>
        <w:t>金融负债在初始确认时划分为以下两类：以公允价值计量且其变动计入当期损益的金融负债（包括交易性金融负债和在</w:t>
      </w:r>
      <w:r>
        <w:rPr/>
        <w:t> 初始确认时指定为以公允价值计量且其变动计入当期损益的金融负债）、其他金融负债。</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）金融资产和金融负债的确认依据、计量方法和终止确认条件</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477" w:lineRule="auto"/>
        <w:ind w:right="0" w:firstLine="357"/>
        <w:jc w:val="left"/>
      </w:pPr>
      <w:r>
        <w:rPr>
          <w:spacing w:val="-4"/>
        </w:rPr>
        <w:t>公司成为金融工具合同的一方时，确认一项金融资产或金融负债。初始确认金融资产或金融负债时，按照公允价值计量；</w:t>
      </w:r>
      <w:r>
        <w:rPr/>
        <w:t> </w:t>
      </w:r>
      <w:r>
        <w:rPr>
          <w:spacing w:val="-2"/>
        </w:rPr>
        <w:t>对于以公允价值计量且其变动计入当期损益的金融资产和金融负债，相关交易费用直接计入当期损益；对于其他类别的金融</w:t>
      </w:r>
      <w:r>
        <w:rPr>
          <w:spacing w:val="-64"/>
        </w:rPr>
        <w:t> </w:t>
      </w:r>
      <w:r>
        <w:rPr>
          <w:spacing w:val="-64"/>
        </w:rPr>
      </w:r>
      <w:r>
        <w:rPr/>
        <w:t>资产或金融负债，相关交易费用计入初始确认金额。</w:t>
      </w:r>
    </w:p>
    <w:p>
      <w:pPr>
        <w:pStyle w:val="BodyText"/>
        <w:spacing w:line="240" w:lineRule="auto" w:before="94"/>
        <w:ind w:left="511" w:right="0"/>
        <w:jc w:val="left"/>
      </w:pPr>
      <w:r>
        <w:rPr/>
        <w:t>公司按照公允价值对金融资产进行后续计量，且不扣除将来处置该金融资产时可能发生的交易费用，但下列情况除外：</w:t>
      </w:r>
    </w:p>
    <w:p>
      <w:pPr>
        <w:spacing w:line="240" w:lineRule="auto" w:before="10"/>
        <w:rPr>
          <w:rFonts w:ascii="宋体" w:hAnsi="宋体" w:cs="宋体" w:eastAsia="宋体" w:hint="default"/>
          <w:sz w:val="17"/>
          <w:szCs w:val="17"/>
        </w:rPr>
      </w:pPr>
    </w:p>
    <w:p>
      <w:pPr>
        <w:pStyle w:val="BodyText"/>
        <w:spacing w:line="477" w:lineRule="auto"/>
        <w:ind w:right="0"/>
        <w:jc w:val="left"/>
      </w:pPr>
      <w:r>
        <w:rPr>
          <w:spacing w:val="-2"/>
        </w:rPr>
        <w:t>①持有至到期投资以及贷款和应收款项采用实际利率法，按摊余成本计量；②在活跃市场中没有报价且其公允价值不能可靠</w:t>
      </w:r>
      <w:r>
        <w:rPr>
          <w:spacing w:val="-64"/>
        </w:rPr>
        <w:t> </w:t>
      </w:r>
      <w:r>
        <w:rPr>
          <w:spacing w:val="-64"/>
        </w:rPr>
      </w:r>
      <w:r>
        <w:rPr/>
        <w:t>计量的权益工具投资，以及与该权益工具挂钩并须通过交付该权益工具结算的衍生金融资产，按照成本计量。</w:t>
      </w:r>
    </w:p>
    <w:p>
      <w:pPr>
        <w:pStyle w:val="BodyText"/>
        <w:spacing w:line="475" w:lineRule="auto" w:before="92"/>
        <w:ind w:right="1109" w:firstLine="217"/>
        <w:jc w:val="right"/>
      </w:pPr>
      <w:r>
        <w:rPr/>
        <w:t>公司采用实际利率法，按摊余成本对金融负债进行后续计量，但下列情况除外：①以公允价值计量且其变动计入当期损 </w:t>
      </w:r>
      <w:r>
        <w:rPr>
          <w:spacing w:val="-2"/>
        </w:rPr>
        <w:t>益的金融负债，按照公允价值计量，且不扣除将来结清金融负债时可能发生的交易费用；②与在活跃市场中没有报价、公允</w:t>
      </w:r>
      <w:r>
        <w:rPr/>
        <w:t> </w:t>
      </w:r>
      <w:r>
        <w:rPr>
          <w:spacing w:val="-2"/>
        </w:rPr>
        <w:t>价值不能可靠计量的权益工具挂钩并须通过交付该权益工具结算的衍生金融负债，按照成本计量；③不属于指定为以公允价</w:t>
      </w:r>
      <w:r>
        <w:rPr/>
        <w:t> </w:t>
      </w:r>
      <w:r>
        <w:rPr>
          <w:spacing w:val="-2"/>
        </w:rPr>
        <w:t>值计量且其变动计入当期损益的金融负债的财务担保合同，或没有指定为以公允价值计量且其变动计入当期损益并将以低于</w:t>
      </w:r>
      <w:r>
        <w:rPr/>
        <w:t> </w:t>
      </w:r>
      <w:r>
        <w:rPr>
          <w:spacing w:val="-4"/>
        </w:rPr>
        <w:t>市场利率贷款的贷款承诺，在初始确认后按照下列两项金额之中的较高者进行后续计量：</w:t>
      </w:r>
      <w:r>
        <w:rPr>
          <w:rFonts w:ascii="Times New Roman" w:hAnsi="Times New Roman" w:cs="Times New Roman" w:eastAsia="Times New Roman" w:hint="default"/>
          <w:spacing w:val="-4"/>
        </w:rPr>
        <w:t>A</w:t>
      </w:r>
      <w:r>
        <w:rPr>
          <w:spacing w:val="-4"/>
        </w:rPr>
        <w:t>、按照《企业会计准则第</w:t>
      </w:r>
      <w:r>
        <w:rPr>
          <w:rFonts w:ascii="Times New Roman" w:hAnsi="Times New Roman" w:cs="Times New Roman" w:eastAsia="Times New Roman" w:hint="default"/>
          <w:spacing w:val="-4"/>
        </w:rPr>
        <w:t>13</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rPr>
        <w:t> </w:t>
      </w:r>
      <w:r>
        <w:rPr>
          <w:w w:val="95"/>
        </w:rPr>
        <w:t>或有事项》确定的金额；</w:t>
      </w:r>
      <w:r>
        <w:rPr>
          <w:rFonts w:ascii="Times New Roman" w:hAnsi="Times New Roman" w:cs="Times New Roman" w:eastAsia="Times New Roman" w:hint="default"/>
          <w:w w:val="95"/>
        </w:rPr>
        <w:t>B</w:t>
      </w:r>
      <w:r>
        <w:rPr>
          <w:w w:val="95"/>
        </w:rPr>
        <w:t>、初始确认金额扣除按照《企业会计准则第</w:t>
      </w:r>
      <w:r>
        <w:rPr>
          <w:rFonts w:ascii="Times New Roman" w:hAnsi="Times New Roman" w:cs="Times New Roman" w:eastAsia="Times New Roman" w:hint="default"/>
          <w:w w:val="95"/>
        </w:rPr>
        <w:t>14</w:t>
      </w:r>
      <w:r>
        <w:rPr>
          <w:w w:val="95"/>
        </w:rPr>
        <w:t>号</w:t>
      </w:r>
      <w:r>
        <w:rPr>
          <w:rFonts w:ascii="Times New Roman" w:hAnsi="Times New Roman" w:cs="Times New Roman" w:eastAsia="Times New Roman" w:hint="default"/>
          <w:w w:val="95"/>
        </w:rPr>
        <w:t>——</w:t>
      </w:r>
      <w:r>
        <w:rPr>
          <w:w w:val="95"/>
        </w:rPr>
        <w:t>收入》的原则确定的累积摊销额后的余额。</w:t>
      </w:r>
      <w:r>
        <w:rPr>
          <w:spacing w:val="46"/>
          <w:w w:val="95"/>
        </w:rPr>
        <w:t> </w:t>
      </w:r>
      <w:r>
        <w:rPr>
          <w:spacing w:val="-2"/>
        </w:rPr>
        <w:t>金融资产或金融负债公允价值变动形成的利得或损失，除与套期保值有关外，按照如下方法处理：①以公允价值计量且</w:t>
      </w:r>
      <w:r>
        <w:rPr/>
        <w:t> </w:t>
      </w:r>
      <w:r>
        <w:rPr>
          <w:spacing w:val="-2"/>
        </w:rPr>
        <w:t>其变动计入当期损益的金融资产或金融负债公允价值变动形成的利得或损失，计入公允价值变动收益；在资产持有期间所取</w:t>
      </w:r>
      <w:r>
        <w:rPr/>
        <w:t> </w:t>
      </w:r>
      <w:r>
        <w:rPr>
          <w:spacing w:val="-2"/>
        </w:rPr>
        <w:t>得的利息或现金股利，确认为投资收益；处置时，将实际收到的金额与初始入账金额之间的差额确认为投资收益，同时调整</w:t>
      </w:r>
    </w:p>
    <w:p>
      <w:pPr>
        <w:spacing w:after="0" w:line="475"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1"/>
        <w:jc w:val="both"/>
      </w:pPr>
      <w:r>
        <w:rPr>
          <w:spacing w:val="-2"/>
        </w:rPr>
        <w:t>公允价值变动收益。②可供出售金融资产的公允价值变动计入其他综合收益；持有期间按实际利率法计算的利息，计入投资</w:t>
      </w:r>
      <w:r>
        <w:rPr>
          <w:spacing w:val="-66"/>
        </w:rPr>
        <w:t> </w:t>
      </w:r>
      <w:r>
        <w:rPr>
          <w:spacing w:val="-66"/>
        </w:rPr>
      </w:r>
      <w:r>
        <w:rPr>
          <w:spacing w:val="-2"/>
        </w:rPr>
        <w:t>收益；可供出售权益工具投资的现金股利，于被投资单位宣告发放股利时计入投资收益；处置时，将实际收到的金额与账面</w:t>
      </w:r>
      <w:r>
        <w:rPr>
          <w:spacing w:val="-66"/>
        </w:rPr>
        <w:t> </w:t>
      </w:r>
      <w:r>
        <w:rPr>
          <w:spacing w:val="-66"/>
        </w:rPr>
      </w:r>
      <w:r>
        <w:rPr/>
        <w:t>价值扣除原直接计入其他综合收益的公允价值变动累计额之后的差额确认为投资收益。</w:t>
      </w:r>
    </w:p>
    <w:p>
      <w:pPr>
        <w:pStyle w:val="BodyText"/>
        <w:spacing w:line="477" w:lineRule="auto" w:before="93"/>
        <w:ind w:right="1131" w:firstLine="360"/>
        <w:jc w:val="both"/>
      </w:pPr>
      <w:r>
        <w:rPr>
          <w:spacing w:val="-2"/>
        </w:rPr>
        <w:t>当收取某项金融资产现金流量的合同权利已终止或该金融资产所有权上几乎所有的风险和报酬已转移时，终止确认该金</w:t>
      </w:r>
      <w:r>
        <w:rPr/>
        <w:t> 融资产；当金融负债的现时义务全部或部分解除时，相应终止确认该金融负债或其一部分。</w:t>
      </w:r>
    </w:p>
    <w:p>
      <w:pPr>
        <w:spacing w:line="240" w:lineRule="auto" w:before="2"/>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w:t>
      </w:r>
      <w:r>
        <w:rPr>
          <w:spacing w:val="-20"/>
        </w:rPr>
        <w:t> </w:t>
      </w:r>
      <w:r>
        <w:rPr/>
        <w:t>金融资产转移的确认依据和计量方法</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477" w:lineRule="auto"/>
        <w:ind w:right="1131" w:firstLine="360"/>
        <w:jc w:val="both"/>
      </w:pPr>
      <w:r>
        <w:rPr>
          <w:spacing w:val="-2"/>
        </w:rPr>
        <w:t>公司已将金融资产所有权上几乎所有的风险和报酬转移给了转入方的，终止确认该金融资产；保留了金融资产所有权上</w:t>
      </w:r>
      <w:r>
        <w:rPr/>
        <w:t> </w:t>
      </w:r>
      <w:r>
        <w:rPr>
          <w:spacing w:val="-2"/>
        </w:rPr>
        <w:t>几乎所有的风险和报酬的，继续确认所转移的金融资产，并将收到的对价确认为一项金融负债。公司既没有转移也没有保留</w:t>
      </w:r>
      <w:r>
        <w:rPr>
          <w:spacing w:val="-66"/>
        </w:rPr>
        <w:t> </w:t>
      </w:r>
      <w:r>
        <w:rPr>
          <w:spacing w:val="-66"/>
        </w:rPr>
      </w:r>
      <w:r>
        <w:rPr>
          <w:spacing w:val="-2"/>
        </w:rPr>
        <w:t>金融资产所有权上几乎所有的风险和报酬的，分别下列情况处理：①放弃了对该金融资产控制的，终止确认该金融资产；②</w:t>
      </w:r>
      <w:r>
        <w:rPr>
          <w:spacing w:val="-66"/>
        </w:rPr>
        <w:t> </w:t>
      </w:r>
      <w:r>
        <w:rPr>
          <w:spacing w:val="-66"/>
        </w:rPr>
      </w:r>
      <w:r>
        <w:rPr/>
        <w:t>未放弃对该金融资产控制的，按照继续涉入所转移金融资产的程度确认有关金融资产，并相应确认有关负债。</w:t>
      </w:r>
    </w:p>
    <w:p>
      <w:pPr>
        <w:pStyle w:val="BodyText"/>
        <w:spacing w:line="477" w:lineRule="auto" w:before="94"/>
        <w:ind w:right="1133" w:firstLine="290"/>
        <w:jc w:val="both"/>
      </w:pPr>
      <w:r>
        <w:rPr>
          <w:spacing w:val="-1"/>
        </w:rPr>
        <w:t>金融资产整体转移满足终止确认条件的，将下列两项金额的差额计入当期损益：①所转移金融资产的账面价值；②因转</w:t>
      </w:r>
      <w:r>
        <w:rPr/>
        <w:t> </w:t>
      </w:r>
      <w:r>
        <w:rPr>
          <w:spacing w:val="-2"/>
        </w:rPr>
        <w:t>移而收到的对价，与原直接计入所有者权益的公允价值变动累计额之和。金融资产部分转移满足终止确认条件的，将所转移</w:t>
      </w:r>
      <w:r>
        <w:rPr>
          <w:spacing w:val="-66"/>
        </w:rPr>
        <w:t> </w:t>
      </w:r>
      <w:r>
        <w:rPr>
          <w:spacing w:val="-66"/>
        </w:rPr>
      </w:r>
      <w:r>
        <w:rPr>
          <w:spacing w:val="-2"/>
        </w:rPr>
        <w:t>金融资产整体的账面价值，在终止确认部分和未终止确认部分之间，按照各自的相对公允价值进行分摊，并将下列两项金额</w:t>
      </w:r>
      <w:r>
        <w:rPr>
          <w:spacing w:val="-66"/>
        </w:rPr>
        <w:t> </w:t>
      </w:r>
      <w:r>
        <w:rPr>
          <w:spacing w:val="-66"/>
        </w:rPr>
      </w:r>
      <w:r>
        <w:rPr>
          <w:spacing w:val="-2"/>
        </w:rPr>
        <w:t>的差额计入当期损益：①终止确认部分的账面价值；②终止确认部分的对价，与原直接计入所有者权益的公允价值变动累计</w:t>
      </w:r>
      <w:r>
        <w:rPr>
          <w:spacing w:val="-66"/>
        </w:rPr>
        <w:t> </w:t>
      </w:r>
      <w:r>
        <w:rPr>
          <w:spacing w:val="-66"/>
        </w:rPr>
      </w:r>
      <w:r>
        <w:rPr/>
        <w:t>额中对应终止确认部分的金额之和。</w:t>
      </w:r>
    </w:p>
    <w:p>
      <w:pPr>
        <w:spacing w:line="240" w:lineRule="auto" w:before="0"/>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）金融资产和金融负债的公允价值确定方法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1230" w:firstLine="360"/>
        <w:jc w:val="both"/>
      </w:pPr>
      <w:r>
        <w:rPr/>
        <w:t>公司采用在当前情况下适用并且有足够可利用数据和其他信息支持的估值技术确定相关金融资产和金融负债的公允价 值。公司将估值技术使用的输入值分以下层级，并依次使用：</w:t>
      </w:r>
    </w:p>
    <w:p>
      <w:pPr>
        <w:pStyle w:val="BodyText"/>
        <w:spacing w:line="240" w:lineRule="auto" w:before="94"/>
        <w:ind w:left="424" w:right="0"/>
        <w:jc w:val="left"/>
      </w:pPr>
      <w:r>
        <w:rPr/>
        <w:t>①第一层次输入值是在计量日能够取得的相同资产或负债在活跃市场上未经调整的报价；</w:t>
      </w:r>
    </w:p>
    <w:p>
      <w:pPr>
        <w:spacing w:line="240" w:lineRule="auto" w:before="9"/>
        <w:rPr>
          <w:rFonts w:ascii="宋体" w:hAnsi="宋体" w:cs="宋体" w:eastAsia="宋体" w:hint="default"/>
          <w:sz w:val="20"/>
          <w:szCs w:val="20"/>
        </w:rPr>
      </w:pPr>
    </w:p>
    <w:p>
      <w:pPr>
        <w:pStyle w:val="BodyText"/>
        <w:spacing w:line="477" w:lineRule="auto"/>
        <w:ind w:right="1133" w:firstLine="270"/>
        <w:jc w:val="both"/>
      </w:pPr>
      <w:r>
        <w:rPr/>
        <w:t>②第二层次输入值是除第一层次输入值外相关资产或负债直接或间接可观察的输入值，包括：活跃市场中类似资产或负 </w:t>
      </w:r>
      <w:r>
        <w:rPr>
          <w:spacing w:val="-2"/>
        </w:rPr>
        <w:t>债的报价；非活跃市场中相同或类似资产或负债的报价；除报价以外的其他可观察输入值，如在正常报价间隔期间可观察的</w:t>
      </w:r>
      <w:r>
        <w:rPr>
          <w:spacing w:val="-66"/>
        </w:rPr>
        <w:t> </w:t>
      </w:r>
      <w:r>
        <w:rPr>
          <w:spacing w:val="-66"/>
        </w:rPr>
      </w:r>
      <w:r>
        <w:rPr/>
        <w:t>利率和收益率曲线等；市场验证的输入值等；</w:t>
      </w:r>
    </w:p>
    <w:p>
      <w:pPr>
        <w:pStyle w:val="BodyText"/>
        <w:spacing w:line="477" w:lineRule="auto" w:before="94"/>
        <w:ind w:right="1140" w:firstLine="270"/>
        <w:jc w:val="both"/>
      </w:pPr>
      <w:r>
        <w:rPr/>
        <w:t>③第三层次输入值是相关资产或负债的不可观察输入值，包括不能直接观察或无法由可观察市场数据验证的利率、股票 波动率、企业合并中承担的弃置义务的未来现金流量、使用自身数据作出的财务预测等。</w:t>
      </w:r>
    </w:p>
    <w:p>
      <w:pPr>
        <w:spacing w:line="240" w:lineRule="auto" w:before="1"/>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w:t>
      </w:r>
      <w:r>
        <w:rPr>
          <w:spacing w:val="-22"/>
        </w:rPr>
        <w:t> </w:t>
      </w:r>
      <w:r>
        <w:rPr/>
        <w:t>金融资产的减值测试和减值准备计提方法</w:t>
      </w:r>
      <w:r>
        <w:rPr>
          <w:b w:val="0"/>
          <w:bCs w:val="0"/>
        </w:rPr>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477" w:lineRule="auto"/>
        <w:ind w:right="1131" w:firstLine="360"/>
        <w:jc w:val="both"/>
      </w:pPr>
      <w:r>
        <w:rPr>
          <w:spacing w:val="-2"/>
        </w:rPr>
        <w:t>①资产负债表日对以公允价值计量且其变动计入当期损益的金融资产以外的金融资产的账面价值进行检查，如有客观证</w:t>
      </w:r>
      <w:r>
        <w:rPr/>
        <w:t> 据表明该金融资产发生减值的，计提减值准备。</w:t>
      </w:r>
    </w:p>
    <w:p>
      <w:pPr>
        <w:pStyle w:val="BodyText"/>
        <w:spacing w:line="477" w:lineRule="auto" w:before="92"/>
        <w:ind w:right="1131" w:firstLine="360"/>
        <w:jc w:val="both"/>
      </w:pPr>
      <w:r>
        <w:rPr>
          <w:spacing w:val="-2"/>
        </w:rPr>
        <w:t>②对于持有至到期投资、贷款和应收款，先将单项金额重大的金融资产区分开来，单独进行减值测试；对单项金额不重</w:t>
      </w:r>
      <w:r>
        <w:rPr/>
        <w:t> </w:t>
      </w:r>
      <w:r>
        <w:rPr>
          <w:spacing w:val="-2"/>
        </w:rPr>
        <w:t>大的金融资产，可以单独进行减值测试，或包括在具有类似信用风险特征的金融资产组合中进行减值测试；单独测试未发生</w:t>
      </w:r>
      <w:r>
        <w:rPr>
          <w:spacing w:val="-66"/>
        </w:rPr>
        <w:t> </w:t>
      </w:r>
      <w:r>
        <w:rPr>
          <w:spacing w:val="-66"/>
        </w:rPr>
      </w:r>
      <w:r>
        <w:rPr>
          <w:spacing w:val="-2"/>
        </w:rPr>
        <w:t>减值的金融资产（包括单项金额重大和不重大的金融资产），包括在具有类似信用风险特征的金融资产组合中再进行减值测</w:t>
      </w:r>
      <w:r>
        <w:rPr>
          <w:spacing w:val="-66"/>
        </w:rPr>
        <w:t> </w:t>
      </w:r>
      <w:r>
        <w:rPr>
          <w:spacing w:val="-66"/>
        </w:rPr>
      </w:r>
      <w:r>
        <w:rPr/>
        <w:t>试。测试结果表明其发生了减值的，根据其账面价值高于预计未来现金流量现值的差额确认减值损失。</w:t>
      </w:r>
    </w:p>
    <w:p>
      <w:pPr>
        <w:pStyle w:val="BodyText"/>
        <w:spacing w:line="504" w:lineRule="auto" w:before="95"/>
        <w:ind w:left="443" w:right="5833" w:firstLine="70"/>
        <w:jc w:val="left"/>
      </w:pPr>
      <w:r>
        <w:rPr/>
        <w:t>③可供出售金融资产 </w:t>
      </w:r>
      <w:r>
        <w:rPr>
          <w:rFonts w:ascii="Times New Roman" w:hAnsi="Times New Roman" w:cs="Times New Roman" w:eastAsia="Times New Roman" w:hint="default"/>
        </w:rPr>
        <w:t>A</w:t>
      </w:r>
      <w:r>
        <w:rPr/>
        <w:t>、表明可供出售债务工具投资发生减值的客观证据包括： </w:t>
      </w:r>
      <w:r>
        <w:rPr>
          <w:rFonts w:ascii="Times New Roman" w:hAnsi="Times New Roman" w:cs="Times New Roman" w:eastAsia="Times New Roman" w:hint="default"/>
        </w:rPr>
        <w:t>a</w:t>
      </w:r>
      <w:r>
        <w:rPr/>
        <w:t>、债务人发生严重财务困难；</w:t>
      </w:r>
    </w:p>
    <w:p>
      <w:pPr>
        <w:pStyle w:val="BodyText"/>
        <w:spacing w:line="240" w:lineRule="auto" w:before="40"/>
        <w:ind w:left="444" w:right="0"/>
        <w:jc w:val="left"/>
      </w:pPr>
      <w:r>
        <w:rPr>
          <w:rFonts w:ascii="Times New Roman" w:hAnsi="Times New Roman" w:cs="Times New Roman" w:eastAsia="Times New Roman" w:hint="default"/>
        </w:rPr>
        <w:t>b</w:t>
      </w:r>
      <w:r>
        <w:rPr/>
        <w:t>、</w:t>
      </w:r>
      <w:r>
        <w:rPr>
          <w:spacing w:val="-20"/>
        </w:rPr>
        <w:t> </w:t>
      </w:r>
      <w:r>
        <w:rPr/>
        <w:t>债务人违反了合同条款，如偿付利息或本金发生违约或逾期；</w:t>
      </w:r>
    </w:p>
    <w:p>
      <w:pPr>
        <w:spacing w:line="240" w:lineRule="auto" w:before="10"/>
        <w:rPr>
          <w:rFonts w:ascii="宋体" w:hAnsi="宋体" w:cs="宋体" w:eastAsia="宋体" w:hint="default"/>
          <w:sz w:val="19"/>
          <w:szCs w:val="19"/>
        </w:rPr>
      </w:pPr>
    </w:p>
    <w:p>
      <w:pPr>
        <w:pStyle w:val="BodyText"/>
        <w:spacing w:line="489" w:lineRule="auto"/>
        <w:ind w:left="443" w:right="4013"/>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5"/>
        </w:rPr>
        <w:t> </w:t>
      </w:r>
      <w:r>
        <w:rPr/>
        <w:t>、公司出于经济或法律等方面因素的考虑，对发生财务困难的债务人作出让步； </w:t>
      </w:r>
      <w:r>
        <w:rPr>
          <w:rFonts w:ascii="Times New Roman" w:hAnsi="Times New Roman" w:cs="Times New Roman" w:eastAsia="Times New Roman" w:hint="default"/>
        </w:rPr>
        <w:t>d</w:t>
      </w:r>
      <w:r>
        <w:rPr>
          <w:rFonts w:ascii="Times New Roman" w:hAnsi="Times New Roman" w:cs="Times New Roman" w:eastAsia="Times New Roman" w:hint="default"/>
          <w:spacing w:val="26"/>
        </w:rPr>
        <w:t> </w:t>
      </w:r>
      <w:r>
        <w:rPr/>
        <w:t>、债务人很可能倒闭或进行其他财务重组； </w:t>
      </w:r>
      <w:r>
        <w:rPr>
          <w:rFonts w:ascii="Times New Roman" w:hAnsi="Times New Roman" w:cs="Times New Roman" w:eastAsia="Times New Roman" w:hint="default"/>
        </w:rPr>
        <w:t>e</w:t>
      </w:r>
      <w:r>
        <w:rPr/>
        <w:t>、因债务人发生重大财务困难，该债务工具无法在活跃市场继续交易；</w:t>
      </w:r>
    </w:p>
    <w:p>
      <w:pPr>
        <w:pStyle w:val="BodyText"/>
        <w:spacing w:line="240" w:lineRule="auto" w:before="51"/>
        <w:ind w:left="443" w:right="0"/>
        <w:jc w:val="left"/>
      </w:pPr>
      <w:r>
        <w:rPr>
          <w:rFonts w:ascii="Times New Roman" w:hAnsi="Times New Roman" w:cs="Times New Roman" w:eastAsia="Times New Roman" w:hint="default"/>
        </w:rPr>
        <w:t>f</w:t>
      </w:r>
      <w:r>
        <w:rPr/>
        <w:t>、</w:t>
      </w:r>
      <w:r>
        <w:rPr>
          <w:spacing w:val="-20"/>
        </w:rPr>
        <w:t> </w:t>
      </w:r>
      <w:r>
        <w:rPr/>
        <w:t>其他表明可供出售债务工具已经发生减值的情况。</w:t>
      </w:r>
    </w:p>
    <w:p>
      <w:pPr>
        <w:spacing w:line="240" w:lineRule="auto" w:before="9"/>
        <w:rPr>
          <w:rFonts w:ascii="宋体" w:hAnsi="宋体" w:cs="宋体" w:eastAsia="宋体" w:hint="default"/>
          <w:sz w:val="19"/>
          <w:szCs w:val="19"/>
        </w:rPr>
      </w:pPr>
    </w:p>
    <w:p>
      <w:pPr>
        <w:pStyle w:val="BodyText"/>
        <w:spacing w:line="451" w:lineRule="auto"/>
        <w:ind w:right="1132" w:firstLine="290"/>
        <w:jc w:val="both"/>
      </w:pPr>
      <w:r>
        <w:rPr>
          <w:rFonts w:ascii="Times New Roman" w:hAnsi="Times New Roman" w:cs="Times New Roman" w:eastAsia="Times New Roman" w:hint="default"/>
        </w:rPr>
        <w:t>B</w:t>
      </w:r>
      <w:r>
        <w:rPr/>
        <w:t>、</w:t>
      </w:r>
      <w:r>
        <w:rPr>
          <w:spacing w:val="-44"/>
        </w:rPr>
        <w:t> </w:t>
      </w:r>
      <w:r>
        <w:rPr/>
        <w:t>表明可供出售权益工具投资发生减值的客观证据包括权益工具投资的公允价值发生严重或非暂时性下跌，以及被投</w:t>
      </w:r>
      <w:r>
        <w:rPr/>
        <w:t> 资单位经营所处的技术、市场、经济或法律环境等发生重大不利变化使公司可能无法收回投资成本。</w:t>
      </w:r>
    </w:p>
    <w:p>
      <w:pPr>
        <w:pStyle w:val="BodyText"/>
        <w:spacing w:line="460" w:lineRule="auto" w:before="113"/>
        <w:ind w:right="1030" w:firstLine="235"/>
        <w:jc w:val="left"/>
      </w:pPr>
      <w:r>
        <w:rPr/>
        <w:t>本公司于资产负债表日对各项可供出售权益工具投资单独进行检查。对于以公允价值计量的权益工具投资，若其于资产 </w:t>
      </w:r>
      <w:r>
        <w:rPr>
          <w:spacing w:val="-2"/>
        </w:rPr>
        <w:t>负债表日的公允价值低于其成本超过</w:t>
      </w:r>
      <w:r>
        <w:rPr>
          <w:rFonts w:ascii="Times New Roman" w:hAnsi="Times New Roman" w:cs="Times New Roman" w:eastAsia="Times New Roman" w:hint="default"/>
          <w:spacing w:val="-2"/>
        </w:rPr>
        <w:t>50%</w:t>
      </w:r>
      <w:r>
        <w:rPr>
          <w:spacing w:val="-2"/>
        </w:rPr>
        <w:t>（含</w:t>
      </w:r>
      <w:r>
        <w:rPr>
          <w:rFonts w:ascii="Times New Roman" w:hAnsi="Times New Roman" w:cs="Times New Roman" w:eastAsia="Times New Roman" w:hint="default"/>
          <w:spacing w:val="-2"/>
        </w:rPr>
        <w:t>50%</w:t>
      </w:r>
      <w:r>
        <w:rPr>
          <w:spacing w:val="-2"/>
        </w:rPr>
        <w:t>）或低于其成本持续时间超过</w:t>
      </w:r>
      <w:r>
        <w:rPr>
          <w:rFonts w:ascii="Times New Roman" w:hAnsi="Times New Roman" w:cs="Times New Roman" w:eastAsia="Times New Roman" w:hint="default"/>
          <w:spacing w:val="-2"/>
        </w:rPr>
        <w:t>12</w:t>
      </w:r>
      <w:r>
        <w:rPr>
          <w:spacing w:val="-2"/>
        </w:rPr>
        <w:t>个月（含</w:t>
      </w:r>
      <w:r>
        <w:rPr>
          <w:rFonts w:ascii="Times New Roman" w:hAnsi="Times New Roman" w:cs="Times New Roman" w:eastAsia="Times New Roman" w:hint="default"/>
          <w:spacing w:val="-2"/>
        </w:rPr>
        <w:t>12</w:t>
      </w:r>
      <w:r>
        <w:rPr>
          <w:spacing w:val="-2"/>
        </w:rPr>
        <w:t>个月）的，则表明其发生减值；</w:t>
      </w:r>
      <w:r>
        <w:rPr>
          <w:spacing w:val="-86"/>
        </w:rPr>
        <w:t> </w:t>
      </w:r>
      <w:r>
        <w:rPr>
          <w:spacing w:val="-86"/>
        </w:rPr>
      </w:r>
      <w:r>
        <w:rPr/>
        <w:t>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的，或低于其成本持续时间超过</w:t>
      </w:r>
      <w:r>
        <w:rPr>
          <w:rFonts w:ascii="Times New Roman" w:hAnsi="Times New Roman" w:cs="Times New Roman" w:eastAsia="Times New Roman" w:hint="default"/>
        </w:rPr>
        <w:t>6</w:t>
      </w:r>
      <w:r>
        <w:rPr/>
        <w:t>个月（含</w:t>
      </w:r>
      <w:r>
        <w:rPr>
          <w:rFonts w:ascii="Times New Roman" w:hAnsi="Times New Roman" w:cs="Times New Roman" w:eastAsia="Times New Roman" w:hint="default"/>
        </w:rPr>
        <w:t>6</w:t>
      </w:r>
      <w:r>
        <w:rPr>
          <w:rFonts w:ascii="Times New Roman" w:hAnsi="Times New Roman" w:cs="Times New Roman" w:eastAsia="Times New Roman" w:hint="default"/>
          <w:spacing w:val="-39"/>
        </w:rPr>
        <w:t> </w:t>
      </w:r>
      <w:r>
        <w:rPr>
          <w:spacing w:val="-2"/>
        </w:rPr>
        <w:t>个月）但未超过</w:t>
      </w:r>
      <w:r>
        <w:rPr>
          <w:rFonts w:ascii="Times New Roman" w:hAnsi="Times New Roman" w:cs="Times New Roman" w:eastAsia="Times New Roman" w:hint="default"/>
          <w:spacing w:val="-2"/>
        </w:rPr>
        <w:t>12</w:t>
      </w:r>
      <w:r>
        <w:rPr>
          <w:spacing w:val="-2"/>
        </w:rPr>
        <w:t>个月的，本公司会综合考虑其他相关因素，诸如价格波动率等，判断该权益工具投资是否发生减值。对于</w:t>
      </w:r>
      <w:r>
        <w:rPr>
          <w:spacing w:val="-64"/>
        </w:rPr>
        <w:t> </w:t>
      </w:r>
      <w:r>
        <w:rPr>
          <w:spacing w:val="-64"/>
        </w:rPr>
      </w:r>
      <w:r>
        <w:rPr/>
        <w:t>以成本计量的权益工具投资，公司综合考虑被投资单位经营所处的技术、市场、经济或法律环境等是否发生重大不利变化， 判断该权益工具是否发生减值。</w:t>
      </w:r>
    </w:p>
    <w:p>
      <w:pPr>
        <w:pStyle w:val="BodyText"/>
        <w:spacing w:line="477" w:lineRule="auto" w:before="105"/>
        <w:ind w:right="1132" w:firstLine="343"/>
        <w:jc w:val="both"/>
      </w:pPr>
      <w:r>
        <w:rPr>
          <w:spacing w:val="-2"/>
        </w:rPr>
        <w:t>以公允价值计量的可供出售金融资产发生减值时，原直接计入其他综合收益的因公允价值下降形成的累计损失予以转出</w:t>
      </w:r>
      <w:r>
        <w:rPr/>
        <w:t> </w:t>
      </w:r>
      <w:r>
        <w:rPr>
          <w:spacing w:val="-2"/>
        </w:rPr>
        <w:t>并计入减值损失。对已确认减值损失的可供出售债务工具投资，在期后公允价值回升且客观上与确认原减值损失后发生的事</w:t>
      </w:r>
      <w:r>
        <w:rPr>
          <w:spacing w:val="-64"/>
        </w:rPr>
        <w:t> </w:t>
      </w:r>
      <w:r>
        <w:rPr>
          <w:spacing w:val="-64"/>
        </w:rPr>
      </w:r>
      <w:r>
        <w:rPr>
          <w:spacing w:val="-2"/>
        </w:rPr>
        <w:t>项有关的，原确认的减值损失予以转回并计入当期损益。对已确认减值损失的可供出售权益工具投资，期后公允价值回升直</w:t>
      </w:r>
      <w:r>
        <w:rPr>
          <w:spacing w:val="-66"/>
        </w:rPr>
        <w:t> </w:t>
      </w:r>
      <w:r>
        <w:rPr>
          <w:spacing w:val="-66"/>
        </w:rPr>
      </w:r>
      <w:r>
        <w:rPr/>
        <w:t>接计入其他综合收益。</w:t>
      </w:r>
    </w:p>
    <w:p>
      <w:pPr>
        <w:pStyle w:val="BodyText"/>
        <w:spacing w:line="477" w:lineRule="auto" w:before="93"/>
        <w:ind w:right="1133" w:firstLine="343"/>
        <w:jc w:val="both"/>
      </w:pPr>
      <w:r>
        <w:rPr>
          <w:spacing w:val="-2"/>
        </w:rPr>
        <w:t>以成本计量的可供出售权益工具发生减值时，将该权益工具投资的账面价值，与按照类似金融资产当时市场收益率对未</w:t>
      </w:r>
      <w:r>
        <w:rPr/>
        <w:t> 来现金流量折现确定的现值之间的差额，确认为减值损失，计入当期损益，发生的减值损失一经确认，不予转回。</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11、应收票据及应收账款" w:id="178"/>
      <w:bookmarkEnd w:id="178"/>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单项金额重大并单独计提坏账准备的应收款项" w:id="179"/>
      <w:bookmarkEnd w:id="17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万元以上（含）其他应收款期末余额</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1"/>
        <w:rPr>
          <w:rFonts w:ascii="宋体" w:hAnsi="宋体" w:cs="宋体" w:eastAsia="宋体" w:hint="default"/>
          <w:b/>
          <w:bCs/>
          <w:sz w:val="25"/>
          <w:szCs w:val="25"/>
        </w:rPr>
      </w:pPr>
    </w:p>
    <w:p>
      <w:pPr>
        <w:pStyle w:val="Heading3"/>
        <w:spacing w:line="240" w:lineRule="auto" w:before="35"/>
        <w:ind w:right="0"/>
        <w:jc w:val="left"/>
        <w:rPr>
          <w:b w:val="0"/>
          <w:bCs w:val="0"/>
        </w:rPr>
      </w:pPr>
      <w:bookmarkStart w:name="（2）按信用风险特征组合计提坏账准备的应收款项" w:id="180"/>
      <w:bookmarkEnd w:id="18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经测试未发生减值，不计提坏账准备</w:t>
            </w:r>
          </w:p>
        </w:tc>
      </w:tr>
    </w:tbl>
    <w:p>
      <w:pPr>
        <w:spacing w:line="240" w:lineRule="auto" w:before="6"/>
        <w:rPr>
          <w:rFonts w:ascii="宋体" w:hAnsi="宋体" w:cs="宋体" w:eastAsia="宋体" w:hint="default"/>
          <w:b/>
          <w:bCs/>
          <w:sz w:val="6"/>
          <w:szCs w:val="6"/>
        </w:rPr>
      </w:pPr>
    </w:p>
    <w:p>
      <w:pPr>
        <w:pStyle w:val="BodyText"/>
        <w:spacing w:line="240" w:lineRule="auto" w:before="44"/>
        <w:ind w:right="0"/>
        <w:jc w:val="left"/>
      </w:pPr>
      <w:r>
        <w:rPr/>
        <w:t>组合中，采用账龄分析法计提坏账准备的：</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组合中，采用余额百分比法计提坏账准备的：</w:t>
      </w:r>
    </w:p>
    <w:p>
      <w:pPr>
        <w:spacing w:line="240" w:lineRule="auto" w:before="12"/>
        <w:rPr>
          <w:rFonts w:ascii="宋体" w:hAnsi="宋体" w:cs="宋体" w:eastAsia="宋体" w:hint="default"/>
          <w:sz w:val="20"/>
          <w:szCs w:val="20"/>
        </w:rPr>
      </w:pPr>
    </w:p>
    <w:p>
      <w:pPr>
        <w:pStyle w:val="BodyText"/>
        <w:spacing w:line="489" w:lineRule="auto"/>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29"/>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75"/>
              <w:jc w:val="righ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单项金额不重大但单独计提坏账准备的应收款项" w:id="181"/>
      <w:bookmarkEnd w:id="18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6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收款项组合及合并范围内关联方往来的未来现金流量现值存</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1"/>
        <w:rPr>
          <w:rFonts w:ascii="宋体" w:hAnsi="宋体" w:cs="宋体" w:eastAsia="宋体" w:hint="default"/>
          <w:b/>
          <w:bCs/>
          <w:sz w:val="25"/>
          <w:szCs w:val="25"/>
        </w:rPr>
      </w:pPr>
    </w:p>
    <w:p>
      <w:pPr>
        <w:pStyle w:val="Heading3"/>
        <w:spacing w:line="240" w:lineRule="auto" w:before="35"/>
        <w:ind w:right="0"/>
        <w:jc w:val="left"/>
        <w:rPr>
          <w:b w:val="0"/>
          <w:bCs w:val="0"/>
        </w:rPr>
      </w:pPr>
      <w:bookmarkStart w:name="12、存货" w:id="182"/>
      <w:bookmarkEnd w:id="182"/>
      <w:r>
        <w:rPr>
          <w:b w:val="0"/>
          <w:bCs w:val="0"/>
        </w:rPr>
      </w:r>
      <w:r>
        <w:rPr>
          <w:rFonts w:ascii="Times New Roman" w:hAnsi="Times New Roman" w:cs="Times New Roman" w:eastAsia="Times New Roman" w:hint="default"/>
        </w:rPr>
        <w:t>12</w:t>
      </w:r>
      <w:r>
        <w:rPr/>
        <w:t>、存货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right="7692"/>
        <w:jc w:val="left"/>
      </w:pPr>
      <w:r>
        <w:rPr/>
        <w:t>公司是否需要遵守特殊行业的披露要求 是</w:t>
      </w:r>
    </w:p>
    <w:p>
      <w:pPr>
        <w:pStyle w:val="BodyText"/>
        <w:spacing w:line="240" w:lineRule="auto" w:before="66"/>
        <w:ind w:right="0"/>
        <w:jc w:val="left"/>
      </w:pPr>
      <w:r>
        <w:rPr/>
        <w:t>软件与信息技术服务业</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0" w:firstLine="360"/>
        <w:jc w:val="left"/>
      </w:pPr>
      <w:r>
        <w:rPr>
          <w:spacing w:val="-2"/>
        </w:rPr>
        <w:t>存货包括在日常活动中持有以备出售的产成品或商品、处在生产过程中的在产品、在生产过程或提供劳务过程中耗用的</w:t>
      </w:r>
      <w:r>
        <w:rPr/>
        <w:t> 材料和物料等。</w:t>
      </w:r>
    </w:p>
    <w:p>
      <w:pPr>
        <w:spacing w:line="240" w:lineRule="auto" w:before="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514" w:right="0"/>
        <w:jc w:val="left"/>
      </w:pPr>
      <w:r>
        <w:rPr/>
        <w:t>用于生产和销售的存货发出采用月末一次加权平均法计价，用于工程领用的存货发出采用先进先出法计价。</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0" w:firstLine="360"/>
        <w:jc w:val="left"/>
      </w:pPr>
      <w:r>
        <w:rPr>
          <w:spacing w:val="-2"/>
        </w:rPr>
        <w:t>资产负债表日，存货采用成本与可变现净值孰低计量，按照单个存货成本高于可变现净值的差额计提存货跌价准备。直</w:t>
      </w:r>
      <w:r>
        <w:rPr/>
        <w:t> 接用于出售的存货，在正常生产经营过程中以该存货的估计售价减去估计的销售费用和相关税费后的金额确定其可变现净 </w:t>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6"/>
        </w:rPr>
        <w:t> </w:t>
      </w:r>
      <w:r>
        <w:rPr>
          <w:spacing w:val="-66"/>
        </w:rPr>
      </w:r>
      <w:r>
        <w:rPr/>
        <w:t>同价格的，分别确定其可变现净值，并与其对应的成本进行比较，分别确定存货跌价准备的计提或转回的金额。</w:t>
      </w:r>
    </w:p>
    <w:p>
      <w:pPr>
        <w:spacing w:line="240" w:lineRule="auto" w:before="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514" w:right="0"/>
        <w:jc w:val="left"/>
      </w:pPr>
      <w:r>
        <w:rPr/>
        <w:t>存货的盘存制度为永续盘存制。</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588" w:right="0"/>
        <w:jc w:val="left"/>
      </w:pPr>
      <w:r>
        <w:rPr/>
        <w:t>①</w:t>
      </w:r>
      <w:r>
        <w:rPr>
          <w:spacing w:val="-20"/>
        </w:rPr>
        <w:t> </w:t>
      </w:r>
      <w:r>
        <w:rPr/>
        <w:t>低值易耗品</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88" w:right="0"/>
        <w:jc w:val="left"/>
      </w:pPr>
      <w:r>
        <w:rPr/>
        <w:t>按照一次转销法进行摊销。</w:t>
      </w:r>
    </w:p>
    <w:p>
      <w:pPr>
        <w:spacing w:line="240" w:lineRule="auto" w:before="10"/>
        <w:rPr>
          <w:rFonts w:ascii="宋体" w:hAnsi="宋体" w:cs="宋体" w:eastAsia="宋体" w:hint="default"/>
          <w:sz w:val="20"/>
          <w:szCs w:val="20"/>
        </w:rPr>
      </w:pPr>
    </w:p>
    <w:p>
      <w:pPr>
        <w:pStyle w:val="BodyText"/>
        <w:spacing w:line="518" w:lineRule="auto"/>
        <w:ind w:left="588" w:right="8158"/>
        <w:jc w:val="left"/>
      </w:pPr>
      <w:r>
        <w:rPr/>
        <w:t>②包装物 按照一次转销法进行摊销。</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13、持有待售资产" w:id="183"/>
      <w:bookmarkEnd w:id="183"/>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14、长期股权投资" w:id="184"/>
      <w:bookmarkEnd w:id="18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r>
        <w:rPr/>
        <w:t>（</w:t>
      </w:r>
      <w:r>
        <w:rPr>
          <w:rFonts w:ascii="Times New Roman" w:hAnsi="Times New Roman" w:cs="Times New Roman" w:eastAsia="Times New Roman" w:hint="default"/>
        </w:rPr>
        <w:t>1</w:t>
      </w:r>
      <w:r>
        <w:rPr/>
        <w:t>）共同控制、重要影响的判断</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1131" w:firstLine="362"/>
        <w:jc w:val="both"/>
      </w:pPr>
      <w:r>
        <w:rPr>
          <w:spacing w:val="-2"/>
        </w:rPr>
        <w:t>按照相关约定对某项安排所共有的控制，并且该安排的相关活动必须经过分享控制权的参与方一致同意后才能决策，认</w:t>
      </w:r>
      <w:r>
        <w:rPr/>
        <w:t> </w:t>
      </w:r>
      <w:r>
        <w:rPr>
          <w:spacing w:val="-2"/>
        </w:rPr>
        <w:t>定为共同控制。对被投资单位的财务和经营政策有参与决策的权力，但并不能够控制或者与其他方一起共同控制这些政策的</w:t>
      </w:r>
      <w:r>
        <w:rPr>
          <w:spacing w:val="-64"/>
        </w:rPr>
        <w:t> </w:t>
      </w:r>
      <w:r>
        <w:rPr>
          <w:spacing w:val="-64"/>
        </w:rPr>
      </w:r>
      <w:r>
        <w:rPr/>
        <w:t>制定，认定为重大影响。</w:t>
      </w:r>
    </w:p>
    <w:p>
      <w:pPr>
        <w:spacing w:line="240" w:lineRule="auto" w:before="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）投资成本的确定</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477" w:lineRule="auto"/>
        <w:ind w:right="1032" w:firstLine="434"/>
        <w:jc w:val="left"/>
      </w:pPr>
      <w:r>
        <w:rPr>
          <w:spacing w:val="-2"/>
        </w:rPr>
        <w:t>①同一控制下的企业合并形成的，合并方以支付现金、转让非现金资产、承担债务或发行权益性证券作为合并对价的，</w:t>
      </w:r>
      <w:r>
        <w:rPr/>
        <w:t> </w:t>
      </w:r>
      <w:r>
        <w:rPr>
          <w:spacing w:val="-2"/>
        </w:rPr>
        <w:t>在合并日按照取得被合并方所有者权益在最终控制方合并财务报表中的账面价值的份额作为其初始投资成本。长期股权投资</w:t>
      </w:r>
      <w:r>
        <w:rPr>
          <w:spacing w:val="-64"/>
        </w:rPr>
        <w:t> </w:t>
      </w:r>
      <w:r>
        <w:rPr>
          <w:spacing w:val="-64"/>
        </w:rPr>
      </w:r>
      <w:r>
        <w:rPr>
          <w:spacing w:val="-2"/>
        </w:rPr>
        <w:t>初始投资成本与支付的合并对价的账面价值或发行股份的面值总额之间的差额调整资本公积；资本公积不足冲减的，调整留</w:t>
      </w:r>
      <w:r>
        <w:rPr>
          <w:spacing w:val="-64"/>
        </w:rPr>
        <w:t> </w:t>
      </w:r>
      <w:r>
        <w:rPr>
          <w:spacing w:val="-64"/>
        </w:rPr>
      </w:r>
      <w:r>
        <w:rPr/>
        <w:t>存收益。</w:t>
      </w:r>
    </w:p>
    <w:p>
      <w:pPr>
        <w:pStyle w:val="BodyText"/>
        <w:spacing w:line="463" w:lineRule="auto" w:before="92"/>
        <w:ind w:right="1131" w:firstLine="362"/>
        <w:jc w:val="both"/>
      </w:pPr>
      <w:r>
        <w:rPr>
          <w:spacing w:val="-1"/>
        </w:rPr>
        <w:t>公司通过多次交易分步实现同一控制下企业合并形成的长期股权投资，判断是否属于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rFonts w:ascii="Times New Roman" w:hAnsi="Times New Roman" w:cs="Times New Roman" w:eastAsia="Times New Roman" w:hint="default"/>
          <w:w w:val="100"/>
        </w:rPr>
        <w:t> </w:t>
      </w:r>
      <w:r>
        <w:rPr>
          <w:spacing w:val="-2"/>
        </w:rPr>
        <w:t>的，把各项交易作为一项取得控制权的交易进行会计处理。不属于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的，在合并日，根据合并后应享有被合并方</w:t>
      </w:r>
      <w:r>
        <w:rPr>
          <w:spacing w:val="-44"/>
        </w:rPr>
        <w:t> </w:t>
      </w:r>
      <w:r>
        <w:rPr>
          <w:spacing w:val="-44"/>
        </w:rPr>
      </w:r>
      <w:r>
        <w:rPr>
          <w:spacing w:val="-2"/>
        </w:rPr>
        <w:t>净资产在最终控制方合并财务报表中的账面价值的份额确定初始投资成本。合并日长期股权投资的初始投资成本，与达到合</w:t>
      </w:r>
      <w:r>
        <w:rPr>
          <w:spacing w:val="-64"/>
        </w:rPr>
        <w:t> </w:t>
      </w:r>
      <w:r>
        <w:rPr>
          <w:spacing w:val="-64"/>
        </w:rPr>
      </w:r>
      <w:r>
        <w:rPr>
          <w:spacing w:val="-2"/>
        </w:rPr>
        <w:t>并前的长期股权投资账面价值加上合并日进一步取得股份新支付对价的账面价值之和的差额，调整资本公积；资本公积不足</w:t>
      </w:r>
      <w:r>
        <w:rPr>
          <w:spacing w:val="-64"/>
        </w:rPr>
        <w:t> </w:t>
      </w:r>
      <w:r>
        <w:rPr>
          <w:spacing w:val="-64"/>
        </w:rPr>
      </w:r>
      <w:r>
        <w:rPr/>
        <w:t>冲减的，调整留存收益。</w:t>
      </w:r>
    </w:p>
    <w:p>
      <w:pPr>
        <w:pStyle w:val="BodyText"/>
        <w:spacing w:line="496" w:lineRule="auto" w:before="104"/>
        <w:ind w:right="1118" w:firstLine="415"/>
        <w:jc w:val="left"/>
      </w:pPr>
      <w:r>
        <w:rPr/>
        <w:t>②</w:t>
      </w:r>
      <w:r>
        <w:rPr>
          <w:spacing w:val="-19"/>
        </w:rPr>
        <w:t> </w:t>
      </w:r>
      <w:r>
        <w:rPr/>
        <w:t>非同一控制下的企业合并形成的，在购买日按照支付的合并对价的公允价值作为其初始投资成本。</w:t>
      </w:r>
      <w:r>
        <w:rPr/>
        <w:t> </w:t>
      </w:r>
      <w:r>
        <w:rPr>
          <w:spacing w:val="-2"/>
        </w:rPr>
        <w:t>公司通过多次交易分步实现非同一控制下企业合并形成的长期股权投资，区分个别财务报表和合并财务报表进行相关会计处</w:t>
      </w:r>
      <w:r>
        <w:rPr>
          <w:spacing w:val="-64"/>
        </w:rPr>
        <w:t> </w:t>
      </w:r>
      <w:r>
        <w:rPr>
          <w:spacing w:val="-64"/>
        </w:rPr>
      </w:r>
      <w:r>
        <w:rPr/>
        <w:t>理：</w:t>
      </w:r>
    </w:p>
    <w:p>
      <w:pPr>
        <w:pStyle w:val="BodyText"/>
        <w:spacing w:line="451" w:lineRule="auto" w:before="78"/>
        <w:ind w:right="1191" w:firstLine="360"/>
        <w:jc w:val="left"/>
      </w:pPr>
      <w:r>
        <w:rPr>
          <w:rFonts w:ascii="Times New Roman" w:hAnsi="Times New Roman" w:cs="Times New Roman" w:eastAsia="Times New Roman" w:hint="default"/>
        </w:rPr>
        <w:t>A</w:t>
      </w:r>
      <w:r>
        <w:rPr/>
        <w:t>、</w:t>
      </w:r>
      <w:r>
        <w:rPr>
          <w:spacing w:val="-19"/>
        </w:rPr>
        <w:t> </w:t>
      </w:r>
      <w:r>
        <w:rPr/>
        <w:t>在个别财务报表中，按照原持有的股权投资的账面价值加上新增投资成本之和，作为改按成本法核算的初始投资</w:t>
      </w:r>
      <w:r>
        <w:rPr/>
        <w:t> 成本。</w:t>
      </w:r>
    </w:p>
    <w:p>
      <w:pPr>
        <w:spacing w:after="0" w:line="451" w:lineRule="auto"/>
        <w:jc w:val="left"/>
        <w:sectPr>
          <w:footerReference w:type="default" r:id="rId22"/>
          <w:pgSz w:w="11910" w:h="16840"/>
          <w:pgMar w:footer="979" w:header="747" w:top="1060" w:bottom="1160" w:left="980" w:right="0"/>
          <w:pgNumType w:start="144"/>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1131" w:firstLine="360"/>
        <w:jc w:val="both"/>
      </w:pPr>
      <w:r>
        <w:rPr>
          <w:rFonts w:ascii="Times New Roman" w:hAnsi="Times New Roman" w:cs="Times New Roman" w:eastAsia="Times New Roman" w:hint="default"/>
        </w:rPr>
        <w:t>B</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 </w:t>
      </w:r>
      <w:r>
        <w:rPr>
          <w:spacing w:val="-2"/>
        </w:rPr>
        <w:t>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的，对于购买日之前持有的被购买方的股权，按照该股权在购买日的公允价值进行重新计</w:t>
      </w:r>
      <w:r>
        <w:rPr>
          <w:spacing w:val="-45"/>
        </w:rPr>
        <w:t> </w:t>
      </w:r>
      <w:r>
        <w:rPr>
          <w:spacing w:val="-45"/>
        </w:rPr>
      </w:r>
      <w:r>
        <w:rPr>
          <w:spacing w:val="-2"/>
        </w:rPr>
        <w:t>量，公允价值与其账面价值的差额计入当期投资收益；购买日之前持有的被购买方的股权涉及权益法核算下的其他综合收益</w:t>
      </w:r>
      <w:r>
        <w:rPr>
          <w:spacing w:val="-64"/>
        </w:rPr>
        <w:t> </w:t>
      </w:r>
      <w:r>
        <w:rPr>
          <w:spacing w:val="-64"/>
        </w:rPr>
      </w:r>
      <w:r>
        <w:rPr>
          <w:spacing w:val="-2"/>
        </w:rPr>
        <w:t>等的，与其相关的其他综合收益等转为购买日所属当期收益。但由于被投资方重新计量设定受益计划净负债或净资产变动而</w:t>
      </w:r>
      <w:r>
        <w:rPr>
          <w:spacing w:val="-64"/>
        </w:rPr>
        <w:t> </w:t>
      </w:r>
      <w:r>
        <w:rPr>
          <w:spacing w:val="-64"/>
        </w:rPr>
      </w:r>
      <w:r>
        <w:rPr/>
        <w:t>产生的其他综合收益除外。</w:t>
      </w:r>
    </w:p>
    <w:p>
      <w:pPr>
        <w:pStyle w:val="BodyText"/>
        <w:spacing w:line="460" w:lineRule="auto" w:before="103"/>
        <w:ind w:right="1130" w:firstLine="433"/>
        <w:jc w:val="both"/>
      </w:pPr>
      <w:r>
        <w:rPr/>
        <w:t>③除企业合并形成以外的：以支付现金取得的，按照实际支付的购买价款作为其初始投资成本；以发行权益性证券取 </w:t>
      </w:r>
      <w:r>
        <w:rPr>
          <w:spacing w:val="-2"/>
        </w:rPr>
        <w:t>得的，按照发行权益性证券的公允价值作为其初始投资成本；以债务重组方式取得的，按《企业会计准则第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w:t>
      </w:r>
      <w:r>
        <w:rPr>
          <w:spacing w:val="-64"/>
        </w:rPr>
        <w:t> </w:t>
      </w:r>
      <w:r>
        <w:rPr/>
        <w:t>组》确定其初始投资成本；以非货币性资产交换取得的，按《企业会计准则第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 成本。</w:t>
      </w:r>
    </w:p>
    <w:p>
      <w:pPr>
        <w:spacing w:line="240" w:lineRule="auto" w:before="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731" w:right="0"/>
        <w:jc w:val="left"/>
      </w:pPr>
      <w:r>
        <w:rPr/>
        <w:t>对被投资单位实施控制的长期股权投资采用成本法核算；对联营企业和合营企业的长期股权投资，采用权益法核算。</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15、投资性房地产" w:id="185"/>
      <w:bookmarkEnd w:id="18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518" w:lineRule="auto"/>
        <w:ind w:right="8952"/>
        <w:jc w:val="left"/>
      </w:pPr>
      <w:r>
        <w:rPr/>
        <w:t>投资性房地产计量模式 成本法计量 折旧或摊销方法</w:t>
      </w:r>
    </w:p>
    <w:p>
      <w:pPr>
        <w:pStyle w:val="BodyText"/>
        <w:spacing w:line="240" w:lineRule="auto" w:before="62"/>
        <w:ind w:right="0"/>
        <w:jc w:val="left"/>
      </w:pPr>
      <w:r>
        <w:rPr/>
        <w:t>（</w:t>
      </w:r>
      <w:r>
        <w:rPr>
          <w:rFonts w:ascii="Times New Roman" w:hAnsi="Times New Roman" w:cs="Times New Roman" w:eastAsia="Times New Roman" w:hint="default"/>
        </w:rPr>
        <w:t>1</w:t>
      </w:r>
      <w:r>
        <w:rPr/>
        <w:t>）投资性房地产包括已出租的土地使用权、持有并准备增值后转让的土地使用权和已出租的建筑物。</w:t>
      </w:r>
    </w:p>
    <w:p>
      <w:pPr>
        <w:spacing w:line="240" w:lineRule="auto" w:before="9"/>
        <w:rPr>
          <w:rFonts w:ascii="宋体" w:hAnsi="宋体" w:cs="宋体" w:eastAsia="宋体" w:hint="default"/>
          <w:sz w:val="16"/>
          <w:szCs w:val="16"/>
        </w:rPr>
      </w:pPr>
    </w:p>
    <w:p>
      <w:pPr>
        <w:pStyle w:val="BodyText"/>
        <w:spacing w:line="451" w:lineRule="auto"/>
        <w:ind w:right="1122"/>
        <w:jc w:val="left"/>
      </w:pPr>
      <w:r>
        <w:rPr/>
        <w:t>（</w:t>
      </w:r>
      <w:r>
        <w:rPr>
          <w:rFonts w:ascii="Times New Roman" w:hAnsi="Times New Roman" w:cs="Times New Roman" w:eastAsia="Times New Roman" w:hint="default"/>
        </w:rPr>
        <w:t>2</w:t>
      </w:r>
      <w:r>
        <w:rPr/>
        <w:t>）投资性房地产按照成本进行初始计量，采用成本模式进行后续计量，并采用与固定资产和无形资产相同的方法计提折</w:t>
      </w:r>
      <w:r>
        <w:rPr>
          <w:spacing w:val="-82"/>
        </w:rPr>
        <w:t> </w:t>
      </w:r>
      <w:r>
        <w:rPr>
          <w:spacing w:val="-82"/>
        </w:rPr>
      </w:r>
      <w:r>
        <w:rPr/>
        <w:t>旧或进行摊销。</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16、固定资产" w:id="186"/>
      <w:bookmarkEnd w:id="18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0"/>
        <w:jc w:val="left"/>
      </w:pPr>
      <w:r>
        <w:rPr>
          <w:spacing w:val="-2"/>
        </w:rPr>
        <w:t>固定资产是指为生产商品、提供劳务、出租或经营管理而持有的，使用年限超过一个会计年度的有形资产。固定资产在同时</w:t>
      </w:r>
      <w:r>
        <w:rPr>
          <w:spacing w:val="-66"/>
        </w:rPr>
        <w:t> </w:t>
      </w:r>
      <w:r>
        <w:rPr>
          <w:spacing w:val="-66"/>
        </w:rPr>
      </w:r>
      <w:r>
        <w:rPr/>
        <w:t>满足经济利益很可能流入、成本能够可靠计量时予以确认。</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施工设备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研发及生产检测设备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1"/>
        <w:rPr>
          <w:rFonts w:ascii="宋体" w:hAnsi="宋体" w:cs="宋体" w:eastAsia="宋体" w:hint="default"/>
          <w:b/>
          <w:bCs/>
          <w:sz w:val="25"/>
          <w:szCs w:val="25"/>
        </w:rPr>
      </w:pPr>
    </w:p>
    <w:p>
      <w:pPr>
        <w:pStyle w:val="Heading3"/>
        <w:spacing w:line="240" w:lineRule="auto" w:before="35"/>
        <w:ind w:right="0"/>
        <w:jc w:val="left"/>
        <w:rPr>
          <w:b w:val="0"/>
          <w:bCs w:val="0"/>
        </w:rPr>
      </w:pPr>
      <w:bookmarkStart w:name="（3）融资租入固定资产的认定依据、计价和折旧方法" w:id="189"/>
      <w:bookmarkEnd w:id="18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17、在建工程" w:id="190"/>
      <w:bookmarkEnd w:id="19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518" w:lineRule="auto"/>
        <w:ind w:right="7692"/>
        <w:jc w:val="left"/>
      </w:pPr>
      <w:r>
        <w:rPr/>
        <w:t>公司是否需要遵守特殊行业的披露要求 是</w:t>
      </w:r>
    </w:p>
    <w:p>
      <w:pPr>
        <w:pStyle w:val="BodyText"/>
        <w:spacing w:line="240" w:lineRule="auto" w:before="63"/>
        <w:ind w:right="0"/>
        <w:jc w:val="left"/>
      </w:pPr>
      <w:r>
        <w:rPr/>
        <w:t>软件与信息技术服务业</w:t>
      </w:r>
    </w:p>
    <w:p>
      <w:pPr>
        <w:spacing w:line="240" w:lineRule="auto" w:before="9"/>
        <w:rPr>
          <w:rFonts w:ascii="宋体" w:hAnsi="宋体" w:cs="宋体" w:eastAsia="宋体" w:hint="default"/>
          <w:sz w:val="20"/>
          <w:szCs w:val="20"/>
        </w:rPr>
      </w:pPr>
    </w:p>
    <w:p>
      <w:pPr>
        <w:pStyle w:val="BodyText"/>
        <w:spacing w:line="451" w:lineRule="auto"/>
        <w:ind w:right="1122"/>
        <w:jc w:val="left"/>
      </w:pPr>
      <w:r>
        <w:rPr/>
        <w:t>（</w:t>
      </w:r>
      <w:r>
        <w:rPr>
          <w:rFonts w:ascii="Times New Roman" w:hAnsi="Times New Roman" w:cs="Times New Roman" w:eastAsia="Times New Roman" w:hint="default"/>
        </w:rPr>
        <w:t>1</w:t>
      </w:r>
      <w:r>
        <w:rPr/>
        <w:t>）在建工程同时满足经济利益很可能流入、成本能够可靠计量则予以确认。在建工程按建造该项资产达到预定可使用状 态前所发生的实际成本计量。</w:t>
      </w:r>
    </w:p>
    <w:p>
      <w:pPr>
        <w:pStyle w:val="BodyText"/>
        <w:spacing w:line="451" w:lineRule="auto" w:before="113"/>
        <w:ind w:right="1122"/>
        <w:jc w:val="left"/>
      </w:pPr>
      <w:r>
        <w:rPr/>
        <w:t>（</w:t>
      </w:r>
      <w:r>
        <w:rPr>
          <w:rFonts w:ascii="Times New Roman" w:hAnsi="Times New Roman" w:cs="Times New Roman" w:eastAsia="Times New Roman" w:hint="default"/>
        </w:rPr>
        <w:t>2</w:t>
      </w:r>
      <w:r>
        <w:rPr/>
        <w:t>）在建工程达到预定可使用状态时，按工程实际成本转入固定资产。已达到预定可使用状态但尚未办理竣工决算的，先 按估计价值转入固定资产，待办理竣工决算后再按实际成本调整原暂估价值，但不再调整原已计提的折旧。</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bookmarkStart w:name="18、借款费用" w:id="191"/>
      <w:bookmarkEnd w:id="19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r>
        <w:rPr/>
        <w:t>（</w:t>
      </w:r>
      <w:r>
        <w:rPr>
          <w:rFonts w:ascii="宋体" w:hAnsi="宋体" w:cs="宋体" w:eastAsia="宋体" w:hint="default"/>
        </w:rPr>
        <w:t>1</w:t>
      </w:r>
      <w:r>
        <w:rPr/>
        <w:t>）借款费用资本化的确认原则</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477" w:lineRule="auto"/>
        <w:ind w:right="0" w:firstLine="290"/>
        <w:jc w:val="left"/>
      </w:pPr>
      <w:r>
        <w:rPr>
          <w:spacing w:val="-1"/>
        </w:rPr>
        <w:t>公司发生的借款费用，可直接归属于符合资本化条件的资产的购建或者生产的，予以资本化，计入相关资产成本；其他</w:t>
      </w:r>
      <w:r>
        <w:rPr/>
        <w:t> 借款费用，在发生时确认为费用，计入当期损益。</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51" w:lineRule="auto"/>
        <w:ind w:right="0" w:firstLine="433"/>
        <w:jc w:val="left"/>
      </w:pPr>
      <w:r>
        <w:rPr/>
        <w:t>① 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为使资产达到预 定可使用或可销售状态所必要的购建或者生产活动已经开始。</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234" w:right="1175" w:firstLine="433"/>
        <w:jc w:val="both"/>
      </w:pPr>
      <w:r>
        <w:rPr/>
        <w:t>②</w:t>
      </w:r>
      <w:r>
        <w:rPr>
          <w:spacing w:val="-20"/>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 资本化；中断期间发生的借款费用确认为当期费用，直至资产的购建或者生产活动重新开始。</w:t>
      </w:r>
    </w:p>
    <w:p>
      <w:pPr>
        <w:pStyle w:val="BodyText"/>
        <w:spacing w:line="240" w:lineRule="auto" w:before="113"/>
        <w:ind w:left="740" w:right="1121"/>
        <w:jc w:val="left"/>
      </w:pPr>
      <w:r>
        <w:rPr/>
        <w:t>③当所购建或者生产符合资本化条件的资产达到预定可使用或可销售状态时，借款费用停止资本化。</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234" w:right="1121"/>
        <w:jc w:val="left"/>
        <w:rPr>
          <w:b w:val="0"/>
          <w:bCs w:val="0"/>
        </w:rPr>
      </w:pPr>
      <w:r>
        <w:rPr/>
        <w:t>（</w:t>
      </w:r>
      <w:r>
        <w:rPr>
          <w:rFonts w:ascii="Times New Roman" w:hAnsi="Times New Roman" w:cs="Times New Roman" w:eastAsia="Times New Roman" w:hint="default"/>
        </w:rPr>
        <w:t>3</w:t>
      </w:r>
      <w:r>
        <w:rPr/>
        <w:t>）借款费用资本化率以及资本化金额</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477" w:lineRule="auto"/>
        <w:ind w:left="234" w:right="1132" w:firstLine="360"/>
        <w:jc w:val="both"/>
      </w:pPr>
      <w:r>
        <w:rPr>
          <w:spacing w:val="-2"/>
        </w:rPr>
        <w:t>为购建或者生产符合资本化条件的资产而借入专门借款的，以专门借款当期实际发生的利息费用（包括按照实际利率法</w:t>
      </w:r>
      <w:r>
        <w:rPr/>
        <w:t> </w:t>
      </w:r>
      <w:r>
        <w:rPr>
          <w:spacing w:val="-2"/>
        </w:rPr>
        <w:t>确定的折价或溢价的摊销），减去将尚未动用的借款资金存入银行取得的利息收入或进行暂时性投资取得的投资收益后的金</w:t>
      </w:r>
      <w:r>
        <w:rPr>
          <w:spacing w:val="-64"/>
        </w:rPr>
        <w:t> </w:t>
      </w:r>
      <w:r>
        <w:rPr>
          <w:spacing w:val="-64"/>
        </w:rPr>
      </w:r>
      <w:r>
        <w:rPr>
          <w:spacing w:val="-2"/>
        </w:rPr>
        <w:t>额，确定应予资本化的利息金额；为购建或者生产符合资本化条件的资产占用了一般借款的，根据累计资产支出超过专门借</w:t>
      </w:r>
      <w:r>
        <w:rPr>
          <w:spacing w:val="-66"/>
        </w:rPr>
        <w:t> </w:t>
      </w:r>
      <w:r>
        <w:rPr>
          <w:spacing w:val="-66"/>
        </w:rPr>
      </w:r>
      <w:r>
        <w:rPr/>
        <w:t>款的资产支出加权平均数乘以占用一般借款的资本化率，计算确定一般借款应予资本化的利息金额。</w:t>
      </w:r>
    </w:p>
    <w:p>
      <w:pPr>
        <w:spacing w:line="240" w:lineRule="auto" w:before="2"/>
        <w:rPr>
          <w:rFonts w:ascii="宋体" w:hAnsi="宋体" w:cs="宋体" w:eastAsia="宋体" w:hint="default"/>
          <w:sz w:val="25"/>
          <w:szCs w:val="25"/>
        </w:rPr>
      </w:pPr>
    </w:p>
    <w:p>
      <w:pPr>
        <w:pStyle w:val="Heading3"/>
        <w:spacing w:line="240" w:lineRule="auto"/>
        <w:ind w:left="234" w:right="1121"/>
        <w:jc w:val="left"/>
        <w:rPr>
          <w:b w:val="0"/>
          <w:bCs w:val="0"/>
        </w:rPr>
      </w:pPr>
      <w:bookmarkStart w:name="19、生物资产" w:id="192"/>
      <w:bookmarkEnd w:id="192"/>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240" w:lineRule="auto"/>
        <w:ind w:left="234" w:right="1121"/>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234" w:right="1121"/>
        <w:jc w:val="left"/>
        <w:rPr>
          <w:b w:val="0"/>
          <w:bCs w:val="0"/>
        </w:rPr>
      </w:pPr>
      <w:bookmarkStart w:name="20、油气资产" w:id="193"/>
      <w:bookmarkEnd w:id="193"/>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240" w:lineRule="auto"/>
        <w:ind w:left="234" w:right="1121"/>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234" w:right="1121"/>
        <w:jc w:val="left"/>
        <w:rPr>
          <w:b w:val="0"/>
          <w:bCs w:val="0"/>
        </w:rPr>
      </w:pPr>
      <w:bookmarkStart w:name="21、无形资产" w:id="194"/>
      <w:bookmarkEnd w:id="194"/>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234" w:right="1121"/>
        <w:jc w:val="left"/>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8" w:lineRule="auto"/>
        <w:ind w:left="234" w:right="7692"/>
        <w:jc w:val="left"/>
      </w:pPr>
      <w:r>
        <w:rPr/>
        <w:t>公司是否需要遵守特殊行业的披露要求 是</w:t>
      </w:r>
    </w:p>
    <w:p>
      <w:pPr>
        <w:pStyle w:val="BodyText"/>
        <w:spacing w:line="240" w:lineRule="auto" w:before="63"/>
        <w:ind w:left="234" w:right="1121"/>
        <w:jc w:val="left"/>
      </w:pPr>
      <w:r>
        <w:rPr/>
        <w:t>软件与信息技术服务业</w:t>
      </w:r>
    </w:p>
    <w:p>
      <w:pPr>
        <w:spacing w:line="240" w:lineRule="auto" w:before="10"/>
        <w:rPr>
          <w:rFonts w:ascii="宋体" w:hAnsi="宋体" w:cs="宋体" w:eastAsia="宋体" w:hint="default"/>
          <w:sz w:val="20"/>
          <w:szCs w:val="20"/>
        </w:rPr>
      </w:pPr>
    </w:p>
    <w:p>
      <w:pPr>
        <w:pStyle w:val="BodyText"/>
        <w:spacing w:line="240" w:lineRule="auto"/>
        <w:ind w:left="234" w:right="1121"/>
        <w:jc w:val="left"/>
      </w:pPr>
      <w:r>
        <w:rPr/>
        <w:t>①无形资产包括软件，按成本进行初始计量。</w:t>
      </w:r>
    </w:p>
    <w:p>
      <w:pPr>
        <w:spacing w:line="240" w:lineRule="auto" w:before="10"/>
        <w:rPr>
          <w:rFonts w:ascii="宋体" w:hAnsi="宋体" w:cs="宋体" w:eastAsia="宋体" w:hint="default"/>
          <w:sz w:val="20"/>
          <w:szCs w:val="20"/>
        </w:rPr>
      </w:pPr>
    </w:p>
    <w:p>
      <w:pPr>
        <w:pStyle w:val="BodyText"/>
        <w:spacing w:line="477" w:lineRule="auto"/>
        <w:ind w:left="234" w:right="1121"/>
        <w:jc w:val="left"/>
      </w:pPr>
      <w:r>
        <w:rPr>
          <w:spacing w:val="-2"/>
        </w:rPr>
        <w:t>②使用寿命有限的无形资产，在使用寿命内按照与该项无形资产有关的经济利益的预期实现方式系统合理地摊销，无法可靠</w:t>
      </w:r>
      <w:r>
        <w:rPr>
          <w:spacing w:val="-64"/>
        </w:rPr>
        <w:t> </w:t>
      </w:r>
      <w:r>
        <w:rPr>
          <w:spacing w:val="-64"/>
        </w:rPr>
      </w:r>
      <w:r>
        <w:rPr/>
        <w:t>确定预期实现方式的，采用直线法摊销。具体年限如下：</w:t>
      </w:r>
    </w:p>
    <w:tbl>
      <w:tblPr>
        <w:tblW w:w="0" w:type="auto"/>
        <w:jc w:val="left"/>
        <w:tblInd w:w="116" w:type="dxa"/>
        <w:tblLayout w:type="fixed"/>
        <w:tblCellMar>
          <w:top w:w="0" w:type="dxa"/>
          <w:left w:w="0" w:type="dxa"/>
          <w:bottom w:w="0" w:type="dxa"/>
          <w:right w:w="0" w:type="dxa"/>
        </w:tblCellMar>
        <w:tblLook w:val="01E0"/>
      </w:tblPr>
      <w:tblGrid>
        <w:gridCol w:w="4928"/>
        <w:gridCol w:w="4928"/>
      </w:tblGrid>
      <w:tr>
        <w:trPr>
          <w:trHeight w:val="332" w:hRule="exact"/>
        </w:trPr>
        <w:tc>
          <w:tcPr>
            <w:tcW w:w="492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2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摊销年限（年）</w:t>
            </w:r>
          </w:p>
        </w:tc>
      </w:tr>
      <w:tr>
        <w:trPr>
          <w:trHeight w:val="331" w:hRule="exact"/>
        </w:trPr>
        <w:tc>
          <w:tcPr>
            <w:tcW w:w="4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4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6"/>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747" w:footer="979" w:top="1060" w:bottom="1160" w:left="90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both"/>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0"/>
        <w:jc w:val="left"/>
      </w:pPr>
      <w:r>
        <w:rPr>
          <w:spacing w:val="-2"/>
        </w:rPr>
        <w:t>内部研究开发项目研究阶段的支出，于发生时计入当期损益。内部研究开发项目开发阶段的支出，同时满足下列条件的，确</w:t>
      </w:r>
      <w:r>
        <w:rPr>
          <w:spacing w:val="-66"/>
        </w:rPr>
        <w:t> </w:t>
      </w:r>
      <w:r>
        <w:rPr>
          <w:spacing w:val="-66"/>
        </w:rPr>
      </w:r>
      <w:r>
        <w:rPr>
          <w:spacing w:val="-4"/>
        </w:rPr>
        <w:t>认为无形资产：①完成该无形资产以使其能够使用或出售在技术上具有可行性；②具有完成该无形资产并使用或出售的意图；</w:t>
      </w:r>
    </w:p>
    <w:p>
      <w:pPr>
        <w:pStyle w:val="BodyText"/>
        <w:spacing w:line="477" w:lineRule="auto" w:before="54"/>
        <w:ind w:right="1132"/>
        <w:jc w:val="both"/>
      </w:pPr>
      <w:r>
        <w:rPr>
          <w:spacing w:val="-2"/>
        </w:rPr>
        <w:t>③无形资产产生经济利益的方式，包括能够证明运用该无形资产生产的产品存在市场或无形资产自身存在市场，无形资产将</w:t>
      </w:r>
      <w:r>
        <w:rPr>
          <w:spacing w:val="-64"/>
        </w:rPr>
        <w:t> </w:t>
      </w:r>
      <w:r>
        <w:rPr>
          <w:spacing w:val="-64"/>
        </w:rPr>
      </w:r>
      <w:r>
        <w:rPr>
          <w:spacing w:val="-2"/>
        </w:rPr>
        <w:t>在内部使用的，能证明其有用性；④有足够的技术、财务资源和其他资源支持，以完成该无形资产的开发，并有能力使用或</w:t>
      </w:r>
      <w:r>
        <w:rPr>
          <w:spacing w:val="-66"/>
        </w:rPr>
        <w:t> </w:t>
      </w:r>
      <w:r>
        <w:rPr>
          <w:spacing w:val="-66"/>
        </w:rPr>
      </w:r>
      <w:r>
        <w:rPr/>
        <w:t>出售该无形资产；⑤</w:t>
      </w:r>
      <w:r>
        <w:rPr>
          <w:spacing w:val="-19"/>
        </w:rPr>
        <w:t> </w:t>
      </w:r>
      <w:r>
        <w:rPr/>
        <w:t>归属于该无形资产开发阶段的支出能够可靠地计量。</w:t>
      </w:r>
    </w:p>
    <w:p>
      <w:pPr>
        <w:pStyle w:val="BodyText"/>
        <w:spacing w:line="240" w:lineRule="auto" w:before="94"/>
        <w:ind w:right="0"/>
        <w:jc w:val="both"/>
      </w:pPr>
      <w:r>
        <w:rPr/>
        <w:t>公司划分内部研究开发项目研究阶段支出和开发阶段支出的具体标准：</w:t>
      </w:r>
    </w:p>
    <w:p>
      <w:pPr>
        <w:spacing w:line="240" w:lineRule="auto" w:before="10"/>
        <w:rPr>
          <w:rFonts w:ascii="宋体" w:hAnsi="宋体" w:cs="宋体" w:eastAsia="宋体" w:hint="default"/>
          <w:sz w:val="20"/>
          <w:szCs w:val="20"/>
        </w:rPr>
      </w:pPr>
    </w:p>
    <w:p>
      <w:pPr>
        <w:pStyle w:val="BodyText"/>
        <w:spacing w:line="477" w:lineRule="auto"/>
        <w:ind w:right="1118"/>
        <w:jc w:val="left"/>
      </w:pPr>
      <w:r>
        <w:rPr>
          <w:spacing w:val="-2"/>
        </w:rPr>
        <w:t>①内部研究开发项目阶段支出：前期探索性研究、新技术研究、底层架构预先研究及产品完成后的后续迭代研发，属于研究</w:t>
      </w:r>
      <w:r>
        <w:rPr>
          <w:spacing w:val="-66"/>
        </w:rPr>
        <w:t> </w:t>
      </w:r>
      <w:r>
        <w:rPr>
          <w:spacing w:val="-66"/>
        </w:rPr>
      </w:r>
      <w:r>
        <w:rPr/>
        <w:t>阶段支出。</w:t>
      </w:r>
    </w:p>
    <w:p>
      <w:pPr>
        <w:pStyle w:val="BodyText"/>
        <w:spacing w:line="477" w:lineRule="auto" w:before="92"/>
        <w:ind w:right="0"/>
        <w:jc w:val="left"/>
      </w:pPr>
      <w:r>
        <w:rPr>
          <w:spacing w:val="-2"/>
        </w:rPr>
        <w:t>②开发阶段支出：基础架构明确、采用的技术明确、市场需求明确、产品功能目标明确、产品开发计划明确、开发过程控制</w:t>
      </w:r>
      <w:r>
        <w:rPr>
          <w:spacing w:val="-68"/>
        </w:rPr>
        <w:t> </w:t>
      </w:r>
      <w:r>
        <w:rPr>
          <w:spacing w:val="-68"/>
        </w:rPr>
      </w:r>
      <w:r>
        <w:rPr/>
        <w:t>有效、人员及相关投入有明确预算，按要求履行了公司立项手续，公司同意开发后的支出，属于开发阶段支出。</w:t>
      </w:r>
    </w:p>
    <w:p>
      <w:pPr>
        <w:spacing w:line="240" w:lineRule="auto" w:before="0"/>
        <w:rPr>
          <w:rFonts w:ascii="宋体" w:hAnsi="宋体" w:cs="宋体" w:eastAsia="宋体" w:hint="default"/>
          <w:sz w:val="25"/>
          <w:szCs w:val="25"/>
        </w:rPr>
      </w:pPr>
    </w:p>
    <w:p>
      <w:pPr>
        <w:pStyle w:val="Heading3"/>
        <w:spacing w:line="240" w:lineRule="auto"/>
        <w:ind w:right="0"/>
        <w:jc w:val="both"/>
        <w:rPr>
          <w:b w:val="0"/>
          <w:bCs w:val="0"/>
        </w:rPr>
      </w:pPr>
      <w:bookmarkStart w:name="22、长期资产减值" w:id="197"/>
      <w:bookmarkEnd w:id="197"/>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68" w:lineRule="auto"/>
        <w:ind w:right="0"/>
        <w:jc w:val="left"/>
      </w:pPr>
      <w:r>
        <w:rPr/>
        <w:t>对长期股权投资、采用成本模式计量的投资性房地产、固定资产、在建工程、使用寿命有限的无形资产等长期资产</w:t>
      </w:r>
      <w:r>
        <w:rPr>
          <w:rFonts w:ascii="Times New Roman" w:hAnsi="Times New Roman" w:cs="Times New Roman" w:eastAsia="Times New Roman" w:hint="default"/>
        </w:rPr>
        <w:t>,</w:t>
      </w:r>
      <w:r>
        <w:rPr/>
        <w:t>在资产</w:t>
      </w:r>
      <w:r>
        <w:rPr>
          <w:spacing w:val="-39"/>
        </w:rPr>
        <w:t> </w:t>
      </w:r>
      <w:r>
        <w:rPr>
          <w:spacing w:val="-2"/>
        </w:rPr>
        <w:t>负债表日有迹象表明发生减值的，估计其可收回金额。对因企业合并所形成的商誉和使用寿命不确定的无形资产，无论是否</w:t>
      </w:r>
      <w:r>
        <w:rPr>
          <w:spacing w:val="-66"/>
        </w:rPr>
        <w:t> </w:t>
      </w:r>
      <w:r>
        <w:rPr>
          <w:spacing w:val="-66"/>
        </w:rPr>
      </w:r>
      <w:r>
        <w:rPr/>
        <w:t>存在减值迹象，每年都进行减值测试。商誉结合与其相关的资产组或者资产组组合进行减值测试。 若上述长期资产的可收回金额低于其账面价值的，按其差额确认资产减值准备并计入当期损益。</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3、长期待摊费用" w:id="198"/>
      <w:bookmarkEnd w:id="198"/>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63" w:lineRule="auto"/>
        <w:ind w:right="1131"/>
        <w:jc w:val="both"/>
      </w:pPr>
      <w:r>
        <w:rPr>
          <w:spacing w:val="-2"/>
        </w:rPr>
        <w:t>长期待摊费用核算已经支出，摊销期限在</w:t>
      </w:r>
      <w:r>
        <w:rPr>
          <w:rFonts w:ascii="Times New Roman" w:hAnsi="Times New Roman" w:cs="Times New Roman" w:eastAsia="Times New Roman" w:hint="default"/>
          <w:spacing w:val="-2"/>
        </w:rPr>
        <w:t>1</w:t>
      </w:r>
      <w:r>
        <w:rPr>
          <w:spacing w:val="-2"/>
        </w:rPr>
        <w:t>年以上（不含</w:t>
      </w:r>
      <w:r>
        <w:rPr>
          <w:rFonts w:ascii="Times New Roman" w:hAnsi="Times New Roman" w:cs="Times New Roman" w:eastAsia="Times New Roman" w:hint="default"/>
          <w:spacing w:val="-2"/>
        </w:rPr>
        <w:t>1</w:t>
      </w:r>
      <w:r>
        <w:rPr>
          <w:spacing w:val="-2"/>
        </w:rPr>
        <w:t>年）的各项费用。长期待摊费用按实际发生额入账，在受益期或规</w:t>
      </w:r>
      <w:r>
        <w:rPr>
          <w:spacing w:val="-64"/>
        </w:rPr>
        <w:t> </w:t>
      </w:r>
      <w:r>
        <w:rPr>
          <w:spacing w:val="-64"/>
        </w:rPr>
      </w:r>
      <w:r>
        <w:rPr>
          <w:spacing w:val="-2"/>
        </w:rPr>
        <w:t>定的期限内分期平均摊销。如果长期待摊的费用项目不能使以后会计期间受益则将尚未摊销的该项目的摊余价值全部转入当</w:t>
      </w:r>
      <w:r>
        <w:rPr>
          <w:spacing w:val="-64"/>
        </w:rPr>
        <w:t> </w:t>
      </w:r>
      <w:r>
        <w:rPr>
          <w:spacing w:val="-64"/>
        </w:rPr>
      </w:r>
      <w:r>
        <w:rPr/>
        <w:t>期损益。</w:t>
      </w:r>
    </w:p>
    <w:p>
      <w:pPr>
        <w:spacing w:line="240" w:lineRule="auto" w:before="12"/>
        <w:rPr>
          <w:rFonts w:ascii="宋体" w:hAnsi="宋体" w:cs="宋体" w:eastAsia="宋体" w:hint="default"/>
          <w:sz w:val="25"/>
          <w:szCs w:val="25"/>
        </w:rPr>
      </w:pPr>
    </w:p>
    <w:p>
      <w:pPr>
        <w:pStyle w:val="Heading3"/>
        <w:spacing w:line="240" w:lineRule="auto"/>
        <w:ind w:right="0"/>
        <w:jc w:val="both"/>
        <w:rPr>
          <w:b w:val="0"/>
          <w:bCs w:val="0"/>
        </w:rPr>
      </w:pPr>
      <w:bookmarkStart w:name="24、职工薪酬" w:id="199"/>
      <w:bookmarkEnd w:id="199"/>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both"/>
        <w:rPr>
          <w:b w:val="0"/>
          <w:bCs w:val="0"/>
        </w:rPr>
      </w:pPr>
      <w:bookmarkStart w:name="（1）短期薪酬的会计处理方法" w:id="200"/>
      <w:bookmarkEnd w:id="20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240" w:lineRule="auto"/>
        <w:ind w:right="0"/>
        <w:jc w:val="both"/>
      </w:pPr>
      <w:r>
        <w:rPr/>
        <w:t>在职工为公司提供服务的会计期间，将实际发生的短期薪酬确认为负债，并计入当期损益或相关资产成本。</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离职后福利的会计处理方法" w:id="201"/>
      <w:bookmarkEnd w:id="20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299" w:right="0"/>
        <w:jc w:val="left"/>
      </w:pPr>
      <w:r>
        <w:rPr/>
        <w:t>离职后福利分为设定提存计划和设定受益计划。</w:t>
      </w:r>
    </w:p>
    <w:p>
      <w:pPr>
        <w:spacing w:line="240" w:lineRule="auto" w:before="10"/>
        <w:rPr>
          <w:rFonts w:ascii="宋体" w:hAnsi="宋体" w:cs="宋体" w:eastAsia="宋体" w:hint="default"/>
          <w:sz w:val="17"/>
          <w:szCs w:val="17"/>
        </w:rPr>
      </w:pPr>
    </w:p>
    <w:p>
      <w:pPr>
        <w:pStyle w:val="BodyText"/>
        <w:spacing w:line="477" w:lineRule="auto"/>
        <w:ind w:right="1132" w:firstLine="290"/>
        <w:jc w:val="both"/>
      </w:pPr>
      <w:r>
        <w:rPr>
          <w:spacing w:val="-1"/>
        </w:rPr>
        <w:t>①在职工为公司提供服务的会计期间，根据设定提存计划计算的应缴存金额确认为负债，并计入当期损益或相关资产成</w:t>
      </w:r>
      <w:r>
        <w:rPr/>
        <w:t> 本。</w:t>
      </w:r>
    </w:p>
    <w:p>
      <w:pPr>
        <w:pStyle w:val="BodyText"/>
        <w:spacing w:line="240" w:lineRule="auto" w:before="54"/>
        <w:ind w:left="444" w:right="0"/>
        <w:jc w:val="left"/>
      </w:pPr>
      <w:r>
        <w:rPr/>
        <w:t>②对设定受益计划的会计处理通常包括下列步骤：</w:t>
      </w:r>
    </w:p>
    <w:p>
      <w:pPr>
        <w:spacing w:line="240" w:lineRule="auto" w:before="10"/>
        <w:rPr>
          <w:rFonts w:ascii="宋体" w:hAnsi="宋体" w:cs="宋体" w:eastAsia="宋体" w:hint="default"/>
          <w:sz w:val="17"/>
          <w:szCs w:val="17"/>
        </w:rPr>
      </w:pPr>
    </w:p>
    <w:p>
      <w:pPr>
        <w:pStyle w:val="BodyText"/>
        <w:spacing w:line="463" w:lineRule="auto"/>
        <w:ind w:right="1131" w:firstLine="300"/>
        <w:jc w:val="both"/>
      </w:pPr>
      <w:r>
        <w:rPr>
          <w:rFonts w:ascii="Times New Roman" w:hAnsi="Times New Roman" w:cs="Times New Roman" w:eastAsia="Times New Roman" w:hint="default"/>
        </w:rPr>
        <w:t>A</w:t>
      </w:r>
      <w:r>
        <w:rPr/>
        <w:t>、根据预期累计福利单位法，采用无偏且相互一致的精算假设对有关人口统计变量和财务变量等作出估计，计量设定 </w:t>
      </w:r>
      <w:r>
        <w:rPr>
          <w:spacing w:val="-2"/>
        </w:rPr>
        <w:t>受益计划所产生的义务，并确定相关义务的所属期间。同时，对设定受益计划所产生的义务予以折现，以确定设定受益计划</w:t>
      </w:r>
      <w:r>
        <w:rPr>
          <w:spacing w:val="-66"/>
        </w:rPr>
        <w:t> </w:t>
      </w:r>
      <w:r>
        <w:rPr>
          <w:spacing w:val="-66"/>
        </w:rPr>
      </w:r>
      <w:r>
        <w:rPr/>
        <w:t>义务的现值和当期服务成本；</w:t>
      </w:r>
    </w:p>
    <w:p>
      <w:pPr>
        <w:pStyle w:val="BodyText"/>
        <w:spacing w:line="463" w:lineRule="auto" w:before="65"/>
        <w:ind w:right="1132" w:firstLine="300"/>
        <w:jc w:val="both"/>
      </w:pPr>
      <w:r>
        <w:rPr>
          <w:rFonts w:ascii="Times New Roman" w:hAnsi="Times New Roman" w:cs="Times New Roman" w:eastAsia="Times New Roman" w:hint="default"/>
        </w:rPr>
        <w:t>B</w:t>
      </w:r>
      <w:r>
        <w:rPr/>
        <w:t>、设定受益计划存在资产的，将设定受益计划义务现值减去设定受益计划资产公允价值所形成的赤字或盈余确认为一 </w:t>
      </w:r>
      <w:r>
        <w:rPr>
          <w:spacing w:val="-2"/>
        </w:rPr>
        <w:t>项设定受益计划净负债或净资产。设定受益计划存在盈余的，以设定受益计划的盈余和资产上限两项的孰低者计量设定受益</w:t>
      </w:r>
      <w:r>
        <w:rPr>
          <w:spacing w:val="-64"/>
        </w:rPr>
        <w:t> </w:t>
      </w:r>
      <w:r>
        <w:rPr>
          <w:spacing w:val="-64"/>
        </w:rPr>
      </w:r>
      <w:r>
        <w:rPr/>
        <w:t>计划净资产；</w:t>
      </w:r>
    </w:p>
    <w:p>
      <w:pPr>
        <w:pStyle w:val="BodyText"/>
        <w:spacing w:line="468" w:lineRule="auto" w:before="65"/>
        <w:ind w:right="1130" w:firstLine="300"/>
        <w:jc w:val="both"/>
      </w:pPr>
      <w:r>
        <w:rPr>
          <w:rFonts w:ascii="Times New Roman" w:hAnsi="Times New Roman" w:cs="Times New Roman" w:eastAsia="Times New Roman" w:hint="default"/>
        </w:rPr>
        <w:t>C</w:t>
      </w:r>
      <w:r>
        <w:rPr/>
        <w:t>、期末，将设定受益计划产生的职工薪酬成本确认为服务成本、设定受益计划净负债或净资产的利息净额以及重新计 </w:t>
      </w:r>
      <w:r>
        <w:rPr>
          <w:spacing w:val="-2"/>
        </w:rPr>
        <w:t>量设定受益计划净负债或净资产所产生的变动等三部分，其中服务成本和设定受益计划净负债或净资产的利息净额计入当期</w:t>
      </w:r>
      <w:r>
        <w:rPr>
          <w:spacing w:val="-64"/>
        </w:rPr>
        <w:t> </w:t>
      </w:r>
      <w:r>
        <w:rPr>
          <w:spacing w:val="-64"/>
        </w:rPr>
      </w:r>
      <w:r>
        <w:rPr>
          <w:spacing w:val="-2"/>
        </w:rPr>
        <w:t>损益或相关资产成本，重新计量设定受益计划净负债或净资产所产生的变动计入其他综合收益，并且在后续会计期间不允许</w:t>
      </w:r>
      <w:r>
        <w:rPr>
          <w:spacing w:val="-64"/>
        </w:rPr>
        <w:t> </w:t>
      </w:r>
      <w:r>
        <w:rPr>
          <w:spacing w:val="-64"/>
        </w:rPr>
      </w:r>
      <w:r>
        <w:rPr/>
        <w:t>转回至损益，但可以在权益范围内转移这些在其他综合收益确认的金额。</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辞退福利的会计处理方法" w:id="202"/>
      <w:bookmarkEnd w:id="20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0"/>
        <w:jc w:val="left"/>
      </w:pPr>
      <w:r>
        <w:rPr>
          <w:spacing w:val="-2"/>
        </w:rPr>
        <w:t>向职工提供的辞退福利，在下列两者孰早日确认辞退福利产生的职工薪酬负债，并计入当期损益：①公司不能单方面撤回因</w:t>
      </w:r>
      <w:r>
        <w:rPr>
          <w:spacing w:val="-66"/>
        </w:rPr>
        <w:t> </w:t>
      </w:r>
      <w:r>
        <w:rPr>
          <w:spacing w:val="-66"/>
        </w:rPr>
      </w:r>
      <w:r>
        <w:rPr/>
        <w:t>解除劳动关系计划或裁减建议所提供的辞退福利时；②公司确认与涉及支付辞退福利的重组相关的成本或费用时。</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4）其他长期职工福利的会计处理方法" w:id="203"/>
      <w:bookmarkEnd w:id="20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0"/>
        <w:jc w:val="left"/>
      </w:pPr>
      <w:r>
        <w:rPr>
          <w:spacing w:val="-2"/>
        </w:rPr>
        <w:t>向职工提供的其他长期福利，符合设定提存计划条件的，按照设定提存计划的有关规定进行会计处理；除此之外的其他长期</w:t>
      </w:r>
      <w:r>
        <w:rPr>
          <w:spacing w:val="-66"/>
        </w:rPr>
        <w:t> </w:t>
      </w:r>
      <w:r>
        <w:rPr>
          <w:spacing w:val="-66"/>
        </w:rPr>
      </w:r>
      <w:r>
        <w:rPr>
          <w:spacing w:val="-2"/>
        </w:rPr>
        <w:t>福利，按照设定受益计划的有关规定进行会计处理，为简化相关会计处理，将其产生的职工薪酬成本确认为服务成本、其他</w:t>
      </w:r>
      <w:r>
        <w:rPr>
          <w:spacing w:val="-66"/>
        </w:rPr>
        <w:t> </w:t>
      </w:r>
      <w:r>
        <w:rPr>
          <w:spacing w:val="-66"/>
        </w:rPr>
      </w:r>
      <w:r>
        <w:rPr/>
        <w:t>长期职工福利净负债或净资产的利息净额以及重新计量其他长期职工福利净负债或净资产所产生的变动等组成项目的总净 额计入当期损益或相关资产成本。</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25、预计负债" w:id="204"/>
      <w:bookmarkEnd w:id="204"/>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w:t>
      </w:r>
      <w:r>
        <w:rPr>
          <w:rFonts w:ascii="Times New Roman" w:hAnsi="Times New Roman" w:cs="Times New Roman" w:eastAsia="Times New Roman" w:hint="default"/>
        </w:rPr>
        <w:t>1</w:t>
      </w:r>
      <w:r>
        <w:rPr/>
        <w:t>）因对外提供担保、诉讼事项、产品质量保证、亏损合同等或有事项形成的义务成为公司承担的现时义务，履行该义务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很可能导致经济利益流出公司，且该义务的金额能够可靠的计量时，公司将该项义务确认为预计负债。</w:t>
      </w:r>
    </w:p>
    <w:p>
      <w:pPr>
        <w:spacing w:line="240" w:lineRule="auto" w:before="10"/>
        <w:rPr>
          <w:rFonts w:ascii="宋体" w:hAnsi="宋体" w:cs="宋体" w:eastAsia="宋体" w:hint="default"/>
          <w:sz w:val="17"/>
          <w:szCs w:val="17"/>
        </w:rPr>
      </w:pPr>
    </w:p>
    <w:p>
      <w:pPr>
        <w:pStyle w:val="BodyText"/>
        <w:spacing w:line="451" w:lineRule="auto"/>
        <w:ind w:right="1140"/>
        <w:jc w:val="both"/>
      </w:pPr>
      <w:r>
        <w:rPr/>
        <w:t>（</w:t>
      </w:r>
      <w:r>
        <w:rPr>
          <w:rFonts w:ascii="Times New Roman" w:hAnsi="Times New Roman" w:cs="Times New Roman" w:eastAsia="Times New Roman" w:hint="default"/>
        </w:rPr>
        <w:t>2</w:t>
      </w:r>
      <w:r>
        <w:rPr/>
        <w:t>）公司按照履行相关现时义务所需支出的最佳估计数对预计负债进行初始计量，并在资产负债表日对预计负债的账面价 值进行复核。</w:t>
      </w:r>
    </w:p>
    <w:p>
      <w:pPr>
        <w:spacing w:line="240" w:lineRule="auto" w:before="9"/>
        <w:rPr>
          <w:rFonts w:ascii="宋体" w:hAnsi="宋体" w:cs="宋体" w:eastAsia="宋体" w:hint="default"/>
          <w:sz w:val="26"/>
          <w:szCs w:val="26"/>
        </w:rPr>
      </w:pPr>
    </w:p>
    <w:p>
      <w:pPr>
        <w:pStyle w:val="Heading3"/>
        <w:spacing w:line="240" w:lineRule="auto"/>
        <w:ind w:right="0"/>
        <w:jc w:val="both"/>
        <w:rPr>
          <w:b w:val="0"/>
          <w:bCs w:val="0"/>
        </w:rPr>
      </w:pPr>
      <w:bookmarkStart w:name="26、股份支付" w:id="205"/>
      <w:bookmarkEnd w:id="205"/>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both"/>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660" w:right="0"/>
        <w:jc w:val="left"/>
      </w:pPr>
      <w:r>
        <w:rPr/>
        <w:t>包括以权益结算的股份支付和以现金结算的股份支付。</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）实施、修改、终止股份支付计划的相关会计处理</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left="514" w:right="1032" w:firstLine="74"/>
        <w:jc w:val="left"/>
      </w:pPr>
      <w:r>
        <w:rPr/>
        <w:t>①以权益结算的股份支付 授予后立即可行权的换取职工服务的以权益结算的股份支付，在授予日按照权益工具的公允价值计入相关成本或费用，</w:t>
      </w:r>
    </w:p>
    <w:p>
      <w:pPr>
        <w:pStyle w:val="BodyText"/>
        <w:spacing w:line="477" w:lineRule="auto" w:before="25"/>
        <w:ind w:right="1132"/>
        <w:jc w:val="both"/>
      </w:pPr>
      <w:r>
        <w:rPr>
          <w:spacing w:val="-2"/>
        </w:rPr>
        <w:t>相应调整资本公积。完成等待期内的服务或达到规定业绩条件才可行权的换取职工服务的以权益结算的股份支付，在等待期</w:t>
      </w:r>
      <w:r>
        <w:rPr>
          <w:spacing w:val="-64"/>
        </w:rPr>
        <w:t> </w:t>
      </w:r>
      <w:r>
        <w:rPr>
          <w:spacing w:val="-64"/>
        </w:rPr>
      </w:r>
      <w:r>
        <w:rPr>
          <w:spacing w:val="-2"/>
        </w:rPr>
        <w:t>内的每个资产负债表日，以对可行权权益工具数量的最佳估计为基础，按权益工具授予日的公允价值，将当期取得的服务计</w:t>
      </w:r>
      <w:r>
        <w:rPr>
          <w:spacing w:val="-66"/>
        </w:rPr>
        <w:t> </w:t>
      </w:r>
      <w:r>
        <w:rPr>
          <w:spacing w:val="-66"/>
        </w:rPr>
      </w:r>
      <w:r>
        <w:rPr/>
        <w:t>入相关成本或费用，相应调整资本公积。</w:t>
      </w:r>
    </w:p>
    <w:p>
      <w:pPr>
        <w:pStyle w:val="BodyText"/>
        <w:spacing w:line="477" w:lineRule="auto" w:before="94"/>
        <w:ind w:right="1132" w:firstLine="360"/>
        <w:jc w:val="both"/>
      </w:pPr>
      <w:r>
        <w:rPr>
          <w:spacing w:val="-2"/>
        </w:rPr>
        <w:t>换取其他方服务的权益结算的股份支付，如果其他方服务的公允价值能够可靠计量的，按照其他方服务在取得日的公允</w:t>
      </w:r>
      <w:r>
        <w:rPr/>
        <w:t> </w:t>
      </w:r>
      <w:r>
        <w:rPr>
          <w:spacing w:val="-2"/>
        </w:rPr>
        <w:t>价值计量；如果其他方服务的公允价值不能可靠计量，但权益工具的公允价值能够可靠计量的，按照权益工具在服务取得日</w:t>
      </w:r>
      <w:r>
        <w:rPr>
          <w:spacing w:val="-65"/>
        </w:rPr>
        <w:t> </w:t>
      </w:r>
      <w:r>
        <w:rPr>
          <w:spacing w:val="-65"/>
        </w:rPr>
      </w:r>
      <w:r>
        <w:rPr/>
        <w:t>的公允价值计量，计入相关成本或费用，相应增加所有者权益。</w:t>
      </w:r>
    </w:p>
    <w:p>
      <w:pPr>
        <w:pStyle w:val="BodyText"/>
        <w:spacing w:line="516" w:lineRule="auto" w:before="94"/>
        <w:ind w:left="587" w:right="1139" w:hanging="74"/>
        <w:jc w:val="left"/>
      </w:pPr>
      <w:r>
        <w:rPr/>
        <w:t>②以现金结算的股份支付 授予后立即可行权的换取职工服务的以现金结算的股份支付，在授予日按公司承担负债的公允价值计入相关成本或费</w:t>
      </w:r>
    </w:p>
    <w:p>
      <w:pPr>
        <w:pStyle w:val="BodyText"/>
        <w:spacing w:line="477" w:lineRule="auto" w:before="25"/>
        <w:ind w:right="1133"/>
        <w:jc w:val="both"/>
      </w:pPr>
      <w:r>
        <w:rPr>
          <w:spacing w:val="-2"/>
        </w:rPr>
        <w:t>用，相应增加负债。完成等待期内的服务或达到规定业绩条件才可行权的换取职工服务的以现金结算的股份支付，在等待期</w:t>
      </w:r>
      <w:r>
        <w:rPr>
          <w:spacing w:val="-66"/>
        </w:rPr>
        <w:t> </w:t>
      </w:r>
      <w:r>
        <w:rPr>
          <w:spacing w:val="-66"/>
        </w:rPr>
      </w:r>
      <w:r>
        <w:rPr>
          <w:spacing w:val="-2"/>
        </w:rPr>
        <w:t>内的每个资产负债表日，以对可行权情况的最佳估计为基础，按公司承担负债的公允价值，将当期取得的服务计入相关成本</w:t>
      </w:r>
      <w:r>
        <w:rPr>
          <w:spacing w:val="-66"/>
        </w:rPr>
        <w:t> </w:t>
      </w:r>
      <w:r>
        <w:rPr>
          <w:spacing w:val="-66"/>
        </w:rPr>
      </w:r>
      <w:r>
        <w:rPr/>
        <w:t>或费用和相应的负债。</w:t>
      </w:r>
    </w:p>
    <w:p>
      <w:pPr>
        <w:pStyle w:val="BodyText"/>
        <w:spacing w:line="516" w:lineRule="auto" w:before="95"/>
        <w:ind w:left="514" w:right="0"/>
        <w:jc w:val="left"/>
      </w:pPr>
      <w:r>
        <w:rPr/>
        <w:t>③修改、终止股份支付计划 </w:t>
      </w:r>
      <w:r>
        <w:rPr>
          <w:spacing w:val="-2"/>
        </w:rPr>
        <w:t>如果修改增加了所授予的权益工具的公允价值，公司按照权益工具公允价值的增加相应地确认取得服务的增加；如果修</w:t>
      </w:r>
    </w:p>
    <w:p>
      <w:pPr>
        <w:pStyle w:val="BodyText"/>
        <w:spacing w:line="477" w:lineRule="auto" w:before="25"/>
        <w:ind w:right="1132"/>
        <w:jc w:val="both"/>
      </w:pPr>
      <w:r>
        <w:rPr>
          <w:spacing w:val="-2"/>
        </w:rPr>
        <w:t>改增加了所授予的权益工具的数量，公司将增加的权益工具的公允价值相应地确认为取得服务的增加；如果公司按照有利于</w:t>
      </w:r>
      <w:r>
        <w:rPr>
          <w:spacing w:val="-64"/>
        </w:rPr>
        <w:t> </w:t>
      </w:r>
      <w:r>
        <w:rPr>
          <w:spacing w:val="-64"/>
        </w:rPr>
      </w:r>
      <w:r>
        <w:rPr/>
        <w:t>职的方式修改可行权条件，公司在处理可行权条件时，考虑修改后的可行权条件。</w:t>
      </w:r>
    </w:p>
    <w:p>
      <w:pPr>
        <w:pStyle w:val="BodyText"/>
        <w:spacing w:line="477" w:lineRule="auto" w:before="92"/>
        <w:ind w:right="1050" w:firstLine="360"/>
        <w:jc w:val="both"/>
      </w:pPr>
      <w:r>
        <w:rPr/>
        <w:t>如果修改减少了授予的权益工具的公允价值，公司继续以权益工具在授予日的公允价值为基础，确认取得服务的金额， </w:t>
      </w:r>
      <w:r>
        <w:rPr>
          <w:spacing w:val="-2"/>
        </w:rPr>
        <w:t>而不考虑权益工具公允价值的减少；如果修改减少了授予的权益工具的数量，公司将减少部分作为已授予的权益工具的取消</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516" w:lineRule="auto"/>
        <w:ind w:left="514" w:right="0" w:hanging="360"/>
        <w:jc w:val="left"/>
      </w:pPr>
      <w:r>
        <w:rPr/>
        <w:t>来进行处理；如果以不利于职工的方式修改了可行权条件，在处理可行权条件时，不考虑修改后的可行权条件。 </w:t>
      </w:r>
      <w:r>
        <w:rPr>
          <w:spacing w:val="-2"/>
        </w:rPr>
        <w:t>如果公司在等待期内取消了所授予的权益工具或结算了所授予的权益工具（因未满足可行权条件而被取消的除外），则</w:t>
      </w:r>
    </w:p>
    <w:p>
      <w:pPr>
        <w:pStyle w:val="BodyText"/>
        <w:spacing w:line="240" w:lineRule="auto" w:before="26"/>
        <w:ind w:right="0"/>
        <w:jc w:val="both"/>
      </w:pPr>
      <w:r>
        <w:rPr/>
        <w:t>将取消或结算作为加速可行权处理，立即确认原本在剩余等待期内确认的金额。</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27、优先股、永续债等其他金融工具" w:id="206"/>
      <w:bookmarkEnd w:id="206"/>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28、收入" w:id="207"/>
      <w:bookmarkEnd w:id="207"/>
      <w:r>
        <w:rPr>
          <w:b w:val="0"/>
          <w:bCs w:val="0"/>
        </w:rPr>
      </w:r>
      <w:r>
        <w:rPr>
          <w:rFonts w:ascii="Times New Roman" w:hAnsi="Times New Roman" w:cs="Times New Roman" w:eastAsia="Times New Roman" w:hint="default"/>
        </w:rPr>
        <w:t>28</w:t>
      </w:r>
      <w:r>
        <w:rPr/>
        <w:t>、收入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8" w:lineRule="auto"/>
        <w:ind w:right="7692"/>
        <w:jc w:val="left"/>
      </w:pPr>
      <w:r>
        <w:rPr/>
        <w:t>公司是否需要遵守特殊行业的披露要求 是</w:t>
      </w:r>
    </w:p>
    <w:p>
      <w:pPr>
        <w:pStyle w:val="BodyText"/>
        <w:spacing w:line="240" w:lineRule="auto" w:before="63"/>
        <w:ind w:right="0"/>
        <w:jc w:val="both"/>
      </w:pPr>
      <w:r>
        <w:rPr/>
        <w:t>软件与信息技术服务业</w:t>
      </w:r>
    </w:p>
    <w:p>
      <w:pPr>
        <w:spacing w:line="240" w:lineRule="auto" w:before="10"/>
        <w:rPr>
          <w:rFonts w:ascii="宋体" w:hAnsi="宋体" w:cs="宋体" w:eastAsia="宋体" w:hint="default"/>
          <w:sz w:val="20"/>
          <w:szCs w:val="20"/>
        </w:rPr>
      </w:pPr>
    </w:p>
    <w:p>
      <w:pPr>
        <w:pStyle w:val="BodyText"/>
        <w:spacing w:line="240" w:lineRule="auto"/>
        <w:ind w:right="0"/>
        <w:jc w:val="both"/>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both"/>
        <w:rPr>
          <w:b w:val="0"/>
          <w:bCs w:val="0"/>
        </w:rPr>
      </w:pPr>
      <w:r>
        <w:rPr/>
        <w:t>（</w:t>
      </w:r>
      <w:r>
        <w:rPr>
          <w:rFonts w:ascii="宋体" w:hAnsi="宋体" w:cs="宋体" w:eastAsia="宋体" w:hint="default"/>
        </w:rPr>
        <w:t>1</w:t>
      </w:r>
      <w:r>
        <w:rPr/>
        <w:t>）收入确认原则</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ind w:left="574" w:right="0"/>
        <w:jc w:val="left"/>
      </w:pPr>
      <w:r>
        <w:rPr/>
        <w:t>①销售商品</w:t>
      </w:r>
    </w:p>
    <w:p>
      <w:pPr>
        <w:spacing w:line="240" w:lineRule="auto" w:before="10"/>
        <w:rPr>
          <w:rFonts w:ascii="宋体" w:hAnsi="宋体" w:cs="宋体" w:eastAsia="宋体" w:hint="default"/>
          <w:sz w:val="17"/>
          <w:szCs w:val="17"/>
        </w:rPr>
      </w:pPr>
    </w:p>
    <w:p>
      <w:pPr>
        <w:pStyle w:val="BodyText"/>
        <w:spacing w:line="477" w:lineRule="auto"/>
        <w:ind w:right="1129" w:firstLine="420"/>
        <w:jc w:val="both"/>
      </w:pPr>
      <w:r>
        <w:rPr/>
        <w:t>销售商品收入在同时满足下列条件时予以确认：</w:t>
      </w:r>
      <w:r>
        <w:rPr>
          <w:rFonts w:ascii="宋体" w:hAnsi="宋体" w:cs="宋体" w:eastAsia="宋体" w:hint="default"/>
        </w:rPr>
        <w:t>1) </w:t>
      </w:r>
      <w:r>
        <w:rPr/>
        <w:t>将商品所有权上的主要风险和报酬转移给购货方；</w:t>
      </w:r>
      <w:r>
        <w:rPr>
          <w:rFonts w:ascii="宋体" w:hAnsi="宋体" w:cs="宋体" w:eastAsia="宋体" w:hint="default"/>
        </w:rPr>
        <w:t>2)</w:t>
      </w:r>
      <w:r>
        <w:rPr>
          <w:rFonts w:ascii="宋体" w:hAnsi="宋体" w:cs="宋体" w:eastAsia="宋体" w:hint="default"/>
          <w:spacing w:val="34"/>
        </w:rPr>
        <w:t> </w:t>
      </w:r>
      <w:r>
        <w:rPr/>
        <w:t>公司不再保 留通常与所有权相联系的继续管理权，也不再对已售出的商品实施有效控制；</w:t>
      </w:r>
      <w:r>
        <w:rPr>
          <w:rFonts w:ascii="宋体" w:hAnsi="宋体" w:cs="宋体" w:eastAsia="宋体" w:hint="default"/>
        </w:rPr>
        <w:t>3)</w:t>
      </w:r>
      <w:r>
        <w:rPr>
          <w:rFonts w:ascii="宋体" w:hAnsi="宋体" w:cs="宋体" w:eastAsia="宋体" w:hint="default"/>
          <w:spacing w:val="-40"/>
        </w:rPr>
        <w:t> </w:t>
      </w:r>
      <w:r>
        <w:rPr/>
        <w:t>收入的金额能够可靠地计量；</w:t>
      </w:r>
      <w:r>
        <w:rPr>
          <w:rFonts w:ascii="宋体" w:hAnsi="宋体" w:cs="宋体" w:eastAsia="宋体" w:hint="default"/>
        </w:rPr>
        <w:t>4)</w:t>
      </w:r>
      <w:r>
        <w:rPr>
          <w:rFonts w:ascii="宋体" w:hAnsi="宋体" w:cs="宋体" w:eastAsia="宋体" w:hint="default"/>
          <w:spacing w:val="-40"/>
        </w:rPr>
        <w:t> </w:t>
      </w:r>
      <w:r>
        <w:rPr/>
        <w:t>相关的经 济利益很可能流入；</w:t>
      </w:r>
      <w:r>
        <w:rPr>
          <w:rFonts w:ascii="宋体" w:hAnsi="宋体" w:cs="宋体" w:eastAsia="宋体" w:hint="default"/>
        </w:rPr>
        <w:t>5) </w:t>
      </w:r>
      <w:r>
        <w:rPr/>
        <w:t>相关的已发生或将发生的成本能够可靠地计量。</w:t>
      </w:r>
    </w:p>
    <w:p>
      <w:pPr>
        <w:pStyle w:val="BodyText"/>
        <w:spacing w:line="477" w:lineRule="auto" w:before="54"/>
        <w:ind w:left="574" w:right="1118"/>
        <w:jc w:val="left"/>
      </w:pPr>
      <w:r>
        <w:rPr/>
        <w:t>②提供劳务 提供劳务交易的结果在资产负债表日能够可靠估计的（同时满足收入的金额能够可靠地计量、相关经济利益很可能流</w:t>
      </w:r>
    </w:p>
    <w:p>
      <w:pPr>
        <w:pStyle w:val="BodyText"/>
        <w:spacing w:line="477" w:lineRule="auto" w:before="54"/>
        <w:ind w:right="1131"/>
        <w:jc w:val="both"/>
      </w:pPr>
      <w:r>
        <w:rPr>
          <w:spacing w:val="-2"/>
        </w:rPr>
        <w:t>入、交易的完工进度能够可靠地确定、交易中已发生和将发生的成本能够可靠地计量），采用完工百分比法确认提供劳务的</w:t>
      </w:r>
      <w:r>
        <w:rPr>
          <w:spacing w:val="-66"/>
        </w:rPr>
        <w:t> </w:t>
      </w:r>
      <w:r>
        <w:rPr>
          <w:spacing w:val="-66"/>
        </w:rPr>
      </w:r>
      <w:r>
        <w:rPr>
          <w:spacing w:val="-2"/>
        </w:rPr>
        <w:t>收入，并按已经发生的成本占估计总成本的比例确定提供劳务交易的完工进度。提供劳务交易的结果在资产负债表日不能够</w:t>
      </w:r>
      <w:r>
        <w:rPr>
          <w:spacing w:val="-64"/>
        </w:rPr>
        <w:t> </w:t>
      </w:r>
      <w:r>
        <w:rPr>
          <w:spacing w:val="-64"/>
        </w:rPr>
      </w:r>
      <w:r>
        <w:rPr>
          <w:spacing w:val="-2"/>
        </w:rPr>
        <w:t>可靠估计的，若已经发生的劳务成本预计能够得到补偿，按已经发生的劳务成本金额确认提供劳务收入，并按相同金额结转</w:t>
      </w:r>
      <w:r>
        <w:rPr>
          <w:spacing w:val="-66"/>
        </w:rPr>
        <w:t> </w:t>
      </w:r>
      <w:r>
        <w:rPr>
          <w:spacing w:val="-66"/>
        </w:rPr>
      </w:r>
      <w:r>
        <w:rPr/>
        <w:t>劳务成本；若已经发生的劳务成本预计不能够得到补偿，将已经发生的劳务成本计入当期损益，不确认劳务收入。</w:t>
      </w:r>
    </w:p>
    <w:p>
      <w:pPr>
        <w:spacing w:line="240" w:lineRule="auto" w:before="2"/>
        <w:rPr>
          <w:rFonts w:ascii="宋体" w:hAnsi="宋体" w:cs="宋体" w:eastAsia="宋体" w:hint="default"/>
          <w:sz w:val="25"/>
          <w:szCs w:val="25"/>
        </w:rPr>
      </w:pPr>
    </w:p>
    <w:p>
      <w:pPr>
        <w:pStyle w:val="Heading3"/>
        <w:spacing w:line="240" w:lineRule="auto"/>
        <w:ind w:right="0"/>
        <w:jc w:val="both"/>
        <w:rPr>
          <w:b w:val="0"/>
          <w:bCs w:val="0"/>
        </w:rPr>
      </w:pPr>
      <w:r>
        <w:rPr/>
        <w:t>（</w:t>
      </w:r>
      <w:r>
        <w:rPr>
          <w:rFonts w:ascii="宋体" w:hAnsi="宋体" w:cs="宋体" w:eastAsia="宋体" w:hint="default"/>
        </w:rPr>
        <w:t>2</w:t>
      </w:r>
      <w:r>
        <w:rPr/>
        <w:t>）收入确认的具体方法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BodyText"/>
        <w:spacing w:line="477" w:lineRule="auto"/>
        <w:ind w:right="1133" w:firstLine="420"/>
        <w:jc w:val="both"/>
      </w:pPr>
      <w:r>
        <w:rPr/>
        <w:t>公司的主营业务为安防业务，包括金融安防系统、安防设备销售、防盗报警工程、闭路电视监控系统等集成系统以及 公共安全大数据的处理服务。</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0" w:firstLine="420"/>
        <w:jc w:val="both"/>
      </w:pPr>
      <w:r>
        <w:rPr/>
        <w:t>①本公司安防系统业务主要系为金融企业提供安防综合管理系统、出入口控制系统、自助银行智能安防系统、营业网 </w:t>
      </w:r>
      <w:r>
        <w:rPr>
          <w:spacing w:val="-2"/>
        </w:rPr>
        <w:t>点视音频系统的安防系统服务和维护收入服务，其实施阶段通常包括设备进场、实施工程、系统调试、客户确认安装设备清</w:t>
      </w:r>
      <w:r>
        <w:rPr>
          <w:spacing w:val="-66"/>
        </w:rPr>
        <w:t> </w:t>
      </w:r>
      <w:r>
        <w:rPr>
          <w:spacing w:val="-66"/>
        </w:rPr>
      </w:r>
      <w:r>
        <w:rPr>
          <w:spacing w:val="-2"/>
        </w:rPr>
        <w:t>单和工程验收。本公司在系统安装调试完毕且通过客户验收确认后，相关的收入已经收到或取得收款的证据，与安防系统有</w:t>
      </w:r>
      <w:r>
        <w:rPr>
          <w:spacing w:val="-66"/>
        </w:rPr>
        <w:t> </w:t>
      </w:r>
      <w:r>
        <w:rPr>
          <w:spacing w:val="-66"/>
        </w:rPr>
      </w:r>
      <w:r>
        <w:rPr/>
        <w:t>关的成本能够可靠计量时，确认安防系统收入的实现。</w:t>
      </w:r>
    </w:p>
    <w:p>
      <w:pPr>
        <w:pStyle w:val="BodyText"/>
        <w:spacing w:line="477" w:lineRule="auto" w:before="54"/>
        <w:ind w:right="1133" w:firstLine="420"/>
        <w:jc w:val="both"/>
      </w:pPr>
      <w:r>
        <w:rPr/>
        <w:t>②安防设备销售业务是指公司通过参加金融企业的集中采购，为金融企业或其指定的工程商提供产品。设备销售业务 的收入确认原则为产品交付并获得客户签收确认时确认收入。</w:t>
      </w:r>
    </w:p>
    <w:p>
      <w:pPr>
        <w:pStyle w:val="BodyText"/>
        <w:spacing w:line="477" w:lineRule="auto" w:before="54"/>
        <w:ind w:right="1024" w:firstLine="420"/>
        <w:jc w:val="left"/>
      </w:pPr>
      <w:r>
        <w:rPr>
          <w:spacing w:val="-1"/>
        </w:rPr>
        <w:t>③公司的子公司深圳市润安科技发展有限公司主营业务为防盗报警工程、闭路电视监控系统等集成系统的安装与实施，</w:t>
      </w:r>
      <w:r>
        <w:rPr/>
        <w:t> </w:t>
      </w:r>
      <w:r>
        <w:rPr>
          <w:spacing w:val="-2"/>
        </w:rPr>
        <w:t>以及安全定位产品的销售。对于集成系统的收入，按照工程完工验收并获取验收报告之日确认合同收入和合同费用；对于定</w:t>
      </w:r>
      <w:r>
        <w:rPr>
          <w:spacing w:val="-66"/>
        </w:rPr>
        <w:t> </w:t>
      </w:r>
      <w:r>
        <w:rPr>
          <w:spacing w:val="-66"/>
        </w:rPr>
      </w:r>
      <w:r>
        <w:rPr/>
        <w:t>位产品的销售，按照产品交付并获得客户签收确认时确认收入。</w:t>
      </w:r>
    </w:p>
    <w:p>
      <w:pPr>
        <w:pStyle w:val="BodyText"/>
        <w:spacing w:line="477" w:lineRule="auto" w:before="54"/>
        <w:ind w:right="1131" w:firstLine="360"/>
        <w:jc w:val="both"/>
      </w:pPr>
      <w:r>
        <w:rPr>
          <w:spacing w:val="-2"/>
        </w:rPr>
        <w:t>④公司的子公司广东冠网信息科技有限公司主营业务为公共安全行业提供车辆防逃系统工程、社区安防人脸或车辆识别</w:t>
      </w:r>
      <w:r>
        <w:rPr/>
        <w:t> </w:t>
      </w:r>
      <w:r>
        <w:rPr>
          <w:spacing w:val="-2"/>
        </w:rPr>
        <w:t>系统工程的安装与实施、安防技术服务、安防设备销售。对于集成系统的收入，按照工程完工验收并获取验收报告之日确认</w:t>
      </w:r>
      <w:r>
        <w:rPr>
          <w:spacing w:val="-66"/>
        </w:rPr>
        <w:t> </w:t>
      </w:r>
      <w:r>
        <w:rPr>
          <w:spacing w:val="-66"/>
        </w:rPr>
      </w:r>
      <w:r>
        <w:rPr>
          <w:spacing w:val="-2"/>
        </w:rPr>
        <w:t>合同收入和合同费用；技术服务按照合同约定服务期限分期确认收入；对于设备销售，按照产品交付并获得客户签收确认时</w:t>
      </w:r>
      <w:r>
        <w:rPr>
          <w:spacing w:val="-66"/>
        </w:rPr>
        <w:t> </w:t>
      </w:r>
      <w:r>
        <w:rPr>
          <w:spacing w:val="-66"/>
        </w:rPr>
      </w:r>
      <w:r>
        <w:rPr/>
        <w:t>确认收入。</w:t>
      </w:r>
    </w:p>
    <w:p>
      <w:pPr>
        <w:pStyle w:val="BodyText"/>
        <w:spacing w:line="477" w:lineRule="auto" w:before="54"/>
        <w:ind w:right="1133" w:firstLine="420"/>
        <w:jc w:val="both"/>
      </w:pPr>
      <w:r>
        <w:rPr/>
        <w:t>⑤公共安全大数据的处理服务是指公司通过参加政府的集中采购，为政府或其指定的部门提供公共安全服务。本公司 对于公共安全服务按月收取服务费，按月与客户对账确认相关服务费时确认收入。</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29、政府补助" w:id="208"/>
      <w:bookmarkEnd w:id="208"/>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r>
        <w:rPr/>
        <w:t>（</w:t>
      </w:r>
      <w:r>
        <w:rPr>
          <w:rFonts w:ascii="Times New Roman" w:hAnsi="Times New Roman" w:cs="Times New Roman" w:eastAsia="Times New Roman" w:hint="default"/>
        </w:rPr>
        <w:t>1</w:t>
      </w:r>
      <w:r>
        <w:rPr/>
        <w:t>）政府补助在同时满足下列条件时予以确认：</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1131" w:firstLine="420"/>
        <w:jc w:val="both"/>
      </w:pPr>
      <w:r>
        <w:rPr>
          <w:rFonts w:ascii="宋体" w:hAnsi="宋体" w:cs="宋体" w:eastAsia="宋体" w:hint="default"/>
        </w:rPr>
        <w:t>1)</w:t>
      </w:r>
      <w:r>
        <w:rPr/>
        <w:t>公司能够满足政府补助所附的条件；</w:t>
      </w:r>
      <w:r>
        <w:rPr>
          <w:rFonts w:ascii="宋体" w:hAnsi="宋体" w:cs="宋体" w:eastAsia="宋体" w:hint="default"/>
        </w:rPr>
        <w:t>2)</w:t>
      </w:r>
      <w:r>
        <w:rPr/>
        <w:t>公司能够收到政府补助。政府补助为货币性资产的，按照收到或应收的金额 计量。政府补助为非货币性资产的，按照公允价值计量；公允价值不能可靠取得的，按照名义金额计量。</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）与资产相关的政府补助判断依据及会计处理方法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1032" w:firstLine="316"/>
        <w:jc w:val="left"/>
      </w:pPr>
      <w:r>
        <w:rPr/>
        <w:t>政府文件规定用于购建或以其他方式形成长期资产的政府补助划分为与资产相关的政府补助。政府文件不明确的，以取 得该补助必须具备的基本条件为基础进行判断，以购建或其他方式形成长期资产为基本条件的作为与资产相关的政府补助。 </w:t>
      </w:r>
      <w:r>
        <w:rPr>
          <w:spacing w:val="-2"/>
        </w:rPr>
        <w:t>与资产相关的政府补助，冲减相关资产的账面价值或确认为递延收益。与资产相关的政府补助确认为递延收益的，在相关资</w:t>
      </w:r>
      <w:r>
        <w:rPr>
          <w:spacing w:val="-66"/>
        </w:rPr>
        <w:t> </w:t>
      </w:r>
      <w:r>
        <w:rPr>
          <w:spacing w:val="-66"/>
        </w:rPr>
      </w:r>
      <w:r>
        <w:rPr>
          <w:spacing w:val="-2"/>
        </w:rPr>
        <w:t>产使用寿命内按照合理、系统的方法分期计入损益。按照名义金额计量的政府补助，直接计入当期损益。相关资产在使用寿</w:t>
      </w:r>
      <w:r>
        <w:rPr>
          <w:spacing w:val="-66"/>
        </w:rPr>
        <w:t> </w:t>
      </w:r>
      <w:r>
        <w:rPr>
          <w:spacing w:val="-66"/>
        </w:rPr>
      </w:r>
      <w:r>
        <w:rPr/>
        <w:t>命结束前被出售、转让、报废或发生毁损的，将尚未分配的相关递延收益余额转入资产处置当期的损益。</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）与收益相关的政府补助判断依据及会计处理方法</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477" w:lineRule="auto"/>
        <w:ind w:right="0" w:firstLine="360"/>
        <w:jc w:val="left"/>
      </w:pPr>
      <w:r>
        <w:rPr>
          <w:spacing w:val="-2"/>
        </w:rPr>
        <w:t>除与资产相关的政府补助之外的政府补助划分为与收益相关的政府补助。对于同时包含与资产相关部分和与收益相关部</w:t>
      </w:r>
      <w:r>
        <w:rPr/>
        <w:t> </w:t>
      </w:r>
      <w:r>
        <w:rPr>
          <w:spacing w:val="-2"/>
        </w:rPr>
        <w:t>分的政府补助，难以区分与资产相关或与收益相关的，整体归类为与收益相关的政府补助。与收益相关的政府补助，用于补</w:t>
      </w:r>
      <w:r>
        <w:rPr>
          <w:spacing w:val="-66"/>
        </w:rPr>
        <w:t> </w:t>
      </w:r>
      <w:r>
        <w:rPr>
          <w:spacing w:val="-66"/>
        </w:rPr>
      </w:r>
      <w:r>
        <w:rPr>
          <w:spacing w:val="-4"/>
        </w:rPr>
        <w:t>偿以后期间的相关成本费用或损失的，确认为递延收益，在确认相关成本费用或损失的期间，计入当期损益或冲减相关成本；</w:t>
      </w:r>
      <w:r>
        <w:rPr>
          <w:spacing w:val="-44"/>
        </w:rPr>
        <w:t> </w:t>
      </w:r>
      <w:r>
        <w:rPr>
          <w:spacing w:val="-44"/>
        </w:rPr>
      </w:r>
      <w:r>
        <w:rPr/>
        <w:t>用于补偿已发生的相关成本费用或损失的，直接计入当期损益或冲减相关成本。</w:t>
      </w:r>
    </w:p>
    <w:p>
      <w:pPr>
        <w:spacing w:line="240" w:lineRule="auto" w:before="2"/>
        <w:rPr>
          <w:rFonts w:ascii="宋体" w:hAnsi="宋体" w:cs="宋体" w:eastAsia="宋体" w:hint="default"/>
          <w:sz w:val="25"/>
          <w:szCs w:val="25"/>
        </w:rPr>
      </w:pPr>
    </w:p>
    <w:p>
      <w:pPr>
        <w:pStyle w:val="Heading3"/>
        <w:spacing w:line="386" w:lineRule="auto"/>
        <w:ind w:right="0"/>
        <w:jc w:val="left"/>
        <w:rPr>
          <w:b w:val="0"/>
          <w:bCs w:val="0"/>
        </w:rPr>
      </w:pPr>
      <w:r>
        <w:rPr/>
        <w:t>（</w:t>
      </w:r>
      <w:r>
        <w:rPr>
          <w:rFonts w:ascii="Times New Roman" w:hAnsi="Times New Roman" w:cs="Times New Roman" w:eastAsia="Times New Roman" w:hint="default"/>
        </w:rPr>
        <w:t>4</w:t>
      </w:r>
      <w:r>
        <w:rPr/>
        <w:t>）与公司日常经营活动相关的政府补助，按照经济业务实质，计入其他收益或冲减相关成本费用。与</w:t>
      </w:r>
      <w:r>
        <w:rPr>
          <w:spacing w:val="-73"/>
        </w:rPr>
        <w:t> </w:t>
      </w:r>
      <w:r>
        <w:rPr>
          <w:spacing w:val="-73"/>
        </w:rPr>
      </w:r>
      <w:r>
        <w:rPr/>
        <w:t>公司日常活动无关的政府补助，计入营业外收支。</w:t>
      </w:r>
      <w:r>
        <w:rPr>
          <w:b w:val="0"/>
          <w:bCs w:val="0"/>
        </w:rPr>
      </w:r>
    </w:p>
    <w:p>
      <w:pPr>
        <w:spacing w:line="240" w:lineRule="auto" w:before="12"/>
        <w:rPr>
          <w:rFonts w:ascii="宋体" w:hAnsi="宋体" w:cs="宋体" w:eastAsia="宋体" w:hint="default"/>
          <w:b/>
          <w:bCs/>
          <w:sz w:val="27"/>
          <w:szCs w:val="27"/>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）政策性优惠贷款贴息的会计处理方法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0" w:firstLine="360"/>
        <w:jc w:val="left"/>
      </w:pPr>
      <w:r>
        <w:rPr>
          <w:spacing w:val="-2"/>
        </w:rPr>
        <w:t>①财政将贴息资金拨付给贷款银行，由贷款银行以政策性优惠利率向公司提供贷款的，以实际收到的借款金额作为借款</w:t>
      </w:r>
      <w:r>
        <w:rPr/>
        <w:t> 的入账价值，按照借款本金和该政策性优惠利率计算相关借款费用。</w:t>
      </w:r>
    </w:p>
    <w:p>
      <w:pPr>
        <w:pStyle w:val="BodyText"/>
        <w:spacing w:line="240" w:lineRule="auto" w:before="54"/>
        <w:ind w:left="514" w:right="0"/>
        <w:jc w:val="left"/>
      </w:pPr>
      <w:r>
        <w:rPr/>
        <w:t>②财政将贴息资金直接拨付给公司的，将对应的贴息冲减相关借款费用。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30、递延所得税资产/递延所得税负债" w:id="209"/>
      <w:bookmarkEnd w:id="20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65" w:lineRule="auto"/>
        <w:ind w:right="1133"/>
        <w:jc w:val="both"/>
      </w:pPr>
      <w:r>
        <w:rPr/>
        <w:t>（</w:t>
      </w:r>
      <w:r>
        <w:rPr>
          <w:rFonts w:ascii="Times New Roman" w:hAnsi="Times New Roman" w:cs="Times New Roman" w:eastAsia="Times New Roman" w:hint="default"/>
        </w:rPr>
        <w:t>1</w:t>
      </w:r>
      <w:r>
        <w:rPr/>
        <w:t>）根据资产、负债的账面价值与其计税基础之间的差额（未作为资产和负债确认的项目按照税法规定可以确定其计税基 </w:t>
      </w:r>
      <w:r>
        <w:rPr>
          <w:spacing w:val="-2"/>
        </w:rPr>
        <w:t>础的，该计税基础与其账面数之间的差额），按照预期收回该资产或清偿该负债期间的适用税率计算确认递延所得税资产或</w:t>
      </w:r>
      <w:r>
        <w:rPr>
          <w:spacing w:val="-66"/>
        </w:rPr>
        <w:t> </w:t>
      </w:r>
      <w:r>
        <w:rPr>
          <w:spacing w:val="-66"/>
        </w:rPr>
      </w:r>
      <w:r>
        <w:rPr/>
        <w:t>递延所得税负债。</w:t>
      </w:r>
    </w:p>
    <w:p>
      <w:pPr>
        <w:pStyle w:val="BodyText"/>
        <w:spacing w:line="451" w:lineRule="auto" w:before="101"/>
        <w:ind w:right="0" w:firstLine="73"/>
        <w:jc w:val="left"/>
      </w:pPr>
      <w:r>
        <w:rPr>
          <w:spacing w:val="-2"/>
        </w:rPr>
        <w:t>（</w:t>
      </w:r>
      <w:r>
        <w:rPr>
          <w:rFonts w:ascii="Times New Roman" w:hAnsi="Times New Roman" w:cs="Times New Roman" w:eastAsia="Times New Roman" w:hint="default"/>
          <w:spacing w:val="-2"/>
        </w:rPr>
        <w:t>2</w:t>
      </w:r>
      <w:r>
        <w:rPr>
          <w:spacing w:val="-2"/>
        </w:rPr>
        <w:t>）确认递延所得税资产以很可能取得用来抵扣可抵扣暂时性差异的应纳税所得额为限。资产负债表日，有确凿证据表明</w:t>
      </w:r>
      <w:r>
        <w:rPr/>
        <w:t> 未来期间很可能获得足够的应纳税所得额用来抵扣可抵扣暂时性差异的，确认以前会计期间未确认的递延所得税资产。</w:t>
      </w:r>
    </w:p>
    <w:p>
      <w:pPr>
        <w:pStyle w:val="BodyText"/>
        <w:spacing w:line="451" w:lineRule="auto" w:before="113"/>
        <w:ind w:right="0" w:firstLine="73"/>
        <w:jc w:val="left"/>
      </w:pPr>
      <w:r>
        <w:rPr>
          <w:spacing w:val="-2"/>
        </w:rPr>
        <w:t>（</w:t>
      </w:r>
      <w:r>
        <w:rPr>
          <w:rFonts w:ascii="Times New Roman" w:hAnsi="Times New Roman" w:cs="Times New Roman" w:eastAsia="Times New Roman" w:hint="default"/>
          <w:spacing w:val="-2"/>
        </w:rPr>
        <w:t>3</w:t>
      </w:r>
      <w:r>
        <w:rPr>
          <w:spacing w:val="-2"/>
        </w:rPr>
        <w:t>）资产负债表日，对递延所得税资产的账面价值进行复核，如果未来期间很可能无法获得足够的应纳税所得额用以抵扣</w:t>
      </w:r>
      <w:r>
        <w:rPr/>
        <w:t> 递延所得税资产的利益，则减记递延所得税资产的账面价值。在很可能获得足够的应纳税所得额时，转回减记的金额。</w:t>
      </w:r>
    </w:p>
    <w:p>
      <w:pPr>
        <w:pStyle w:val="BodyText"/>
        <w:spacing w:line="240" w:lineRule="auto" w:before="112"/>
        <w:ind w:left="227" w:right="0"/>
        <w:jc w:val="both"/>
      </w:pPr>
      <w:r>
        <w:rPr/>
        <w:t>（</w:t>
      </w:r>
      <w:r>
        <w:rPr>
          <w:rFonts w:ascii="Times New Roman" w:hAnsi="Times New Roman" w:cs="Times New Roman" w:eastAsia="Times New Roman" w:hint="default"/>
        </w:rPr>
        <w:t>4</w:t>
      </w:r>
      <w:r>
        <w:rPr/>
        <w:t>）公司当期所得税和递延所得税作为所得税费用或收益计入当期损益，但不包括下列情况产生的所得税：①企业合并；</w:t>
      </w:r>
    </w:p>
    <w:p>
      <w:pPr>
        <w:spacing w:line="240" w:lineRule="auto" w:before="11"/>
        <w:rPr>
          <w:rFonts w:ascii="宋体" w:hAnsi="宋体" w:cs="宋体" w:eastAsia="宋体" w:hint="default"/>
          <w:sz w:val="16"/>
          <w:szCs w:val="16"/>
        </w:rPr>
      </w:pPr>
    </w:p>
    <w:p>
      <w:pPr>
        <w:pStyle w:val="BodyText"/>
        <w:spacing w:line="240" w:lineRule="auto"/>
        <w:ind w:right="0"/>
        <w:jc w:val="both"/>
      </w:pPr>
      <w:r>
        <w:rPr/>
        <w:t>②</w:t>
      </w:r>
      <w:r>
        <w:rPr>
          <w:spacing w:val="-19"/>
        </w:rPr>
        <w:t> </w:t>
      </w:r>
      <w:r>
        <w:rPr/>
        <w:t>直接在所有者权益中确认的交易或者事项。</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both"/>
        <w:rPr>
          <w:b w:val="0"/>
          <w:bCs w:val="0"/>
        </w:rPr>
      </w:pPr>
      <w:bookmarkStart w:name="31、租赁" w:id="210"/>
      <w:bookmarkEnd w:id="210"/>
      <w:r>
        <w:rPr>
          <w:b w:val="0"/>
          <w:bCs w:val="0"/>
        </w:rPr>
      </w:r>
      <w:r>
        <w:rPr>
          <w:rFonts w:ascii="Times New Roman" w:hAnsi="Times New Roman" w:cs="Times New Roman" w:eastAsia="Times New Roman" w:hint="default"/>
        </w:rPr>
        <w:t>31</w:t>
      </w:r>
      <w:r>
        <w:rPr/>
        <w:t>、租赁</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both"/>
        <w:rPr>
          <w:b w:val="0"/>
          <w:bCs w:val="0"/>
        </w:rPr>
      </w:pPr>
      <w:bookmarkStart w:name="（1）经营租赁的会计处理方法" w:id="211"/>
      <w:bookmarkEnd w:id="21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477" w:lineRule="auto"/>
        <w:ind w:right="1139" w:firstLine="73"/>
        <w:jc w:val="left"/>
      </w:pPr>
      <w:r>
        <w:rPr/>
        <w:t>公司为承租人时，在租赁期内各个期间按照直线法将租金计入相关资产成本或确认为当期损益，发生的初始直接费用，直 接计入当期损益。或有租金在实际发生时计入当期损益。</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77" w:lineRule="auto"/>
        <w:ind w:right="1139" w:firstLine="73"/>
        <w:jc w:val="left"/>
      </w:pPr>
      <w:r>
        <w:rPr/>
        <w:t>公司为出租人时，在租赁期内各个期间按照直线法将租金确认为当期损益，发生的初始直接费用，除金额较大的予以资本 化并分期计入损益外，均直接计入当期损益。或有租金在实际发生时计入当期损益。</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2）融资租赁的会计处理方法" w:id="212"/>
      <w:bookmarkEnd w:id="21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32、其他重要的会计政策和会计估计" w:id="213"/>
      <w:bookmarkEnd w:id="213"/>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0"/>
        <w:jc w:val="left"/>
      </w:pPr>
      <w:r>
        <w:rPr/>
        <w:t>与回购公司股份相关的会计处理方法 </w:t>
      </w:r>
      <w:r>
        <w:rPr>
          <w:spacing w:val="-2"/>
        </w:rPr>
        <w:t>因减少注册资本或奖励职工等原因收购本公司股份的，按实际支付的金额作为库存股处理，同时进行备查登记。如果将回购</w:t>
      </w:r>
      <w:r>
        <w:rPr>
          <w:spacing w:val="-66"/>
        </w:rPr>
        <w:t> </w:t>
      </w:r>
      <w:r>
        <w:rPr>
          <w:spacing w:val="-66"/>
        </w:rPr>
      </w:r>
      <w:r>
        <w:rPr>
          <w:spacing w:val="-2"/>
        </w:rPr>
        <w:t>的股份注销，则将按注销股票面值和注销股数计算的股票面值总额与实际回购所支付的金额之间的差额冲减资本公积，资本</w:t>
      </w:r>
      <w:r>
        <w:rPr>
          <w:spacing w:val="-64"/>
        </w:rPr>
        <w:t> </w:t>
      </w:r>
      <w:r>
        <w:rPr>
          <w:spacing w:val="-64"/>
        </w:rPr>
      </w:r>
      <w:r>
        <w:rPr>
          <w:spacing w:val="-2"/>
        </w:rPr>
        <w:t>公积不足冲减的，冲减留存收益；如果将回购的股份奖励给本公司职工属于以权益结算的股份支付，于职工行权购买本公司</w:t>
      </w:r>
      <w:r>
        <w:rPr>
          <w:spacing w:val="-66"/>
        </w:rPr>
        <w:t> </w:t>
      </w:r>
      <w:r>
        <w:rPr>
          <w:spacing w:val="-66"/>
        </w:rPr>
      </w:r>
      <w:r>
        <w:rPr>
          <w:spacing w:val="-2"/>
        </w:rPr>
        <w:t>股份收到价款时，转销交付职工的库存股成本和等待期内资本公积（其他资本公积）累计金额，同时，按照其差额调整资本</w:t>
      </w:r>
      <w:r>
        <w:rPr>
          <w:spacing w:val="-66"/>
        </w:rPr>
        <w:t> </w:t>
      </w:r>
      <w:r>
        <w:rPr>
          <w:spacing w:val="-66"/>
        </w:rPr>
      </w:r>
      <w:r>
        <w:rPr/>
        <w:t>公积（股本溢价）。</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33、重要会计政策和会计估计变更" w:id="214"/>
      <w:bookmarkEnd w:id="214"/>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重要会计政策变更" w:id="215"/>
      <w:bookmarkEnd w:id="21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83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为解决执行企业会计准则的企业在财务 报告编制中的实际问题，规范企业财务 报表列报，提高会计信息质量，财政部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日发布了《关于修订</w:t>
            </w:r>
          </w:p>
          <w:p>
            <w:pPr>
              <w:pStyle w:val="TableParagraph"/>
              <w:spacing w:line="307" w:lineRule="auto"/>
              <w:ind w:left="22" w:right="66"/>
              <w:jc w:val="both"/>
              <w:rPr>
                <w:rFonts w:ascii="宋体" w:hAnsi="宋体" w:cs="宋体" w:eastAsia="宋体" w:hint="default"/>
                <w:sz w:val="18"/>
                <w:szCs w:val="18"/>
              </w:rPr>
            </w:pPr>
            <w:r>
              <w:rPr>
                <w:rFonts w:ascii="宋体" w:hAnsi="宋体" w:cs="宋体" w:eastAsia="宋体" w:hint="default"/>
                <w:sz w:val="18"/>
                <w:szCs w:val="18"/>
              </w:rPr>
              <w:t>印发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年度一般企业财务报表格式 </w:t>
            </w:r>
            <w:r>
              <w:rPr>
                <w:rFonts w:ascii="宋体" w:hAnsi="宋体" w:cs="宋体" w:eastAsia="宋体" w:hint="default"/>
                <w:spacing w:val="-7"/>
                <w:sz w:val="18"/>
                <w:szCs w:val="18"/>
              </w:rPr>
              <w:t>的通知》（财会</w:t>
            </w:r>
            <w:r>
              <w:rPr>
                <w:rFonts w:ascii="Times New Roman" w:hAnsi="Times New Roman" w:cs="Times New Roman" w:eastAsia="Times New Roman" w:hint="default"/>
                <w:spacing w:val="-7"/>
                <w:sz w:val="18"/>
                <w:szCs w:val="18"/>
              </w:rPr>
              <w:t>[2018]15</w:t>
            </w:r>
            <w:r>
              <w:rPr>
                <w:rFonts w:ascii="Times New Roman" w:hAnsi="Times New Roman" w:cs="Times New Roman" w:eastAsia="Times New Roman" w:hint="default"/>
                <w:spacing w:val="12"/>
                <w:sz w:val="18"/>
                <w:szCs w:val="18"/>
              </w:rPr>
              <w:t> </w:t>
            </w:r>
            <w:r>
              <w:rPr>
                <w:rFonts w:ascii="宋体" w:hAnsi="宋体" w:cs="宋体" w:eastAsia="宋体" w:hint="default"/>
                <w:spacing w:val="-13"/>
                <w:sz w:val="18"/>
                <w:szCs w:val="18"/>
              </w:rPr>
              <w:t>号），对一般企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业财务报表格式进行了修订。根据上述 财会</w:t>
            </w:r>
            <w:r>
              <w:rPr>
                <w:rFonts w:ascii="Times New Roman" w:hAnsi="Times New Roman" w:cs="Times New Roman" w:eastAsia="Times New Roman" w:hint="default"/>
                <w:sz w:val="18"/>
                <w:szCs w:val="18"/>
              </w:rPr>
              <w:t>[2018]15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号文件的要求，公司需对 会计政策相关内容进行相应调整，并按 照该文件规定的一般企业财务报表格式</w:t>
            </w:r>
          </w:p>
          <w:p>
            <w:pPr>
              <w:pStyle w:val="TableParagraph"/>
              <w:spacing w:line="319" w:lineRule="auto" w:before="26"/>
              <w:ind w:left="22" w:right="96"/>
              <w:jc w:val="both"/>
              <w:rPr>
                <w:rFonts w:ascii="宋体" w:hAnsi="宋体" w:cs="宋体" w:eastAsia="宋体" w:hint="default"/>
                <w:sz w:val="18"/>
                <w:szCs w:val="18"/>
              </w:rPr>
            </w:pPr>
            <w:r>
              <w:rPr>
                <w:rFonts w:ascii="宋体" w:hAnsi="宋体" w:cs="宋体" w:eastAsia="宋体" w:hint="default"/>
                <w:sz w:val="18"/>
                <w:szCs w:val="18"/>
              </w:rPr>
              <w:t>（适用于尚未执行新金融准则和新收入 准则的企业）编制公司的财务报表。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1"/>
              <w:ind w:left="22" w:right="5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日，公司召开第三届董 事会第十一次会议、第三届监事会第十 一次会议审议通过了《关于会计政策变 </w:t>
            </w:r>
            <w:r>
              <w:rPr>
                <w:rFonts w:ascii="宋体" w:hAnsi="宋体" w:cs="宋体" w:eastAsia="宋体" w:hint="default"/>
                <w:spacing w:val="-15"/>
                <w:sz w:val="18"/>
                <w:szCs w:val="18"/>
              </w:rPr>
              <w:t>更的议案》。</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8"/>
        <w:ind w:left="574" w:right="0"/>
        <w:jc w:val="left"/>
      </w:pPr>
      <w:r>
        <w:rPr>
          <w:rFonts w:ascii="Times New Roman" w:hAnsi="Times New Roman" w:cs="Times New Roman" w:eastAsia="Times New Roman" w:hint="default"/>
        </w:rPr>
        <w:t>1</w:t>
      </w:r>
      <w:r>
        <w:rPr/>
        <w:t>、本公司根据《财政部关于修订印发</w:t>
      </w:r>
      <w:r>
        <w:rPr>
          <w:rFonts w:ascii="Times New Roman" w:hAnsi="Times New Roman" w:cs="Times New Roman" w:eastAsia="Times New Roman" w:hint="default"/>
        </w:rPr>
        <w:t>2018</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及其解读和企业会</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18"/>
        <w:jc w:val="left"/>
      </w:pPr>
      <w:r>
        <w:rPr>
          <w:spacing w:val="-2"/>
        </w:rPr>
        <w:t>计准则的要求编制</w:t>
      </w:r>
      <w:r>
        <w:rPr>
          <w:rFonts w:ascii="Times New Roman" w:hAnsi="Times New Roman" w:cs="Times New Roman" w:eastAsia="Times New Roman" w:hint="default"/>
          <w:spacing w:val="-2"/>
        </w:rPr>
        <w:t>2018</w:t>
      </w:r>
      <w:r>
        <w:rPr>
          <w:spacing w:val="-2"/>
        </w:rPr>
        <w:t>年度财务报表，此项会计政策变更采用追溯调整法。</w:t>
      </w:r>
      <w:r>
        <w:rPr>
          <w:rFonts w:ascii="Times New Roman" w:hAnsi="Times New Roman" w:cs="Times New Roman" w:eastAsia="Times New Roman" w:hint="default"/>
          <w:spacing w:val="-2"/>
        </w:rPr>
        <w:t>2017</w:t>
      </w:r>
      <w:r>
        <w:rPr>
          <w:spacing w:val="-2"/>
        </w:rPr>
        <w:t>年度财务报表受重要影响的报表项目和金额</w:t>
      </w:r>
      <w:r>
        <w:rPr>
          <w:spacing w:val="-56"/>
        </w:rPr>
        <w:t> </w:t>
      </w:r>
      <w:r>
        <w:rPr/>
        <w:t>如下：</w:t>
      </w:r>
    </w:p>
    <w:p>
      <w:pPr>
        <w:spacing w:line="240" w:lineRule="auto" w:before="5"/>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2284"/>
        <w:gridCol w:w="2410"/>
        <w:gridCol w:w="1843"/>
        <w:gridCol w:w="2540"/>
      </w:tblGrid>
      <w:tr>
        <w:trPr>
          <w:trHeight w:val="340" w:hRule="exact"/>
        </w:trPr>
        <w:tc>
          <w:tcPr>
            <w:tcW w:w="4694"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5"/>
              <w:ind w:left="1436"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383"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5"/>
              <w:ind w:left="1281"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55"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left="9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10" w:type="dxa"/>
            <w:tcBorders>
              <w:top w:val="single" w:sz="8" w:space="0" w:color="000000"/>
              <w:left w:val="single" w:sz="8" w:space="0" w:color="000000"/>
              <w:bottom w:val="single" w:sz="8" w:space="0" w:color="000000"/>
              <w:right w:val="single" w:sz="8" w:space="0" w:color="000000"/>
            </w:tcBorders>
          </w:tcPr>
          <w:p>
            <w:pPr/>
          </w:p>
        </w:tc>
        <w:tc>
          <w:tcPr>
            <w:tcW w:w="1843"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40"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7" w:right="0"/>
              <w:jc w:val="left"/>
              <w:rPr>
                <w:rFonts w:ascii="Times New Roman" w:hAnsi="Times New Roman" w:cs="Times New Roman" w:eastAsia="Times New Roman" w:hint="default"/>
                <w:sz w:val="18"/>
                <w:szCs w:val="18"/>
              </w:rPr>
            </w:pPr>
            <w:r>
              <w:rPr>
                <w:rFonts w:ascii="Times New Roman"/>
                <w:sz w:val="18"/>
              </w:rPr>
              <w:t>240,173,912.52</w:t>
            </w:r>
          </w:p>
        </w:tc>
      </w:tr>
      <w:tr>
        <w:trPr>
          <w:trHeight w:val="350"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6"/>
              <w:jc w:val="right"/>
              <w:rPr>
                <w:rFonts w:ascii="Times New Roman" w:hAnsi="Times New Roman" w:cs="Times New Roman" w:eastAsia="Times New Roman" w:hint="default"/>
                <w:sz w:val="18"/>
                <w:szCs w:val="18"/>
              </w:rPr>
            </w:pPr>
            <w:r>
              <w:rPr>
                <w:rFonts w:ascii="Times New Roman"/>
                <w:spacing w:val="-1"/>
                <w:sz w:val="18"/>
              </w:rPr>
              <w:t>240,173,912.52</w:t>
            </w:r>
          </w:p>
        </w:tc>
        <w:tc>
          <w:tcPr>
            <w:tcW w:w="1843" w:type="dxa"/>
            <w:vMerge/>
            <w:tcBorders>
              <w:left w:val="single" w:sz="8" w:space="0" w:color="000000"/>
              <w:bottom w:val="single" w:sz="8" w:space="0" w:color="000000"/>
              <w:right w:val="single" w:sz="8" w:space="0" w:color="000000"/>
            </w:tcBorders>
          </w:tcPr>
          <w:p>
            <w:pPr/>
          </w:p>
        </w:tc>
        <w:tc>
          <w:tcPr>
            <w:tcW w:w="2540" w:type="dxa"/>
            <w:vMerge/>
            <w:tcBorders>
              <w:left w:val="single" w:sz="8" w:space="0" w:color="000000"/>
              <w:bottom w:val="single" w:sz="8" w:space="0" w:color="000000"/>
              <w:right w:val="single" w:sz="8" w:space="0" w:color="000000"/>
            </w:tcBorders>
          </w:tcPr>
          <w:p>
            <w:pPr/>
          </w:p>
        </w:tc>
      </w:tr>
      <w:tr>
        <w:trPr>
          <w:trHeight w:val="349"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5"/>
              <w:jc w:val="right"/>
              <w:rPr>
                <w:rFonts w:ascii="Times New Roman" w:hAnsi="Times New Roman" w:cs="Times New Roman" w:eastAsia="Times New Roman" w:hint="default"/>
                <w:sz w:val="18"/>
                <w:szCs w:val="18"/>
              </w:rPr>
            </w:pPr>
            <w:r>
              <w:rPr>
                <w:rFonts w:ascii="Times New Roman"/>
                <w:sz w:val="18"/>
              </w:rPr>
              <w:t>705,143.84</w:t>
            </w:r>
          </w:p>
        </w:tc>
        <w:tc>
          <w:tcPr>
            <w:tcW w:w="1843"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4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87" w:right="0"/>
              <w:jc w:val="left"/>
              <w:rPr>
                <w:rFonts w:ascii="Times New Roman" w:hAnsi="Times New Roman" w:cs="Times New Roman" w:eastAsia="Times New Roman" w:hint="default"/>
                <w:sz w:val="18"/>
                <w:szCs w:val="18"/>
              </w:rPr>
            </w:pPr>
            <w:r>
              <w:rPr>
                <w:rFonts w:ascii="Times New Roman"/>
                <w:sz w:val="18"/>
              </w:rPr>
              <w:t>17,111,171.06</w:t>
            </w:r>
          </w:p>
        </w:tc>
      </w:tr>
      <w:tr>
        <w:trPr>
          <w:trHeight w:val="350"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10" w:type="dxa"/>
            <w:tcBorders>
              <w:top w:val="single" w:sz="8" w:space="0" w:color="000000"/>
              <w:left w:val="single" w:sz="8" w:space="0" w:color="000000"/>
              <w:bottom w:val="single" w:sz="8" w:space="0" w:color="000000"/>
              <w:right w:val="single" w:sz="8" w:space="0" w:color="000000"/>
            </w:tcBorders>
          </w:tcPr>
          <w:p>
            <w:pPr/>
          </w:p>
        </w:tc>
        <w:tc>
          <w:tcPr>
            <w:tcW w:w="1843" w:type="dxa"/>
            <w:vMerge/>
            <w:tcBorders>
              <w:left w:val="single" w:sz="8" w:space="0" w:color="000000"/>
              <w:right w:val="single" w:sz="8" w:space="0" w:color="000000"/>
            </w:tcBorders>
          </w:tcPr>
          <w:p>
            <w:pPr/>
          </w:p>
        </w:tc>
        <w:tc>
          <w:tcPr>
            <w:tcW w:w="2540" w:type="dxa"/>
            <w:vMerge/>
            <w:tcBorders>
              <w:left w:val="single" w:sz="8" w:space="0" w:color="000000"/>
              <w:right w:val="single" w:sz="8" w:space="0" w:color="000000"/>
            </w:tcBorders>
          </w:tcPr>
          <w:p>
            <w:pPr/>
          </w:p>
        </w:tc>
      </w:tr>
      <w:tr>
        <w:trPr>
          <w:trHeight w:val="350"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6"/>
              <w:jc w:val="right"/>
              <w:rPr>
                <w:rFonts w:ascii="Times New Roman" w:hAnsi="Times New Roman" w:cs="Times New Roman" w:eastAsia="Times New Roman" w:hint="default"/>
                <w:sz w:val="18"/>
                <w:szCs w:val="18"/>
              </w:rPr>
            </w:pPr>
            <w:r>
              <w:rPr>
                <w:rFonts w:ascii="Times New Roman"/>
                <w:spacing w:val="-1"/>
                <w:sz w:val="18"/>
              </w:rPr>
              <w:t>16,406,027.22</w:t>
            </w:r>
          </w:p>
        </w:tc>
        <w:tc>
          <w:tcPr>
            <w:tcW w:w="1843" w:type="dxa"/>
            <w:vMerge/>
            <w:tcBorders>
              <w:left w:val="single" w:sz="8" w:space="0" w:color="000000"/>
              <w:bottom w:val="single" w:sz="8" w:space="0" w:color="000000"/>
              <w:right w:val="single" w:sz="8" w:space="0" w:color="000000"/>
            </w:tcBorders>
          </w:tcPr>
          <w:p>
            <w:pPr/>
          </w:p>
        </w:tc>
        <w:tc>
          <w:tcPr>
            <w:tcW w:w="2540" w:type="dxa"/>
            <w:vMerge/>
            <w:tcBorders>
              <w:left w:val="single" w:sz="8" w:space="0" w:color="000000"/>
              <w:bottom w:val="single" w:sz="8" w:space="0" w:color="000000"/>
              <w:right w:val="single" w:sz="8" w:space="0" w:color="000000"/>
            </w:tcBorders>
          </w:tcPr>
          <w:p>
            <w:pPr/>
          </w:p>
        </w:tc>
      </w:tr>
      <w:tr>
        <w:trPr>
          <w:trHeight w:val="349"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6"/>
              <w:jc w:val="right"/>
              <w:rPr>
                <w:rFonts w:ascii="Times New Roman" w:hAnsi="Times New Roman" w:cs="Times New Roman" w:eastAsia="Times New Roman" w:hint="default"/>
                <w:sz w:val="18"/>
                <w:szCs w:val="18"/>
              </w:rPr>
            </w:pPr>
            <w:r>
              <w:rPr>
                <w:rFonts w:ascii="Times New Roman"/>
                <w:spacing w:val="-1"/>
                <w:sz w:val="18"/>
              </w:rPr>
              <w:t>303,393,574.35</w:t>
            </w:r>
          </w:p>
        </w:tc>
        <w:tc>
          <w:tcPr>
            <w:tcW w:w="1843"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40" w:type="dxa"/>
            <w:vMerge w:val="restart"/>
            <w:tcBorders>
              <w:top w:val="single" w:sz="8" w:space="0" w:color="000000"/>
              <w:left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97" w:right="0"/>
              <w:jc w:val="left"/>
              <w:rPr>
                <w:rFonts w:ascii="Times New Roman" w:hAnsi="Times New Roman" w:cs="Times New Roman" w:eastAsia="Times New Roman" w:hint="default"/>
                <w:sz w:val="18"/>
                <w:szCs w:val="18"/>
              </w:rPr>
            </w:pPr>
            <w:r>
              <w:rPr>
                <w:rFonts w:ascii="Times New Roman"/>
                <w:sz w:val="18"/>
              </w:rPr>
              <w:t>303,393,574.35</w:t>
            </w:r>
          </w:p>
        </w:tc>
      </w:tr>
      <w:tr>
        <w:trPr>
          <w:trHeight w:val="350"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10" w:type="dxa"/>
            <w:tcBorders>
              <w:top w:val="single" w:sz="8" w:space="0" w:color="000000"/>
              <w:left w:val="single" w:sz="8" w:space="0" w:color="000000"/>
              <w:bottom w:val="single" w:sz="8" w:space="0" w:color="000000"/>
              <w:right w:val="single" w:sz="8" w:space="0" w:color="000000"/>
            </w:tcBorders>
          </w:tcPr>
          <w:p>
            <w:pPr/>
          </w:p>
        </w:tc>
        <w:tc>
          <w:tcPr>
            <w:tcW w:w="1843" w:type="dxa"/>
            <w:vMerge/>
            <w:tcBorders>
              <w:left w:val="single" w:sz="8" w:space="0" w:color="000000"/>
              <w:bottom w:val="single" w:sz="8" w:space="0" w:color="000000"/>
              <w:right w:val="single" w:sz="8" w:space="0" w:color="000000"/>
            </w:tcBorders>
          </w:tcPr>
          <w:p>
            <w:pPr/>
          </w:p>
        </w:tc>
        <w:tc>
          <w:tcPr>
            <w:tcW w:w="2540" w:type="dxa"/>
            <w:vMerge/>
            <w:tcBorders>
              <w:left w:val="single" w:sz="8" w:space="0" w:color="000000"/>
              <w:bottom w:val="single" w:sz="8" w:space="0" w:color="000000"/>
              <w:right w:val="single" w:sz="8" w:space="0" w:color="000000"/>
            </w:tcBorders>
          </w:tcPr>
          <w:p>
            <w:pPr/>
          </w:p>
        </w:tc>
      </w:tr>
      <w:tr>
        <w:trPr>
          <w:trHeight w:val="350"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6"/>
              <w:jc w:val="right"/>
              <w:rPr>
                <w:rFonts w:ascii="Times New Roman" w:hAnsi="Times New Roman" w:cs="Times New Roman" w:eastAsia="Times New Roman" w:hint="default"/>
                <w:sz w:val="18"/>
                <w:szCs w:val="18"/>
              </w:rPr>
            </w:pPr>
            <w:r>
              <w:rPr>
                <w:rFonts w:ascii="Times New Roman"/>
                <w:spacing w:val="-1"/>
                <w:sz w:val="18"/>
              </w:rPr>
              <w:t>11,581,142.66</w:t>
            </w:r>
          </w:p>
        </w:tc>
        <w:tc>
          <w:tcPr>
            <w:tcW w:w="1843"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40" w:type="dxa"/>
            <w:vMerge w:val="restart"/>
            <w:tcBorders>
              <w:top w:val="single" w:sz="8" w:space="0" w:color="000000"/>
              <w:left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387" w:right="0"/>
              <w:jc w:val="left"/>
              <w:rPr>
                <w:rFonts w:ascii="Times New Roman" w:hAnsi="Times New Roman" w:cs="Times New Roman" w:eastAsia="Times New Roman" w:hint="default"/>
                <w:sz w:val="18"/>
                <w:szCs w:val="18"/>
              </w:rPr>
            </w:pPr>
            <w:r>
              <w:rPr>
                <w:rFonts w:ascii="Times New Roman"/>
                <w:sz w:val="18"/>
              </w:rPr>
              <w:t>16,952,910.57</w:t>
            </w:r>
          </w:p>
        </w:tc>
      </w:tr>
      <w:tr>
        <w:trPr>
          <w:trHeight w:val="349"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6"/>
              <w:jc w:val="right"/>
              <w:rPr>
                <w:rFonts w:ascii="Times New Roman" w:hAnsi="Times New Roman" w:cs="Times New Roman" w:eastAsia="Times New Roman" w:hint="default"/>
                <w:sz w:val="18"/>
                <w:szCs w:val="18"/>
              </w:rPr>
            </w:pPr>
            <w:r>
              <w:rPr>
                <w:rFonts w:ascii="Times New Roman"/>
                <w:spacing w:val="-1"/>
                <w:sz w:val="18"/>
              </w:rPr>
              <w:t>5,371,767.91</w:t>
            </w:r>
          </w:p>
        </w:tc>
        <w:tc>
          <w:tcPr>
            <w:tcW w:w="1843" w:type="dxa"/>
            <w:vMerge/>
            <w:tcBorders>
              <w:left w:val="single" w:sz="8" w:space="0" w:color="000000"/>
              <w:bottom w:val="single" w:sz="8" w:space="0" w:color="000000"/>
              <w:right w:val="single" w:sz="8" w:space="0" w:color="000000"/>
            </w:tcBorders>
          </w:tcPr>
          <w:p>
            <w:pPr/>
          </w:p>
        </w:tc>
        <w:tc>
          <w:tcPr>
            <w:tcW w:w="2540" w:type="dxa"/>
            <w:vMerge/>
            <w:tcBorders>
              <w:left w:val="single" w:sz="8" w:space="0" w:color="000000"/>
              <w:bottom w:val="single" w:sz="8" w:space="0" w:color="000000"/>
              <w:right w:val="single" w:sz="8" w:space="0" w:color="000000"/>
            </w:tcBorders>
          </w:tcPr>
          <w:p>
            <w:pPr/>
          </w:p>
        </w:tc>
      </w:tr>
      <w:tr>
        <w:trPr>
          <w:trHeight w:val="350"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10" w:type="dxa"/>
            <w:tcBorders>
              <w:top w:val="single" w:sz="8" w:space="0" w:color="000000"/>
              <w:left w:val="single" w:sz="8" w:space="0" w:color="000000"/>
              <w:bottom w:val="single" w:sz="8" w:space="0" w:color="000000"/>
              <w:right w:val="single" w:sz="8" w:space="0" w:color="000000"/>
            </w:tcBorders>
          </w:tcPr>
          <w:p>
            <w:pPr/>
          </w:p>
        </w:tc>
        <w:tc>
          <w:tcPr>
            <w:tcW w:w="1843"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40" w:type="dxa"/>
            <w:vMerge w:val="restart"/>
            <w:tcBorders>
              <w:top w:val="single" w:sz="8" w:space="0" w:color="000000"/>
              <w:left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387" w:right="0"/>
              <w:jc w:val="left"/>
              <w:rPr>
                <w:rFonts w:ascii="Times New Roman" w:hAnsi="Times New Roman" w:cs="Times New Roman" w:eastAsia="Times New Roman" w:hint="default"/>
                <w:sz w:val="18"/>
                <w:szCs w:val="18"/>
              </w:rPr>
            </w:pPr>
            <w:r>
              <w:rPr>
                <w:rFonts w:ascii="Times New Roman"/>
                <w:sz w:val="18"/>
              </w:rPr>
              <w:t>25,471,007.13</w:t>
            </w:r>
          </w:p>
        </w:tc>
      </w:tr>
      <w:tr>
        <w:trPr>
          <w:trHeight w:val="350"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6"/>
              <w:jc w:val="right"/>
              <w:rPr>
                <w:rFonts w:ascii="Times New Roman" w:hAnsi="Times New Roman" w:cs="Times New Roman" w:eastAsia="Times New Roman" w:hint="default"/>
                <w:sz w:val="18"/>
                <w:szCs w:val="18"/>
              </w:rPr>
            </w:pPr>
            <w:r>
              <w:rPr>
                <w:rFonts w:ascii="Times New Roman"/>
                <w:spacing w:val="-1"/>
                <w:sz w:val="18"/>
              </w:rPr>
              <w:t>25,471,007.13</w:t>
            </w:r>
          </w:p>
        </w:tc>
        <w:tc>
          <w:tcPr>
            <w:tcW w:w="1843" w:type="dxa"/>
            <w:vMerge/>
            <w:tcBorders>
              <w:left w:val="single" w:sz="8" w:space="0" w:color="000000"/>
              <w:bottom w:val="single" w:sz="8" w:space="0" w:color="000000"/>
              <w:right w:val="single" w:sz="8" w:space="0" w:color="000000"/>
            </w:tcBorders>
          </w:tcPr>
          <w:p>
            <w:pPr/>
          </w:p>
        </w:tc>
        <w:tc>
          <w:tcPr>
            <w:tcW w:w="2540" w:type="dxa"/>
            <w:vMerge/>
            <w:tcBorders>
              <w:left w:val="single" w:sz="8" w:space="0" w:color="000000"/>
              <w:bottom w:val="single" w:sz="8" w:space="0" w:color="000000"/>
              <w:right w:val="single" w:sz="8" w:space="0" w:color="000000"/>
            </w:tcBorders>
          </w:tcPr>
          <w:p>
            <w:pPr/>
          </w:p>
        </w:tc>
      </w:tr>
      <w:tr>
        <w:trPr>
          <w:trHeight w:val="349"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10" w:type="dxa"/>
            <w:tcBorders>
              <w:top w:val="single" w:sz="8" w:space="0" w:color="000000"/>
              <w:left w:val="single" w:sz="8" w:space="0" w:color="000000"/>
              <w:bottom w:val="single" w:sz="8" w:space="0" w:color="000000"/>
              <w:right w:val="single" w:sz="8" w:space="0" w:color="000000"/>
            </w:tcBorders>
          </w:tcPr>
          <w:p>
            <w:pPr/>
          </w:p>
        </w:tc>
        <w:tc>
          <w:tcPr>
            <w:tcW w:w="1843"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4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87" w:right="0"/>
              <w:jc w:val="left"/>
              <w:rPr>
                <w:rFonts w:ascii="Times New Roman" w:hAnsi="Times New Roman" w:cs="Times New Roman" w:eastAsia="Times New Roman" w:hint="default"/>
                <w:sz w:val="18"/>
                <w:szCs w:val="18"/>
              </w:rPr>
            </w:pPr>
            <w:r>
              <w:rPr>
                <w:rFonts w:ascii="Times New Roman"/>
                <w:sz w:val="18"/>
              </w:rPr>
              <w:t>20,674,109.76</w:t>
            </w:r>
          </w:p>
        </w:tc>
      </w:tr>
      <w:tr>
        <w:trPr>
          <w:trHeight w:val="350"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5"/>
              <w:jc w:val="right"/>
              <w:rPr>
                <w:rFonts w:ascii="Times New Roman" w:hAnsi="Times New Roman" w:cs="Times New Roman" w:eastAsia="Times New Roman" w:hint="default"/>
                <w:sz w:val="18"/>
                <w:szCs w:val="18"/>
              </w:rPr>
            </w:pPr>
            <w:r>
              <w:rPr>
                <w:rFonts w:ascii="Times New Roman"/>
                <w:sz w:val="18"/>
              </w:rPr>
              <w:t>176,970.98</w:t>
            </w:r>
          </w:p>
        </w:tc>
        <w:tc>
          <w:tcPr>
            <w:tcW w:w="1843" w:type="dxa"/>
            <w:vMerge/>
            <w:tcBorders>
              <w:left w:val="single" w:sz="8" w:space="0" w:color="000000"/>
              <w:right w:val="single" w:sz="8" w:space="0" w:color="000000"/>
            </w:tcBorders>
          </w:tcPr>
          <w:p>
            <w:pPr/>
          </w:p>
        </w:tc>
        <w:tc>
          <w:tcPr>
            <w:tcW w:w="2540" w:type="dxa"/>
            <w:vMerge/>
            <w:tcBorders>
              <w:left w:val="single" w:sz="8" w:space="0" w:color="000000"/>
              <w:right w:val="single" w:sz="8" w:space="0" w:color="000000"/>
            </w:tcBorders>
          </w:tcPr>
          <w:p>
            <w:pPr/>
          </w:p>
        </w:tc>
      </w:tr>
      <w:tr>
        <w:trPr>
          <w:trHeight w:val="350"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6"/>
              <w:jc w:val="right"/>
              <w:rPr>
                <w:rFonts w:ascii="Times New Roman" w:hAnsi="Times New Roman" w:cs="Times New Roman" w:eastAsia="Times New Roman" w:hint="default"/>
                <w:sz w:val="18"/>
                <w:szCs w:val="18"/>
              </w:rPr>
            </w:pPr>
            <w:r>
              <w:rPr>
                <w:rFonts w:ascii="Times New Roman"/>
                <w:spacing w:val="-1"/>
                <w:sz w:val="18"/>
              </w:rPr>
              <w:t>20,497,138.78</w:t>
            </w:r>
          </w:p>
        </w:tc>
        <w:tc>
          <w:tcPr>
            <w:tcW w:w="1843" w:type="dxa"/>
            <w:vMerge/>
            <w:tcBorders>
              <w:left w:val="single" w:sz="8" w:space="0" w:color="000000"/>
              <w:bottom w:val="single" w:sz="8" w:space="0" w:color="000000"/>
              <w:right w:val="single" w:sz="8" w:space="0" w:color="000000"/>
            </w:tcBorders>
          </w:tcPr>
          <w:p>
            <w:pPr/>
          </w:p>
        </w:tc>
        <w:tc>
          <w:tcPr>
            <w:tcW w:w="2540" w:type="dxa"/>
            <w:vMerge/>
            <w:tcBorders>
              <w:left w:val="single" w:sz="8" w:space="0" w:color="000000"/>
              <w:bottom w:val="single" w:sz="8" w:space="0" w:color="000000"/>
              <w:right w:val="single" w:sz="8" w:space="0" w:color="000000"/>
            </w:tcBorders>
          </w:tcPr>
          <w:p>
            <w:pPr/>
          </w:p>
        </w:tc>
      </w:tr>
      <w:tr>
        <w:trPr>
          <w:trHeight w:val="349"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10" w:type="dxa"/>
            <w:tcBorders>
              <w:top w:val="single" w:sz="8" w:space="0" w:color="000000"/>
              <w:left w:val="single" w:sz="8" w:space="0" w:color="000000"/>
              <w:bottom w:val="single" w:sz="8" w:space="0" w:color="000000"/>
              <w:right w:val="single" w:sz="8" w:space="0" w:color="000000"/>
            </w:tcBorders>
          </w:tcPr>
          <w:p>
            <w:pPr/>
          </w:p>
        </w:tc>
        <w:tc>
          <w:tcPr>
            <w:tcW w:w="1843"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40" w:type="dxa"/>
            <w:tcBorders>
              <w:top w:val="single" w:sz="8" w:space="0" w:color="000000"/>
              <w:left w:val="single" w:sz="8" w:space="0" w:color="000000"/>
              <w:bottom w:val="single" w:sz="8" w:space="0" w:color="000000"/>
              <w:right w:val="single" w:sz="8" w:space="0" w:color="000000"/>
            </w:tcBorders>
          </w:tcPr>
          <w:p>
            <w:pPr/>
          </w:p>
        </w:tc>
      </w:tr>
      <w:tr>
        <w:trPr>
          <w:trHeight w:val="351" w:hRule="exact"/>
        </w:trPr>
        <w:tc>
          <w:tcPr>
            <w:tcW w:w="2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10" w:type="dxa"/>
            <w:tcBorders>
              <w:top w:val="single" w:sz="8" w:space="0" w:color="000000"/>
              <w:left w:val="single" w:sz="8" w:space="0" w:color="000000"/>
              <w:bottom w:val="single" w:sz="8" w:space="0" w:color="000000"/>
              <w:right w:val="single" w:sz="8" w:space="0" w:color="000000"/>
            </w:tcBorders>
          </w:tcPr>
          <w:p>
            <w:pPr/>
          </w:p>
        </w:tc>
        <w:tc>
          <w:tcPr>
            <w:tcW w:w="1843" w:type="dxa"/>
            <w:vMerge/>
            <w:tcBorders>
              <w:left w:val="single" w:sz="8" w:space="0" w:color="000000"/>
              <w:bottom w:val="single" w:sz="8" w:space="0" w:color="000000"/>
              <w:right w:val="single" w:sz="8" w:space="0" w:color="000000"/>
            </w:tcBorders>
          </w:tcPr>
          <w:p>
            <w:pPr/>
          </w:p>
        </w:tc>
        <w:tc>
          <w:tcPr>
            <w:tcW w:w="2540" w:type="dxa"/>
            <w:tcBorders>
              <w:top w:val="single" w:sz="8" w:space="0" w:color="000000"/>
              <w:left w:val="single" w:sz="8" w:space="0" w:color="000000"/>
              <w:bottom w:val="single" w:sz="8" w:space="0" w:color="000000"/>
              <w:right w:val="single" w:sz="8" w:space="0" w:color="000000"/>
            </w:tcBorders>
          </w:tcPr>
          <w:p>
            <w:pPr/>
          </w:p>
        </w:tc>
      </w:tr>
      <w:tr>
        <w:trPr>
          <w:trHeight w:val="351" w:hRule="exact"/>
        </w:trPr>
        <w:tc>
          <w:tcPr>
            <w:tcW w:w="2284"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10" w:type="dxa"/>
            <w:vMerge w:val="restart"/>
            <w:tcBorders>
              <w:top w:val="single" w:sz="8" w:space="0" w:color="000000"/>
              <w:left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57" w:right="0"/>
              <w:jc w:val="left"/>
              <w:rPr>
                <w:rFonts w:ascii="Times New Roman" w:hAnsi="Times New Roman" w:cs="Times New Roman" w:eastAsia="Times New Roman" w:hint="default"/>
                <w:sz w:val="18"/>
                <w:szCs w:val="18"/>
              </w:rPr>
            </w:pPr>
            <w:r>
              <w:rPr>
                <w:rFonts w:ascii="Times New Roman"/>
                <w:sz w:val="18"/>
              </w:rPr>
              <w:t>94,171,811.25</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5"/>
              <w:jc w:val="right"/>
              <w:rPr>
                <w:rFonts w:ascii="Times New Roman" w:hAnsi="Times New Roman" w:cs="Times New Roman" w:eastAsia="Times New Roman" w:hint="default"/>
                <w:sz w:val="18"/>
                <w:szCs w:val="18"/>
              </w:rPr>
            </w:pPr>
            <w:r>
              <w:rPr>
                <w:rFonts w:ascii="Times New Roman"/>
                <w:spacing w:val="-1"/>
                <w:sz w:val="18"/>
              </w:rPr>
              <w:t>47,073,628.93</w:t>
            </w:r>
          </w:p>
        </w:tc>
      </w:tr>
      <w:tr>
        <w:trPr>
          <w:trHeight w:val="350" w:hRule="exact"/>
        </w:trPr>
        <w:tc>
          <w:tcPr>
            <w:tcW w:w="2284" w:type="dxa"/>
            <w:vMerge/>
            <w:tcBorders>
              <w:left w:val="single" w:sz="8" w:space="0" w:color="000000"/>
              <w:bottom w:val="single" w:sz="8" w:space="0" w:color="000000"/>
              <w:right w:val="single" w:sz="8" w:space="0" w:color="000000"/>
            </w:tcBorders>
          </w:tcPr>
          <w:p>
            <w:pPr/>
          </w:p>
        </w:tc>
        <w:tc>
          <w:tcPr>
            <w:tcW w:w="2410" w:type="dxa"/>
            <w:vMerge/>
            <w:tcBorders>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5"/>
              <w:jc w:val="right"/>
              <w:rPr>
                <w:rFonts w:ascii="Times New Roman" w:hAnsi="Times New Roman" w:cs="Times New Roman" w:eastAsia="Times New Roman" w:hint="default"/>
                <w:sz w:val="18"/>
                <w:szCs w:val="18"/>
              </w:rPr>
            </w:pPr>
            <w:r>
              <w:rPr>
                <w:rFonts w:ascii="Times New Roman"/>
                <w:spacing w:val="-1"/>
                <w:sz w:val="18"/>
              </w:rPr>
              <w:t>47,098,182.32</w:t>
            </w:r>
          </w:p>
        </w:tc>
      </w:tr>
    </w:tbl>
    <w:p>
      <w:pPr>
        <w:pStyle w:val="BodyText"/>
        <w:spacing w:line="451" w:lineRule="auto" w:before="88"/>
        <w:ind w:right="1130" w:firstLine="420"/>
        <w:jc w:val="both"/>
      </w:pPr>
      <w:r>
        <w:rPr>
          <w:rFonts w:ascii="Times New Roman" w:hAnsi="Times New Roman" w:cs="Times New Roman" w:eastAsia="Times New Roman" w:hint="default"/>
        </w:rPr>
        <w:t>2</w:t>
      </w:r>
      <w:r>
        <w:rPr/>
        <w:t>、财政部于</w:t>
      </w:r>
      <w:r>
        <w:rPr>
          <w:rFonts w:ascii="Times New Roman" w:hAnsi="Times New Roman" w:cs="Times New Roman" w:eastAsia="Times New Roman" w:hint="default"/>
        </w:rPr>
        <w:t>2017</w:t>
      </w:r>
      <w:r>
        <w:rPr/>
        <w:t>年度颁布了《企业会计准则解释第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关于权益法下投资净损失的会计处理》《企业会计准则解 </w:t>
      </w:r>
      <w:r>
        <w:rPr>
          <w:spacing w:val="-2"/>
        </w:rPr>
        <w:t>释第</w:t>
      </w:r>
      <w:r>
        <w:rPr>
          <w:rFonts w:ascii="Times New Roman" w:hAnsi="Times New Roman" w:cs="Times New Roman" w:eastAsia="Times New Roman" w:hint="default"/>
          <w:spacing w:val="-2"/>
        </w:rPr>
        <w:t>10</w:t>
      </w:r>
      <w:r>
        <w:rPr>
          <w:spacing w:val="-2"/>
        </w:rPr>
        <w:t>号</w:t>
      </w:r>
      <w:r>
        <w:rPr>
          <w:rFonts w:ascii="Times New Roman" w:hAnsi="Times New Roman" w:cs="Times New Roman" w:eastAsia="Times New Roman" w:hint="default"/>
          <w:spacing w:val="-2"/>
        </w:rPr>
        <w:t>——</w:t>
      </w:r>
      <w:r>
        <w:rPr>
          <w:spacing w:val="-2"/>
        </w:rPr>
        <w:t>关于以使用固定资产产生的收入为基础的折旧方法》《企业会计准则解释第</w:t>
      </w:r>
      <w:r>
        <w:rPr>
          <w:rFonts w:ascii="Times New Roman" w:hAnsi="Times New Roman" w:cs="Times New Roman" w:eastAsia="Times New Roman" w:hint="default"/>
          <w:spacing w:val="-2"/>
        </w:rPr>
        <w:t>11</w:t>
      </w:r>
      <w:r>
        <w:rPr>
          <w:spacing w:val="-2"/>
        </w:rPr>
        <w:t>号</w:t>
      </w:r>
      <w:r>
        <w:rPr>
          <w:rFonts w:ascii="Times New Roman" w:hAnsi="Times New Roman" w:cs="Times New Roman" w:eastAsia="Times New Roman" w:hint="default"/>
          <w:spacing w:val="-2"/>
        </w:rPr>
        <w:t>——</w:t>
      </w:r>
      <w:r>
        <w:rPr>
          <w:spacing w:val="-2"/>
        </w:rPr>
        <w:t>关于以使用无形资产产生</w:t>
      </w:r>
      <w:r>
        <w:rPr>
          <w:spacing w:val="-60"/>
        </w:rPr>
        <w:t> </w:t>
      </w:r>
      <w:r>
        <w:rPr>
          <w:spacing w:val="-2"/>
        </w:rPr>
        <w:t>的收入为基础的摊销方法》及《企业会计准则解释第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关于关键管理人员服务的提供方与接受方是否为关联方》。公</w:t>
      </w:r>
      <w:r>
        <w:rPr>
          <w:spacing w:val="-64"/>
        </w:rPr>
        <w:t> </w:t>
      </w:r>
      <w:r>
        <w:rPr>
          <w:spacing w:val="-64"/>
        </w:rPr>
      </w:r>
      <w:r>
        <w:rPr/>
        <w:t>司自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日起执行上述企业会计准则解释，执行上述解释对公司期初财务数据无影响。</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2）重要会计估计变更" w:id="216"/>
      <w:bookmarkEnd w:id="21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4、其他" w:id="217"/>
      <w:bookmarkEnd w:id="217"/>
      <w:r>
        <w:rPr>
          <w:b w:val="0"/>
          <w:bCs w:val="0"/>
        </w:rPr>
      </w:r>
      <w:r>
        <w:rPr>
          <w:rFonts w:ascii="Times New Roman" w:hAnsi="Times New Roman" w:cs="Times New Roman" w:eastAsia="Times New Roman" w:hint="default"/>
        </w:rPr>
        <w:t>34</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六、税项" w:id="218"/>
      <w:bookmarkEnd w:id="218"/>
      <w:r>
        <w:rPr>
          <w:b w:val="0"/>
          <w:bCs w:val="0"/>
        </w:rPr>
      </w:r>
      <w:r>
        <w:rPr/>
        <w:t>六、税项</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主要税种及税率" w:id="219"/>
      <w:bookmarkEnd w:id="21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6"/>
        <w:rPr>
          <w:rFonts w:ascii="宋体" w:hAnsi="宋体" w:cs="宋体" w:eastAsia="宋体" w:hint="default"/>
          <w:b/>
          <w:bCs/>
          <w:sz w:val="6"/>
          <w:szCs w:val="6"/>
        </w:rPr>
      </w:pPr>
    </w:p>
    <w:p>
      <w:pPr>
        <w:pStyle w:val="BodyText"/>
        <w:spacing w:line="240" w:lineRule="auto" w:before="44"/>
        <w:ind w:right="0"/>
        <w:jc w:val="left"/>
      </w:pPr>
      <w:r>
        <w:rPr/>
        <w:t>存在不同企业所得税税率纳税主体的，披露情况说明</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广州市苏瑞计算机科技有限公司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广州市浩云安防设备有限公司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重庆浩云公共安全物联网技术有限公司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深圳市润安科技发展有限公司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西藏浩云创业投资有限公司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广东冠网信息科技有限公司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辛集市浩云智慧城市科技有限公司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广州浩昀宏信息技术有限公司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武汉浩立威保安服务有限公司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税收优惠" w:id="220"/>
      <w:bookmarkEnd w:id="22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1859"/>
        <w:jc w:val="left"/>
      </w:pPr>
      <w:r>
        <w:rPr/>
        <w:t>（</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11</w:t>
      </w:r>
      <w:r>
        <w:rPr/>
        <w:t>日，公司获得广东省科学技术厅、广东省财政厅、广东省国税局和广东省地税局颁发的编号为 </w:t>
      </w:r>
      <w:r>
        <w:rPr>
          <w:rFonts w:ascii="宋体" w:hAnsi="宋体" w:cs="宋体" w:eastAsia="宋体" w:hint="default"/>
        </w:rPr>
        <w:t>GR201744011638</w:t>
      </w:r>
      <w:r>
        <w:rPr/>
        <w:t>的《高新技术企业证书》，</w:t>
      </w:r>
      <w:r>
        <w:rPr>
          <w:rFonts w:ascii="宋体" w:hAnsi="宋体" w:cs="宋体" w:eastAsia="宋体" w:hint="default"/>
        </w:rPr>
        <w:t>2017-2019</w:t>
      </w:r>
      <w:r>
        <w:rPr/>
        <w:t>年度减按</w:t>
      </w:r>
      <w:r>
        <w:rPr>
          <w:rFonts w:ascii="宋体" w:hAnsi="宋体" w:cs="宋体" w:eastAsia="宋体" w:hint="default"/>
        </w:rPr>
        <w:t>15%</w:t>
      </w:r>
      <w:r>
        <w:rPr/>
        <w:t>的税率计缴企业所得税。</w:t>
      </w:r>
    </w:p>
    <w:p>
      <w:pPr>
        <w:pStyle w:val="BodyText"/>
        <w:spacing w:line="477" w:lineRule="auto" w:before="54"/>
        <w:ind w:right="1032"/>
        <w:jc w:val="left"/>
      </w:pPr>
      <w:r>
        <w:rPr/>
        <w:t>（</w:t>
      </w:r>
      <w:r>
        <w:rPr>
          <w:rFonts w:ascii="宋体" w:hAnsi="宋体" w:cs="宋体" w:eastAsia="宋体" w:hint="default"/>
        </w:rPr>
        <w:t>2</w:t>
      </w:r>
      <w:r>
        <w:rPr/>
        <w:t>）本公司子公司广州市苏瑞计算机科技有限公司于</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29</w:t>
      </w:r>
      <w:r>
        <w:rPr/>
        <w:t>日取得软件企业认定证书，证书编号：粤</w:t>
      </w:r>
      <w:r>
        <w:rPr>
          <w:rFonts w:ascii="宋体" w:hAnsi="宋体" w:cs="宋体" w:eastAsia="宋体" w:hint="default"/>
        </w:rPr>
        <w:t>R-2013-0500</w:t>
      </w:r>
      <w:r>
        <w:rPr/>
        <w:t>。 </w:t>
      </w:r>
      <w:r>
        <w:rPr>
          <w:spacing w:val="-2"/>
        </w:rPr>
        <w:t>自开始获利年度起，第一年和第二年免征企业所得税，第三年至第五年减半征收企业所得税。本年为第五个获利年度，减半</w:t>
      </w:r>
      <w:r>
        <w:rPr>
          <w:spacing w:val="-66"/>
        </w:rPr>
        <w:t> </w:t>
      </w:r>
      <w:r>
        <w:rPr>
          <w:spacing w:val="-66"/>
        </w:rPr>
      </w:r>
      <w:r>
        <w:rPr/>
        <w:t>征收企业所得税，按</w:t>
      </w:r>
      <w:r>
        <w:rPr>
          <w:rFonts w:ascii="宋体" w:hAnsi="宋体" w:cs="宋体" w:eastAsia="宋体" w:hint="default"/>
        </w:rPr>
        <w:t>12.5%</w:t>
      </w:r>
      <w:r>
        <w:rPr/>
        <w:t>计缴企业所得税。 </w:t>
      </w:r>
      <w:r>
        <w:rPr>
          <w:spacing w:val="-2"/>
        </w:rPr>
        <w:t>广州市苏瑞计算机科技有限公司销售其自行开发生产的软件产品，按</w:t>
      </w:r>
      <w:r>
        <w:rPr>
          <w:rFonts w:ascii="宋体" w:hAnsi="宋体" w:cs="宋体" w:eastAsia="宋体" w:hint="default"/>
          <w:spacing w:val="-2"/>
        </w:rPr>
        <w:t>17%</w:t>
      </w:r>
      <w:r>
        <w:rPr>
          <w:spacing w:val="-2"/>
        </w:rPr>
        <w:t>或</w:t>
      </w:r>
      <w:r>
        <w:rPr>
          <w:rFonts w:ascii="宋体" w:hAnsi="宋体" w:cs="宋体" w:eastAsia="宋体" w:hint="default"/>
          <w:spacing w:val="-2"/>
        </w:rPr>
        <w:t>16%</w:t>
      </w:r>
      <w:r>
        <w:rPr>
          <w:spacing w:val="-2"/>
        </w:rPr>
        <w:t>税率申报缴纳增值税后，增值税实际税负超过</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3%</w:t>
      </w:r>
      <w:r>
        <w:rPr/>
        <w:t>的部分实行即征即退政策。</w:t>
      </w:r>
    </w:p>
    <w:p>
      <w:pPr>
        <w:spacing w:line="240" w:lineRule="auto" w:before="10"/>
        <w:rPr>
          <w:rFonts w:ascii="宋体" w:hAnsi="宋体" w:cs="宋体" w:eastAsia="宋体" w:hint="default"/>
          <w:sz w:val="17"/>
          <w:szCs w:val="17"/>
        </w:rPr>
      </w:pPr>
    </w:p>
    <w:p>
      <w:pPr>
        <w:pStyle w:val="BodyText"/>
        <w:spacing w:line="477" w:lineRule="auto"/>
        <w:ind w:right="0"/>
        <w:jc w:val="left"/>
      </w:pPr>
      <w:r>
        <w:rPr>
          <w:spacing w:val="-2"/>
        </w:rPr>
        <w:t>（</w:t>
      </w:r>
      <w:r>
        <w:rPr>
          <w:rFonts w:ascii="宋体" w:hAnsi="宋体" w:cs="宋体" w:eastAsia="宋体" w:hint="default"/>
          <w:spacing w:val="-2"/>
        </w:rPr>
        <w:t>3</w:t>
      </w:r>
      <w:r>
        <w:rPr>
          <w:spacing w:val="-2"/>
        </w:rPr>
        <w:t>）根据财政部、海关总署、国家税务总局《关于深入实施西部大开发战略有关税收政策问题的通知》（财税</w:t>
      </w:r>
      <w:r>
        <w:rPr>
          <w:rFonts w:ascii="宋体" w:hAnsi="宋体" w:cs="宋体" w:eastAsia="宋体" w:hint="default"/>
          <w:spacing w:val="-2"/>
        </w:rPr>
        <w:t>[2011]58</w:t>
      </w:r>
      <w:r>
        <w:rPr>
          <w:spacing w:val="-2"/>
        </w:rPr>
        <w:t>号）</w:t>
      </w:r>
      <w:r>
        <w:rPr>
          <w:spacing w:val="-56"/>
        </w:rPr>
        <w:t> </w:t>
      </w:r>
      <w:r>
        <w:rPr/>
        <w:t>的规定，对设在西部地区国家鼓励类产业的内资企业，在</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日期间，减按</w:t>
      </w:r>
      <w:r>
        <w:rPr>
          <w:rFonts w:ascii="宋体" w:hAnsi="宋体" w:cs="宋体" w:eastAsia="宋体" w:hint="default"/>
        </w:rPr>
        <w:t>15%</w:t>
      </w:r>
      <w:r>
        <w:rPr/>
        <w:t>的税率征收企业所 得税。本公司子公司重庆浩云公共安全物联网技术有限公司享受此项优惠，按</w:t>
      </w:r>
      <w:r>
        <w:rPr>
          <w:rFonts w:ascii="宋体" w:hAnsi="宋体" w:cs="宋体" w:eastAsia="宋体" w:hint="default"/>
        </w:rPr>
        <w:t>15%</w:t>
      </w:r>
      <w:r>
        <w:rPr/>
        <w:t>的税率缴纳企业所得税。</w:t>
      </w:r>
    </w:p>
    <w:p>
      <w:pPr>
        <w:pStyle w:val="BodyText"/>
        <w:spacing w:line="477" w:lineRule="auto" w:before="54"/>
        <w:ind w:right="1132"/>
        <w:jc w:val="both"/>
      </w:pPr>
      <w:r>
        <w:rPr/>
        <w:t>（</w:t>
      </w:r>
      <w:r>
        <w:rPr>
          <w:rFonts w:ascii="宋体" w:hAnsi="宋体" w:cs="宋体" w:eastAsia="宋体" w:hint="default"/>
        </w:rPr>
        <w:t>4</w:t>
      </w:r>
      <w:r>
        <w:rPr/>
        <w:t>）本公司子公司深圳市润安科技发展有限公司于</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15</w:t>
      </w:r>
      <w:r>
        <w:rPr/>
        <w:t>日取得深圳市科技创新委员会、深圳市财政委员会、深圳 </w:t>
      </w:r>
      <w:r>
        <w:rPr>
          <w:spacing w:val="-5"/>
        </w:rPr>
        <w:t>市国家税务局、深圳市地方税务局联合颁发的高新技术企业证书，证书编号为</w:t>
      </w:r>
      <w:r>
        <w:rPr>
          <w:rFonts w:ascii="宋体" w:hAnsi="宋体" w:cs="宋体" w:eastAsia="宋体" w:hint="default"/>
          <w:spacing w:val="-5"/>
        </w:rPr>
        <w:t>GR201644200185</w:t>
      </w:r>
      <w:r>
        <w:rPr>
          <w:spacing w:val="-5"/>
        </w:rPr>
        <w:t>，有效期为三年，</w:t>
      </w:r>
      <w:r>
        <w:rPr>
          <w:rFonts w:ascii="宋体" w:hAnsi="宋体" w:cs="宋体" w:eastAsia="宋体" w:hint="default"/>
          <w:spacing w:val="-5"/>
        </w:rPr>
        <w:t>2016-2018</w:t>
      </w:r>
      <w:r>
        <w:rPr>
          <w:rFonts w:ascii="宋体" w:hAnsi="宋体" w:cs="宋体" w:eastAsia="宋体" w:hint="default"/>
          <w:spacing w:val="53"/>
        </w:rPr>
        <w:t> </w:t>
      </w:r>
      <w:r>
        <w:rPr/>
        <w:t>年</w:t>
      </w:r>
      <w:r>
        <w:rPr>
          <w:spacing w:val="-85"/>
        </w:rPr>
        <w:t> </w:t>
      </w:r>
      <w:r>
        <w:rPr/>
        <w:t>度减按</w:t>
      </w:r>
      <w:r>
        <w:rPr>
          <w:rFonts w:ascii="宋体" w:hAnsi="宋体" w:cs="宋体" w:eastAsia="宋体" w:hint="default"/>
        </w:rPr>
        <w:t>15%</w:t>
      </w:r>
      <w:r>
        <w:rPr/>
        <w:t>的税率计缴企业所得税，该项税收优惠已按规定报主管税务机关备案。</w:t>
      </w:r>
    </w:p>
    <w:p>
      <w:pPr>
        <w:pStyle w:val="BodyText"/>
        <w:spacing w:line="477" w:lineRule="auto" w:before="54"/>
        <w:ind w:right="1130"/>
        <w:jc w:val="both"/>
      </w:pPr>
      <w:r>
        <w:rPr/>
        <w:t>（</w:t>
      </w:r>
      <w:r>
        <w:rPr>
          <w:rFonts w:ascii="宋体" w:hAnsi="宋体" w:cs="宋体" w:eastAsia="宋体" w:hint="default"/>
        </w:rPr>
        <w:t>5</w:t>
      </w:r>
      <w:r>
        <w:rPr/>
        <w:t>）根据《西藏自治区人民政府关于企业所得税政策实施办法》（藏政发〔</w:t>
      </w:r>
      <w:r>
        <w:rPr>
          <w:rFonts w:ascii="宋体" w:hAnsi="宋体" w:cs="宋体" w:eastAsia="宋体" w:hint="default"/>
        </w:rPr>
        <w:t>2014</w:t>
      </w:r>
      <w:r>
        <w:rPr/>
        <w:t>〕</w:t>
      </w:r>
      <w:r>
        <w:rPr>
          <w:rFonts w:ascii="宋体" w:hAnsi="宋体" w:cs="宋体" w:eastAsia="宋体" w:hint="default"/>
        </w:rPr>
        <w:t>51</w:t>
      </w:r>
      <w:r>
        <w:rPr/>
        <w:t>号），西藏自治区的企业统一执行西 </w:t>
      </w:r>
      <w:r>
        <w:rPr>
          <w:spacing w:val="-2"/>
        </w:rPr>
        <w:t>部大开发战略中企业所得税</w:t>
      </w:r>
      <w:r>
        <w:rPr>
          <w:rFonts w:ascii="宋体" w:hAnsi="宋体" w:cs="宋体" w:eastAsia="宋体" w:hint="default"/>
          <w:spacing w:val="-2"/>
        </w:rPr>
        <w:t>15%</w:t>
      </w:r>
      <w:r>
        <w:rPr>
          <w:spacing w:val="-2"/>
        </w:rPr>
        <w:t>的税率。本公司子公司西藏浩云创业投资有限公司享受此项优惠，按</w:t>
      </w:r>
      <w:r>
        <w:rPr>
          <w:rFonts w:ascii="宋体" w:hAnsi="宋体" w:cs="宋体" w:eastAsia="宋体" w:hint="default"/>
          <w:spacing w:val="-2"/>
        </w:rPr>
        <w:t>15%</w:t>
      </w:r>
      <w:r>
        <w:rPr>
          <w:spacing w:val="-2"/>
        </w:rPr>
        <w:t>的税率缴纳企业所得</w:t>
      </w:r>
      <w:r>
        <w:rPr>
          <w:spacing w:val="-58"/>
        </w:rPr>
        <w:t> </w:t>
      </w:r>
      <w:r>
        <w:rPr/>
        <w:t>税。</w:t>
      </w:r>
    </w:p>
    <w:p>
      <w:pPr>
        <w:pStyle w:val="BodyText"/>
        <w:spacing w:line="477" w:lineRule="auto" w:before="54"/>
        <w:ind w:right="1302"/>
        <w:jc w:val="left"/>
      </w:pPr>
      <w:r>
        <w:rPr/>
        <w:t>（</w:t>
      </w:r>
      <w:r>
        <w:rPr>
          <w:rFonts w:ascii="宋体" w:hAnsi="宋体" w:cs="宋体" w:eastAsia="宋体" w:hint="default"/>
        </w:rPr>
        <w:t>6</w:t>
      </w:r>
      <w:r>
        <w:rPr/>
        <w:t>）广东冠网信息科技有限公司及其子公司杭州全实鹰科技有限公司于</w:t>
      </w:r>
      <w:r>
        <w:rPr>
          <w:rFonts w:ascii="宋体" w:hAnsi="宋体" w:cs="宋体" w:eastAsia="宋体" w:hint="default"/>
        </w:rPr>
        <w:t>2017</w:t>
      </w:r>
      <w:r>
        <w:rPr/>
        <w:t>年取得高新技术企业证书，证书编号分别为 </w:t>
      </w:r>
      <w:r>
        <w:rPr>
          <w:rFonts w:ascii="宋体" w:hAnsi="宋体" w:cs="宋体" w:eastAsia="宋体" w:hint="default"/>
        </w:rPr>
        <w:t>GR201744003781</w:t>
      </w:r>
      <w:r>
        <w:rPr/>
        <w:t>和</w:t>
      </w:r>
      <w:r>
        <w:rPr>
          <w:rFonts w:ascii="宋体" w:hAnsi="宋体" w:cs="宋体" w:eastAsia="宋体" w:hint="default"/>
        </w:rPr>
        <w:t>GR201733002142</w:t>
      </w:r>
      <w:r>
        <w:rPr/>
        <w:t>，有效期三年，本年度享受</w:t>
      </w:r>
      <w:r>
        <w:rPr>
          <w:rFonts w:ascii="宋体" w:hAnsi="宋体" w:cs="宋体" w:eastAsia="宋体" w:hint="default"/>
        </w:rPr>
        <w:t>15%</w:t>
      </w:r>
      <w:r>
        <w:rPr/>
        <w:t>的企业所得税优惠税率。</w:t>
      </w:r>
    </w:p>
    <w:p>
      <w:pPr>
        <w:pStyle w:val="BodyText"/>
        <w:spacing w:line="477" w:lineRule="auto" w:before="54"/>
        <w:ind w:right="1130"/>
        <w:jc w:val="both"/>
      </w:pPr>
      <w:r>
        <w:rPr>
          <w:spacing w:val="-3"/>
        </w:rPr>
        <w:t>根据《财政部</w:t>
      </w:r>
      <w:r>
        <w:rPr>
          <w:spacing w:val="28"/>
        </w:rPr>
        <w:t> </w:t>
      </w:r>
      <w:r>
        <w:rPr>
          <w:spacing w:val="-2"/>
        </w:rPr>
        <w:t>国家税务总局关于软件产品增值税政策的通知》（财税〔</w:t>
      </w:r>
      <w:r>
        <w:rPr>
          <w:rFonts w:ascii="宋体" w:hAnsi="宋体" w:cs="宋体" w:eastAsia="宋体" w:hint="default"/>
          <w:spacing w:val="-2"/>
        </w:rPr>
        <w:t>2011</w:t>
      </w:r>
      <w:r>
        <w:rPr>
          <w:spacing w:val="-2"/>
        </w:rPr>
        <w:t>〕</w:t>
      </w:r>
      <w:r>
        <w:rPr>
          <w:rFonts w:ascii="宋体" w:hAnsi="宋体" w:cs="宋体" w:eastAsia="宋体" w:hint="default"/>
          <w:spacing w:val="-2"/>
        </w:rPr>
        <w:t>100</w:t>
      </w:r>
      <w:r>
        <w:rPr>
          <w:spacing w:val="-2"/>
        </w:rPr>
        <w:t>号）的规定，增值税一般纳税人销售其自</w:t>
      </w:r>
      <w:r>
        <w:rPr>
          <w:spacing w:val="-86"/>
        </w:rPr>
        <w:t> </w:t>
      </w:r>
      <w:r>
        <w:rPr>
          <w:spacing w:val="-86"/>
        </w:rPr>
      </w:r>
      <w:r>
        <w:rPr>
          <w:spacing w:val="-2"/>
        </w:rPr>
        <w:t>行开发生产的软件产品，按</w:t>
      </w:r>
      <w:r>
        <w:rPr>
          <w:rFonts w:ascii="宋体" w:hAnsi="宋体" w:cs="宋体" w:eastAsia="宋体" w:hint="default"/>
          <w:spacing w:val="-2"/>
        </w:rPr>
        <w:t>16%</w:t>
      </w:r>
      <w:r>
        <w:rPr>
          <w:spacing w:val="-2"/>
        </w:rPr>
        <w:t>或</w:t>
      </w:r>
      <w:r>
        <w:rPr>
          <w:rFonts w:ascii="宋体" w:hAnsi="宋体" w:cs="宋体" w:eastAsia="宋体" w:hint="default"/>
          <w:spacing w:val="-2"/>
        </w:rPr>
        <w:t>17%</w:t>
      </w:r>
      <w:r>
        <w:rPr>
          <w:spacing w:val="-2"/>
        </w:rPr>
        <w:t>税率征收增值税后，对其增值税实际税负超过</w:t>
      </w:r>
      <w:r>
        <w:rPr>
          <w:rFonts w:ascii="宋体" w:hAnsi="宋体" w:cs="宋体" w:eastAsia="宋体" w:hint="default"/>
          <w:spacing w:val="-2"/>
        </w:rPr>
        <w:t>3%</w:t>
      </w:r>
      <w:r>
        <w:rPr>
          <w:spacing w:val="-2"/>
        </w:rPr>
        <w:t>的部分实行即征即退政策。本公司子公</w:t>
      </w:r>
      <w:r>
        <w:rPr>
          <w:spacing w:val="-58"/>
        </w:rPr>
        <w:t> </w:t>
      </w:r>
      <w:r>
        <w:rPr>
          <w:spacing w:val="-58"/>
        </w:rPr>
      </w:r>
      <w:r>
        <w:rPr>
          <w:spacing w:val="-2"/>
        </w:rPr>
        <w:t>司广东冠网信息科技有限公司自行开发研制的软件产品销售收入按照</w:t>
      </w:r>
      <w:r>
        <w:rPr>
          <w:rFonts w:ascii="宋体" w:hAnsi="宋体" w:cs="宋体" w:eastAsia="宋体" w:hint="default"/>
          <w:spacing w:val="-2"/>
        </w:rPr>
        <w:t>16%</w:t>
      </w:r>
      <w:r>
        <w:rPr>
          <w:spacing w:val="-2"/>
        </w:rPr>
        <w:t>或</w:t>
      </w:r>
      <w:r>
        <w:rPr>
          <w:rFonts w:ascii="宋体" w:hAnsi="宋体" w:cs="宋体" w:eastAsia="宋体" w:hint="default"/>
          <w:spacing w:val="-2"/>
        </w:rPr>
        <w:t>17%</w:t>
      </w:r>
      <w:r>
        <w:rPr>
          <w:spacing w:val="-2"/>
        </w:rPr>
        <w:t>缴纳增值税后，增值税实际税负超过</w:t>
      </w:r>
      <w:r>
        <w:rPr>
          <w:rFonts w:ascii="宋体" w:hAnsi="宋体" w:cs="宋体" w:eastAsia="宋体" w:hint="default"/>
          <w:spacing w:val="-2"/>
        </w:rPr>
        <w:t>3%</w:t>
      </w:r>
      <w:r>
        <w:rPr>
          <w:spacing w:val="-2"/>
        </w:rPr>
        <w:t>部分享</w:t>
      </w:r>
      <w:r>
        <w:rPr>
          <w:spacing w:val="-56"/>
        </w:rPr>
        <w:t> </w:t>
      </w:r>
      <w:r>
        <w:rPr/>
        <w:t>受即征即退优惠。</w:t>
      </w:r>
    </w:p>
    <w:p>
      <w:pPr>
        <w:pStyle w:val="BodyText"/>
        <w:spacing w:line="477" w:lineRule="auto" w:before="54"/>
        <w:ind w:right="1032"/>
        <w:jc w:val="left"/>
      </w:pPr>
      <w:r>
        <w:rPr/>
        <w:t>（</w:t>
      </w:r>
      <w:r>
        <w:rPr>
          <w:rFonts w:ascii="宋体" w:hAnsi="宋体" w:cs="宋体" w:eastAsia="宋体" w:hint="default"/>
        </w:rPr>
        <w:t>7</w:t>
      </w:r>
      <w:r>
        <w:rPr/>
        <w:t>）根据《财政部 国家税务总局关于进一步扩大小型微利企业所得税优惠政策范围的通知》（财税</w:t>
      </w:r>
      <w:r>
        <w:rPr>
          <w:rFonts w:ascii="宋体" w:hAnsi="宋体" w:cs="宋体" w:eastAsia="宋体" w:hint="default"/>
        </w:rPr>
        <w:t>[2018]77</w:t>
      </w:r>
      <w:r>
        <w:rPr/>
        <w:t>号）的规定， </w:t>
      </w:r>
      <w:r>
        <w:rPr>
          <w:spacing w:val="-2"/>
        </w:rPr>
        <w:t>对年应纳税所得额低于</w:t>
      </w:r>
      <w:r>
        <w:rPr>
          <w:rFonts w:ascii="宋体" w:hAnsi="宋体" w:cs="宋体" w:eastAsia="宋体" w:hint="default"/>
          <w:spacing w:val="-2"/>
        </w:rPr>
        <w:t>100</w:t>
      </w:r>
      <w:r>
        <w:rPr>
          <w:spacing w:val="-2"/>
        </w:rPr>
        <w:t>万元（含</w:t>
      </w:r>
      <w:r>
        <w:rPr>
          <w:rFonts w:ascii="宋体" w:hAnsi="宋体" w:cs="宋体" w:eastAsia="宋体" w:hint="default"/>
          <w:spacing w:val="-2"/>
        </w:rPr>
        <w:t>100</w:t>
      </w:r>
      <w:r>
        <w:rPr>
          <w:spacing w:val="-2"/>
        </w:rPr>
        <w:t>万元）的小型微利企业，其所得减按</w:t>
      </w:r>
      <w:r>
        <w:rPr>
          <w:rFonts w:ascii="宋体" w:hAnsi="宋体" w:cs="宋体" w:eastAsia="宋体" w:hint="default"/>
          <w:spacing w:val="-2"/>
        </w:rPr>
        <w:t>50%</w:t>
      </w:r>
      <w:r>
        <w:rPr>
          <w:spacing w:val="-2"/>
        </w:rPr>
        <w:t>计入应纳税所得额，按</w:t>
      </w:r>
      <w:r>
        <w:rPr>
          <w:rFonts w:ascii="宋体" w:hAnsi="宋体" w:cs="宋体" w:eastAsia="宋体" w:hint="default"/>
          <w:spacing w:val="-2"/>
        </w:rPr>
        <w:t>20%</w:t>
      </w:r>
      <w:r>
        <w:rPr>
          <w:spacing w:val="-2"/>
        </w:rPr>
        <w:t>的税率缴纳企业所</w:t>
      </w:r>
      <w:r>
        <w:rPr>
          <w:spacing w:val="-55"/>
        </w:rPr>
        <w:t> </w:t>
      </w:r>
      <w:r>
        <w:rPr/>
        <w:t>得税，本公司子公司辛集市浩云智慧城市科技有限公司满足小型微利企业条件，按</w:t>
      </w:r>
      <w:r>
        <w:rPr>
          <w:rFonts w:ascii="宋体" w:hAnsi="宋体" w:cs="宋体" w:eastAsia="宋体" w:hint="default"/>
        </w:rPr>
        <w:t>10%</w:t>
      </w:r>
      <w:r>
        <w:rPr/>
        <w:t>的税率缴纳企业所得税。</w:t>
      </w:r>
    </w:p>
    <w:p>
      <w:pPr>
        <w:pStyle w:val="BodyText"/>
        <w:spacing w:line="482" w:lineRule="auto" w:before="95"/>
        <w:ind w:right="1392"/>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公司根据上述税收优惠所述享受企业所得税及增值税退税优惠，税收优惠对公司当期损益的影响为：减少所得税费用： </w:t>
      </w:r>
      <w:r>
        <w:rPr>
          <w:rFonts w:ascii="Times New Roman" w:hAnsi="Times New Roman" w:cs="Times New Roman" w:eastAsia="Times New Roman" w:hint="default"/>
        </w:rPr>
        <w:t>1,645.29</w:t>
      </w:r>
      <w:r>
        <w:rPr/>
        <w:t>万元，增加其他收益</w:t>
      </w:r>
      <w:r>
        <w:rPr>
          <w:rFonts w:ascii="Times New Roman" w:hAnsi="Times New Roman" w:cs="Times New Roman" w:eastAsia="Times New Roman" w:hint="default"/>
        </w:rPr>
        <w:t>368.39</w:t>
      </w:r>
      <w:r>
        <w:rPr/>
        <w:t>万元，合计增加净利润：</w:t>
      </w:r>
      <w:r>
        <w:rPr>
          <w:rFonts w:ascii="Times New Roman" w:hAnsi="Times New Roman" w:cs="Times New Roman" w:eastAsia="Times New Roman" w:hint="default"/>
        </w:rPr>
        <w:t>1,921.58</w:t>
      </w:r>
      <w:r>
        <w:rPr/>
        <w:t>万元。</w:t>
      </w:r>
    </w:p>
    <w:p>
      <w:pPr>
        <w:spacing w:line="240" w:lineRule="auto" w:before="4"/>
        <w:rPr>
          <w:rFonts w:ascii="宋体" w:hAnsi="宋体" w:cs="宋体" w:eastAsia="宋体" w:hint="default"/>
          <w:sz w:val="22"/>
          <w:szCs w:val="22"/>
        </w:rPr>
      </w:pPr>
    </w:p>
    <w:p>
      <w:pPr>
        <w:spacing w:line="609" w:lineRule="auto" w:before="0"/>
        <w:ind w:left="154" w:right="7692" w:firstLine="0"/>
        <w:jc w:val="left"/>
        <w:rPr>
          <w:rFonts w:ascii="宋体" w:hAnsi="宋体" w:cs="宋体" w:eastAsia="宋体" w:hint="default"/>
          <w:sz w:val="21"/>
          <w:szCs w:val="21"/>
        </w:rPr>
      </w:pPr>
      <w:bookmarkStart w:name="3、其他" w:id="221"/>
      <w:bookmarkEnd w:id="22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2"/>
      <w:bookmarkEnd w:id="222"/>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3"/>
      <w:bookmarkEnd w:id="223"/>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46"/>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286,349.13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216,083.63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461,930,208.93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406,185,337.11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12,339,796.43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1,138,543.88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474,556,354.49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407,539,964.62</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0"/>
          <w:szCs w:val="20"/>
        </w:rPr>
      </w:pPr>
    </w:p>
    <w:p>
      <w:pPr>
        <w:pStyle w:val="BodyText"/>
        <w:spacing w:line="240" w:lineRule="auto"/>
        <w:ind w:right="0"/>
        <w:jc w:val="left"/>
      </w:pPr>
      <w:r>
        <w:rPr/>
        <w:t>期末其他货币资金中使用受到限制的有保函保证金</w:t>
      </w:r>
      <w:r>
        <w:rPr>
          <w:spacing w:val="-47"/>
        </w:rPr>
        <w:t> </w:t>
      </w:r>
      <w:r>
        <w:rPr>
          <w:rFonts w:ascii="Times New Roman" w:hAnsi="Times New Roman" w:cs="Times New Roman" w:eastAsia="Times New Roman" w:hint="default"/>
        </w:rPr>
        <w:t>8,727,873.32</w:t>
      </w:r>
      <w:r>
        <w:rPr>
          <w:rFonts w:ascii="Times New Roman" w:hAnsi="Times New Roman" w:cs="Times New Roman" w:eastAsia="Times New Roman" w:hint="default"/>
          <w:spacing w:val="-2"/>
        </w:rPr>
        <w:t> </w:t>
      </w:r>
      <w:r>
        <w:rPr/>
        <w:t>元、住宅专项维修资金</w:t>
      </w:r>
      <w:r>
        <w:rPr>
          <w:spacing w:val="-47"/>
        </w:rPr>
        <w:t> </w:t>
      </w:r>
      <w:r>
        <w:rPr>
          <w:rFonts w:ascii="Times New Roman" w:hAnsi="Times New Roman" w:cs="Times New Roman" w:eastAsia="Times New Roman" w:hint="default"/>
        </w:rPr>
        <w:t>301,910.36</w:t>
      </w:r>
      <w:r>
        <w:rPr>
          <w:rFonts w:ascii="Times New Roman" w:hAnsi="Times New Roman" w:cs="Times New Roman" w:eastAsia="Times New Roman" w:hint="default"/>
          <w:spacing w:val="-1"/>
        </w:rPr>
        <w:t> </w:t>
      </w:r>
      <w:r>
        <w:rPr/>
        <w:t>元、承兑汇票保证金</w:t>
      </w:r>
    </w:p>
    <w:p>
      <w:pPr>
        <w:spacing w:line="240" w:lineRule="auto" w:before="11"/>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3,309,152.00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以公允价值计量且其变动计入当期损益的金融资产" w:id="224"/>
      <w:bookmarkEnd w:id="224"/>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衍生金融资产" w:id="225"/>
      <w:bookmarkEnd w:id="225"/>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4、应收票据及应收账款" w:id="226"/>
      <w:bookmarkEnd w:id="226"/>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320,263,778.44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240,173,912.52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320,443,778.44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240,173,912.52</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1）应收票据" w:id="227"/>
      <w:bookmarkEnd w:id="22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1</w:t>
      </w:r>
      <w:r>
        <w:rPr/>
        <w:t>）应收票据分类列示</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489" w:lineRule="auto" w:before="44"/>
        <w:ind w:right="8322"/>
        <w:jc w:val="left"/>
      </w:pPr>
      <w:r>
        <w:rPr>
          <w:rFonts w:ascii="Times New Roman" w:hAnsi="Times New Roman" w:cs="Times New Roman" w:eastAsia="Times New Roman" w:hint="default"/>
        </w:rPr>
        <w:t>2</w:t>
      </w:r>
      <w:r>
        <w:rPr/>
        <w:t>）期末公司已质押的应收票据 不适用</w:t>
      </w:r>
    </w:p>
    <w:p>
      <w:pPr>
        <w:spacing w:after="0" w:line="489" w:lineRule="auto"/>
        <w:jc w:val="left"/>
        <w:sectPr>
          <w:footerReference w:type="default" r:id="rId23"/>
          <w:pgSz w:w="11910" w:h="16840"/>
          <w:pgMar w:footer="1292" w:header="747" w:top="1060" w:bottom="1480" w:left="980" w:right="0"/>
          <w:pgNumType w:start="158"/>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504" w:lineRule="auto"/>
        <w:ind w:right="6522"/>
        <w:jc w:val="left"/>
      </w:pPr>
      <w:r>
        <w:rPr/>
        <w:t>不适用 </w:t>
      </w:r>
      <w:r>
        <w:rPr>
          <w:rFonts w:ascii="Times New Roman" w:hAnsi="Times New Roman" w:cs="Times New Roman" w:eastAsia="Times New Roman" w:hint="default"/>
        </w:rPr>
        <w:t>4</w:t>
      </w:r>
      <w:r>
        <w:rPr/>
        <w:t>）期末公司因出票人未履约而将其转应收账款的票据 不适用</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2）应收账款" w:id="228"/>
      <w:bookmarkEnd w:id="228"/>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1)</w:t>
      </w:r>
      <w:r>
        <w:rPr/>
        <w:t>应收账款分类披露</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350,928,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396.30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30,664,6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17.86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320,263,7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78.44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260,810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,155.44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20,636,24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240,173,91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2.52</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350,928,</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396.30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30,664,6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17.86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8.74%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320,263,7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78.44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260,810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,155.44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20,636,24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2.92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7.91%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240,173,91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2.52</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44"/>
        <w:ind w:right="0"/>
        <w:jc w:val="left"/>
      </w:pPr>
      <w:r>
        <w:rPr/>
        <w:t>期末单项金额重大并单项计提坏账准备的应收账款：</w:t>
      </w:r>
    </w:p>
    <w:p>
      <w:pPr>
        <w:spacing w:line="240" w:lineRule="auto" w:before="10"/>
        <w:rPr>
          <w:rFonts w:ascii="宋体" w:hAnsi="宋体" w:cs="宋体" w:eastAsia="宋体" w:hint="default"/>
          <w:sz w:val="20"/>
          <w:szCs w:val="20"/>
        </w:rPr>
      </w:pPr>
    </w:p>
    <w:p>
      <w:pPr>
        <w:pStyle w:val="BodyText"/>
        <w:spacing w:line="489"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257,240,451.52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7,717,213.55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45,661,362.91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4,566,136.29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21,588,497.31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4,317,699.47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21,641,098.14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10,820,549.08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3,107,933.91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1,553,966.96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1,689,052.51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1,689,052.51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350,928,396.30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30,664,617.86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确定该组合依据的说明：</w:t>
      </w:r>
    </w:p>
    <w:p>
      <w:pPr>
        <w:spacing w:after="0" w:line="240" w:lineRule="auto"/>
        <w:jc w:val="left"/>
        <w:sectPr>
          <w:footerReference w:type="default" r:id="rId24"/>
          <w:pgSz w:w="11910" w:h="16840"/>
          <w:pgMar w:footer="979" w:header="747" w:top="1060" w:bottom="1160" w:left="980" w:right="0"/>
          <w:pgNumType w:start="159"/>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234" w:right="1121"/>
        <w:jc w:val="left"/>
      </w:pPr>
      <w:r>
        <w:rPr/>
        <w:t>组合中，采用余额百分比法计提坏账准备的应收账款：</w:t>
      </w:r>
    </w:p>
    <w:p>
      <w:pPr>
        <w:spacing w:line="240" w:lineRule="auto" w:before="10"/>
        <w:rPr>
          <w:rFonts w:ascii="宋体" w:hAnsi="宋体" w:cs="宋体" w:eastAsia="宋体" w:hint="default"/>
          <w:sz w:val="20"/>
          <w:szCs w:val="20"/>
        </w:rPr>
      </w:pPr>
    </w:p>
    <w:p>
      <w:pPr>
        <w:pStyle w:val="BodyText"/>
        <w:spacing w:line="489" w:lineRule="auto"/>
        <w:ind w:left="23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85"/>
        <w:ind w:left="234" w:right="1121"/>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19"/>
          <w:szCs w:val="19"/>
        </w:rPr>
      </w:pPr>
    </w:p>
    <w:p>
      <w:pPr>
        <w:pStyle w:val="BodyText"/>
        <w:spacing w:line="240" w:lineRule="auto"/>
        <w:ind w:left="234" w:right="1121"/>
        <w:jc w:val="left"/>
      </w:pPr>
      <w:r>
        <w:rPr>
          <w:rFonts w:ascii="Times New Roman" w:hAnsi="Times New Roman" w:cs="Times New Roman" w:eastAsia="Times New Roman" w:hint="default"/>
        </w:rPr>
        <w:t>2)</w:t>
      </w:r>
      <w:r>
        <w:rPr/>
        <w:t>本期计提、收回或转回的坏账准备情况</w:t>
      </w:r>
    </w:p>
    <w:p>
      <w:pPr>
        <w:spacing w:line="240" w:lineRule="auto" w:before="11"/>
        <w:rPr>
          <w:rFonts w:ascii="宋体" w:hAnsi="宋体" w:cs="宋体" w:eastAsia="宋体" w:hint="default"/>
          <w:sz w:val="19"/>
          <w:szCs w:val="19"/>
        </w:rPr>
      </w:pPr>
    </w:p>
    <w:p>
      <w:pPr>
        <w:pStyle w:val="BodyText"/>
        <w:spacing w:line="240" w:lineRule="auto"/>
        <w:ind w:left="234" w:right="1121"/>
        <w:jc w:val="left"/>
      </w:pPr>
      <w:r>
        <w:rPr/>
        <w:t>本期计提坏账准备金额</w:t>
      </w:r>
      <w:r>
        <w:rPr>
          <w:spacing w:val="-47"/>
        </w:rPr>
        <w:t> </w:t>
      </w:r>
      <w:r>
        <w:rPr>
          <w:rFonts w:ascii="Times New Roman" w:hAnsi="Times New Roman" w:cs="Times New Roman" w:eastAsia="Times New Roman" w:hint="default"/>
        </w:rPr>
        <w:t>9,370,763.38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19"/>
          <w:szCs w:val="19"/>
        </w:rPr>
      </w:pPr>
    </w:p>
    <w:p>
      <w:pPr>
        <w:pStyle w:val="BodyText"/>
        <w:spacing w:line="489" w:lineRule="auto"/>
        <w:ind w:left="234" w:right="8262"/>
        <w:jc w:val="left"/>
      </w:pPr>
      <w:r>
        <w:rPr>
          <w:rFonts w:ascii="Times New Roman" w:hAnsi="Times New Roman" w:cs="Times New Roman" w:eastAsia="Times New Roman" w:hint="default"/>
        </w:rPr>
        <w:t>3)</w:t>
      </w:r>
      <w:r>
        <w:rPr/>
        <w:t>本期实际核销的应收账款情况</w:t>
      </w:r>
      <w:r>
        <w:rPr>
          <w:w w:val="99"/>
        </w:rPr>
        <w:t> </w:t>
      </w:r>
      <w:r>
        <w:rPr/>
        <w:t>不适用</w:t>
      </w:r>
    </w:p>
    <w:p>
      <w:pPr>
        <w:pStyle w:val="BodyText"/>
        <w:spacing w:line="489" w:lineRule="auto" w:before="86"/>
        <w:ind w:left="234" w:right="6822"/>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518" w:lineRule="auto" w:before="85"/>
        <w:ind w:left="234" w:right="8952"/>
        <w:jc w:val="left"/>
      </w:pPr>
      <w:r>
        <w:rPr/>
        <w:t>是 软件与信息技术服务业</w:t>
      </w:r>
    </w:p>
    <w:p>
      <w:pPr>
        <w:pStyle w:val="BodyText"/>
        <w:spacing w:line="240" w:lineRule="auto" w:before="63"/>
        <w:ind w:left="0" w:right="1499"/>
        <w:jc w:val="right"/>
      </w:pPr>
      <w:r>
        <w:rPr/>
        <w:t>单位：元</w:t>
      </w:r>
    </w:p>
    <w:p>
      <w:pPr>
        <w:spacing w:line="240" w:lineRule="auto" w:before="1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369"/>
        <w:gridCol w:w="1844"/>
        <w:gridCol w:w="2694"/>
        <w:gridCol w:w="1949"/>
      </w:tblGrid>
      <w:tr>
        <w:trPr>
          <w:trHeight w:val="545" w:hRule="exact"/>
        </w:trPr>
        <w:tc>
          <w:tcPr>
            <w:tcW w:w="336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8"/>
              <w:ind w:left="5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69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8"/>
              <w:ind w:left="211" w:right="0"/>
              <w:jc w:val="left"/>
              <w:rPr>
                <w:rFonts w:ascii="宋体" w:hAnsi="宋体" w:cs="宋体" w:eastAsia="宋体" w:hint="default"/>
                <w:sz w:val="18"/>
                <w:szCs w:val="18"/>
              </w:rPr>
            </w:pPr>
            <w:r>
              <w:rPr>
                <w:rFonts w:ascii="宋体" w:hAnsi="宋体" w:cs="宋体" w:eastAsia="宋体" w:hint="default"/>
                <w:sz w:val="18"/>
                <w:szCs w:val="18"/>
              </w:rPr>
              <w:t>占应收账款余额的比例（</w:t>
            </w:r>
            <w:r>
              <w:rPr>
                <w:rFonts w:ascii="宋体" w:hAnsi="宋体" w:cs="宋体" w:eastAsia="宋体" w:hint="default"/>
                <w:sz w:val="18"/>
                <w:szCs w:val="18"/>
              </w:rPr>
              <w:t>%</w:t>
            </w:r>
            <w:r>
              <w:rPr>
                <w:rFonts w:ascii="宋体" w:hAnsi="宋体" w:cs="宋体" w:eastAsia="宋体" w:hint="default"/>
                <w:sz w:val="18"/>
                <w:szCs w:val="18"/>
              </w:rPr>
              <w:t>）</w:t>
            </w:r>
          </w:p>
        </w:tc>
        <w:tc>
          <w:tcPr>
            <w:tcW w:w="194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8"/>
              <w:ind w:left="6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2" w:hRule="exact"/>
        </w:trPr>
        <w:tc>
          <w:tcPr>
            <w:tcW w:w="3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单位一</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24,428,212.09</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6.96</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1,842,312.54</w:t>
            </w:r>
          </w:p>
        </w:tc>
      </w:tr>
      <w:tr>
        <w:trPr>
          <w:trHeight w:val="332" w:hRule="exact"/>
        </w:trPr>
        <w:tc>
          <w:tcPr>
            <w:tcW w:w="3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单位二</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20,441,266.93</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5.82</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1,901,900.73</w:t>
            </w:r>
          </w:p>
        </w:tc>
      </w:tr>
      <w:tr>
        <w:trPr>
          <w:trHeight w:val="331" w:hRule="exact"/>
        </w:trPr>
        <w:tc>
          <w:tcPr>
            <w:tcW w:w="3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单位三</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19,545,387.94</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5.57</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1,546,087.84</w:t>
            </w:r>
          </w:p>
        </w:tc>
      </w:tr>
      <w:tr>
        <w:trPr>
          <w:trHeight w:val="332" w:hRule="exact"/>
        </w:trPr>
        <w:tc>
          <w:tcPr>
            <w:tcW w:w="3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单位四</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11,551,308.69</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3.29</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5,719,926.39</w:t>
            </w:r>
          </w:p>
        </w:tc>
      </w:tr>
      <w:tr>
        <w:trPr>
          <w:trHeight w:val="332" w:hRule="exact"/>
        </w:trPr>
        <w:tc>
          <w:tcPr>
            <w:tcW w:w="3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单位五</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11,012,832.00</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3.14</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330,384.96</w:t>
            </w:r>
          </w:p>
        </w:tc>
      </w:tr>
      <w:tr>
        <w:trPr>
          <w:trHeight w:val="331" w:hRule="exact"/>
        </w:trPr>
        <w:tc>
          <w:tcPr>
            <w:tcW w:w="336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86,979,007.65</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24.78</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11,340,612.46</w:t>
            </w:r>
          </w:p>
        </w:tc>
      </w:tr>
    </w:tbl>
    <w:p>
      <w:pPr>
        <w:spacing w:line="240" w:lineRule="auto" w:before="8"/>
        <w:rPr>
          <w:rFonts w:ascii="宋体" w:hAnsi="宋体" w:cs="宋体" w:eastAsia="宋体" w:hint="default"/>
          <w:sz w:val="6"/>
          <w:szCs w:val="6"/>
        </w:rPr>
      </w:pPr>
    </w:p>
    <w:p>
      <w:pPr>
        <w:pStyle w:val="BodyText"/>
        <w:spacing w:line="489" w:lineRule="auto" w:before="44"/>
        <w:ind w:left="234" w:right="7542"/>
        <w:jc w:val="left"/>
      </w:pPr>
      <w:r>
        <w:rPr>
          <w:rFonts w:ascii="Times New Roman" w:hAnsi="Times New Roman" w:cs="Times New Roman" w:eastAsia="Times New Roman" w:hint="default"/>
        </w:rPr>
        <w:t>5)</w:t>
      </w:r>
      <w:r>
        <w:rPr/>
        <w:t>因金融资产转移而终止确认的应收账款</w:t>
      </w:r>
      <w:r>
        <w:rPr>
          <w:w w:val="99"/>
        </w:rPr>
        <w:t> </w:t>
      </w:r>
      <w:r>
        <w:rPr/>
        <w:t>不适用</w:t>
      </w:r>
    </w:p>
    <w:p>
      <w:pPr>
        <w:pStyle w:val="BodyText"/>
        <w:spacing w:line="489" w:lineRule="auto" w:before="85"/>
        <w:ind w:left="234" w:right="6822"/>
        <w:jc w:val="left"/>
      </w:pPr>
      <w:r>
        <w:rPr>
          <w:rFonts w:ascii="Times New Roman" w:hAnsi="Times New Roman" w:cs="Times New Roman" w:eastAsia="Times New Roman" w:hint="default"/>
        </w:rPr>
        <w:t>6)</w:t>
      </w:r>
      <w:r>
        <w:rPr/>
        <w:t>转移应收账款且继续涉入形成的资产、负债金额</w:t>
      </w:r>
      <w:r>
        <w:rPr>
          <w:w w:val="99"/>
        </w:rPr>
        <w:t> </w:t>
      </w:r>
      <w:r>
        <w:rPr/>
        <w:t>不适用</w:t>
      </w:r>
    </w:p>
    <w:p>
      <w:pPr>
        <w:spacing w:line="240" w:lineRule="auto" w:before="6"/>
        <w:rPr>
          <w:rFonts w:ascii="宋体" w:hAnsi="宋体" w:cs="宋体" w:eastAsia="宋体" w:hint="default"/>
          <w:sz w:val="24"/>
          <w:szCs w:val="24"/>
        </w:rPr>
      </w:pPr>
    </w:p>
    <w:p>
      <w:pPr>
        <w:pStyle w:val="Heading3"/>
        <w:spacing w:line="240" w:lineRule="auto"/>
        <w:ind w:left="234" w:right="1121"/>
        <w:jc w:val="left"/>
        <w:rPr>
          <w:b w:val="0"/>
          <w:bCs w:val="0"/>
        </w:rPr>
      </w:pPr>
      <w:bookmarkStart w:name="5、预付款项" w:id="229"/>
      <w:bookmarkEnd w:id="229"/>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8"/>
        <w:ind w:left="234" w:right="1121"/>
        <w:jc w:val="left"/>
        <w:rPr>
          <w:b w:val="0"/>
          <w:bCs w:val="0"/>
        </w:rPr>
      </w:pPr>
      <w:bookmarkStart w:name="（1）预付款项按账龄列示" w:id="230"/>
      <w:bookmarkEnd w:id="23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229" w:type="dxa"/>
        <w:tblLayout w:type="fixed"/>
        <w:tblCellMar>
          <w:top w:w="0" w:type="dxa"/>
          <w:left w:w="0" w:type="dxa"/>
          <w:bottom w:w="0" w:type="dxa"/>
          <w:right w:w="0" w:type="dxa"/>
        </w:tblCellMar>
        <w:tblLook w:val="01E0"/>
      </w:tblPr>
      <w:tblGrid>
        <w:gridCol w:w="1912"/>
        <w:gridCol w:w="3830"/>
        <w:gridCol w:w="381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2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21,039,179.97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25,029,969.81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3,061,760.68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710,032.65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24,125,058.04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25,782,352.46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left="234" w:right="1121"/>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6"/>
        <w:rPr>
          <w:rFonts w:ascii="宋体" w:hAnsi="宋体" w:cs="宋体" w:eastAsia="宋体" w:hint="default"/>
          <w:sz w:val="16"/>
          <w:szCs w:val="16"/>
        </w:rPr>
      </w:pPr>
    </w:p>
    <w:p>
      <w:pPr>
        <w:pStyle w:val="BodyText"/>
        <w:spacing w:line="240" w:lineRule="auto" w:before="44"/>
        <w:ind w:left="0" w:right="1139"/>
        <w:jc w:val="right"/>
      </w:pPr>
      <w:r>
        <w:rPr/>
        <w:t>单位：元</w:t>
      </w:r>
    </w:p>
    <w:p>
      <w:pPr>
        <w:spacing w:line="240" w:lineRule="auto" w:before="1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189"/>
        <w:gridCol w:w="4814"/>
        <w:gridCol w:w="2853"/>
      </w:tblGrid>
      <w:tr>
        <w:trPr>
          <w:trHeight w:val="332" w:hRule="exact"/>
        </w:trPr>
        <w:tc>
          <w:tcPr>
            <w:tcW w:w="218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81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5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32" w:hRule="exact"/>
        </w:trPr>
        <w:tc>
          <w:tcPr>
            <w:tcW w:w="21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4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1,223,000.00</w:t>
            </w:r>
          </w:p>
        </w:tc>
        <w:tc>
          <w:tcPr>
            <w:tcW w:w="2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8" w:right="0"/>
              <w:jc w:val="left"/>
              <w:rPr>
                <w:rFonts w:ascii="宋体" w:hAnsi="宋体" w:cs="宋体" w:eastAsia="宋体" w:hint="default"/>
                <w:sz w:val="18"/>
                <w:szCs w:val="18"/>
              </w:rPr>
            </w:pPr>
            <w:r>
              <w:rPr>
                <w:rFonts w:ascii="宋体" w:hAnsi="宋体" w:cs="宋体" w:eastAsia="宋体" w:hint="default"/>
                <w:sz w:val="18"/>
                <w:szCs w:val="18"/>
              </w:rPr>
              <w:t>尚在合作未结算</w:t>
            </w:r>
          </w:p>
        </w:tc>
      </w:tr>
      <w:tr>
        <w:trPr>
          <w:trHeight w:val="331" w:hRule="exact"/>
        </w:trPr>
        <w:tc>
          <w:tcPr>
            <w:tcW w:w="218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1,223,000.00</w:t>
            </w:r>
          </w:p>
        </w:tc>
        <w:tc>
          <w:tcPr>
            <w:tcW w:w="2853"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5"/>
        <w:ind w:left="234" w:right="1121"/>
        <w:jc w:val="left"/>
        <w:rPr>
          <w:b w:val="0"/>
          <w:bCs w:val="0"/>
        </w:rPr>
      </w:pPr>
      <w:bookmarkStart w:name="（2）按预付对象归集的期末余额前五名的预付款情况" w:id="231"/>
      <w:bookmarkEnd w:id="23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82"/>
        </w:rPr>
        <w:t>：</w:t>
      </w:r>
      <w:r>
        <w:rPr/>
        <w:t>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376"/>
        <w:gridCol w:w="3527"/>
        <w:gridCol w:w="3952"/>
      </w:tblGrid>
      <w:tr>
        <w:trPr>
          <w:trHeight w:val="332" w:hRule="exact"/>
        </w:trPr>
        <w:tc>
          <w:tcPr>
            <w:tcW w:w="237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52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95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841" w:right="0"/>
              <w:jc w:val="left"/>
              <w:rPr>
                <w:rFonts w:ascii="宋体" w:hAnsi="宋体" w:cs="宋体" w:eastAsia="宋体" w:hint="default"/>
                <w:sz w:val="18"/>
                <w:szCs w:val="18"/>
              </w:rPr>
            </w:pPr>
            <w:r>
              <w:rPr>
                <w:rFonts w:ascii="宋体" w:hAnsi="宋体" w:cs="宋体" w:eastAsia="宋体" w:hint="default"/>
                <w:sz w:val="18"/>
                <w:szCs w:val="18"/>
              </w:rPr>
              <w:t>占预付款项余额的比例（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32" w:hRule="exact"/>
        </w:trPr>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5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2,733,894.42</w:t>
            </w:r>
          </w:p>
        </w:tc>
        <w:tc>
          <w:tcPr>
            <w:tcW w:w="3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11.33</w:t>
            </w:r>
          </w:p>
        </w:tc>
      </w:tr>
      <w:tr>
        <w:trPr>
          <w:trHeight w:val="331" w:hRule="exact"/>
        </w:trPr>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35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1,223,000.00</w:t>
            </w:r>
          </w:p>
        </w:tc>
        <w:tc>
          <w:tcPr>
            <w:tcW w:w="3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5.07</w:t>
            </w:r>
          </w:p>
        </w:tc>
      </w:tr>
      <w:tr>
        <w:trPr>
          <w:trHeight w:val="332" w:hRule="exact"/>
        </w:trPr>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35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988,564.00</w:t>
            </w:r>
          </w:p>
        </w:tc>
        <w:tc>
          <w:tcPr>
            <w:tcW w:w="3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4.10</w:t>
            </w:r>
          </w:p>
        </w:tc>
      </w:tr>
      <w:tr>
        <w:trPr>
          <w:trHeight w:val="333" w:hRule="exact"/>
        </w:trPr>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35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897,285.00</w:t>
            </w:r>
          </w:p>
        </w:tc>
        <w:tc>
          <w:tcPr>
            <w:tcW w:w="3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3.72</w:t>
            </w:r>
          </w:p>
        </w:tc>
      </w:tr>
      <w:tr>
        <w:trPr>
          <w:trHeight w:val="331" w:hRule="exact"/>
        </w:trPr>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35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895,000.00</w:t>
            </w:r>
          </w:p>
        </w:tc>
        <w:tc>
          <w:tcPr>
            <w:tcW w:w="3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3.71</w:t>
            </w:r>
          </w:p>
        </w:tc>
      </w:tr>
      <w:tr>
        <w:trPr>
          <w:trHeight w:val="332" w:hRule="exact"/>
        </w:trPr>
        <w:tc>
          <w:tcPr>
            <w:tcW w:w="237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5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6,737,743.42</w:t>
            </w:r>
          </w:p>
        </w:tc>
        <w:tc>
          <w:tcPr>
            <w:tcW w:w="3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27.93</w:t>
            </w:r>
          </w:p>
        </w:tc>
      </w:tr>
    </w:tbl>
    <w:p>
      <w:pPr>
        <w:spacing w:line="240" w:lineRule="auto" w:before="2"/>
        <w:rPr>
          <w:rFonts w:ascii="宋体" w:hAnsi="宋体" w:cs="宋体" w:eastAsia="宋体" w:hint="default"/>
          <w:sz w:val="25"/>
          <w:szCs w:val="25"/>
        </w:rPr>
      </w:pPr>
    </w:p>
    <w:p>
      <w:pPr>
        <w:pStyle w:val="Heading3"/>
        <w:spacing w:line="240" w:lineRule="auto" w:before="35"/>
        <w:ind w:left="234" w:right="1121"/>
        <w:jc w:val="left"/>
        <w:rPr>
          <w:b w:val="0"/>
          <w:bCs w:val="0"/>
        </w:rPr>
      </w:pPr>
      <w:bookmarkStart w:name="6、其他应收款" w:id="232"/>
      <w:bookmarkEnd w:id="232"/>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2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695,725.48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705,143.84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18,396,913.50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16,406,027.22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19,092,638.98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17,111,171.06</w:t>
            </w:r>
          </w:p>
        </w:tc>
      </w:tr>
    </w:tbl>
    <w:p>
      <w:pPr>
        <w:spacing w:line="240" w:lineRule="auto" w:before="1"/>
        <w:rPr>
          <w:rFonts w:ascii="宋体" w:hAnsi="宋体" w:cs="宋体" w:eastAsia="宋体" w:hint="default"/>
          <w:sz w:val="25"/>
          <w:szCs w:val="25"/>
        </w:rPr>
      </w:pPr>
    </w:p>
    <w:p>
      <w:pPr>
        <w:pStyle w:val="Heading3"/>
        <w:spacing w:line="240" w:lineRule="auto" w:before="35"/>
        <w:ind w:left="234" w:right="1121"/>
        <w:jc w:val="left"/>
        <w:rPr>
          <w:b w:val="0"/>
          <w:bCs w:val="0"/>
        </w:rPr>
      </w:pPr>
      <w:bookmarkStart w:name="（1）应收利息" w:id="233"/>
      <w:bookmarkEnd w:id="23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234" w:right="1121"/>
        <w:jc w:val="left"/>
      </w:pPr>
      <w:r>
        <w:rPr>
          <w:rFonts w:ascii="Times New Roman" w:hAnsi="Times New Roman" w:cs="Times New Roman" w:eastAsia="Times New Roman" w:hint="default"/>
        </w:rPr>
        <w:t>1)</w:t>
      </w:r>
      <w:r>
        <w:rPr/>
        <w:t>应收利息分类</w:t>
      </w:r>
    </w:p>
    <w:p>
      <w:pPr>
        <w:spacing w:line="240" w:lineRule="auto" w:before="6"/>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2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应收理财产品利息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695,725.48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705,143.84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695,725.48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705,143.84</w:t>
            </w:r>
          </w:p>
        </w:tc>
      </w:tr>
    </w:tbl>
    <w:p>
      <w:pPr>
        <w:spacing w:line="240" w:lineRule="auto" w:before="6"/>
        <w:rPr>
          <w:rFonts w:ascii="宋体" w:hAnsi="宋体" w:cs="宋体" w:eastAsia="宋体" w:hint="default"/>
          <w:sz w:val="6"/>
          <w:szCs w:val="6"/>
        </w:rPr>
      </w:pPr>
    </w:p>
    <w:p>
      <w:pPr>
        <w:pStyle w:val="BodyText"/>
        <w:spacing w:line="489" w:lineRule="auto" w:before="44"/>
        <w:ind w:right="9522"/>
        <w:jc w:val="left"/>
      </w:pPr>
      <w:r>
        <w:rPr>
          <w:rFonts w:ascii="Times New Roman" w:hAnsi="Times New Roman" w:cs="Times New Roman" w:eastAsia="Times New Roman" w:hint="default"/>
        </w:rPr>
        <w:t>2)</w:t>
      </w:r>
      <w:r>
        <w:rPr/>
        <w:t>重要逾期利息</w:t>
      </w:r>
      <w:r>
        <w:rPr>
          <w:w w:val="99"/>
        </w:rPr>
        <w:t> </w:t>
      </w:r>
      <w:r>
        <w:rPr/>
        <w:t>不适用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应收股利" w:id="234"/>
      <w:bookmarkEnd w:id="234"/>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其他应收款" w:id="235"/>
      <w:bookmarkEnd w:id="235"/>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20,625,9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92.01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2,229,07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18,396,91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17,759,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454.18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1,353,426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16,406,027.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20,625,9</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92.01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2,229,07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10.81%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18,396,91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3.50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17,759,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454.18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1,353,426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7.62%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16,406,027.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期末单项金额重大并单项计提坏账准备的其他应收款：</w:t>
      </w:r>
    </w:p>
    <w:p>
      <w:pPr>
        <w:spacing w:line="240" w:lineRule="auto" w:before="12"/>
        <w:rPr>
          <w:rFonts w:ascii="宋体" w:hAnsi="宋体" w:cs="宋体" w:eastAsia="宋体" w:hint="default"/>
          <w:sz w:val="20"/>
          <w:szCs w:val="20"/>
        </w:rPr>
      </w:pPr>
    </w:p>
    <w:p>
      <w:pPr>
        <w:pStyle w:val="BodyText"/>
        <w:spacing w:line="489"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10,259,258.52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307,777.75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6,498,853.21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649,885.33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2,864,676.93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572,935.39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440,446.65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220,223.34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393,756.70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393,756.70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20,625,992.01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2,229,078.51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10.81%</w:t>
            </w:r>
          </w:p>
        </w:tc>
      </w:tr>
    </w:tbl>
    <w:p>
      <w:pPr>
        <w:spacing w:line="240" w:lineRule="auto" w:before="6"/>
        <w:rPr>
          <w:rFonts w:ascii="宋体" w:hAnsi="宋体" w:cs="宋体" w:eastAsia="宋体" w:hint="default"/>
          <w:sz w:val="6"/>
          <w:szCs w:val="6"/>
        </w:rPr>
      </w:pPr>
    </w:p>
    <w:p>
      <w:pPr>
        <w:pStyle w:val="BodyText"/>
        <w:spacing w:line="518" w:lineRule="auto" w:before="44"/>
        <w:ind w:right="6252"/>
        <w:jc w:val="left"/>
      </w:pPr>
      <w:r>
        <w:rPr/>
        <w:t>确定该组合依据的说明： 组合中，采用余额百分比法计提坏账准备的其他应收款：</w:t>
      </w:r>
    </w:p>
    <w:p>
      <w:pPr>
        <w:pStyle w:val="BodyText"/>
        <w:spacing w:line="489" w:lineRule="auto" w:before="63"/>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2)</w:t>
      </w:r>
      <w:r>
        <w:rPr/>
        <w:t>本期计提、收回或转回的坏账准备情况</w:t>
      </w:r>
    </w:p>
    <w:p>
      <w:pPr>
        <w:spacing w:line="240" w:lineRule="auto" w:before="11"/>
        <w:rPr>
          <w:rFonts w:ascii="宋体" w:hAnsi="宋体" w:cs="宋体" w:eastAsia="宋体" w:hint="default"/>
          <w:sz w:val="19"/>
          <w:szCs w:val="19"/>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671,106.63</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19"/>
          <w:szCs w:val="19"/>
        </w:rPr>
      </w:pPr>
    </w:p>
    <w:p>
      <w:pPr>
        <w:pStyle w:val="BodyText"/>
        <w:spacing w:line="504" w:lineRule="auto"/>
        <w:ind w:right="8082"/>
        <w:jc w:val="left"/>
      </w:pPr>
      <w:r>
        <w:rPr>
          <w:rFonts w:ascii="Times New Roman" w:hAnsi="Times New Roman" w:cs="Times New Roman" w:eastAsia="Times New Roman" w:hint="default"/>
        </w:rPr>
        <w:t>3)</w:t>
      </w:r>
      <w:r>
        <w:rPr/>
        <w:t>本期实际核销的其他应收款情况</w:t>
      </w:r>
      <w:r>
        <w:rPr>
          <w:w w:val="99"/>
        </w:rPr>
        <w:t> </w:t>
      </w:r>
      <w:r>
        <w:rPr/>
        <w:t>不适用</w:t>
      </w:r>
      <w:r>
        <w:rPr>
          <w:w w:val="99"/>
        </w:rPr>
        <w:t> </w:t>
      </w:r>
      <w:r>
        <w:rPr>
          <w:rFonts w:ascii="Times New Roman" w:hAnsi="Times New Roman" w:cs="Times New Roman" w:eastAsia="Times New Roman" w:hint="default"/>
        </w:rPr>
        <w:t>4)</w:t>
      </w:r>
      <w:r>
        <w:rPr/>
        <w:t>其他应收款按款项性质分类情况</w:t>
      </w:r>
    </w:p>
    <w:p>
      <w:pPr>
        <w:pStyle w:val="BodyText"/>
        <w:spacing w:line="240" w:lineRule="auto" w:before="39"/>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17,369,479.62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14,764,367.72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3,256,512.39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2,995,086.46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20,625,992.01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17,759,454.18</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rFonts w:ascii="Times New Roman" w:hAnsi="Times New Roman" w:cs="Times New Roman" w:eastAsia="Times New Roman" w:hint="default"/>
        </w:rPr>
        <w:t>5)</w:t>
      </w:r>
      <w:r>
        <w:rPr/>
        <w:t>按欠款方归集的期末余额前五名的其他应收款情况</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3,655,127.49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365,512.75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2,739,126.45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189,365.00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25,830.00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8,545,253.94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779,707.75</w:t>
            </w:r>
          </w:p>
        </w:tc>
      </w:tr>
    </w:tbl>
    <w:p>
      <w:pPr>
        <w:spacing w:line="240" w:lineRule="auto" w:before="7"/>
        <w:rPr>
          <w:rFonts w:ascii="宋体" w:hAnsi="宋体" w:cs="宋体" w:eastAsia="宋体" w:hint="default"/>
          <w:sz w:val="6"/>
          <w:szCs w:val="6"/>
        </w:rPr>
      </w:pPr>
    </w:p>
    <w:p>
      <w:pPr>
        <w:pStyle w:val="BodyText"/>
        <w:spacing w:line="489" w:lineRule="auto" w:before="44"/>
        <w:ind w:right="8622"/>
        <w:jc w:val="left"/>
      </w:pPr>
      <w:r>
        <w:rPr>
          <w:rFonts w:ascii="Times New Roman" w:hAnsi="Times New Roman" w:cs="Times New Roman" w:eastAsia="Times New Roman" w:hint="default"/>
        </w:rPr>
        <w:t>6)</w:t>
      </w:r>
      <w:r>
        <w:rPr/>
        <w:t>涉及政府补助的应收款项</w:t>
      </w:r>
      <w:r>
        <w:rPr>
          <w:w w:val="99"/>
        </w:rPr>
        <w:t> </w:t>
      </w:r>
      <w:r>
        <w:rPr/>
        <w:t>不适用</w:t>
      </w:r>
    </w:p>
    <w:p>
      <w:pPr>
        <w:spacing w:after="0" w:line="48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89" w:lineRule="auto"/>
        <w:ind w:right="7362"/>
        <w:jc w:val="left"/>
      </w:pPr>
      <w:r>
        <w:rPr>
          <w:rFonts w:ascii="Times New Roman" w:hAnsi="Times New Roman" w:cs="Times New Roman" w:eastAsia="Times New Roman" w:hint="default"/>
        </w:rPr>
        <w:t>7)</w:t>
      </w:r>
      <w:r>
        <w:rPr/>
        <w:t>因金融资产转移而终止确认的其他应收款</w:t>
      </w:r>
      <w:r>
        <w:rPr>
          <w:w w:val="99"/>
        </w:rPr>
        <w:t> </w:t>
      </w:r>
      <w:r>
        <w:rPr/>
        <w:t>不适用</w:t>
      </w:r>
    </w:p>
    <w:p>
      <w:pPr>
        <w:pStyle w:val="BodyText"/>
        <w:spacing w:line="489" w:lineRule="auto" w:before="86"/>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不适用</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7、存货" w:id="236"/>
      <w:bookmarkEnd w:id="236"/>
      <w:r>
        <w:rPr>
          <w:b w:val="0"/>
          <w:bCs w:val="0"/>
        </w:rPr>
      </w:r>
      <w:r>
        <w:rPr>
          <w:rFonts w:ascii="Times New Roman" w:hAnsi="Times New Roman" w:cs="Times New Roman" w:eastAsia="Times New Roman" w:hint="default"/>
        </w:rPr>
        <w:t>7</w:t>
      </w:r>
      <w:r>
        <w:rPr/>
        <w:t>、存货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right="7512"/>
        <w:jc w:val="left"/>
      </w:pPr>
      <w:r>
        <w:rPr/>
        <w:t>公司是否需要遵守房地产行业的披露要求 否</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1）存货分类" w:id="237"/>
      <w:bookmarkEnd w:id="23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107,574,461.46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5,266,468.93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102,307,992.53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92,113,014.86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4,180,873.27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87,932,141.59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1,031,680.41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1,031,680.41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1,822,899.74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1,822,899.74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11,282,630.31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11,282,630.31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15,951,376.90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15,951,376.90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21,291,889.51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21,291,889.51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14,230,717.01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14,230,717.01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15,428,687.73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15,428,687.73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14,614,656.97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14,614,656.97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156,609,349.42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5,266,468.93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151,342,880.49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138,732,665.48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4,180,873.27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134,551,792.21</w:t>
            </w:r>
          </w:p>
        </w:tc>
      </w:tr>
    </w:tbl>
    <w:p>
      <w:pPr>
        <w:spacing w:line="240" w:lineRule="auto" w:before="6"/>
        <w:rPr>
          <w:rFonts w:ascii="宋体" w:hAnsi="宋体" w:cs="宋体" w:eastAsia="宋体" w:hint="default"/>
          <w:sz w:val="6"/>
          <w:szCs w:val="6"/>
        </w:rPr>
      </w:pPr>
    </w:p>
    <w:p>
      <w:pPr>
        <w:pStyle w:val="BodyText"/>
        <w:spacing w:line="489" w:lineRule="auto" w:before="44"/>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489" w:lineRule="auto" w:before="85"/>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489" w:lineRule="auto" w:before="86"/>
        <w:ind w:right="1754"/>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489" w:lineRule="auto" w:before="85"/>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after="0" w:line="48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left="234" w:right="1121"/>
        <w:jc w:val="left"/>
        <w:rPr>
          <w:b w:val="0"/>
          <w:bCs w:val="0"/>
        </w:rPr>
      </w:pPr>
      <w:bookmarkStart w:name="（2）存货跌价准备" w:id="238"/>
      <w:bookmarkEnd w:id="23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2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4,180,873.27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2,518,646.50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1,433,050.84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5,266,468.93</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4,180,873.27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2,518,646.50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1,433,050.84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5,266,468.93</w:t>
            </w:r>
          </w:p>
        </w:tc>
      </w:tr>
    </w:tbl>
    <w:p>
      <w:pPr>
        <w:spacing w:line="240" w:lineRule="auto" w:before="11"/>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2464"/>
        <w:gridCol w:w="2463"/>
        <w:gridCol w:w="2464"/>
        <w:gridCol w:w="2465"/>
      </w:tblGrid>
      <w:tr>
        <w:trPr>
          <w:trHeight w:val="643" w:hRule="exact"/>
        </w:trPr>
        <w:tc>
          <w:tcPr>
            <w:tcW w:w="246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确定可变现净值的具体依据</w:t>
            </w:r>
          </w:p>
        </w:tc>
        <w:tc>
          <w:tcPr>
            <w:tcW w:w="246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10"/>
              <w:ind w:left="1131" w:right="141" w:hanging="990"/>
              <w:jc w:val="left"/>
              <w:rPr>
                <w:rFonts w:ascii="宋体" w:hAnsi="宋体" w:cs="宋体" w:eastAsia="宋体" w:hint="default"/>
                <w:sz w:val="18"/>
                <w:szCs w:val="18"/>
              </w:rPr>
            </w:pPr>
            <w:r>
              <w:rPr>
                <w:rFonts w:ascii="宋体" w:hAnsi="宋体" w:cs="宋体" w:eastAsia="宋体" w:hint="default"/>
                <w:sz w:val="18"/>
                <w:szCs w:val="18"/>
              </w:rPr>
              <w:t>本期转销存货跌价准备的原 因</w:t>
            </w:r>
          </w:p>
        </w:tc>
        <w:tc>
          <w:tcPr>
            <w:tcW w:w="24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10"/>
              <w:ind w:left="547" w:right="143" w:hanging="406"/>
              <w:jc w:val="left"/>
              <w:rPr>
                <w:rFonts w:ascii="宋体" w:hAnsi="宋体" w:cs="宋体" w:eastAsia="宋体" w:hint="default"/>
                <w:sz w:val="18"/>
                <w:szCs w:val="18"/>
              </w:rPr>
            </w:pPr>
            <w:r>
              <w:rPr>
                <w:rFonts w:ascii="宋体" w:hAnsi="宋体" w:cs="宋体" w:eastAsia="宋体" w:hint="default"/>
                <w:sz w:val="18"/>
                <w:szCs w:val="18"/>
              </w:rPr>
              <w:t>本期转销金额占该项存货期 末余额的比例</w:t>
            </w:r>
            <w:r>
              <w:rPr>
                <w:rFonts w:ascii="宋体" w:hAnsi="宋体" w:cs="宋体" w:eastAsia="宋体" w:hint="default"/>
                <w:sz w:val="18"/>
                <w:szCs w:val="18"/>
              </w:rPr>
              <w:t>(%)</w:t>
            </w:r>
          </w:p>
        </w:tc>
      </w:tr>
      <w:tr>
        <w:trPr>
          <w:trHeight w:val="644" w:hRule="exact"/>
        </w:trPr>
        <w:tc>
          <w:tcPr>
            <w:tcW w:w="2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246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500" w:right="141" w:hanging="360"/>
              <w:jc w:val="left"/>
              <w:rPr>
                <w:rFonts w:ascii="宋体" w:hAnsi="宋体" w:cs="宋体" w:eastAsia="宋体" w:hint="default"/>
                <w:sz w:val="18"/>
                <w:szCs w:val="18"/>
              </w:rPr>
            </w:pPr>
            <w:r>
              <w:rPr>
                <w:rFonts w:ascii="宋体" w:hAnsi="宋体" w:cs="宋体" w:eastAsia="宋体" w:hint="default"/>
                <w:sz w:val="18"/>
                <w:szCs w:val="18"/>
              </w:rPr>
              <w:t>以预计售价减去预计后续产 生的费用后的价值</w:t>
            </w:r>
          </w:p>
        </w:tc>
        <w:tc>
          <w:tcPr>
            <w:tcW w:w="2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工程领用</w:t>
            </w:r>
          </w:p>
        </w:tc>
        <w:tc>
          <w:tcPr>
            <w:tcW w:w="24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1.33</w:t>
            </w:r>
          </w:p>
        </w:tc>
      </w:tr>
    </w:tbl>
    <w:p>
      <w:pPr>
        <w:spacing w:line="240" w:lineRule="auto" w:before="2"/>
        <w:rPr>
          <w:rFonts w:ascii="宋体" w:hAnsi="宋体" w:cs="宋体" w:eastAsia="宋体" w:hint="default"/>
          <w:sz w:val="25"/>
          <w:szCs w:val="25"/>
        </w:rPr>
      </w:pPr>
    </w:p>
    <w:p>
      <w:pPr>
        <w:pStyle w:val="Heading3"/>
        <w:spacing w:line="240" w:lineRule="auto" w:before="35"/>
        <w:ind w:left="234" w:right="1121"/>
        <w:jc w:val="left"/>
        <w:rPr>
          <w:b w:val="0"/>
          <w:bCs w:val="0"/>
        </w:rPr>
      </w:pPr>
      <w:bookmarkStart w:name="（3）存货期末余额含有借款费用资本化金额的说明" w:id="239"/>
      <w:bookmarkEnd w:id="23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234" w:right="1121"/>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234" w:right="1121"/>
        <w:jc w:val="left"/>
        <w:rPr>
          <w:b w:val="0"/>
          <w:bCs w:val="0"/>
        </w:rPr>
      </w:pPr>
      <w:bookmarkStart w:name="（4）期末建造合同形成的已完工未结算资产情况" w:id="240"/>
      <w:bookmarkEnd w:id="24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234" w:right="1121"/>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234" w:right="1121"/>
        <w:jc w:val="left"/>
        <w:rPr>
          <w:b w:val="0"/>
          <w:bCs w:val="0"/>
        </w:rPr>
      </w:pPr>
      <w:bookmarkStart w:name="8、持有待售资产" w:id="241"/>
      <w:bookmarkEnd w:id="241"/>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234" w:right="1121"/>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234" w:right="1121"/>
        <w:jc w:val="left"/>
        <w:rPr>
          <w:b w:val="0"/>
          <w:bCs w:val="0"/>
        </w:rPr>
      </w:pPr>
      <w:bookmarkStart w:name="9、一年内到期的非流动资产" w:id="242"/>
      <w:bookmarkEnd w:id="242"/>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234" w:right="1121"/>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234" w:right="1121"/>
        <w:jc w:val="left"/>
        <w:rPr>
          <w:b w:val="0"/>
          <w:bCs w:val="0"/>
        </w:rPr>
      </w:pPr>
      <w:bookmarkStart w:name="10、其他流动资产" w:id="243"/>
      <w:bookmarkEnd w:id="243"/>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2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1,737,966.62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1,501,889.42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待抵扣、待认证进项税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2,299,775.35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21,356,507.34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0" w:right="0"/>
              <w:jc w:val="left"/>
              <w:rPr>
                <w:rFonts w:ascii="Times New Roman" w:hAnsi="Times New Roman" w:cs="Times New Roman" w:eastAsia="Times New Roman" w:hint="default"/>
                <w:sz w:val="18"/>
                <w:szCs w:val="18"/>
              </w:rPr>
            </w:pPr>
            <w:r>
              <w:rPr>
                <w:rFonts w:ascii="Times New Roman"/>
                <w:sz w:val="18"/>
              </w:rPr>
              <w:t>119,037,741.97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87,858,396.76</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11、可供出售金融资产" w:id="244"/>
      <w:bookmarkEnd w:id="244"/>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90"/>
        <w:ind w:right="0"/>
        <w:jc w:val="left"/>
        <w:rPr>
          <w:b w:val="0"/>
          <w:bCs w:val="0"/>
        </w:rPr>
      </w:pPr>
      <w:bookmarkStart w:name="（1）可供出售金融资产情况" w:id="245"/>
      <w:bookmarkEnd w:id="24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89"/>
        <w:gridCol w:w="1207"/>
        <w:gridCol w:w="1196"/>
        <w:gridCol w:w="1196"/>
        <w:gridCol w:w="1248"/>
        <w:gridCol w:w="1367"/>
        <w:gridCol w:w="1367"/>
      </w:tblGrid>
      <w:tr>
        <w:trPr>
          <w:trHeight w:val="205"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期末按公允价值计量的可供出售金融资产" w:id="246"/>
      <w:bookmarkEnd w:id="246"/>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期末按成本计量的可供出售金融资产" w:id="247"/>
      <w:bookmarkEnd w:id="247"/>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广州民营 投资股份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广州云智 科技创业 投资合伙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宁波清科 嘉豪和嘉 投资管理 合伙企业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866"/>
        <w:gridCol w:w="870"/>
        <w:gridCol w:w="870"/>
        <w:gridCol w:w="870"/>
        <w:gridCol w:w="870"/>
        <w:gridCol w:w="870"/>
        <w:gridCol w:w="870"/>
        <w:gridCol w:w="870"/>
        <w:gridCol w:w="870"/>
        <w:gridCol w:w="870"/>
        <w:gridCol w:w="870"/>
      </w:tblGrid>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4）报告期内可供出售金融资产减值的变动情况" w:id="248"/>
      <w:bookmarkEnd w:id="248"/>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5）可供出售权益工具期末公允价值严重下跌或非暂时性下跌但未计提减值准备的相关说" w:id="249"/>
      <w:bookmarkEnd w:id="249"/>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12、持有至到期投资" w:id="250"/>
      <w:bookmarkEnd w:id="250"/>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8"/>
        <w:ind w:right="0"/>
        <w:jc w:val="left"/>
        <w:rPr>
          <w:b w:val="0"/>
          <w:bCs w:val="0"/>
        </w:rPr>
      </w:pPr>
      <w:bookmarkStart w:name="（1）持有至到期投资情况" w:id="251"/>
      <w:bookmarkEnd w:id="251"/>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期末重要的持有至到期投资" w:id="252"/>
      <w:bookmarkEnd w:id="252"/>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3）本期重分类的持有至到期投资" w:id="253"/>
      <w:bookmarkEnd w:id="253"/>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13、长期应收款" w:id="254"/>
      <w:bookmarkEnd w:id="254"/>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8"/>
        <w:ind w:right="0"/>
        <w:jc w:val="left"/>
        <w:rPr>
          <w:b w:val="0"/>
          <w:bCs w:val="0"/>
        </w:rPr>
      </w:pPr>
      <w:bookmarkStart w:name="（1）长期应收款情况" w:id="255"/>
      <w:bookmarkEnd w:id="255"/>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因金融资产转移而终止确认的长期应收款" w:id="256"/>
      <w:bookmarkEnd w:id="256"/>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3）转移长期应收款且继续涉入形成的资产、负债金额" w:id="257"/>
      <w:bookmarkEnd w:id="257"/>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14、长期股权投资" w:id="258"/>
      <w:bookmarkEnd w:id="25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15、投资性房地产" w:id="259"/>
      <w:bookmarkEnd w:id="25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采用成本计量模式的投资性房地产" w:id="260"/>
      <w:bookmarkEnd w:id="26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40,077,146.52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40,077,146.52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47,939,019.40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47,939,019.40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47,939,019.40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47,939,019.40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88,016,165.92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88,016,165.92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7,039,437.38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7,039,437.38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5,755,820.90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5,755,820.90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3,489,232.96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3,489,232.96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2,266,587.94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2,266,587.94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12,795,258.28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12,795,258.28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75,220,907.64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75,220,907.64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33,037,709.14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33,037,709.14</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采用公允价值计量模式的投资性房地产" w:id="261"/>
      <w:bookmarkEnd w:id="26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3）未办妥产权证书的投资性房地产情况" w:id="262"/>
      <w:bookmarkEnd w:id="26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天安总部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号楼地下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个车位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637,877.03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车位无法办理产权证</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天安总部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52,564,958.63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未办妥，尚在办理中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53,202,835.66</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16、固定资产" w:id="263"/>
      <w:bookmarkEnd w:id="26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257,252,488.54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303,393,574.35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257,252,488.54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303,393,574.35</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1）固定资产情况" w:id="264"/>
      <w:bookmarkEnd w:id="26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施工设备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497" w:right="47" w:hanging="450"/>
              <w:jc w:val="left"/>
              <w:rPr>
                <w:rFonts w:ascii="宋体" w:hAnsi="宋体" w:cs="宋体" w:eastAsia="宋体" w:hint="default"/>
                <w:sz w:val="18"/>
                <w:szCs w:val="18"/>
              </w:rPr>
            </w:pPr>
            <w:r>
              <w:rPr>
                <w:rFonts w:ascii="宋体" w:hAnsi="宋体" w:cs="宋体" w:eastAsia="宋体" w:hint="default"/>
                <w:sz w:val="18"/>
                <w:szCs w:val="18"/>
              </w:rPr>
              <w:t>研发及生产检测 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240,012,090.27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1,896,861.18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72,794,132.67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27,793,431.53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13,779,108.74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356,275,624.39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14,039,963.04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63,724.13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11,684,116.94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1,492,606.91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151,538.06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27,431,949.08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63,724.13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3,780,340.79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1,091,444.52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151,538.06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5,087,047.50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14,039,963.04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6,607,436.79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20,647,399.83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1,296,339.36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401,162.39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1,697,501.75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47,939,019.40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365,548.00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790,349.00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49,094,916.40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365,548.00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790,349.00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1,155,897.00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）转入</w:t>
            </w:r>
            <w:r>
              <w:rPr>
                <w:rFonts w:ascii="宋体" w:hAnsi="宋体" w:cs="宋体" w:eastAsia="宋体" w:hint="default"/>
                <w:sz w:val="18"/>
                <w:szCs w:val="18"/>
              </w:rPr>
              <w:t> 到投资性房地产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47,939,019.40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47,939,019.40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206,113,033.91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1,595,037.31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84,478,249.61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28,495,689.44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13,930,646.80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334,612,657.07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10,689,664.34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936,826.97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18,439,051.39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16,849,010.68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5,967,496.66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52,882,050.04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6,314,992.44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265,141.01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15,384,594.00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3,440,965.58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2,347,241.54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27,752,934.57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6,314,992.44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265,141.01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14,632,355.45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3,301,120.30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2,347,241.54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26,860,850.74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62"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 业合并增加</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752,238.55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139,845.28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892,083.83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2,266,587.94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323,085.12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685,143.02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3,274,816.08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323,085.12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685,143.02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1,008,228.14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）转入</w:t>
            </w:r>
            <w:r>
              <w:rPr>
                <w:rFonts w:ascii="宋体" w:hAnsi="宋体" w:cs="宋体" w:eastAsia="宋体" w:hint="default"/>
                <w:sz w:val="18"/>
                <w:szCs w:val="18"/>
              </w:rPr>
              <w:t> 到投资性房地产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2,266,587.94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2,266,587.94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14,738,068.84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878,882.86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33,823,645.39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19,604,833.24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8,314,738.20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77,360,168.53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191,374,965.07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716,154.45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50,654,604.22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8,890,856.20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5,615,908.60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257,252,488.54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229,322,425.93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960,034.21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54,355,081.28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10,944,420.85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7,811,612.08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303,393,574.35</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暂时闲置的固定资产情况" w:id="265"/>
      <w:bookmarkEnd w:id="26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3）通过融资租赁租入的固定资产情况" w:id="266"/>
      <w:bookmarkEnd w:id="26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4）通过经营租赁租出的固定资产" w:id="267"/>
      <w:bookmarkEnd w:id="267"/>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5）未办妥产权证书的固定资产情况" w:id="268"/>
      <w:bookmarkEnd w:id="268"/>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天安总部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160,943,827.14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未办妥，尚在办理中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160,943,827.14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6）固定资产清理" w:id="269"/>
      <w:bookmarkEnd w:id="269"/>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17、在建工程" w:id="270"/>
      <w:bookmarkEnd w:id="27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83,271.89</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11,581,142.66</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1,153,582.81</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5,371,767.91</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1,236,854.70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16,952,910.57</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1）在建工程情况" w:id="271"/>
      <w:bookmarkEnd w:id="27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智慧天网</w:t>
            </w:r>
            <w:r>
              <w:rPr>
                <w:rFonts w:ascii="Times New Roman" w:hAnsi="Times New Roman" w:cs="Times New Roman" w:eastAsia="Times New Roman" w:hint="default"/>
                <w:sz w:val="18"/>
                <w:szCs w:val="18"/>
              </w:rPr>
              <w:t>"</w:t>
            </w:r>
            <w:r>
              <w:rPr>
                <w:rFonts w:ascii="宋体" w:hAnsi="宋体" w:cs="宋体" w:eastAsia="宋体" w:hint="default"/>
                <w:sz w:val="18"/>
                <w:szCs w:val="18"/>
              </w:rPr>
              <w:t>监控 平台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9,339.19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327,042.66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327,042.66</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佛山市南海区桂 城街东二村东约 拾亩新区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5,032,800.00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5,032,800.00</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西安市碑林区长 安北路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号中信 大厦十九层</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6,221,300.00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6,221,300.00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悦来清溪口项目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73,932.70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73,932.70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83,271.89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83,271.89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11,581,142.66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11,581,142.66</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重要在建工程项目本期变动情况" w:id="272"/>
      <w:bookmarkEnd w:id="27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721"/>
        <w:gridCol w:w="736"/>
        <w:gridCol w:w="736"/>
        <w:gridCol w:w="736"/>
        <w:gridCol w:w="736"/>
        <w:gridCol w:w="736"/>
        <w:gridCol w:w="736"/>
        <w:gridCol w:w="736"/>
        <w:gridCol w:w="736"/>
        <w:gridCol w:w="737"/>
        <w:gridCol w:w="736"/>
        <w:gridCol w:w="736"/>
        <w:gridCol w:w="725"/>
      </w:tblGrid>
      <w:tr>
        <w:trPr>
          <w:trHeight w:val="382"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8" w:right="0"/>
              <w:jc w:val="left"/>
              <w:rPr>
                <w:rFonts w:ascii="宋体" w:hAnsi="宋体" w:cs="宋体" w:eastAsia="宋体" w:hint="default"/>
                <w:sz w:val="18"/>
                <w:szCs w:val="18"/>
              </w:rPr>
            </w:pPr>
            <w:r>
              <w:rPr>
                <w:rFonts w:ascii="宋体" w:hAnsi="宋体" w:cs="宋体" w:eastAsia="宋体" w:hint="default"/>
                <w:sz w:val="18"/>
                <w:szCs w:val="18"/>
              </w:rPr>
              <w:t>项目名</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期初余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本期增</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本期转</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本期其</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期末余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工程累</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工程进</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利息资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pacing w:val="-10"/>
                <w:sz w:val="18"/>
                <w:szCs w:val="18"/>
              </w:rPr>
              <w:t>其中：本</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本期利</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资金来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70"/>
              <w:jc w:val="right"/>
              <w:rPr>
                <w:rFonts w:ascii="宋体" w:hAnsi="宋体" w:cs="宋体" w:eastAsia="宋体" w:hint="default"/>
                <w:sz w:val="18"/>
                <w:szCs w:val="18"/>
              </w:rPr>
            </w:pPr>
            <w:r>
              <w:rPr>
                <w:rFonts w:ascii="宋体" w:hAnsi="宋体" w:cs="宋体" w:eastAsia="宋体" w:hint="default"/>
                <w:sz w:val="18"/>
                <w:szCs w:val="18"/>
              </w:rPr>
              <w:t>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center"/>
              <w:rPr>
                <w:rFonts w:ascii="宋体" w:hAnsi="宋体" w:cs="宋体" w:eastAsia="宋体" w:hint="default"/>
                <w:sz w:val="18"/>
                <w:szCs w:val="18"/>
              </w:rPr>
            </w:pPr>
            <w:r>
              <w:rPr>
                <w:rFonts w:ascii="宋体" w:hAnsi="宋体" w:cs="宋体" w:eastAsia="宋体" w:hint="default"/>
                <w:sz w:val="18"/>
                <w:szCs w:val="18"/>
              </w:rPr>
              <w:t>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3" w:right="91" w:hanging="90"/>
              <w:jc w:val="left"/>
              <w:rPr>
                <w:rFonts w:ascii="宋体" w:hAnsi="宋体" w:cs="宋体" w:eastAsia="宋体" w:hint="default"/>
                <w:sz w:val="18"/>
                <w:szCs w:val="18"/>
              </w:rPr>
            </w:pPr>
            <w:r>
              <w:rPr>
                <w:rFonts w:ascii="宋体" w:hAnsi="宋体" w:cs="宋体" w:eastAsia="宋体" w:hint="default"/>
                <w:sz w:val="18"/>
                <w:szCs w:val="18"/>
              </w:rPr>
              <w:t>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3"/>
              <w:jc w:val="left"/>
              <w:rPr>
                <w:rFonts w:ascii="宋体" w:hAnsi="宋体" w:cs="宋体" w:eastAsia="宋体" w:hint="default"/>
                <w:sz w:val="18"/>
                <w:szCs w:val="18"/>
              </w:rPr>
            </w:pPr>
            <w:r>
              <w:rPr>
                <w:rFonts w:ascii="宋体" w:hAnsi="宋体" w:cs="宋体" w:eastAsia="宋体" w:hint="default"/>
                <w:sz w:val="18"/>
                <w:szCs w:val="18"/>
              </w:rPr>
              <w:t>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3" w:right="91" w:hanging="90"/>
              <w:jc w:val="left"/>
              <w:rPr>
                <w:rFonts w:ascii="宋体" w:hAnsi="宋体" w:cs="宋体" w:eastAsia="宋体" w:hint="default"/>
                <w:sz w:val="18"/>
                <w:szCs w:val="18"/>
              </w:rPr>
            </w:pPr>
            <w:r>
              <w:rPr>
                <w:rFonts w:ascii="宋体" w:hAnsi="宋体" w:cs="宋体" w:eastAsia="宋体" w:hint="default"/>
                <w:sz w:val="18"/>
                <w:szCs w:val="18"/>
              </w:rPr>
              <w:t>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智慧天 网</w:t>
            </w:r>
            <w:r>
              <w:rPr>
                <w:rFonts w:ascii="Times New Roman" w:hAnsi="Times New Roman" w:cs="Times New Roman" w:eastAsia="Times New Roman" w:hint="default"/>
                <w:sz w:val="18"/>
                <w:szCs w:val="18"/>
              </w:rPr>
              <w:t>"</w:t>
            </w:r>
            <w:r>
              <w:rPr>
                <w:rFonts w:ascii="宋体" w:hAnsi="宋体" w:cs="宋体" w:eastAsia="宋体" w:hint="default"/>
                <w:sz w:val="18"/>
                <w:szCs w:val="18"/>
              </w:rPr>
              <w:t>监控 平台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71,579,4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95.46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327,042.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5,296,28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5,613,98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9,339.19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98.97%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佛山市 南海区 桂城街 东二村 东约拾 亩新区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6,232,80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5,032,80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1,120,05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6,152,85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4.87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西安市 碑林区 长安北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中信大 厦十九 层</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8,321,30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6,221,30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1,665,80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7,887,10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雪亮工 程</w:t>
            </w:r>
            <w:r>
              <w:rPr>
                <w:rFonts w:ascii="Times New Roman" w:hAnsi="Times New Roman" w:cs="Times New Roman" w:eastAsia="Times New Roman" w:hint="default"/>
                <w:sz w:val="18"/>
                <w:szCs w:val="18"/>
              </w:rPr>
              <w:t>"</w:t>
            </w:r>
            <w:r>
              <w:rPr>
                <w:rFonts w:ascii="宋体" w:hAnsi="宋体" w:cs="宋体" w:eastAsia="宋体" w:hint="default"/>
                <w:sz w:val="18"/>
                <w:szCs w:val="18"/>
              </w:rPr>
              <w:t>监控 平台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993,448.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993,448.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993,448.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悦来清 溪口项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73,932.7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73,932.7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98.58%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87,202,0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43.83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11,581,1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42.66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9,149,52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20,647,3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99.83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本期计提在建工程减值准备情况" w:id="273"/>
      <w:bookmarkEnd w:id="273"/>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工程物资" w:id="274"/>
      <w:bookmarkEnd w:id="274"/>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0"/>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1" w:right="0"/>
              <w:jc w:val="left"/>
              <w:rPr>
                <w:rFonts w:ascii="Times New Roman" w:hAnsi="Times New Roman" w:cs="Times New Roman" w:eastAsia="Times New Roman" w:hint="default"/>
                <w:sz w:val="18"/>
                <w:szCs w:val="18"/>
              </w:rPr>
            </w:pPr>
            <w:r>
              <w:rPr>
                <w:rFonts w:ascii="Times New Roman"/>
                <w:sz w:val="18"/>
              </w:rPr>
              <w:t>1,153,582.81</w:t>
            </w:r>
          </w:p>
        </w:tc>
        <w:tc>
          <w:tcPr>
            <w:tcW w:w="132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1,153,582.81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5,371,767.91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3" w:right="0"/>
              <w:jc w:val="left"/>
              <w:rPr>
                <w:rFonts w:ascii="Times New Roman" w:hAnsi="Times New Roman" w:cs="Times New Roman" w:eastAsia="Times New Roman" w:hint="default"/>
                <w:sz w:val="18"/>
                <w:szCs w:val="18"/>
              </w:rPr>
            </w:pPr>
            <w:r>
              <w:rPr>
                <w:rFonts w:ascii="Times New Roman"/>
                <w:sz w:val="18"/>
              </w:rPr>
              <w:t>5,371,767.91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1"/>
        <w:gridCol w:w="1340"/>
        <w:gridCol w:w="1329"/>
        <w:gridCol w:w="1196"/>
        <w:gridCol w:w="1196"/>
        <w:gridCol w:w="1196"/>
        <w:gridCol w:w="1193"/>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1,153,582.81</w:t>
            </w:r>
          </w:p>
        </w:tc>
        <w:tc>
          <w:tcPr>
            <w:tcW w:w="132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1,153,582.81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5,371,767.91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5,371,767.91</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18、生产性生物资产" w:id="275"/>
      <w:bookmarkEnd w:id="275"/>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90"/>
        <w:ind w:right="0"/>
        <w:jc w:val="left"/>
        <w:rPr>
          <w:b w:val="0"/>
          <w:bCs w:val="0"/>
        </w:rPr>
      </w:pPr>
      <w:bookmarkStart w:name="（1）采用成本计量模式的生产性生物资产" w:id="276"/>
      <w:bookmarkEnd w:id="276"/>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2）采用公允价值计量模式的生产性生物资产" w:id="277"/>
      <w:bookmarkEnd w:id="277"/>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19、油气资产" w:id="278"/>
      <w:bookmarkEnd w:id="278"/>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20、无形资产" w:id="279"/>
      <w:bookmarkEnd w:id="279"/>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8"/>
        <w:ind w:right="0"/>
        <w:jc w:val="left"/>
        <w:rPr>
          <w:b w:val="0"/>
          <w:bCs w:val="0"/>
        </w:rPr>
      </w:pPr>
      <w:bookmarkStart w:name="（1）无形资产情况" w:id="280"/>
      <w:bookmarkEnd w:id="28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85"/>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20,733,406.00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20,733,406.00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13,593,368.60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13,593,368.60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13,552,248.21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13,552,248.21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41,120.39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41,120.39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34,326,774.60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34,326,774.60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4,705,461.10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4,705,461.10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3,641,083.86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3,641,083.86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3,629,955.25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3,629,955.25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11,128.61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11,128.61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8,346,544.96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8,346,544.96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25,980,229.64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25,980,229.64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16,027,944.90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16,027,944.90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bookmarkStart w:name="（2）未办妥产权证书的土地使用权情况" w:id="281"/>
      <w:bookmarkEnd w:id="28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1、开发支出" w:id="282"/>
      <w:bookmarkEnd w:id="282"/>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软件定义物 联网应用平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5,530,382.01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5,530,382.01</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5,530,382.01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5,530,382.01</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2、商誉" w:id="283"/>
      <w:bookmarkEnd w:id="283"/>
      <w:r>
        <w:rPr>
          <w:b w:val="0"/>
          <w:bCs w:val="0"/>
        </w:rPr>
      </w:r>
      <w:r>
        <w:rPr>
          <w:rFonts w:ascii="Times New Roman" w:hAnsi="Times New Roman" w:cs="Times New Roman" w:eastAsia="Times New Roman" w:hint="default"/>
        </w:rPr>
        <w:t>22</w:t>
      </w:r>
      <w:r>
        <w:rPr/>
        <w:t>、商誉</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商誉账面原值" w:id="284"/>
      <w:bookmarkEnd w:id="28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深圳市润安科技 发展有限公司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47,382,353.08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47,382,353.08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广东冠网信息科 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58,670,931.12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58,670,931.12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47,382,353.08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58,670,931.12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106,053,284.20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85"/>
      <w:bookmarkEnd w:id="28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32"/>
          <w:szCs w:val="32"/>
        </w:rPr>
      </w:pPr>
    </w:p>
    <w:p>
      <w:pPr>
        <w:pStyle w:val="BodyText"/>
        <w:spacing w:line="516" w:lineRule="auto"/>
        <w:ind w:right="1118"/>
        <w:jc w:val="left"/>
      </w:pPr>
      <w:r>
        <w:rPr/>
        <w:t>不适用 </w:t>
      </w:r>
      <w:r>
        <w:rPr>
          <w:spacing w:val="-2"/>
        </w:rPr>
        <w:t>说明商誉减值测试过程、关键参数（如预计未来现金流量现值时的预测期增长率、稳定期增长率、利润率、折现率、预测期</w:t>
      </w:r>
    </w:p>
    <w:p>
      <w:pPr>
        <w:pStyle w:val="BodyText"/>
        <w:spacing w:line="516" w:lineRule="auto" w:before="26"/>
        <w:ind w:right="0"/>
        <w:jc w:val="left"/>
      </w:pPr>
      <w:r>
        <w:rPr/>
        <w:t>等）及商誉减值损失的确认方法： </w:t>
      </w:r>
      <w:r>
        <w:rPr>
          <w:spacing w:val="-2"/>
        </w:rPr>
        <w:t>商誉的可收回金额按照预计未来现金流量的现值计算，采用的折现率是反映当前市场货币时间价值和相关资产组特定风险的</w:t>
      </w:r>
    </w:p>
    <w:p>
      <w:pPr>
        <w:pStyle w:val="BodyText"/>
        <w:spacing w:line="451" w:lineRule="auto" w:before="25"/>
        <w:ind w:right="1184"/>
        <w:jc w:val="left"/>
      </w:pPr>
      <w:r>
        <w:rPr/>
        <w:t>税前利率，现金流量预测使用的折现率</w:t>
      </w:r>
      <w:r>
        <w:rPr>
          <w:spacing w:val="-46"/>
        </w:rPr>
        <w:t> </w:t>
      </w:r>
      <w:r>
        <w:rPr>
          <w:rFonts w:ascii="Times New Roman" w:hAnsi="Times New Roman" w:cs="Times New Roman" w:eastAsia="Times New Roman" w:hint="default"/>
        </w:rPr>
        <w:t>10%</w:t>
      </w:r>
      <w:r>
        <w:rPr/>
        <w:t>，预测期以后的现金流量根据增长率</w:t>
      </w:r>
      <w:r>
        <w:rPr>
          <w:spacing w:val="-46"/>
        </w:rPr>
        <w:t> </w:t>
      </w:r>
      <w:r>
        <w:rPr>
          <w:rFonts w:ascii="Times New Roman" w:hAnsi="Times New Roman" w:cs="Times New Roman" w:eastAsia="Times New Roman" w:hint="default"/>
        </w:rPr>
        <w:t>10%</w:t>
      </w:r>
      <w:r>
        <w:rPr/>
        <w:t>推断得出，该增长率和相关行业总体 长期平均增长率相当。减值测试中采用的其他关键数据包括：产品预计售价、销量、生产成本及其他相关费用。</w:t>
      </w:r>
    </w:p>
    <w:p>
      <w:pPr>
        <w:pStyle w:val="BodyText"/>
        <w:spacing w:line="518" w:lineRule="auto" w:before="113"/>
        <w:ind w:right="6072"/>
        <w:jc w:val="left"/>
      </w:pPr>
      <w:r>
        <w:rPr/>
        <w:t>公司根据历史经验及对市场发展的预测确定上述关键数据。 上述对可收回金额的预计表明商誉并未出现减值损失。 商誉减值测试的影响</w:t>
      </w:r>
    </w:p>
    <w:p>
      <w:pPr>
        <w:spacing w:after="0" w:line="51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3、长期待摊费用" w:id="286"/>
      <w:bookmarkEnd w:id="286"/>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2,735,250.43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875,376.80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1,859,873.63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310,750.00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2,735,250.43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894,626.80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2,170,623.63</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4、递延所得税资产/递延所得税负债" w:id="287"/>
      <w:bookmarkEnd w:id="287"/>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未经抵销的递延所得税资产" w:id="288"/>
      <w:bookmarkEnd w:id="28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37,790,501.00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5,668,575.15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25,711,871.15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3,856,689.21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188,923.20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28,338.48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188,923.20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28,338.48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18,638,341.00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2,795,751.15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6,024,140.00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903,621.00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不征税收入用于支出所 形成的费用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2,333,850.55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350,077.58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1,452,417.05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217,862.56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58,951,615.75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8,842,742.36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35,777,351.40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5,366,511.25</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未经抵销的递延所得税负债" w:id="289"/>
      <w:bookmarkEnd w:id="28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3）以抵销后净额列示的递延所得税资产或负债" w:id="290"/>
      <w:bookmarkEnd w:id="29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8,842,742.36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1" w:right="0"/>
              <w:jc w:val="left"/>
              <w:rPr>
                <w:rFonts w:ascii="Times New Roman" w:hAnsi="Times New Roman" w:cs="Times New Roman" w:eastAsia="Times New Roman" w:hint="default"/>
                <w:sz w:val="18"/>
                <w:szCs w:val="18"/>
              </w:rPr>
            </w:pPr>
            <w:r>
              <w:rPr>
                <w:rFonts w:ascii="Times New Roman"/>
                <w:sz w:val="18"/>
              </w:rPr>
              <w:t>5,366,511.25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4）未确认递延所得税资产明细" w:id="291"/>
      <w:bookmarkEnd w:id="29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16,539,530.94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4,138,614.09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7,686,259.33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4,953,932.08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24,225,790.27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9,092,546.17</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5）未确认递延所得税资产的可抵扣亏损将于以下年度到期" w:id="292"/>
      <w:bookmarkEnd w:id="29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781,823.49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692,663.92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692,663.92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1,132,370.64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1,132,370.64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2,368,893.33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1,223,646.05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1,861,835.37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1,123,427.98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1,630,496.07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7,686,259.33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4,953,932.08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5、其他非流动资产" w:id="293"/>
      <w:bookmarkEnd w:id="293"/>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1,096,100.43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1,470,152.50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1,096,100.43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1,470,152.50</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6、短期借款" w:id="294"/>
      <w:bookmarkEnd w:id="294"/>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短期借款分类" w:id="295"/>
      <w:bookmarkEnd w:id="29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19,450,000.00</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已逾期未偿还的短期借款情况" w:id="296"/>
      <w:bookmarkEnd w:id="29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3149"/>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 不适用</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27、以公允价值计量且其变动计入当期损益的金融负债" w:id="297"/>
      <w:bookmarkEnd w:id="297"/>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8、衍生金融负债" w:id="298"/>
      <w:bookmarkEnd w:id="298"/>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9、应付票据及应付账款" w:id="299"/>
      <w:bookmarkEnd w:id="299"/>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8,100,833.00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53,340,303.39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25,471,007.13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61,441,136.39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25,471,007.13</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1）应付票据分类列示" w:id="300"/>
      <w:bookmarkEnd w:id="300"/>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8,100,833.00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8,100,833.00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bookmarkStart w:name="（2）应付账款列示" w:id="301"/>
      <w:bookmarkEnd w:id="301"/>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53,340,303.39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25,471,007.13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53,340,303.39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25,471,007.13</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账龄超过1年的重要应付账款" w:id="302"/>
      <w:bookmarkEnd w:id="302"/>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30、预收款项" w:id="303"/>
      <w:bookmarkEnd w:id="303"/>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8"/>
        <w:ind w:right="0"/>
        <w:jc w:val="left"/>
        <w:rPr>
          <w:b w:val="0"/>
          <w:bCs w:val="0"/>
        </w:rPr>
      </w:pPr>
      <w:bookmarkStart w:name="（1）预收款项列示" w:id="304"/>
      <w:bookmarkEnd w:id="30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40,391,506.83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63,167,784.04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安防设备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2,174,237.56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2,764,368.34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42,565,744.39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65,932,152.38</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账龄超过1年的重要预收款项" w:id="305"/>
      <w:bookmarkEnd w:id="30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4,311,020.91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1,764,859.77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1,212,907.05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7,288,787.73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期末建造合同形成的已结算未完工项目情况" w:id="306"/>
      <w:bookmarkEnd w:id="30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31、应付职工薪酬" w:id="307"/>
      <w:bookmarkEnd w:id="307"/>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应付职工薪酬列示" w:id="308"/>
      <w:bookmarkEnd w:id="30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16,530,620.96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140,877,438.67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139,730,876.36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17,677,183.27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8,746,893.10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8,746,893.10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736,475.80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736,475.80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16,530,620.96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150,360,807.57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149,214,245.26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17,677,183.27</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短期薪酬列示" w:id="309"/>
      <w:bookmarkEnd w:id="30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16,530,620.96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127,317,993.72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126,171,431.41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17,677,183.27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4,663,296.06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4,663,296.06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5,975,220.68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5,975,220.68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5,266,173.35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5,266,173.35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193,342.55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193,342.55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515,704.78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515,704.78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2,903,688.61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2,903,688.61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17,239.60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17,239.60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16,530,620.96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140,877,438.67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139,730,876.36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17,677,183.27</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设定提存计划列示" w:id="310"/>
      <w:bookmarkEnd w:id="31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8,501,325.90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8,501,325.90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245,567.20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245,567.20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8,746,893.10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8,746,893.10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32、应交税费" w:id="311"/>
      <w:bookmarkEnd w:id="311"/>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16,387,387.39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9,835,103.33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19,800,697.08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11,129,271.67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201,289.76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378,480.98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674,828.33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399,178.10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285,849.28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170,738.20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190,301.55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113,586.50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280,476.85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450,945.55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43,220,830.24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27,877,304.33</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3、其他应付款" w:id="312"/>
      <w:bookmarkEnd w:id="312"/>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85,385.62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176,970.98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99,679,626.86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20,497,138.78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99,765,012.48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20,674,109.76</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1）应付利息" w:id="313"/>
      <w:bookmarkEnd w:id="313"/>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其他应付款" w:id="314"/>
      <w:bookmarkEnd w:id="314"/>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1)</w:t>
      </w:r>
      <w:r>
        <w:rPr/>
        <w:t>按款项性质列示其他应付款</w:t>
      </w:r>
    </w:p>
    <w:p>
      <w:pPr>
        <w:spacing w:line="240" w:lineRule="auto" w:before="6"/>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股权激励限制性股票回购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94,072,447.16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17,377,907.03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266,541.33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217,642.99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2,578,805.39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1,659,793.57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2,761,832.98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1,241,795.19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99,679,626.86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20,497,138.78</w:t>
            </w:r>
          </w:p>
        </w:tc>
      </w:tr>
    </w:tbl>
    <w:p>
      <w:pPr>
        <w:spacing w:line="240" w:lineRule="auto" w:before="6"/>
        <w:rPr>
          <w:rFonts w:ascii="宋体" w:hAnsi="宋体" w:cs="宋体" w:eastAsia="宋体" w:hint="default"/>
          <w:sz w:val="6"/>
          <w:szCs w:val="6"/>
        </w:rPr>
      </w:pPr>
    </w:p>
    <w:p>
      <w:pPr>
        <w:pStyle w:val="BodyText"/>
        <w:spacing w:line="489" w:lineRule="auto" w:before="44"/>
        <w:ind w:right="8083"/>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r>
        <w:rPr>
          <w:w w:val="99"/>
        </w:rPr>
        <w:t> </w:t>
      </w:r>
      <w:r>
        <w:rPr/>
        <w:t>不适用</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34、持有待售负债" w:id="315"/>
      <w:bookmarkEnd w:id="315"/>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5、一年内到期的非流动负债" w:id="316"/>
      <w:bookmarkEnd w:id="316"/>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6、其他流动负债" w:id="317"/>
      <w:bookmarkEnd w:id="317"/>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7、长期借款" w:id="318"/>
      <w:bookmarkEnd w:id="318"/>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长期借款分类" w:id="319"/>
      <w:bookmarkEnd w:id="31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8、应付债券" w:id="320"/>
      <w:bookmarkEnd w:id="320"/>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应付债券" w:id="321"/>
      <w:bookmarkEnd w:id="32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应付债券的增减变动（不包括划分为金融负债的优先股、永续债等其他金融工具）" w:id="322"/>
      <w:bookmarkEnd w:id="32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3）可转换公司债券的转股条件、转股时间说明" w:id="323"/>
      <w:bookmarkEnd w:id="32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划分为金融负债的其他金融工具说明" w:id="324"/>
      <w:bookmarkEnd w:id="32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9、长期应付款" w:id="325"/>
      <w:bookmarkEnd w:id="325"/>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1）按款项性质列示长期应付款" w:id="326"/>
      <w:bookmarkEnd w:id="32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专项应付款" w:id="327"/>
      <w:bookmarkEnd w:id="327"/>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0、长期应付职工薪酬" w:id="328"/>
      <w:bookmarkEnd w:id="328"/>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长期应付职工薪酬表" w:id="329"/>
      <w:bookmarkEnd w:id="32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设定受益计划变动情况" w:id="330"/>
      <w:bookmarkEnd w:id="330"/>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1、预计负债" w:id="331"/>
      <w:bookmarkEnd w:id="331"/>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552" w:right="0"/>
              <w:jc w:val="left"/>
              <w:rPr>
                <w:rFonts w:ascii="Times New Roman" w:hAnsi="Times New Roman" w:cs="Times New Roman" w:eastAsia="Times New Roman" w:hint="default"/>
                <w:sz w:val="18"/>
                <w:szCs w:val="18"/>
              </w:rPr>
            </w:pPr>
            <w:r>
              <w:rPr>
                <w:rFonts w:ascii="Times New Roman"/>
                <w:sz w:val="18"/>
              </w:rPr>
              <w:t>188,923.20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188,923.20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为产品提供质量保证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2"/>
        <w:gridCol w:w="2396"/>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2" w:right="0"/>
              <w:jc w:val="left"/>
              <w:rPr>
                <w:rFonts w:ascii="Times New Roman" w:hAnsi="Times New Roman" w:cs="Times New Roman" w:eastAsia="Times New Roman" w:hint="default"/>
                <w:sz w:val="18"/>
                <w:szCs w:val="18"/>
              </w:rPr>
            </w:pPr>
            <w:r>
              <w:rPr>
                <w:rFonts w:ascii="Times New Roman"/>
                <w:sz w:val="18"/>
              </w:rPr>
              <w:t>188,923.20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188,923.20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42、递延收益" w:id="332"/>
      <w:bookmarkEnd w:id="332"/>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7,916,002.20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2,837,776.30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5,578,225.90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7,916,002.20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2,837,776.30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5,578,225.90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涉及政府补助的项目：</w:t>
      </w:r>
    </w:p>
    <w:p>
      <w:pPr>
        <w:spacing w:line="240" w:lineRule="auto" w:before="6"/>
        <w:rPr>
          <w:rFonts w:ascii="宋体" w:hAnsi="宋体" w:cs="宋体" w:eastAsia="宋体" w:hint="default"/>
          <w:sz w:val="17"/>
          <w:szCs w:val="17"/>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基于海量数 据分析的智 慧银行安防 系统研究与 应用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基于海量异 构数据的智 慧银行安防 云平台研究 与应用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超宽频高精 度无线定位 通讯模块关 键技术的研 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1,246,002.20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437,776.30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808,225.90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面向社区矫 正定位跟踪 的可穿戴装 备的研发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部分与收益 </w:t>
            </w:r>
            <w:r>
              <w:rPr>
                <w:rFonts w:ascii="宋体" w:hAnsi="宋体" w:cs="宋体" w:eastAsia="宋体" w:hint="default"/>
                <w:spacing w:val="-13"/>
                <w:sz w:val="18"/>
                <w:szCs w:val="18"/>
              </w:rPr>
              <w:t>相关、部分与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一种超宽频 高精度无线 定位通讯电 路的研制专 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警民通大数 据项目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66"/>
        <w:gridCol w:w="1064"/>
        <w:gridCol w:w="1063"/>
        <w:gridCol w:w="1064"/>
        <w:gridCol w:w="1063"/>
        <w:gridCol w:w="1063"/>
        <w:gridCol w:w="1064"/>
        <w:gridCol w:w="1062"/>
        <w:gridCol w:w="1063"/>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7,916,002.20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2,837,776.30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5,578,225.90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43、其他非流动负债" w:id="333"/>
      <w:bookmarkEnd w:id="333"/>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44、股本" w:id="334"/>
      <w:bookmarkEnd w:id="334"/>
      <w:r>
        <w:rPr>
          <w:b w:val="0"/>
          <w:bCs w:val="0"/>
        </w:rPr>
      </w:r>
      <w:r>
        <w:rPr>
          <w:rFonts w:ascii="Times New Roman" w:hAnsi="Times New Roman" w:cs="Times New Roman" w:eastAsia="Times New Roman" w:hint="default"/>
        </w:rPr>
        <w:t>44</w:t>
      </w:r>
      <w:r>
        <w:rPr/>
        <w:t>、股本</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218,370,659.00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15,614,619.00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174,696,521.00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-191,573.00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190,119,567.00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408,490,226.00</w:t>
            </w:r>
          </w:p>
        </w:tc>
      </w:tr>
    </w:tbl>
    <w:p>
      <w:pPr>
        <w:spacing w:line="240" w:lineRule="auto" w:before="6"/>
        <w:rPr>
          <w:rFonts w:ascii="宋体" w:hAnsi="宋体" w:cs="宋体" w:eastAsia="宋体" w:hint="default"/>
          <w:sz w:val="6"/>
          <w:szCs w:val="6"/>
        </w:rPr>
      </w:pPr>
    </w:p>
    <w:p>
      <w:pPr>
        <w:pStyle w:val="BodyText"/>
        <w:spacing w:line="240" w:lineRule="auto" w:before="44"/>
        <w:ind w:right="0"/>
        <w:jc w:val="both"/>
      </w:pPr>
      <w:r>
        <w:rPr/>
        <w:t>其他说明：</w:t>
      </w:r>
    </w:p>
    <w:p>
      <w:pPr>
        <w:spacing w:line="240" w:lineRule="auto" w:before="12"/>
        <w:rPr>
          <w:rFonts w:ascii="宋体" w:hAnsi="宋体" w:cs="宋体" w:eastAsia="宋体" w:hint="default"/>
          <w:sz w:val="20"/>
          <w:szCs w:val="20"/>
        </w:rPr>
      </w:pPr>
    </w:p>
    <w:p>
      <w:pPr>
        <w:pStyle w:val="BodyText"/>
        <w:spacing w:line="240" w:lineRule="auto"/>
        <w:ind w:right="0"/>
        <w:jc w:val="both"/>
      </w:pPr>
      <w:r>
        <w:rPr>
          <w:rFonts w:ascii="Times New Roman" w:hAnsi="Times New Roman" w:cs="Times New Roman" w:eastAsia="Times New Roman" w:hint="default"/>
        </w:rPr>
        <w:t>1</w:t>
      </w:r>
      <w:r>
        <w:rPr/>
        <w:t>）本期股权激励授予情况</w:t>
      </w:r>
    </w:p>
    <w:p>
      <w:pPr>
        <w:spacing w:line="240" w:lineRule="auto" w:before="9"/>
        <w:rPr>
          <w:rFonts w:ascii="宋体" w:hAnsi="宋体" w:cs="宋体" w:eastAsia="宋体" w:hint="default"/>
          <w:sz w:val="19"/>
          <w:szCs w:val="19"/>
        </w:rPr>
      </w:pPr>
    </w:p>
    <w:p>
      <w:pPr>
        <w:pStyle w:val="BodyText"/>
        <w:spacing w:line="240" w:lineRule="auto"/>
        <w:ind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日，公司第三届董事会第七次会议通过了《关于向激励对象首次授予</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年激励计划股票期权与限制性股票</w:t>
      </w:r>
    </w:p>
    <w:p>
      <w:pPr>
        <w:spacing w:line="240" w:lineRule="auto" w:before="9"/>
        <w:rPr>
          <w:rFonts w:ascii="宋体" w:hAnsi="宋体" w:cs="宋体" w:eastAsia="宋体" w:hint="default"/>
          <w:sz w:val="16"/>
          <w:szCs w:val="16"/>
        </w:rPr>
      </w:pPr>
    </w:p>
    <w:p>
      <w:pPr>
        <w:pStyle w:val="BodyText"/>
        <w:spacing w:line="240" w:lineRule="auto"/>
        <w:ind w:right="0"/>
        <w:jc w:val="both"/>
      </w:pPr>
      <w:r>
        <w:rPr/>
        <w:t>的议案</w:t>
      </w:r>
      <w:r>
        <w:rPr>
          <w:spacing w:val="-90"/>
        </w:rPr>
        <w:t>》</w:t>
      </w:r>
      <w:r>
        <w:rPr/>
        <w:t>，同意以</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日为授予日，向</w:t>
      </w:r>
      <w:r>
        <w:rPr>
          <w:spacing w:val="-46"/>
        </w:rPr>
        <w:t> </w:t>
      </w:r>
      <w:r>
        <w:rPr>
          <w:rFonts w:ascii="Times New Roman" w:hAnsi="Times New Roman" w:cs="Times New Roman" w:eastAsia="Times New Roman" w:hint="default"/>
        </w:rPr>
        <w:t>188</w:t>
      </w:r>
      <w:r>
        <w:rPr>
          <w:rFonts w:ascii="Times New Roman" w:hAnsi="Times New Roman" w:cs="Times New Roman" w:eastAsia="Times New Roman" w:hint="default"/>
          <w:spacing w:val="-1"/>
        </w:rPr>
        <w:t> </w:t>
      </w:r>
      <w:r>
        <w:rPr/>
        <w:t>名激</w:t>
      </w:r>
      <w:r>
        <w:rPr>
          <w:spacing w:val="1"/>
        </w:rPr>
        <w:t>励</w:t>
      </w:r>
      <w:r>
        <w:rPr/>
        <w:t>对象授予</w:t>
      </w:r>
      <w:r>
        <w:rPr>
          <w:spacing w:val="-46"/>
        </w:rPr>
        <w:t> </w:t>
      </w:r>
      <w:r>
        <w:rPr>
          <w:rFonts w:ascii="Times New Roman" w:hAnsi="Times New Roman" w:cs="Times New Roman" w:eastAsia="Times New Roman" w:hint="default"/>
        </w:rPr>
        <w:t>15,614,619</w:t>
      </w:r>
      <w:r>
        <w:rPr>
          <w:rFonts w:ascii="Times New Roman" w:hAnsi="Times New Roman" w:cs="Times New Roman" w:eastAsia="Times New Roman" w:hint="default"/>
          <w:spacing w:val="-1"/>
        </w:rPr>
        <w:t> </w:t>
      </w:r>
      <w:r>
        <w:rPr/>
        <w:t>股限制性股票，每股面值</w:t>
      </w:r>
      <w:r>
        <w:rPr>
          <w:spacing w:val="-46"/>
        </w:rPr>
        <w:t> </w:t>
      </w:r>
      <w:r>
        <w:rPr>
          <w:rFonts w:ascii="Times New Roman" w:hAnsi="Times New Roman" w:cs="Times New Roman" w:eastAsia="Times New Roman" w:hint="default"/>
        </w:rPr>
        <w:t>1  </w:t>
      </w:r>
      <w:r>
        <w:rPr/>
        <w:t>元，每股发行</w:t>
      </w:r>
    </w:p>
    <w:p>
      <w:pPr>
        <w:spacing w:line="240" w:lineRule="auto" w:before="10"/>
        <w:rPr>
          <w:rFonts w:ascii="宋体" w:hAnsi="宋体" w:cs="宋体" w:eastAsia="宋体" w:hint="default"/>
          <w:sz w:val="16"/>
          <w:szCs w:val="16"/>
        </w:rPr>
      </w:pPr>
    </w:p>
    <w:p>
      <w:pPr>
        <w:pStyle w:val="BodyText"/>
        <w:spacing w:line="451" w:lineRule="auto"/>
        <w:ind w:right="1036"/>
        <w:jc w:val="left"/>
      </w:pPr>
      <w:r>
        <w:rPr/>
        <w:t>价格</w:t>
      </w:r>
      <w:r>
        <w:rPr>
          <w:spacing w:val="-47"/>
        </w:rPr>
        <w:t> </w:t>
      </w:r>
      <w:r>
        <w:rPr>
          <w:rFonts w:ascii="Times New Roman" w:hAnsi="Times New Roman" w:cs="Times New Roman" w:eastAsia="Times New Roman" w:hint="default"/>
        </w:rPr>
        <w:t>5.681</w:t>
      </w:r>
      <w:r>
        <w:rPr>
          <w:rFonts w:ascii="Times New Roman" w:hAnsi="Times New Roman" w:cs="Times New Roman" w:eastAsia="Times New Roman" w:hint="default"/>
          <w:spacing w:val="-1"/>
        </w:rPr>
        <w:t> </w:t>
      </w:r>
      <w:r>
        <w:rPr/>
        <w:t>元。募集资金总额减除发行费用后，募集资金净额为</w:t>
      </w:r>
      <w:r>
        <w:rPr>
          <w:spacing w:val="-47"/>
        </w:rPr>
        <w:t> </w:t>
      </w:r>
      <w:r>
        <w:rPr>
          <w:rFonts w:ascii="Times New Roman" w:hAnsi="Times New Roman" w:cs="Times New Roman" w:eastAsia="Times New Roman" w:hint="default"/>
        </w:rPr>
        <w:t>88,415,656.55</w:t>
      </w:r>
      <w:r>
        <w:rPr>
          <w:rFonts w:ascii="Times New Roman" w:hAnsi="Times New Roman" w:cs="Times New Roman" w:eastAsia="Times New Roman" w:hint="default"/>
          <w:spacing w:val="-1"/>
        </w:rPr>
        <w:t> </w:t>
      </w:r>
      <w:r>
        <w:rPr/>
        <w:t>元。其中，计入股本</w:t>
      </w:r>
      <w:r>
        <w:rPr>
          <w:spacing w:val="-47"/>
        </w:rPr>
        <w:t> </w:t>
      </w:r>
      <w:r>
        <w:rPr>
          <w:rFonts w:ascii="Times New Roman" w:hAnsi="Times New Roman" w:cs="Times New Roman" w:eastAsia="Times New Roman" w:hint="default"/>
        </w:rPr>
        <w:t>15,614,619.00</w:t>
      </w:r>
      <w:r>
        <w:rPr>
          <w:rFonts w:ascii="Times New Roman" w:hAnsi="Times New Roman" w:cs="Times New Roman" w:eastAsia="Times New Roman" w:hint="default"/>
          <w:spacing w:val="-1"/>
        </w:rPr>
        <w:t> </w:t>
      </w:r>
      <w:r>
        <w:rPr/>
        <w:t>元，计入 资本公积（股本溢价）</w:t>
      </w:r>
      <w:r>
        <w:rPr>
          <w:rFonts w:ascii="Times New Roman" w:hAnsi="Times New Roman" w:cs="Times New Roman" w:eastAsia="Times New Roman" w:hint="default"/>
        </w:rPr>
        <w:t>72,801,037.55</w:t>
      </w:r>
      <w:r>
        <w:rPr>
          <w:rFonts w:ascii="Times New Roman" w:hAnsi="Times New Roman" w:cs="Times New Roman" w:eastAsia="Times New Roman" w:hint="default"/>
          <w:spacing w:val="-4"/>
        </w:rPr>
        <w:t> </w:t>
      </w:r>
      <w:r>
        <w:rPr/>
        <w:t>元。本次增资业经天健会计师事务所（特殊普通合伙）审验，并由其出具《验资报告》</w:t>
      </w:r>
    </w:p>
    <w:p>
      <w:pPr>
        <w:pStyle w:val="BodyText"/>
        <w:spacing w:line="240" w:lineRule="auto" w:before="44"/>
        <w:ind w:right="0"/>
        <w:jc w:val="both"/>
      </w:pPr>
      <w:r>
        <w:rPr/>
        <w:t>（天健验〔</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7-18</w:t>
      </w:r>
      <w:r>
        <w:rPr>
          <w:rFonts w:ascii="Times New Roman" w:hAnsi="Times New Roman" w:cs="Times New Roman" w:eastAsia="Times New Roman" w:hint="default"/>
          <w:spacing w:val="-1"/>
        </w:rPr>
        <w:t> </w:t>
      </w:r>
      <w:r>
        <w:rPr/>
        <w:t>号</w:t>
      </w:r>
      <w:r>
        <w:rPr>
          <w:spacing w:val="-90"/>
        </w:rPr>
        <w:t>）</w:t>
      </w:r>
      <w:r>
        <w:rPr/>
        <w:t>。</w:t>
      </w:r>
    </w:p>
    <w:p>
      <w:pPr>
        <w:spacing w:line="240" w:lineRule="auto" w:before="10"/>
        <w:rPr>
          <w:rFonts w:ascii="宋体" w:hAnsi="宋体" w:cs="宋体" w:eastAsia="宋体" w:hint="default"/>
          <w:sz w:val="19"/>
          <w:szCs w:val="19"/>
        </w:rPr>
      </w:pPr>
    </w:p>
    <w:p>
      <w:pPr>
        <w:pStyle w:val="BodyText"/>
        <w:spacing w:line="240" w:lineRule="auto"/>
        <w:ind w:right="0"/>
        <w:jc w:val="both"/>
      </w:pPr>
      <w:r>
        <w:rPr>
          <w:rFonts w:ascii="Times New Roman" w:hAnsi="Times New Roman" w:cs="Times New Roman" w:eastAsia="Times New Roman" w:hint="default"/>
        </w:rPr>
        <w:t>2</w:t>
      </w:r>
      <w:r>
        <w:rPr/>
        <w:t>）资本公积转增股本</w:t>
      </w:r>
    </w:p>
    <w:p>
      <w:pPr>
        <w:spacing w:line="240" w:lineRule="auto" w:before="10"/>
        <w:rPr>
          <w:rFonts w:ascii="宋体" w:hAnsi="宋体" w:cs="宋体" w:eastAsia="宋体" w:hint="default"/>
          <w:sz w:val="19"/>
          <w:szCs w:val="19"/>
        </w:rPr>
      </w:pPr>
    </w:p>
    <w:p>
      <w:pPr>
        <w:pStyle w:val="BodyText"/>
        <w:spacing w:line="240" w:lineRule="auto"/>
        <w:ind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spacing w:val="-10"/>
        </w:rPr>
        <w:t>日，公司</w:t>
      </w:r>
      <w:r>
        <w:rPr>
          <w:spacing w:val="-46"/>
        </w:rPr>
        <w:t> </w:t>
      </w:r>
      <w:r>
        <w:rPr>
          <w:rFonts w:ascii="Times New Roman" w:hAnsi="Times New Roman" w:cs="Times New Roman" w:eastAsia="Times New Roman" w:hint="default"/>
        </w:rPr>
        <w:t>2017 </w:t>
      </w:r>
      <w:r>
        <w:rPr/>
        <w:t>年年度股东大会审议通过了</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3"/>
        </w:rPr>
        <w:t>年年度权益分派方案，</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日公司公告</w:t>
      </w:r>
      <w:r>
        <w:rPr>
          <w:spacing w:val="-46"/>
        </w:rPr>
        <w:t> </w:t>
      </w:r>
      <w:r>
        <w:rPr>
          <w:rFonts w:ascii="Times New Roman" w:hAnsi="Times New Roman" w:cs="Times New Roman" w:eastAsia="Times New Roman" w:hint="default"/>
        </w:rPr>
        <w:t>2017 </w:t>
      </w:r>
      <w:r>
        <w:rPr/>
        <w:t>年年</w:t>
      </w:r>
    </w:p>
    <w:p>
      <w:pPr>
        <w:spacing w:line="240" w:lineRule="auto" w:before="9"/>
        <w:rPr>
          <w:rFonts w:ascii="宋体" w:hAnsi="宋体" w:cs="宋体" w:eastAsia="宋体" w:hint="default"/>
          <w:sz w:val="16"/>
          <w:szCs w:val="16"/>
        </w:rPr>
      </w:pPr>
    </w:p>
    <w:p>
      <w:pPr>
        <w:pStyle w:val="BodyText"/>
        <w:spacing w:line="240" w:lineRule="auto"/>
        <w:ind w:right="0"/>
        <w:jc w:val="both"/>
      </w:pPr>
      <w:r>
        <w:rPr/>
        <w:t>度权益分派方案为</w:t>
      </w:r>
      <w:r>
        <w:rPr>
          <w:spacing w:val="-90"/>
        </w:rPr>
        <w:t>：</w:t>
      </w:r>
      <w:r>
        <w:rPr>
          <w:spacing w:val="-28"/>
        </w:rPr>
        <w:t>：</w:t>
      </w:r>
      <w:r>
        <w:rPr/>
        <w:t>以公司现有总股本</w:t>
      </w:r>
      <w:r>
        <w:rPr>
          <w:spacing w:val="-46"/>
        </w:rPr>
        <w:t> </w:t>
      </w:r>
      <w:r>
        <w:rPr>
          <w:rFonts w:ascii="Times New Roman" w:hAnsi="Times New Roman" w:cs="Times New Roman" w:eastAsia="Times New Roman" w:hint="default"/>
        </w:rPr>
        <w:t>218,291,439  </w:t>
      </w:r>
      <w:r>
        <w:rPr/>
        <w:t>股</w:t>
      </w:r>
      <w:r>
        <w:rPr>
          <w:spacing w:val="-2"/>
        </w:rPr>
        <w:t>为</w:t>
      </w:r>
      <w:r>
        <w:rPr/>
        <w:t>基数</w:t>
      </w:r>
      <w:r>
        <w:rPr>
          <w:spacing w:val="-28"/>
        </w:rPr>
        <w:t>，</w:t>
      </w:r>
      <w:r>
        <w:rPr/>
        <w:t>以资本公积金向全体股东每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w:t>
      </w:r>
      <w:r>
        <w:rPr>
          <w:spacing w:val="1"/>
        </w:rPr>
        <w:t>转</w:t>
      </w:r>
      <w:r>
        <w:rPr/>
        <w:t>增</w:t>
      </w:r>
      <w:r>
        <w:rPr>
          <w:spacing w:val="-46"/>
        </w:rPr>
        <w:t> </w:t>
      </w:r>
      <w:r>
        <w:rPr>
          <w:rFonts w:ascii="Times New Roman" w:hAnsi="Times New Roman" w:cs="Times New Roman" w:eastAsia="Times New Roman" w:hint="default"/>
        </w:rPr>
        <w:t>8.002903</w:t>
      </w:r>
      <w:r>
        <w:rPr>
          <w:rFonts w:ascii="Times New Roman" w:hAnsi="Times New Roman" w:cs="Times New Roman" w:eastAsia="Times New Roman" w:hint="default"/>
          <w:spacing w:val="-1"/>
        </w:rPr>
        <w:t> </w:t>
      </w:r>
      <w:r>
        <w:rPr/>
        <w:t>股</w:t>
      </w:r>
      <w:r>
        <w:rPr>
          <w:spacing w:val="-28"/>
        </w:rPr>
        <w:t>，</w:t>
      </w:r>
      <w:r>
        <w:rPr/>
        <w:t>合</w:t>
      </w:r>
      <w:r>
        <w:rPr>
          <w:spacing w:val="1"/>
        </w:rPr>
        <w:t>计</w:t>
      </w:r>
      <w:r>
        <w:rPr/>
        <w:t>转</w:t>
      </w:r>
    </w:p>
    <w:p>
      <w:pPr>
        <w:spacing w:line="240" w:lineRule="auto" w:before="11"/>
        <w:rPr>
          <w:rFonts w:ascii="宋体" w:hAnsi="宋体" w:cs="宋体" w:eastAsia="宋体" w:hint="default"/>
          <w:sz w:val="16"/>
          <w:szCs w:val="16"/>
        </w:rPr>
      </w:pPr>
    </w:p>
    <w:p>
      <w:pPr>
        <w:pStyle w:val="BodyText"/>
        <w:spacing w:line="240" w:lineRule="auto"/>
        <w:ind w:right="0"/>
        <w:jc w:val="both"/>
      </w:pPr>
      <w:r>
        <w:rPr/>
        <w:t>增股份数量为</w:t>
      </w:r>
      <w:r>
        <w:rPr>
          <w:spacing w:val="-47"/>
        </w:rPr>
        <w:t> </w:t>
      </w:r>
      <w:r>
        <w:rPr>
          <w:rFonts w:ascii="Times New Roman" w:hAnsi="Times New Roman" w:cs="Times New Roman" w:eastAsia="Times New Roman" w:hint="default"/>
        </w:rPr>
        <w:t>174,696,521</w:t>
      </w:r>
      <w:r>
        <w:rPr>
          <w:rFonts w:ascii="Times New Roman" w:hAnsi="Times New Roman" w:cs="Times New Roman" w:eastAsia="Times New Roman" w:hint="default"/>
          <w:spacing w:val="43"/>
        </w:rPr>
        <w:t> </w:t>
      </w:r>
      <w:r>
        <w:rPr/>
        <w:t>股，金额</w:t>
      </w:r>
      <w:r>
        <w:rPr>
          <w:spacing w:val="-47"/>
        </w:rPr>
        <w:t> </w:t>
      </w:r>
      <w:r>
        <w:rPr>
          <w:rFonts w:ascii="Times New Roman" w:hAnsi="Times New Roman" w:cs="Times New Roman" w:eastAsia="Times New Roman" w:hint="default"/>
        </w:rPr>
        <w:t>174,696,521.00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19"/>
          <w:szCs w:val="19"/>
        </w:rPr>
      </w:pPr>
    </w:p>
    <w:p>
      <w:pPr>
        <w:pStyle w:val="BodyText"/>
        <w:spacing w:line="240" w:lineRule="auto"/>
        <w:ind w:right="0"/>
        <w:jc w:val="both"/>
      </w:pPr>
      <w:r>
        <w:rPr>
          <w:rFonts w:ascii="Times New Roman" w:hAnsi="Times New Roman" w:cs="Times New Roman" w:eastAsia="Times New Roman" w:hint="default"/>
        </w:rPr>
        <w:t>3</w:t>
      </w:r>
      <w:r>
        <w:rPr/>
        <w:t>）其他变动情况</w:t>
      </w:r>
    </w:p>
    <w:p>
      <w:pPr>
        <w:spacing w:line="240" w:lineRule="auto" w:before="9"/>
        <w:rPr>
          <w:rFonts w:ascii="宋体" w:hAnsi="宋体" w:cs="宋体" w:eastAsia="宋体" w:hint="default"/>
          <w:sz w:val="19"/>
          <w:szCs w:val="19"/>
        </w:rPr>
      </w:pPr>
    </w:p>
    <w:p>
      <w:pPr>
        <w:pStyle w:val="BodyText"/>
        <w:spacing w:line="240" w:lineRule="auto"/>
        <w:ind w:right="0"/>
        <w:jc w:val="both"/>
      </w:pPr>
      <w:r>
        <w:rPr/>
        <w:t>①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w:t>
      </w:r>
      <w:r>
        <w:rPr>
          <w:spacing w:val="-10"/>
        </w:rPr>
        <w:t>，</w:t>
      </w:r>
      <w:r>
        <w:rPr/>
        <w:t>公</w:t>
      </w:r>
      <w:r>
        <w:rPr>
          <w:spacing w:val="1"/>
        </w:rPr>
        <w:t>司</w:t>
      </w:r>
      <w:r>
        <w:rPr/>
        <w:t>第二届董事会第四十次会议通</w:t>
      </w:r>
      <w:r>
        <w:rPr>
          <w:spacing w:val="-10"/>
        </w:rPr>
        <w:t>过</w:t>
      </w:r>
      <w:r>
        <w:rPr/>
        <w:t>《关于回购注销部分限制性股票的议案</w:t>
      </w:r>
      <w:r>
        <w:rPr>
          <w:spacing w:val="-90"/>
        </w:rPr>
        <w:t>》</w:t>
      </w:r>
      <w:r>
        <w:rPr>
          <w:spacing w:val="-10"/>
        </w:rPr>
        <w:t>，</w:t>
      </w:r>
      <w:r>
        <w:rPr/>
        <w:t>同意回购注销</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名激</w:t>
      </w:r>
    </w:p>
    <w:p>
      <w:pPr>
        <w:spacing w:line="240" w:lineRule="auto" w:before="9"/>
        <w:rPr>
          <w:rFonts w:ascii="宋体" w:hAnsi="宋体" w:cs="宋体" w:eastAsia="宋体" w:hint="default"/>
          <w:sz w:val="16"/>
          <w:szCs w:val="16"/>
        </w:rPr>
      </w:pPr>
    </w:p>
    <w:p>
      <w:pPr>
        <w:pStyle w:val="BodyText"/>
        <w:spacing w:line="451" w:lineRule="auto"/>
        <w:ind w:right="1130"/>
        <w:jc w:val="both"/>
      </w:pPr>
      <w:r>
        <w:rPr/>
        <w:t>励对象已授予但未满足解锁条件的限制性股票</w:t>
      </w:r>
      <w:r>
        <w:rPr>
          <w:spacing w:val="-45"/>
        </w:rPr>
        <w:t> </w:t>
      </w:r>
      <w:r>
        <w:rPr>
          <w:rFonts w:ascii="Times New Roman" w:hAnsi="Times New Roman" w:cs="Times New Roman" w:eastAsia="Times New Roman" w:hint="default"/>
        </w:rPr>
        <w:t>7.922</w:t>
      </w:r>
      <w:r>
        <w:rPr>
          <w:rFonts w:ascii="Times New Roman" w:hAnsi="Times New Roman" w:cs="Times New Roman" w:eastAsia="Times New Roman" w:hint="default"/>
          <w:spacing w:val="1"/>
        </w:rPr>
        <w:t> </w:t>
      </w:r>
      <w:r>
        <w:rPr>
          <w:spacing w:val="-3"/>
        </w:rPr>
        <w:t>万股。公司向该</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名激励对象支付回购款</w:t>
      </w:r>
      <w:r>
        <w:rPr>
          <w:spacing w:val="-45"/>
        </w:rPr>
        <w:t> </w:t>
      </w:r>
      <w:r>
        <w:rPr>
          <w:rFonts w:ascii="Times New Roman" w:hAnsi="Times New Roman" w:cs="Times New Roman" w:eastAsia="Times New Roman" w:hint="default"/>
        </w:rPr>
        <w:t>923,028.00 </w:t>
      </w:r>
      <w:r>
        <w:rPr>
          <w:spacing w:val="-3"/>
        </w:rPr>
        <w:t>元。本次减资减少</w:t>
      </w:r>
      <w:r>
        <w:rPr/>
        <w:t> 股本</w:t>
      </w:r>
      <w:r>
        <w:rPr>
          <w:spacing w:val="-46"/>
        </w:rPr>
        <w:t> </w:t>
      </w:r>
      <w:r>
        <w:rPr>
          <w:rFonts w:ascii="Times New Roman" w:hAnsi="Times New Roman" w:cs="Times New Roman" w:eastAsia="Times New Roman" w:hint="default"/>
        </w:rPr>
        <w:t>79,220.00 </w:t>
      </w:r>
      <w:r>
        <w:rPr/>
        <w:t>元，减少资本公积（股本溢价）</w:t>
      </w:r>
      <w:r>
        <w:rPr>
          <w:rFonts w:ascii="Times New Roman" w:hAnsi="Times New Roman" w:cs="Times New Roman" w:eastAsia="Times New Roman" w:hint="default"/>
        </w:rPr>
        <w:t>843,808.00</w:t>
      </w:r>
      <w:r>
        <w:rPr>
          <w:rFonts w:ascii="Times New Roman" w:hAnsi="Times New Roman" w:cs="Times New Roman" w:eastAsia="Times New Roman" w:hint="default"/>
          <w:spacing w:val="-1"/>
        </w:rPr>
        <w:t> </w:t>
      </w:r>
      <w:r>
        <w:rPr/>
        <w:t>元。本次减资业经天健会计师事务所（特殊普通合伙）审验，并 </w:t>
      </w:r>
      <w:r>
        <w:rPr>
          <w:spacing w:val="-4"/>
        </w:rPr>
        <w:t>由其出具《验资报告》（天健验〔</w:t>
      </w:r>
      <w:r>
        <w:rPr>
          <w:rFonts w:ascii="Times New Roman" w:hAnsi="Times New Roman" w:cs="Times New Roman" w:eastAsia="Times New Roman" w:hint="default"/>
          <w:spacing w:val="-4"/>
        </w:rPr>
        <w:t>2018</w:t>
      </w:r>
      <w:r>
        <w:rPr>
          <w:spacing w:val="-4"/>
        </w:rPr>
        <w:t>〕</w:t>
      </w:r>
      <w:r>
        <w:rPr>
          <w:rFonts w:ascii="Times New Roman" w:hAnsi="Times New Roman" w:cs="Times New Roman" w:eastAsia="Times New Roman" w:hint="default"/>
          <w:spacing w:val="-4"/>
        </w:rPr>
        <w:t>7-15</w:t>
      </w:r>
      <w:r>
        <w:rPr>
          <w:rFonts w:ascii="Times New Roman" w:hAnsi="Times New Roman" w:cs="Times New Roman" w:eastAsia="Times New Roman" w:hint="default"/>
          <w:spacing w:val="5"/>
        </w:rPr>
        <w:t> </w:t>
      </w:r>
      <w:r>
        <w:rPr>
          <w:spacing w:val="-30"/>
        </w:rPr>
        <w:t>号）。</w:t>
      </w:r>
    </w:p>
    <w:p>
      <w:pPr>
        <w:pStyle w:val="BodyText"/>
        <w:spacing w:line="240" w:lineRule="auto" w:before="83"/>
        <w:ind w:right="0"/>
        <w:jc w:val="both"/>
      </w:pPr>
      <w:r>
        <w:rPr/>
        <w:t>②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r>
        <w:rPr>
          <w:spacing w:val="-13"/>
        </w:rPr>
        <w:t>，</w:t>
      </w:r>
      <w:r>
        <w:rPr/>
        <w:t>公</w:t>
      </w:r>
      <w:r>
        <w:rPr>
          <w:spacing w:val="1"/>
        </w:rPr>
        <w:t>司</w:t>
      </w:r>
      <w:r>
        <w:rPr/>
        <w:t>第三届董事会第七次会议通</w:t>
      </w:r>
      <w:r>
        <w:rPr>
          <w:spacing w:val="-13"/>
        </w:rPr>
        <w:t>过</w:t>
      </w:r>
      <w:r>
        <w:rPr/>
        <w:t>《关于回购注销部分限制性股票的议案</w:t>
      </w:r>
      <w:r>
        <w:rPr>
          <w:spacing w:val="-90"/>
        </w:rPr>
        <w:t>》</w:t>
      </w:r>
      <w:r>
        <w:rPr>
          <w:spacing w:val="-13"/>
        </w:rPr>
        <w:t>，</w:t>
      </w:r>
      <w:r>
        <w:rPr/>
        <w:t>同意回购注销</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名激励</w:t>
      </w:r>
    </w:p>
    <w:p>
      <w:pPr>
        <w:spacing w:line="240" w:lineRule="auto" w:before="9"/>
        <w:rPr>
          <w:rFonts w:ascii="宋体" w:hAnsi="宋体" w:cs="宋体" w:eastAsia="宋体" w:hint="default"/>
          <w:sz w:val="16"/>
          <w:szCs w:val="16"/>
        </w:rPr>
      </w:pPr>
    </w:p>
    <w:p>
      <w:pPr>
        <w:pStyle w:val="BodyText"/>
        <w:spacing w:line="451" w:lineRule="auto"/>
        <w:ind w:right="1120"/>
        <w:jc w:val="left"/>
      </w:pPr>
      <w:r>
        <w:rPr/>
        <w:t>对象已授予但未满足解锁条件限制性股票</w:t>
      </w:r>
      <w:r>
        <w:rPr>
          <w:spacing w:val="-47"/>
        </w:rPr>
        <w:t> </w:t>
      </w:r>
      <w:r>
        <w:rPr>
          <w:rFonts w:ascii="Times New Roman" w:hAnsi="Times New Roman" w:cs="Times New Roman" w:eastAsia="Times New Roman" w:hint="default"/>
        </w:rPr>
        <w:t>11.2353</w:t>
      </w:r>
      <w:r>
        <w:rPr>
          <w:rFonts w:ascii="Times New Roman" w:hAnsi="Times New Roman" w:cs="Times New Roman" w:eastAsia="Times New Roman" w:hint="default"/>
          <w:spacing w:val="-2"/>
        </w:rPr>
        <w:t> </w:t>
      </w:r>
      <w:r>
        <w:rPr/>
        <w:t>万股，公司向该</w:t>
      </w:r>
      <w:r>
        <w:rPr>
          <w:spacing w:val="-47"/>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名激励对象支付回购</w:t>
      </w:r>
      <w:r>
        <w:rPr>
          <w:spacing w:val="-47"/>
        </w:rPr>
        <w:t> </w:t>
      </w:r>
      <w:r>
        <w:rPr>
          <w:rFonts w:ascii="Times New Roman" w:hAnsi="Times New Roman" w:cs="Times New Roman" w:eastAsia="Times New Roman" w:hint="default"/>
        </w:rPr>
        <w:t>783,177.00</w:t>
      </w:r>
      <w:r>
        <w:rPr>
          <w:rFonts w:ascii="Times New Roman" w:hAnsi="Times New Roman" w:cs="Times New Roman" w:eastAsia="Times New Roman" w:hint="default"/>
          <w:spacing w:val="-2"/>
        </w:rPr>
        <w:t> </w:t>
      </w:r>
      <w:r>
        <w:rPr/>
        <w:t>元。本次减资减少股 本</w:t>
      </w:r>
      <w:r>
        <w:rPr>
          <w:spacing w:val="-60"/>
        </w:rPr>
        <w:t> </w:t>
      </w:r>
      <w:r>
        <w:rPr>
          <w:rFonts w:ascii="Times New Roman" w:hAnsi="Times New Roman" w:cs="Times New Roman" w:eastAsia="Times New Roman" w:hint="default"/>
        </w:rPr>
        <w:t>112,353.00</w:t>
      </w:r>
      <w:r>
        <w:rPr>
          <w:rFonts w:ascii="Times New Roman" w:hAnsi="Times New Roman" w:cs="Times New Roman" w:eastAsia="Times New Roman" w:hint="default"/>
          <w:spacing w:val="-14"/>
        </w:rPr>
        <w:t> </w:t>
      </w:r>
      <w:r>
        <w:rPr/>
        <w:t>元，减少资本公积（股本溢价）</w:t>
      </w:r>
      <w:r>
        <w:rPr>
          <w:rFonts w:ascii="Times New Roman" w:hAnsi="Times New Roman" w:cs="Times New Roman" w:eastAsia="Times New Roman" w:hint="default"/>
        </w:rPr>
        <w:t>670,824.00</w:t>
      </w:r>
      <w:r>
        <w:rPr>
          <w:rFonts w:ascii="Times New Roman" w:hAnsi="Times New Roman" w:cs="Times New Roman" w:eastAsia="Times New Roman" w:hint="default"/>
          <w:spacing w:val="-14"/>
        </w:rPr>
        <w:t> </w:t>
      </w:r>
      <w:r>
        <w:rPr/>
        <w:t>元。本次减资业经天健会计师事务所（特殊普通合伙）审验，并由</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其出具《验资报告</w:t>
      </w:r>
      <w:r>
        <w:rPr>
          <w:spacing w:val="-90"/>
        </w:rPr>
        <w:t>》</w:t>
      </w:r>
      <w:r>
        <w:rPr/>
        <w:t>（天健验〔</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7-32</w:t>
      </w:r>
      <w:r>
        <w:rPr>
          <w:rFonts w:ascii="Times New Roman" w:hAnsi="Times New Roman" w:cs="Times New Roman" w:eastAsia="Times New Roman" w:hint="default"/>
          <w:spacing w:val="-1"/>
        </w:rPr>
        <w:t> </w:t>
      </w:r>
      <w:r>
        <w:rPr/>
        <w:t>号</w:t>
      </w:r>
      <w:r>
        <w:rPr>
          <w:spacing w:val="-90"/>
        </w:rPr>
        <w:t>）</w:t>
      </w:r>
      <w:r>
        <w:rPr/>
        <w:t>。</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45、其他权益工具" w:id="335"/>
      <w:bookmarkEnd w:id="335"/>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90"/>
        <w:ind w:right="0"/>
        <w:jc w:val="left"/>
        <w:rPr>
          <w:b w:val="0"/>
          <w:bCs w:val="0"/>
        </w:rPr>
      </w:pPr>
      <w:bookmarkStart w:name="（1）期末发行在外的优先股、永续债等其他金融工具基本情况" w:id="336"/>
      <w:bookmarkEnd w:id="33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期末发行在外的优先股、永续债等金融工具变动情况表" w:id="337"/>
      <w:bookmarkEnd w:id="33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6、资本公积" w:id="338"/>
      <w:bookmarkEnd w:id="338"/>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585,704,375.76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78,426,299.89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176,211,153.00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487,919,522.65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6,024,140.00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16,635,006.10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5,605,340.00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17,053,806.10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591,728,515.76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95,061,305.99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181,816,493.00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504,973,328.75</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其他说明，包括本期增减变动情况、变动原因说明：</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1</w:t>
      </w:r>
      <w:r>
        <w:rPr/>
        <w:t>）资本溢价（股本溢价）</w:t>
      </w:r>
    </w:p>
    <w:p>
      <w:pPr>
        <w:spacing w:line="240" w:lineRule="auto" w:before="11"/>
        <w:rPr>
          <w:rFonts w:ascii="宋体" w:hAnsi="宋体" w:cs="宋体" w:eastAsia="宋体" w:hint="default"/>
          <w:sz w:val="19"/>
          <w:szCs w:val="19"/>
        </w:rPr>
      </w:pPr>
    </w:p>
    <w:p>
      <w:pPr>
        <w:pStyle w:val="BodyText"/>
        <w:spacing w:line="240" w:lineRule="auto"/>
        <w:ind w:right="0"/>
        <w:jc w:val="left"/>
      </w:pPr>
      <w:r>
        <w:rPr/>
        <w:t>① 公司授予限制性股票增加资本溢价（股本溢价）</w:t>
      </w:r>
      <w:r>
        <w:rPr>
          <w:rFonts w:ascii="Times New Roman" w:hAnsi="Times New Roman" w:cs="Times New Roman" w:eastAsia="Times New Roman" w:hint="default"/>
        </w:rPr>
        <w:t>72,801,037.55 </w:t>
      </w:r>
      <w:r>
        <w:rPr/>
        <w:t>元。详见本财务报表附注</w:t>
      </w:r>
      <w:r>
        <w:rPr>
          <w:spacing w:val="-50"/>
        </w:rPr>
        <w:t> </w:t>
      </w:r>
      <w:r>
        <w:rPr>
          <w:rFonts w:ascii="Times New Roman" w:hAnsi="Times New Roman" w:cs="Times New Roman" w:eastAsia="Times New Roman" w:hint="default"/>
        </w:rPr>
        <w:t>44</w:t>
      </w:r>
      <w:r>
        <w:rPr/>
        <w:t>、股本的说明。</w:t>
      </w:r>
    </w:p>
    <w:p>
      <w:pPr>
        <w:spacing w:line="240" w:lineRule="auto" w:before="10"/>
        <w:rPr>
          <w:rFonts w:ascii="宋体" w:hAnsi="宋体" w:cs="宋体" w:eastAsia="宋体" w:hint="default"/>
          <w:sz w:val="19"/>
          <w:szCs w:val="19"/>
        </w:rPr>
      </w:pPr>
    </w:p>
    <w:p>
      <w:pPr>
        <w:pStyle w:val="BodyText"/>
        <w:spacing w:line="240" w:lineRule="auto"/>
        <w:ind w:right="0"/>
        <w:jc w:val="left"/>
      </w:pPr>
      <w:r>
        <w:rPr/>
        <w:t>② 限制性股票本年部分解锁，增加资本溢价（股本溢价）</w:t>
      </w:r>
      <w:r>
        <w:rPr>
          <w:rFonts w:ascii="Times New Roman" w:hAnsi="Times New Roman" w:cs="Times New Roman" w:eastAsia="Times New Roman" w:hint="default"/>
        </w:rPr>
        <w:t>5,605,340.00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19"/>
          <w:szCs w:val="19"/>
        </w:rPr>
      </w:pPr>
    </w:p>
    <w:p>
      <w:pPr>
        <w:pStyle w:val="BodyText"/>
        <w:spacing w:line="240" w:lineRule="auto"/>
        <w:ind w:right="0"/>
        <w:jc w:val="left"/>
      </w:pPr>
      <w:r>
        <w:rPr/>
        <w:t>③ 回购限制性股票导致不能发放的分红，增加资本公积（股本溢价）</w:t>
      </w:r>
      <w:r>
        <w:rPr>
          <w:rFonts w:ascii="Times New Roman" w:hAnsi="Times New Roman" w:cs="Times New Roman" w:eastAsia="Times New Roman" w:hint="default"/>
        </w:rPr>
        <w:t>19,922.34  </w:t>
      </w:r>
      <w:r>
        <w:rPr/>
        <w:t>元。</w:t>
      </w:r>
    </w:p>
    <w:p>
      <w:pPr>
        <w:spacing w:line="240" w:lineRule="auto" w:before="11"/>
        <w:rPr>
          <w:rFonts w:ascii="宋体" w:hAnsi="宋体" w:cs="宋体" w:eastAsia="宋体" w:hint="default"/>
          <w:sz w:val="19"/>
          <w:szCs w:val="19"/>
        </w:rPr>
      </w:pPr>
    </w:p>
    <w:p>
      <w:pPr>
        <w:pStyle w:val="BodyText"/>
        <w:spacing w:line="240" w:lineRule="auto"/>
        <w:ind w:right="0"/>
        <w:jc w:val="left"/>
      </w:pPr>
      <w:r>
        <w:rPr/>
        <w:t>④ 资本公积转增股本，减少资本溢价（股本溢价）</w:t>
      </w:r>
      <w:r>
        <w:rPr>
          <w:rFonts w:ascii="Times New Roman" w:hAnsi="Times New Roman" w:cs="Times New Roman" w:eastAsia="Times New Roman" w:hint="default"/>
        </w:rPr>
        <w:t>174,696,521.00 </w:t>
      </w:r>
      <w:r>
        <w:rPr/>
        <w:t>元。详见本财务报表附注</w:t>
      </w:r>
      <w:r>
        <w:rPr>
          <w:spacing w:val="-50"/>
        </w:rPr>
        <w:t> </w:t>
      </w:r>
      <w:r>
        <w:rPr>
          <w:rFonts w:ascii="Times New Roman" w:hAnsi="Times New Roman" w:cs="Times New Roman" w:eastAsia="Times New Roman" w:hint="default"/>
        </w:rPr>
        <w:t>44</w:t>
      </w:r>
      <w:r>
        <w:rPr/>
        <w:t>、股本的说明。</w:t>
      </w:r>
    </w:p>
    <w:p>
      <w:pPr>
        <w:spacing w:line="240" w:lineRule="auto" w:before="10"/>
        <w:rPr>
          <w:rFonts w:ascii="宋体" w:hAnsi="宋体" w:cs="宋体" w:eastAsia="宋体" w:hint="default"/>
          <w:sz w:val="19"/>
          <w:szCs w:val="19"/>
        </w:rPr>
      </w:pPr>
    </w:p>
    <w:p>
      <w:pPr>
        <w:pStyle w:val="BodyText"/>
        <w:spacing w:line="489" w:lineRule="auto"/>
        <w:ind w:right="0"/>
        <w:jc w:val="left"/>
      </w:pPr>
      <w:r>
        <w:rPr/>
        <w:t>⑤ 回购未满足解锁条件股份，减少资本溢价（股本溢价）</w:t>
      </w:r>
      <w:r>
        <w:rPr>
          <w:rFonts w:ascii="Times New Roman" w:hAnsi="Times New Roman" w:cs="Times New Roman" w:eastAsia="Times New Roman" w:hint="default"/>
        </w:rPr>
        <w:t>1,514,632.00 </w:t>
      </w:r>
      <w:r>
        <w:rPr/>
        <w:t>元。详见本财务报表附注</w:t>
      </w:r>
      <w:r>
        <w:rPr>
          <w:spacing w:val="-49"/>
        </w:rPr>
        <w:t> </w:t>
      </w:r>
      <w:r>
        <w:rPr>
          <w:rFonts w:ascii="Times New Roman" w:hAnsi="Times New Roman" w:cs="Times New Roman" w:eastAsia="Times New Roman" w:hint="default"/>
        </w:rPr>
        <w:t>44</w:t>
      </w:r>
      <w:r>
        <w:rPr/>
        <w:t>、股本的说明。 </w:t>
      </w:r>
      <w:r>
        <w:rPr>
          <w:rFonts w:ascii="Times New Roman" w:hAnsi="Times New Roman" w:cs="Times New Roman" w:eastAsia="Times New Roman" w:hint="default"/>
        </w:rPr>
        <w:t>2</w:t>
      </w:r>
      <w:r>
        <w:rPr/>
        <w:t>）其他资本公积本期变动说明</w:t>
      </w:r>
    </w:p>
    <w:p>
      <w:pPr>
        <w:pStyle w:val="BodyText"/>
        <w:spacing w:line="240" w:lineRule="auto" w:before="52"/>
        <w:ind w:right="0"/>
        <w:jc w:val="left"/>
      </w:pPr>
      <w:r>
        <w:rPr/>
        <w:t>① 摊销股权激励成本增加其他资本公积</w:t>
      </w:r>
      <w:r>
        <w:rPr>
          <w:spacing w:val="-46"/>
        </w:rPr>
        <w:t> </w:t>
      </w:r>
      <w:r>
        <w:rPr>
          <w:rFonts w:ascii="Times New Roman" w:hAnsi="Times New Roman" w:cs="Times New Roman" w:eastAsia="Times New Roman" w:hint="default"/>
        </w:rPr>
        <w:t>15,290,641.00 </w:t>
      </w:r>
      <w:r>
        <w:rPr/>
        <w:t>元。</w:t>
      </w:r>
    </w:p>
    <w:p>
      <w:pPr>
        <w:spacing w:line="240" w:lineRule="auto" w:before="10"/>
        <w:rPr>
          <w:rFonts w:ascii="宋体" w:hAnsi="宋体" w:cs="宋体" w:eastAsia="宋体" w:hint="default"/>
          <w:sz w:val="19"/>
          <w:szCs w:val="19"/>
        </w:rPr>
      </w:pPr>
    </w:p>
    <w:p>
      <w:pPr>
        <w:pStyle w:val="BodyText"/>
        <w:spacing w:line="240" w:lineRule="auto"/>
        <w:ind w:right="0"/>
        <w:jc w:val="left"/>
      </w:pPr>
      <w:r>
        <w:rPr/>
        <w:t>②子公司深圳市润安科技发展有限公司摊销股权激励成本增加其他资本公积</w:t>
      </w:r>
      <w:r>
        <w:rPr>
          <w:spacing w:val="-46"/>
        </w:rPr>
        <w:t> </w:t>
      </w:r>
      <w:r>
        <w:rPr>
          <w:rFonts w:ascii="Times New Roman" w:hAnsi="Times New Roman" w:cs="Times New Roman" w:eastAsia="Times New Roman" w:hint="default"/>
        </w:rPr>
        <w:t>1,344,365.10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19"/>
          <w:szCs w:val="19"/>
        </w:rPr>
      </w:pPr>
    </w:p>
    <w:p>
      <w:pPr>
        <w:pStyle w:val="BodyText"/>
        <w:spacing w:line="240" w:lineRule="auto"/>
        <w:ind w:right="0"/>
        <w:jc w:val="left"/>
      </w:pPr>
      <w:r>
        <w:rPr/>
        <w:t>③</w:t>
      </w:r>
      <w:r>
        <w:rPr>
          <w:spacing w:val="-1"/>
        </w:rPr>
        <w:t> </w:t>
      </w:r>
      <w:r>
        <w:rPr/>
        <w:t>限制性股票本年部分解锁，减少其他资本公积</w:t>
      </w:r>
      <w:r>
        <w:rPr>
          <w:spacing w:val="-46"/>
        </w:rPr>
        <w:t> </w:t>
      </w:r>
      <w:r>
        <w:rPr>
          <w:rFonts w:ascii="Times New Roman" w:hAnsi="Times New Roman" w:cs="Times New Roman" w:eastAsia="Times New Roman" w:hint="default"/>
        </w:rPr>
        <w:t>5,605,340.00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47、库存股" w:id="339"/>
      <w:bookmarkEnd w:id="339"/>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股权激励需回购的库存 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17,966,615.03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107,793,539.70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12,692,403.90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113,067,750.83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17,966,615.03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107,793,539.70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12,692,403.90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113,067,750.83</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1</w:t>
      </w:r>
      <w:r>
        <w:rPr/>
        <w:t>）本期增加</w:t>
      </w:r>
    </w:p>
    <w:p>
      <w:pPr>
        <w:spacing w:line="240" w:lineRule="auto" w:before="10"/>
        <w:rPr>
          <w:rFonts w:ascii="宋体" w:hAnsi="宋体" w:cs="宋体" w:eastAsia="宋体" w:hint="default"/>
          <w:sz w:val="19"/>
          <w:szCs w:val="19"/>
        </w:rPr>
      </w:pPr>
    </w:p>
    <w:p>
      <w:pPr>
        <w:pStyle w:val="BodyText"/>
        <w:spacing w:line="240" w:lineRule="auto"/>
        <w:ind w:right="0"/>
        <w:jc w:val="left"/>
      </w:pPr>
      <w:r>
        <w:rPr/>
        <w:t>①股权激励所产生需要回购的库存股：公司于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日召开第三届董事会第七次会议，审议通过了《关于向激励对</w:t>
      </w:r>
    </w:p>
    <w:p>
      <w:pPr>
        <w:spacing w:line="240" w:lineRule="auto" w:before="9"/>
        <w:rPr>
          <w:rFonts w:ascii="宋体" w:hAnsi="宋体" w:cs="宋体" w:eastAsia="宋体" w:hint="default"/>
          <w:sz w:val="16"/>
          <w:szCs w:val="16"/>
        </w:rPr>
      </w:pPr>
    </w:p>
    <w:p>
      <w:pPr>
        <w:pStyle w:val="BodyText"/>
        <w:spacing w:line="240" w:lineRule="auto"/>
        <w:ind w:right="0"/>
        <w:jc w:val="left"/>
      </w:pPr>
      <w:r>
        <w:rPr/>
        <w:t>象首次授予</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年激励计划股票期权与限制性股票的议案</w:t>
      </w:r>
      <w:r>
        <w:rPr>
          <w:spacing w:val="-90"/>
        </w:rPr>
        <w:t>》</w:t>
      </w:r>
      <w:r>
        <w:rPr/>
        <w:t>，同意以</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r>
        <w:rPr>
          <w:spacing w:val="1"/>
        </w:rPr>
        <w:t>为</w:t>
      </w:r>
      <w:r>
        <w:rPr/>
        <w:t>授予日，向</w:t>
      </w:r>
      <w:r>
        <w:rPr>
          <w:spacing w:val="-46"/>
        </w:rPr>
        <w:t> </w:t>
      </w:r>
      <w:r>
        <w:rPr>
          <w:rFonts w:ascii="Times New Roman" w:hAnsi="Times New Roman" w:cs="Times New Roman" w:eastAsia="Times New Roman" w:hint="default"/>
        </w:rPr>
        <w:t>188</w:t>
      </w:r>
      <w:r>
        <w:rPr>
          <w:rFonts w:ascii="Times New Roman" w:hAnsi="Times New Roman" w:cs="Times New Roman" w:eastAsia="Times New Roman" w:hint="default"/>
          <w:spacing w:val="-1"/>
        </w:rPr>
        <w:t> </w:t>
      </w:r>
      <w:r>
        <w:rPr/>
        <w:t>名激励对象授予</w:t>
      </w:r>
    </w:p>
    <w:p>
      <w:pPr>
        <w:spacing w:line="240" w:lineRule="auto" w:before="11"/>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1561.4619 </w:t>
      </w:r>
      <w:r>
        <w:rPr/>
        <w:t>万股限制性股票，每股面值</w:t>
      </w:r>
      <w:r>
        <w:rPr>
          <w:spacing w:val="-46"/>
        </w:rPr>
        <w:t> </w:t>
      </w:r>
      <w:r>
        <w:rPr>
          <w:rFonts w:ascii="Times New Roman" w:hAnsi="Times New Roman" w:cs="Times New Roman" w:eastAsia="Times New Roman" w:hint="default"/>
        </w:rPr>
        <w:t>1  </w:t>
      </w:r>
      <w:r>
        <w:rPr/>
        <w:t>元，每股发行价格</w:t>
      </w:r>
      <w:r>
        <w:rPr>
          <w:spacing w:val="-46"/>
        </w:rPr>
        <w:t> </w:t>
      </w:r>
      <w:r>
        <w:rPr>
          <w:rFonts w:ascii="Times New Roman" w:hAnsi="Times New Roman" w:cs="Times New Roman" w:eastAsia="Times New Roman" w:hint="default"/>
        </w:rPr>
        <w:t>5.681</w:t>
      </w:r>
      <w:r>
        <w:rPr>
          <w:rFonts w:ascii="Times New Roman" w:hAnsi="Times New Roman" w:cs="Times New Roman" w:eastAsia="Times New Roman" w:hint="default"/>
          <w:spacing w:val="-1"/>
        </w:rPr>
        <w:t> </w:t>
      </w:r>
      <w:r>
        <w:rPr/>
        <w:t>元，确认库存股</w:t>
      </w:r>
      <w:r>
        <w:rPr>
          <w:spacing w:val="-46"/>
        </w:rPr>
        <w:t> </w:t>
      </w:r>
      <w:r>
        <w:rPr>
          <w:rFonts w:ascii="Times New Roman" w:hAnsi="Times New Roman" w:cs="Times New Roman" w:eastAsia="Times New Roman" w:hint="default"/>
        </w:rPr>
        <w:t>88,706,650.68 </w:t>
      </w:r>
      <w:r>
        <w:rPr/>
        <w:t>元。</w:t>
      </w:r>
    </w:p>
    <w:p>
      <w:pPr>
        <w:spacing w:line="240" w:lineRule="auto" w:before="10"/>
        <w:rPr>
          <w:rFonts w:ascii="宋体" w:hAnsi="宋体" w:cs="宋体" w:eastAsia="宋体" w:hint="default"/>
          <w:sz w:val="19"/>
          <w:szCs w:val="19"/>
        </w:rPr>
      </w:pPr>
    </w:p>
    <w:p>
      <w:pPr>
        <w:pStyle w:val="BodyText"/>
        <w:spacing w:line="240" w:lineRule="auto"/>
        <w:ind w:right="0"/>
        <w:jc w:val="left"/>
      </w:pPr>
      <w:r>
        <w:rPr/>
        <w:t>②本年度回购公司股份增加库存股</w:t>
      </w:r>
      <w:r>
        <w:rPr>
          <w:spacing w:val="-47"/>
        </w:rPr>
        <w:t> </w:t>
      </w:r>
      <w:r>
        <w:rPr>
          <w:rFonts w:ascii="Times New Roman" w:hAnsi="Times New Roman" w:cs="Times New Roman" w:eastAsia="Times New Roman" w:hint="default"/>
        </w:rPr>
        <w:t>18,995,303.67</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19"/>
          <w:szCs w:val="19"/>
        </w:rPr>
      </w:pPr>
    </w:p>
    <w:p>
      <w:pPr>
        <w:pStyle w:val="BodyText"/>
        <w:spacing w:line="240" w:lineRule="auto"/>
        <w:ind w:right="0"/>
        <w:jc w:val="left"/>
      </w:pPr>
      <w:r>
        <w:rPr/>
        <w:t>③本期股权激励对应现金股利变动所影响的库存股</w:t>
      </w:r>
      <w:r>
        <w:rPr>
          <w:spacing w:val="-45"/>
        </w:rPr>
        <w:t> </w:t>
      </w:r>
      <w:r>
        <w:rPr>
          <w:rFonts w:ascii="Times New Roman" w:hAnsi="Times New Roman" w:cs="Times New Roman" w:eastAsia="Times New Roman" w:hint="default"/>
        </w:rPr>
        <w:t>91,585.35</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2</w:t>
      </w:r>
      <w:r>
        <w:rPr/>
        <w:t>）本期减少</w:t>
      </w:r>
    </w:p>
    <w:p>
      <w:pPr>
        <w:spacing w:line="240" w:lineRule="auto" w:before="10"/>
        <w:rPr>
          <w:rFonts w:ascii="宋体" w:hAnsi="宋体" w:cs="宋体" w:eastAsia="宋体" w:hint="default"/>
          <w:sz w:val="19"/>
          <w:szCs w:val="19"/>
        </w:rPr>
      </w:pPr>
    </w:p>
    <w:p>
      <w:pPr>
        <w:pStyle w:val="BodyText"/>
        <w:spacing w:line="240" w:lineRule="auto"/>
        <w:ind w:right="0"/>
        <w:jc w:val="left"/>
      </w:pPr>
      <w:r>
        <w:rPr/>
        <w:t>当期回购限制性股票减少库存股</w:t>
      </w:r>
      <w:r>
        <w:rPr>
          <w:spacing w:val="-47"/>
        </w:rPr>
        <w:t> </w:t>
      </w:r>
      <w:r>
        <w:rPr>
          <w:rFonts w:ascii="Times New Roman" w:hAnsi="Times New Roman" w:cs="Times New Roman" w:eastAsia="Times New Roman" w:hint="default"/>
        </w:rPr>
        <w:t>1,706,205.00</w:t>
      </w:r>
      <w:r>
        <w:rPr>
          <w:rFonts w:ascii="Times New Roman" w:hAnsi="Times New Roman" w:cs="Times New Roman" w:eastAsia="Times New Roman" w:hint="default"/>
          <w:spacing w:val="-2"/>
        </w:rPr>
        <w:t> </w:t>
      </w:r>
      <w:r>
        <w:rPr/>
        <w:t>元；本期限制性股票达到解锁条件无需回购冲减的库存股</w:t>
      </w:r>
      <w:r>
        <w:rPr>
          <w:spacing w:val="-46"/>
        </w:rPr>
        <w:t> </w:t>
      </w:r>
      <w:r>
        <w:rPr>
          <w:rFonts w:ascii="Times New Roman" w:hAnsi="Times New Roman" w:cs="Times New Roman" w:eastAsia="Times New Roman" w:hint="default"/>
        </w:rPr>
        <w:t>10,986,198.90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48、其他综合收益" w:id="340"/>
      <w:bookmarkEnd w:id="340"/>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9、专项储备" w:id="341"/>
      <w:bookmarkEnd w:id="341"/>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50、盈余公积" w:id="342"/>
      <w:bookmarkEnd w:id="342"/>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36,755,219.51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9,132,579.06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45,887,798.57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36,755,219.51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9,132,579.06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45,887,798.57</w:t>
            </w:r>
          </w:p>
        </w:tc>
      </w:tr>
    </w:tbl>
    <w:p>
      <w:pPr>
        <w:spacing w:line="240" w:lineRule="auto" w:before="6"/>
        <w:rPr>
          <w:rFonts w:ascii="宋体" w:hAnsi="宋体" w:cs="宋体" w:eastAsia="宋体" w:hint="default"/>
          <w:sz w:val="6"/>
          <w:szCs w:val="6"/>
        </w:rPr>
      </w:pPr>
    </w:p>
    <w:p>
      <w:pPr>
        <w:pStyle w:val="BodyText"/>
        <w:spacing w:line="516" w:lineRule="auto" w:before="44"/>
        <w:ind w:right="5878"/>
        <w:jc w:val="left"/>
      </w:pPr>
      <w:r>
        <w:rPr/>
        <w:t>盈余公积说明，包括本期增减变动情况、变动原因说明： 报告期根据母公司净利润按</w:t>
      </w:r>
      <w:r>
        <w:rPr>
          <w:spacing w:val="-46"/>
        </w:rPr>
        <w:t> </w:t>
      </w:r>
      <w:r>
        <w:rPr>
          <w:rFonts w:ascii="Times New Roman" w:hAnsi="Times New Roman" w:cs="Times New Roman" w:eastAsia="Times New Roman" w:hint="default"/>
        </w:rPr>
        <w:t>10%</w:t>
      </w:r>
      <w:r>
        <w:rPr/>
        <w:t>的比例计提法定盈余公积金。</w:t>
      </w:r>
    </w:p>
    <w:p>
      <w:pPr>
        <w:spacing w:after="0" w:line="5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51、未分配利润" w:id="343"/>
      <w:bookmarkEnd w:id="343"/>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302,523,866.21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215,291,873.17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302,523,866.21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215,291,873.17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140,225,348.38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111,185,107.71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9,132,579.06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6,351,577.71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22,273,743.25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17,601,536.96</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411,342,892.28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302,523,866.21</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调整期初未分配利润明细：</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52、营业收入和营业成本" w:id="344"/>
      <w:bookmarkEnd w:id="344"/>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760,976,709.78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406,247,530.00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568,450,778.37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288,856,352.01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4,325,427.16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3,489,232.96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1,344,240.84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1,346,961.52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765,302,136.94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409,736,762.96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569,795,019.21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290,203,313.53</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53、税金及附加" w:id="345"/>
      <w:bookmarkEnd w:id="345"/>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1,641,961.52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1,321,620.31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835,328.67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582,929.00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2,462,712.93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1,459,283.28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27,822.43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4,446.76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66,718.90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64,672.66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315,151.15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464,006.32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355,068.38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383,651.55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25,949.44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41,024.03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717,839.05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358,353.75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6,448,552.47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4,679,987.66</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54、销售费用" w:id="346"/>
      <w:bookmarkEnd w:id="346"/>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34,825,396.17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31,639,743.73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8,732,757.68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7,785,958.68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4,072,780.66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1,690,958.46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3,487,448.63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2,874,522.49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工程费用及运费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3,152,420.60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3,547,977.98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4,018,176.19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2,930,189.27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3,423,323.78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2,719,209.80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61,712,303.71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53,188,560.41</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55、管理费用" w:id="347"/>
      <w:bookmarkEnd w:id="347"/>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27,601,625.04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23,191,231.02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18,219,541.00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5,789,730.00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4,226,501.25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2,954,582.75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4,247,387.05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4,783,502.86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2,487,589.78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2,353,186.17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5,779,143.19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4,187,551.27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1,135,665.28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742,503.10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4,308,211.96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3,071,341.76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68,005,664.55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47,073,628.93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6、研发费用" w:id="348"/>
      <w:bookmarkEnd w:id="348"/>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33,057,471.72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38,645,725.68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3,938,799.24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2,755,467.91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1,285,104.73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734,664.00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934,153.99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1,163,702.58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266,119.90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840,450.72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3,374,627.57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2,958,171.43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42,856,277.15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47,098,182.32</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57、财务费用" w:id="349"/>
      <w:bookmarkEnd w:id="349"/>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478,781.06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2,457,990.16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1,337,644.28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856,269.15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141,703.59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221,234.25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-717,159.63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1,822,955.26</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58、资产减值损失" w:id="350"/>
      <w:bookmarkEnd w:id="350"/>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10,041,870.01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124,788.96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2,518,646.50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2,151,882.87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12,560,516.51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2,276,671.83</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59、其他收益" w:id="351"/>
      <w:bookmarkEnd w:id="351"/>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3,683,912.71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4,109,961.38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基于海量数据分析的智慧银行安防系统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6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研究与应用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广州市番禺区财政局研发费补助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基于海量异构数据的智慧银行安防云平 台研究与应用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深圳市科技创新委员会关于办理</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 企业研究开发资助计划资金拨款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571,456.31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广州市知识产权局专利技术产业化项目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超宽频高精度无线定位通讯模块技术的 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437,776.30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广州市番禺区地方税务局返还个税手续 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158,245.60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108,391.56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137,932.29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贯标奖励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天河区统计局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年新增</w:t>
            </w:r>
            <w:r>
              <w:rPr>
                <w:rFonts w:ascii="Times New Roman" w:hAnsi="Times New Roman" w:cs="Times New Roman" w:eastAsia="Times New Roman" w:hint="default"/>
                <w:sz w:val="18"/>
                <w:szCs w:val="18"/>
              </w:rPr>
              <w:t>“</w:t>
            </w:r>
            <w:r>
              <w:rPr>
                <w:rFonts w:ascii="宋体" w:hAnsi="宋体" w:cs="宋体" w:eastAsia="宋体" w:hint="default"/>
                <w:sz w:val="18"/>
                <w:szCs w:val="18"/>
              </w:rPr>
              <w:t>四上</w:t>
            </w:r>
            <w:r>
              <w:rPr>
                <w:rFonts w:ascii="Times New Roman" w:hAnsi="Times New Roman" w:cs="Times New Roman" w:eastAsia="Times New Roman" w:hint="default"/>
                <w:sz w:val="18"/>
                <w:szCs w:val="18"/>
              </w:rPr>
              <w:t>”</w:t>
            </w:r>
            <w:r>
              <w:rPr>
                <w:rFonts w:ascii="宋体" w:hAnsi="宋体" w:cs="宋体" w:eastAsia="宋体" w:hint="default"/>
                <w:sz w:val="18"/>
                <w:szCs w:val="18"/>
              </w:rPr>
              <w:t>企业经 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超宽频高精度无线定位通讯模块技术的 研发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2,253,997.80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年第二批计算机软件著作权登记补 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广东省研发费补助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1,334,600.00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广州市企业研发经费投入后补助专项资 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1,084,600.00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自助银行立体安防系统的研发及应 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z w:val="18"/>
                <w:szCs w:val="18"/>
              </w:rPr>
              <w:t> </w:t>
            </w:r>
            <w:r>
              <w:rPr>
                <w:rFonts w:ascii="宋体" w:hAnsi="宋体" w:cs="宋体" w:eastAsia="宋体" w:hint="default"/>
                <w:sz w:val="18"/>
                <w:szCs w:val="18"/>
              </w:rPr>
              <w:t>报警设备的状态感知及管理系统的 研发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年知识产权质押贷贴息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187,700.00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年度成长贷贴息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131,600.00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9,294,532.48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9,708,291.47</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60、投资收益" w:id="352"/>
      <w:bookmarkEnd w:id="352"/>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5,434,861.46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705,677.70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5,434,861.46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705,677.70</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61、公允价值变动收益" w:id="353"/>
      <w:bookmarkEnd w:id="353"/>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62、资产处置收益" w:id="354"/>
      <w:bookmarkEnd w:id="354"/>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63、营业外收入" w:id="355"/>
      <w:bookmarkEnd w:id="355"/>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1,053,451.00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1,053,451.00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91,621.17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91,621.17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494,216.21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364,505.41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494,216.21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1,639,288.38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1,258,877.79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1,639,288.38</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计入当期损益的政府补助：</w:t>
      </w:r>
    </w:p>
    <w:p>
      <w:pPr>
        <w:spacing w:line="240" w:lineRule="auto" w:before="6"/>
        <w:rPr>
          <w:rFonts w:ascii="宋体" w:hAnsi="宋体" w:cs="宋体" w:eastAsia="宋体" w:hint="default"/>
          <w:sz w:val="17"/>
          <w:szCs w:val="17"/>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新办鼓励类 企业补助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重庆市渝北 区国库集中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523,451.00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年度新 技术企业认 定通过奖励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年新增规模 以上软件企 业支持专项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高新技术企 业认定补贴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广州市天河 区财政局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 技术补助款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广州市天河 区财政局高 新技术企业 资质认定补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广州市科技 创新小巨人 企业及高新 技术企业培 育补助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国家高新技 术企业倍增 计划</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深圳第 二批职业技 能券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深圳市高技 能人才公共 实训管理服 务中心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产业人才发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广州市番禺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广州市番禺 区科技工业 商务和信息 化局补助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广州市番禺 区财政局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1,053,451.00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64、营业外支出" w:id="356"/>
      <w:bookmarkEnd w:id="356"/>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57,003.62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24,872.75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57,003.62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43,845.07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75,422.80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43,845.07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93,227.37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12,105.56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93,227.37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194,076.06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112,401.11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194,076.06</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65、所得税费用" w:id="357"/>
      <w:bookmarkEnd w:id="357"/>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所得税费用表" w:id="358"/>
      <w:bookmarkEnd w:id="35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26,237,119.71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15,594,759.54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-3,476,231.11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107,681.61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22,760,888.60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15,702,441.15</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会计利润与所得税费用调整过程" w:id="359"/>
      <w:bookmarkEnd w:id="35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180,873,825.48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27,131,073.82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-1,058,989.64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-86,379.95</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369,087.84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-857,332.83</w:t>
            </w:r>
            <w:r>
              <w:rPr>
                <w:rFonts w:ascii="Times New Roman"/>
                <w:sz w:val="18"/>
              </w:rPr>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1,608,151.21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-4,387,150.41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限制性股票的影响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42,428.56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22,760,888.60</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66、其他综合收益" w:id="360"/>
      <w:bookmarkEnd w:id="360"/>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67、现金流量表项目" w:id="361"/>
      <w:bookmarkEnd w:id="361"/>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收到的其他与经营活动有关的现金" w:id="362"/>
      <w:bookmarkEnd w:id="36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3,668,048.87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4,702,232.29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1,337,644.28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856,269.15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贴息收入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500,900.00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105,999.52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3,330,920.76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663,335.97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1,708,746.25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6,275,928.64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10,598,168.45</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支付的其他与经营活动有关的现金" w:id="363"/>
      <w:bookmarkEnd w:id="36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支付的销售费用、管理费用及研发费用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41,854,951.21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37,827,900.36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3,846,567.65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3,743,196.69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8,519,485.70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3,309,152.00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141,703.59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197,176.20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87,528.36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57,671,860.15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41,855,801.61</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收到的其他与投资活动有关的现金" w:id="364"/>
      <w:bookmarkEnd w:id="36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4）支付的其他与投资活动有关的现金" w:id="365"/>
      <w:bookmarkEnd w:id="36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5）收到的其他与筹资活动有关的现金" w:id="366"/>
      <w:bookmarkEnd w:id="36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收到非金融机构借款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6）支付的其他与筹资活动有关的现金" w:id="367"/>
      <w:bookmarkEnd w:id="36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偿还非金融机构借款及利息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14,114,219.68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回购库存股支付款项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18,999,139.25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回购限制性股票支付款项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1,706,205.00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2,242,524.00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支付购买少数股东权益款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支付票据敞口承诺费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7,395.05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34,819,563.93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2,319,919.05</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68、现金流量表补充资料" w:id="368"/>
      <w:bookmarkEnd w:id="368"/>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现金流量表补充资料" w:id="369"/>
      <w:bookmarkEnd w:id="36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158,112,936.88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119,309,723.97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12,560,516.51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2,276,671.83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30,350,083.70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24,457,051.86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3,629,955.25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2,176,854.80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894,626.80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952,710.40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-34,617.55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18,400.37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979,681.06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2,457,990.16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-5,434,861.46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-705,677.70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71.909981pt;width:151.25pt;height:20.8pt;mso-position-horizontal-relative:page;mso-position-vertical-relative:page;z-index:-1209664" coordorigin="4467,1438" coordsize="3025,416">
            <v:group style="position:absolute;left:4478;top:1450;width:2;height:393" coordorigin="4478,1450" coordsize="2,393">
              <v:shape style="position:absolute;left:4478;top:1450;width:2;height:393" coordorigin="4478,1450" coordsize="0,393" path="m4478,1450l4478,1842e" filled="false" stroked="true" strokeweight="1.140pt" strokecolor="#ffffff">
                <v:path arrowok="t"/>
              </v:shape>
            </v:group>
            <v:group style="position:absolute;left:4490;top:1450;width:3002;height:393" coordorigin="4490,1450" coordsize="3002,393">
              <v:shape style="position:absolute;left:4490;top:1450;width:3002;height:393" coordorigin="4490,1450" coordsize="3002,393" path="m4490,1842l7491,1842,7491,1450,4490,1450,4490,184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8"/>
        <w:gridCol w:w="2011"/>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4" w:right="0"/>
              <w:jc w:val="left"/>
              <w:rPr>
                <w:rFonts w:ascii="Times New Roman" w:hAnsi="Times New Roman" w:cs="Times New Roman" w:eastAsia="Times New Roman" w:hint="default"/>
                <w:sz w:val="18"/>
                <w:szCs w:val="18"/>
              </w:rPr>
            </w:pPr>
            <w:r>
              <w:rPr>
                <w:rFonts w:ascii="Times New Roman"/>
                <w:sz w:val="18"/>
              </w:rPr>
              <w:t>-3,476,231.11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107,681.61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-19,309,734.78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-40,607,107.08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-85,124,373.07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-54,507,622.14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45,361,286.86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56,588,988.11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138,509,269.09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112,525,666.19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462,217,418.81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406,401,420.74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406,401,420.74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262,030,261.74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55,815,998.07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144,371,159.00</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本期支付的取得子公司的现金净额" w:id="370"/>
      <w:bookmarkEnd w:id="37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广东冠网信息科技有限公司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3,419,209.02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广东冠网信息科技有限公司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3,419,209.02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54,880,790.98</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本期收到的处置子公司的现金净额" w:id="371"/>
      <w:bookmarkEnd w:id="37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现金和现金等价物的构成" w:id="372"/>
      <w:bookmarkEnd w:id="37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462,217,418.81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406,401,420.74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286,349.13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216,083.63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461,930,208.93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406,185,337.11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860.75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462,217,418.81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406,401,420.74</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0"/>
          <w:szCs w:val="20"/>
        </w:rPr>
      </w:pPr>
    </w:p>
    <w:p>
      <w:pPr>
        <w:pStyle w:val="BodyText"/>
        <w:spacing w:line="451" w:lineRule="auto"/>
        <w:ind w:right="1168"/>
        <w:jc w:val="left"/>
      </w:pPr>
      <w:r>
        <w:rPr/>
        <w:t>不属于现金及现金等价物的货币资金情况的说明：</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年末现金及现金等价物余额中已扣除不符合现金及现金等价物标准 的其他货币资金的住宅专项维修资金</w:t>
      </w:r>
      <w:r>
        <w:rPr>
          <w:spacing w:val="-47"/>
        </w:rPr>
        <w:t> </w:t>
      </w:r>
      <w:r>
        <w:rPr>
          <w:rFonts w:ascii="Times New Roman" w:hAnsi="Times New Roman" w:cs="Times New Roman" w:eastAsia="Times New Roman" w:hint="default"/>
        </w:rPr>
        <w:t>301,910.36</w:t>
      </w:r>
      <w:r>
        <w:rPr>
          <w:rFonts w:ascii="Times New Roman" w:hAnsi="Times New Roman" w:cs="Times New Roman" w:eastAsia="Times New Roman" w:hint="default"/>
          <w:spacing w:val="-1"/>
        </w:rPr>
        <w:t> </w:t>
      </w:r>
      <w:r>
        <w:rPr/>
        <w:t>元、保函保证金</w:t>
      </w:r>
      <w:r>
        <w:rPr>
          <w:spacing w:val="-47"/>
        </w:rPr>
        <w:t> </w:t>
      </w:r>
      <w:r>
        <w:rPr>
          <w:rFonts w:ascii="Times New Roman" w:hAnsi="Times New Roman" w:cs="Times New Roman" w:eastAsia="Times New Roman" w:hint="default"/>
        </w:rPr>
        <w:t>8,727,873.32</w:t>
      </w:r>
      <w:r>
        <w:rPr>
          <w:rFonts w:ascii="Times New Roman" w:hAnsi="Times New Roman" w:cs="Times New Roman" w:eastAsia="Times New Roman" w:hint="default"/>
          <w:spacing w:val="-1"/>
        </w:rPr>
        <w:t> </w:t>
      </w:r>
      <w:r>
        <w:rPr/>
        <w:t>元、承兑汇票保证金</w:t>
      </w:r>
      <w:r>
        <w:rPr>
          <w:spacing w:val="-47"/>
        </w:rPr>
        <w:t> </w:t>
      </w:r>
      <w:r>
        <w:rPr>
          <w:rFonts w:ascii="Times New Roman" w:hAnsi="Times New Roman" w:cs="Times New Roman" w:eastAsia="Times New Roman" w:hint="default"/>
        </w:rPr>
        <w:t>3,309,152.00</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69、所有者权益变动表项目注释" w:id="373"/>
      <w:bookmarkEnd w:id="373"/>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537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不适用</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70、所有权或使用权受到限制的资产" w:id="374"/>
      <w:bookmarkEnd w:id="374"/>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12,338,935.68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保证金、住宅专项维修资金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12,338,935.68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71、外币货币性项目" w:id="375"/>
      <w:bookmarkEnd w:id="375"/>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外币货币性项目" w:id="376"/>
      <w:bookmarkEnd w:id="37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386" w:lineRule="auto"/>
        <w:ind w:right="0"/>
        <w:jc w:val="left"/>
        <w:rPr>
          <w:b w:val="0"/>
          <w:bCs w:val="0"/>
        </w:rPr>
      </w:pPr>
      <w:bookmarkStart w:name="（2）境外经营实体说明，包括对于重要的境外经营实体，应披露其境外主要经营地、记账" w:id="377"/>
      <w:bookmarkEnd w:id="37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72、套期" w:id="378"/>
      <w:bookmarkEnd w:id="378"/>
      <w:r>
        <w:rPr>
          <w:b w:val="0"/>
          <w:bCs w:val="0"/>
        </w:rPr>
      </w:r>
      <w:r>
        <w:rPr>
          <w:rFonts w:ascii="Times New Roman" w:hAnsi="Times New Roman" w:cs="Times New Roman" w:eastAsia="Times New Roman" w:hint="default"/>
        </w:rPr>
        <w:t>72</w:t>
      </w:r>
      <w:r>
        <w:rPr/>
        <w:t>、套期</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8" w:lineRule="auto"/>
        <w:ind w:right="4632"/>
        <w:jc w:val="left"/>
      </w:pPr>
      <w:r>
        <w:rPr/>
        <w:t>按照套期类别披露套期项目及相关套期工具、被套期风险的定性和定量信息： 不适用</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73、政府补助" w:id="379"/>
      <w:bookmarkEnd w:id="379"/>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8"/>
        <w:ind w:right="0"/>
        <w:jc w:val="left"/>
        <w:rPr>
          <w:b w:val="0"/>
          <w:bCs w:val="0"/>
        </w:rPr>
      </w:pPr>
      <w:bookmarkStart w:name="（1）政府补助基本情况" w:id="380"/>
      <w:bookmarkEnd w:id="380"/>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超宽频高精度无线定位通讯 模块技术的研发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437,776.30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437,776.30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基于海量数据分析的智慧银 行安防系统研究与应用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基于海量异构数据的智慧银 行安防云平台研究与应用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软件产品增值税即征即退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3,683,912.71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3,683,912.71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广州市番禺区财政局研发费 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1,315,600.00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深圳市科技创新委员会关于 办理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年企业研究开发资 助计划资金拨款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571,456.31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571,456.31</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广州市知识产权局专利技术 产业化项目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年度专项资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108,391.56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108,391.56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贯标奖励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年新办鼓励类企业 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523,451.00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523,451.00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年度新技术企业认定通 过奖励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年新增规模以上 软件企业支持专项款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高新技术企业认定补贴款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天河区统计局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年新增</w:t>
            </w:r>
            <w:r>
              <w:rPr>
                <w:rFonts w:ascii="Times New Roman" w:hAnsi="Times New Roman" w:cs="Times New Roman" w:eastAsia="Times New Roman" w:hint="default"/>
                <w:sz w:val="18"/>
                <w:szCs w:val="18"/>
              </w:rPr>
              <w:t>“</w:t>
            </w:r>
            <w:r>
              <w:rPr>
                <w:rFonts w:ascii="宋体" w:hAnsi="宋体" w:cs="宋体" w:eastAsia="宋体" w:hint="default"/>
                <w:sz w:val="18"/>
                <w:szCs w:val="18"/>
              </w:rPr>
              <w:t>四 上</w:t>
            </w:r>
            <w:r>
              <w:rPr>
                <w:rFonts w:ascii="Times New Roman" w:hAnsi="Times New Roman" w:cs="Times New Roman" w:eastAsia="Times New Roman" w:hint="default"/>
                <w:sz w:val="18"/>
                <w:szCs w:val="18"/>
              </w:rPr>
              <w:t>”</w:t>
            </w:r>
            <w:r>
              <w:rPr>
                <w:rFonts w:ascii="宋体" w:hAnsi="宋体" w:cs="宋体" w:eastAsia="宋体" w:hint="default"/>
                <w:sz w:val="18"/>
                <w:szCs w:val="18"/>
              </w:rPr>
              <w:t>企业经费补贴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年深圳第二批专利资助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年深圳第二批计算机软 件著作权登记补贴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年南山自主创新产业发 展专项资金扶持项目（金融发 展分项）科技金融贴息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500,900.00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10,690,637.88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10,690,637.88</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政府补助退回情况" w:id="381"/>
      <w:bookmarkEnd w:id="381"/>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74、其他" w:id="382"/>
      <w:bookmarkEnd w:id="382"/>
      <w:r>
        <w:rPr>
          <w:b w:val="0"/>
          <w:bCs w:val="0"/>
        </w:rPr>
      </w:r>
      <w:r>
        <w:rPr>
          <w:rFonts w:ascii="Times New Roman" w:hAnsi="Times New Roman" w:cs="Times New Roman" w:eastAsia="Times New Roman" w:hint="default"/>
        </w:rPr>
        <w:t>74</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八、合并范围的变更" w:id="383"/>
      <w:bookmarkEnd w:id="383"/>
      <w:r>
        <w:rPr>
          <w:b w:val="0"/>
          <w:bCs w:val="0"/>
        </w:rPr>
      </w:r>
      <w:r>
        <w:rPr/>
        <w:t>八、合并范围的变更</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2"/>
        <w:ind w:right="0"/>
        <w:jc w:val="left"/>
        <w:rPr>
          <w:b w:val="0"/>
          <w:bCs w:val="0"/>
        </w:rPr>
      </w:pPr>
      <w:bookmarkStart w:name="1、非同一控制下企业合并" w:id="384"/>
      <w:bookmarkEnd w:id="38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本期发生的非同一控制下企业合并" w:id="385"/>
      <w:bookmarkEnd w:id="38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广东冠网信 息科技有限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53.00%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完成股权转 </w:t>
            </w:r>
            <w:r>
              <w:rPr>
                <w:rFonts w:ascii="宋体" w:hAnsi="宋体" w:cs="宋体" w:eastAsia="宋体" w:hint="default"/>
                <w:spacing w:val="-13"/>
                <w:sz w:val="18"/>
                <w:szCs w:val="18"/>
              </w:rPr>
              <w:t>让登记，已支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付了购买价 款的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 并取得冠网 信息控制权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24,836,224.2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12,949,464.3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合并成本及商誉" w:id="386"/>
      <w:bookmarkEnd w:id="38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after="0" w:line="240" w:lineRule="auto"/>
        <w:jc w:val="right"/>
        <w:sectPr>
          <w:footerReference w:type="default" r:id="rId26"/>
          <w:pgSz w:w="11910" w:h="16840"/>
          <w:pgMar w:footer="979" w:header="74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-370,931.12</w:t>
            </w:r>
            <w:r>
              <w:rPr>
                <w:rFonts w:ascii="Times New Roman"/>
                <w:sz w:val="18"/>
              </w:rPr>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58,670,931.12</w:t>
            </w:r>
          </w:p>
        </w:tc>
      </w:tr>
    </w:tbl>
    <w:p>
      <w:pPr>
        <w:spacing w:line="240" w:lineRule="auto" w:before="6"/>
        <w:rPr>
          <w:rFonts w:ascii="宋体" w:hAnsi="宋体" w:cs="宋体" w:eastAsia="宋体" w:hint="default"/>
          <w:sz w:val="6"/>
          <w:szCs w:val="6"/>
        </w:rPr>
      </w:pPr>
    </w:p>
    <w:p>
      <w:pPr>
        <w:pStyle w:val="BodyText"/>
        <w:spacing w:line="518" w:lineRule="auto" w:before="44"/>
        <w:ind w:right="6072"/>
        <w:jc w:val="left"/>
      </w:pPr>
      <w:r>
        <w:rPr/>
        <w:t>合并成本公允价值的确定方法、或有对价及其变动的说明： 大额商誉形成的主要原因：</w:t>
      </w:r>
    </w:p>
    <w:p>
      <w:pPr>
        <w:pStyle w:val="BodyText"/>
        <w:spacing w:line="451" w:lineRule="auto" w:before="62"/>
        <w:ind w:right="1131"/>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月，公司出资</w:t>
      </w:r>
      <w:r>
        <w:rPr>
          <w:spacing w:val="-47"/>
        </w:rPr>
        <w:t> </w:t>
      </w:r>
      <w:r>
        <w:rPr>
          <w:rFonts w:ascii="Times New Roman" w:hAnsi="Times New Roman" w:cs="Times New Roman" w:eastAsia="Times New Roman" w:hint="default"/>
        </w:rPr>
        <w:t>58,300,000.00</w:t>
      </w:r>
      <w:r>
        <w:rPr>
          <w:rFonts w:ascii="Times New Roman" w:hAnsi="Times New Roman" w:cs="Times New Roman" w:eastAsia="Times New Roman" w:hint="default"/>
          <w:spacing w:val="-1"/>
        </w:rPr>
        <w:t> </w:t>
      </w:r>
      <w:r>
        <w:rPr/>
        <w:t>元收购广东冠网信息科技有限公司</w:t>
      </w:r>
      <w:r>
        <w:rPr>
          <w:spacing w:val="-47"/>
        </w:rPr>
        <w:t> </w:t>
      </w:r>
      <w:r>
        <w:rPr>
          <w:rFonts w:ascii="Times New Roman" w:hAnsi="Times New Roman" w:cs="Times New Roman" w:eastAsia="Times New Roman" w:hint="default"/>
        </w:rPr>
        <w:t>53%</w:t>
      </w:r>
      <w:r>
        <w:rPr/>
        <w:t>的股权，购买日该公司可辨认净资产公允价 值为</w:t>
      </w:r>
      <w:r>
        <w:rPr>
          <w:rFonts w:ascii="Times New Roman" w:hAnsi="Times New Roman" w:cs="Times New Roman" w:eastAsia="Times New Roman" w:hint="default"/>
        </w:rPr>
        <w:t>-699,870.04</w:t>
      </w:r>
      <w:r>
        <w:rPr>
          <w:rFonts w:ascii="Times New Roman" w:hAnsi="Times New Roman" w:cs="Times New Roman" w:eastAsia="Times New Roman" w:hint="default"/>
          <w:spacing w:val="-24"/>
        </w:rPr>
        <w:t> </w:t>
      </w:r>
      <w:r>
        <w:rPr/>
        <w:t>元，合并成本大于合并中取得的被购买方可辨认净资产公允价值份额（</w:t>
      </w:r>
      <w:r>
        <w:rPr>
          <w:rFonts w:ascii="Times New Roman" w:hAnsi="Times New Roman" w:cs="Times New Roman" w:eastAsia="Times New Roman" w:hint="default"/>
        </w:rPr>
        <w:t>-370,931.12</w:t>
      </w:r>
      <w:r>
        <w:rPr>
          <w:rFonts w:ascii="Times New Roman" w:hAnsi="Times New Roman" w:cs="Times New Roman" w:eastAsia="Times New Roman" w:hint="default"/>
          <w:spacing w:val="-24"/>
        </w:rPr>
        <w:t> </w:t>
      </w:r>
      <w:r>
        <w:rPr>
          <w:spacing w:val="-8"/>
        </w:rPr>
        <w:t>元）的差额</w:t>
      </w:r>
      <w:r>
        <w:rPr>
          <w:spacing w:val="-70"/>
        </w:rPr>
        <w:t> </w:t>
      </w:r>
      <w:r>
        <w:rPr>
          <w:rFonts w:ascii="Times New Roman" w:hAnsi="Times New Roman" w:cs="Times New Roman" w:eastAsia="Times New Roman" w:hint="default"/>
        </w:rPr>
        <w:t>58,670,931.12 </w:t>
      </w:r>
      <w:r>
        <w:rPr/>
        <w:t>元确认为商誉。</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387"/>
      <w:bookmarkEnd w:id="38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23,454,625.82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23,454,625.82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3,419,209.02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3,419,209.02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5,265,633.48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5,265,633.48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11,461,307.95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11,461,307.95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805,417.92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805,417.92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29,991.78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29,991.78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232,355.64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232,355.64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2,220,277.47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2,220,277.47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20,432.56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20,432.56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24,154,495.86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24,154,495.86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3,122,616.97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3,122,616.97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17,014,970.36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17,014,970.36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614,125.67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614,125.67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644,403.15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644,403.15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2,258,379.71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2,258,379.71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-699,870.04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-699,870.04</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-328,938.92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-328,938.92</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-370,931.12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-370,931.12</w:t>
            </w:r>
            <w:r>
              <w:rPr>
                <w:rFonts w:ascii="Times New Roman"/>
                <w:sz w:val="18"/>
              </w:rPr>
            </w:r>
          </w:p>
        </w:tc>
      </w:tr>
    </w:tbl>
    <w:p>
      <w:pPr>
        <w:spacing w:line="240" w:lineRule="auto" w:before="7"/>
        <w:rPr>
          <w:rFonts w:ascii="宋体" w:hAnsi="宋体" w:cs="宋体" w:eastAsia="宋体" w:hint="default"/>
          <w:sz w:val="6"/>
          <w:szCs w:val="6"/>
        </w:rPr>
      </w:pPr>
    </w:p>
    <w:p>
      <w:pPr>
        <w:pStyle w:val="BodyText"/>
        <w:spacing w:line="496" w:lineRule="auto" w:before="44"/>
        <w:ind w:right="0"/>
        <w:jc w:val="left"/>
      </w:pPr>
      <w:r>
        <w:rPr/>
        <w:t>可辨认资产、负债公允价值的确定方法： </w:t>
      </w:r>
      <w:r>
        <w:rPr>
          <w:spacing w:val="-2"/>
        </w:rPr>
        <w:t>由于广东冠网信息科技有限公司在收购日的资产和负债相比账面价值无较大的增值空间，故本公司以被收购方资产、负债的</w:t>
      </w:r>
      <w:r>
        <w:rPr>
          <w:spacing w:val="-64"/>
        </w:rPr>
        <w:t> </w:t>
      </w:r>
      <w:r>
        <w:rPr>
          <w:spacing w:val="-64"/>
        </w:rPr>
      </w:r>
      <w:r>
        <w:rPr/>
        <w:t>账面价值作为可辨认资产、负债的公允价值。</w:t>
      </w:r>
    </w:p>
    <w:p>
      <w:pPr>
        <w:pStyle w:val="BodyText"/>
        <w:spacing w:line="518" w:lineRule="auto" w:before="79"/>
        <w:ind w:right="7512"/>
        <w:jc w:val="left"/>
      </w:pPr>
      <w:r>
        <w:rPr/>
        <w:t>企业合并中承担的被购买方的或有负债： 不适用</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4）购买日之前持有的股权按照公允价值重新计量产生的利得或损失" w:id="388"/>
      <w:bookmarkEnd w:id="38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是否存在通过多次交易分步实现企业合并且在报告期内取得控制权的交易</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5）购买日或合并当期期末无法合理确定合并对价或被购买方可辨认资产、负债公允价值" w:id="389"/>
      <w:bookmarkEnd w:id="38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6）其他说明" w:id="390"/>
      <w:bookmarkEnd w:id="39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同一控制下企业合并" w:id="391"/>
      <w:bookmarkEnd w:id="39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本期发生的同一控制下企业合并" w:id="392"/>
      <w:bookmarkEnd w:id="392"/>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合并成本" w:id="393"/>
      <w:bookmarkEnd w:id="39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合并日被合并方资产、负债的账面价值" w:id="394"/>
      <w:bookmarkEnd w:id="394"/>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left="234" w:right="1121"/>
        <w:jc w:val="left"/>
        <w:rPr>
          <w:b w:val="0"/>
          <w:bCs w:val="0"/>
        </w:rPr>
      </w:pPr>
      <w:bookmarkStart w:name="3、反向购买" w:id="395"/>
      <w:bookmarkEnd w:id="39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left="234" w:right="1121"/>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pStyle w:val="BodyText"/>
        <w:spacing w:line="240" w:lineRule="auto" w:before="94"/>
        <w:ind w:left="234" w:right="1121"/>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234" w:right="1121"/>
        <w:jc w:val="left"/>
        <w:rPr>
          <w:b w:val="0"/>
          <w:bCs w:val="0"/>
        </w:rPr>
      </w:pPr>
      <w:bookmarkStart w:name="4、处置子公司" w:id="396"/>
      <w:bookmarkEnd w:id="39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234" w:right="1121"/>
        <w:jc w:val="left"/>
      </w:pPr>
      <w:r>
        <w:rPr/>
        <w:t>是否存在单次处置对子公司投资即丧失控制权的情形</w:t>
      </w:r>
    </w:p>
    <w:p>
      <w:pPr>
        <w:spacing w:line="240" w:lineRule="auto" w:before="12"/>
        <w:rPr>
          <w:rFonts w:ascii="宋体" w:hAnsi="宋体" w:cs="宋体" w:eastAsia="宋体" w:hint="default"/>
          <w:sz w:val="20"/>
          <w:szCs w:val="20"/>
        </w:rPr>
      </w:pPr>
    </w:p>
    <w:p>
      <w:pPr>
        <w:pStyle w:val="BodyText"/>
        <w:spacing w:line="489" w:lineRule="auto"/>
        <w:ind w:left="234"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85"/>
        <w:ind w:left="234" w:right="11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left="234" w:right="1121"/>
        <w:jc w:val="left"/>
        <w:rPr>
          <w:b w:val="0"/>
          <w:bCs w:val="0"/>
        </w:rPr>
      </w:pPr>
      <w:bookmarkStart w:name="5、其他原因的合并范围变动" w:id="397"/>
      <w:bookmarkEnd w:id="39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234" w:right="1121"/>
        <w:jc w:val="left"/>
      </w:pPr>
      <w:r>
        <w:rPr/>
        <w:t>说明其他原因导致的合并范围变动（如，新设子公司、清算子公司等）及其相关情况：</w:t>
      </w:r>
    </w:p>
    <w:p>
      <w:pPr>
        <w:spacing w:line="240" w:lineRule="auto" w:before="12"/>
        <w:rPr>
          <w:rFonts w:ascii="宋体" w:hAnsi="宋体" w:cs="宋体" w:eastAsia="宋体" w:hint="default"/>
          <w:sz w:val="20"/>
          <w:szCs w:val="20"/>
        </w:rPr>
      </w:pPr>
    </w:p>
    <w:p>
      <w:pPr>
        <w:pStyle w:val="BodyText"/>
        <w:spacing w:line="240" w:lineRule="auto"/>
        <w:ind w:left="234" w:right="1121"/>
        <w:jc w:val="left"/>
      </w:pPr>
      <w:r>
        <w:rPr>
          <w:rFonts w:ascii="Times New Roman" w:hAnsi="Times New Roman" w:cs="Times New Roman" w:eastAsia="Times New Roman" w:hint="default"/>
        </w:rPr>
        <w:t>1</w:t>
      </w:r>
      <w:r>
        <w:rPr/>
        <w:t>、本期新设公司情况</w:t>
      </w:r>
    </w:p>
    <w:p>
      <w:pPr>
        <w:spacing w:line="240" w:lineRule="auto" w:before="10"/>
        <w:rPr>
          <w:rFonts w:ascii="宋体" w:hAnsi="宋体" w:cs="宋体" w:eastAsia="宋体" w:hint="default"/>
          <w:sz w:val="19"/>
          <w:szCs w:val="19"/>
        </w:rPr>
      </w:pPr>
    </w:p>
    <w:p>
      <w:pPr>
        <w:pStyle w:val="BodyText"/>
        <w:spacing w:line="240" w:lineRule="auto"/>
        <w:ind w:left="0" w:right="1229"/>
        <w:jc w:val="right"/>
      </w:pPr>
      <w:r>
        <w:rPr/>
        <w:t>单位：元</w:t>
      </w:r>
    </w:p>
    <w:p>
      <w:pPr>
        <w:spacing w:line="240" w:lineRule="auto" w:before="13"/>
        <w:rPr>
          <w:rFonts w:ascii="宋体" w:hAnsi="宋体" w:cs="宋体" w:eastAsia="宋体" w:hint="default"/>
          <w:sz w:val="13"/>
          <w:szCs w:val="13"/>
        </w:rPr>
      </w:pPr>
    </w:p>
    <w:tbl>
      <w:tblPr>
        <w:tblW w:w="0" w:type="auto"/>
        <w:jc w:val="left"/>
        <w:tblInd w:w="208" w:type="dxa"/>
        <w:tblLayout w:type="fixed"/>
        <w:tblCellMar>
          <w:top w:w="0" w:type="dxa"/>
          <w:left w:w="0" w:type="dxa"/>
          <w:bottom w:w="0" w:type="dxa"/>
          <w:right w:w="0" w:type="dxa"/>
        </w:tblCellMar>
        <w:tblLook w:val="01E0"/>
      </w:tblPr>
      <w:tblGrid>
        <w:gridCol w:w="2141"/>
        <w:gridCol w:w="2140"/>
        <w:gridCol w:w="1831"/>
        <w:gridCol w:w="1702"/>
        <w:gridCol w:w="1828"/>
      </w:tblGrid>
      <w:tr>
        <w:trPr>
          <w:trHeight w:val="332" w:hRule="exact"/>
        </w:trPr>
        <w:tc>
          <w:tcPr>
            <w:tcW w:w="21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70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14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8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70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182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542" w:right="0"/>
              <w:jc w:val="left"/>
              <w:rPr>
                <w:rFonts w:ascii="宋体" w:hAnsi="宋体" w:cs="宋体" w:eastAsia="宋体" w:hint="default"/>
                <w:sz w:val="18"/>
                <w:szCs w:val="18"/>
              </w:rPr>
            </w:pPr>
            <w:r>
              <w:rPr>
                <w:rFonts w:ascii="宋体" w:hAnsi="宋体" w:cs="宋体" w:eastAsia="宋体" w:hint="default"/>
                <w:sz w:val="18"/>
                <w:szCs w:val="18"/>
              </w:rPr>
              <w:t>出资比例</w:t>
            </w:r>
          </w:p>
        </w:tc>
      </w:tr>
      <w:tr>
        <w:trPr>
          <w:trHeight w:val="643"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610" w:right="160" w:hanging="451"/>
              <w:jc w:val="left"/>
              <w:rPr>
                <w:rFonts w:ascii="宋体" w:hAnsi="宋体" w:cs="宋体" w:eastAsia="宋体" w:hint="default"/>
                <w:sz w:val="18"/>
                <w:szCs w:val="18"/>
              </w:rPr>
            </w:pPr>
            <w:r>
              <w:rPr>
                <w:rFonts w:ascii="宋体" w:hAnsi="宋体" w:cs="宋体" w:eastAsia="宋体" w:hint="default"/>
                <w:sz w:val="18"/>
                <w:szCs w:val="18"/>
              </w:rPr>
              <w:t>辛集市浩云智慧城市科 技有限公司</w:t>
            </w:r>
          </w:p>
        </w:tc>
        <w:tc>
          <w:tcPr>
            <w:tcW w:w="21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新设立</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9" w:right="0"/>
              <w:jc w:val="center"/>
              <w:rPr>
                <w:rFonts w:ascii="宋体" w:hAnsi="宋体" w:cs="宋体" w:eastAsia="宋体" w:hint="default"/>
                <w:sz w:val="18"/>
                <w:szCs w:val="18"/>
              </w:rPr>
            </w:pPr>
            <w:r>
              <w:rPr>
                <w:rFonts w:ascii="宋体"/>
                <w:sz w:val="18"/>
              </w:rPr>
              <w:t>-</w:t>
            </w:r>
          </w:p>
        </w:tc>
        <w:tc>
          <w:tcPr>
            <w:tcW w:w="1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8" w:right="0"/>
              <w:jc w:val="left"/>
              <w:rPr>
                <w:rFonts w:ascii="宋体" w:hAnsi="宋体" w:cs="宋体" w:eastAsia="宋体" w:hint="default"/>
                <w:sz w:val="18"/>
                <w:szCs w:val="18"/>
              </w:rPr>
            </w:pPr>
            <w:r>
              <w:rPr>
                <w:rFonts w:ascii="宋体"/>
                <w:sz w:val="18"/>
              </w:rPr>
              <w:t>100.00%</w:t>
            </w:r>
          </w:p>
        </w:tc>
      </w:tr>
    </w:tbl>
    <w:p>
      <w:pPr>
        <w:pStyle w:val="BodyText"/>
        <w:spacing w:line="477" w:lineRule="auto" w:before="89"/>
        <w:ind w:left="234" w:right="4272"/>
        <w:jc w:val="left"/>
      </w:pPr>
      <w:r>
        <w:rPr/>
        <w:t>截至本财务报表报出日，公司尚未对辛集市浩云智慧城市科技有限公司进行出资。 </w:t>
      </w:r>
      <w:r>
        <w:rPr>
          <w:rFonts w:ascii="宋体" w:hAnsi="宋体" w:cs="宋体" w:eastAsia="宋体" w:hint="default"/>
        </w:rPr>
        <w:t>2</w:t>
      </w:r>
      <w:r>
        <w:rPr/>
        <w:t>、本期注销公司情况</w:t>
      </w:r>
    </w:p>
    <w:p>
      <w:pPr>
        <w:pStyle w:val="BodyText"/>
        <w:spacing w:line="240" w:lineRule="auto" w:before="54"/>
        <w:ind w:left="0" w:right="1139"/>
        <w:jc w:val="right"/>
      </w:pPr>
      <w:r>
        <w:rPr/>
        <w:t>单位：元</w:t>
      </w:r>
    </w:p>
    <w:p>
      <w:pPr>
        <w:spacing w:line="240" w:lineRule="auto" w:before="1"/>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188"/>
        <w:gridCol w:w="2188"/>
        <w:gridCol w:w="1829"/>
        <w:gridCol w:w="1702"/>
        <w:gridCol w:w="1949"/>
      </w:tblGrid>
      <w:tr>
        <w:trPr>
          <w:trHeight w:val="484" w:hRule="exact"/>
        </w:trPr>
        <w:tc>
          <w:tcPr>
            <w:tcW w:w="21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1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8"/>
              <w:ind w:right="3"/>
              <w:jc w:val="center"/>
              <w:rPr>
                <w:rFonts w:ascii="宋体" w:hAnsi="宋体" w:cs="宋体" w:eastAsia="宋体" w:hint="default"/>
                <w:sz w:val="18"/>
                <w:szCs w:val="18"/>
              </w:rPr>
            </w:pPr>
            <w:r>
              <w:rPr>
                <w:rFonts w:ascii="宋体" w:hAnsi="宋体" w:cs="宋体" w:eastAsia="宋体" w:hint="default"/>
                <w:sz w:val="18"/>
                <w:szCs w:val="18"/>
              </w:rPr>
              <w:t>股权处置方式</w:t>
            </w:r>
          </w:p>
        </w:tc>
        <w:tc>
          <w:tcPr>
            <w:tcW w:w="182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股权处置时点</w:t>
            </w:r>
          </w:p>
        </w:tc>
        <w:tc>
          <w:tcPr>
            <w:tcW w:w="170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8"/>
              <w:ind w:left="301"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94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8"/>
              <w:ind w:left="153" w:right="0"/>
              <w:jc w:val="left"/>
              <w:rPr>
                <w:rFonts w:ascii="宋体" w:hAnsi="宋体" w:cs="宋体" w:eastAsia="宋体" w:hint="default"/>
                <w:sz w:val="18"/>
                <w:szCs w:val="18"/>
              </w:rPr>
            </w:pPr>
            <w:r>
              <w:rPr>
                <w:rFonts w:ascii="宋体" w:hAnsi="宋体" w:cs="宋体" w:eastAsia="宋体" w:hint="default"/>
                <w:sz w:val="18"/>
                <w:szCs w:val="18"/>
              </w:rPr>
              <w:t>期初至处置日净利润</w:t>
            </w:r>
          </w:p>
        </w:tc>
      </w:tr>
      <w:tr>
        <w:trPr>
          <w:trHeight w:val="644" w:hRule="exact"/>
        </w:trPr>
        <w:tc>
          <w:tcPr>
            <w:tcW w:w="218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634" w:right="183" w:hanging="451"/>
              <w:jc w:val="left"/>
              <w:rPr>
                <w:rFonts w:ascii="宋体" w:hAnsi="宋体" w:cs="宋体" w:eastAsia="宋体" w:hint="default"/>
                <w:sz w:val="18"/>
                <w:szCs w:val="18"/>
              </w:rPr>
            </w:pPr>
            <w:r>
              <w:rPr>
                <w:rFonts w:ascii="宋体" w:hAnsi="宋体" w:cs="宋体" w:eastAsia="宋体" w:hint="default"/>
                <w:sz w:val="18"/>
                <w:szCs w:val="18"/>
              </w:rPr>
              <w:t>广州市浩耘元鸿信息技 术有限公司</w:t>
            </w:r>
          </w:p>
        </w:tc>
        <w:tc>
          <w:tcPr>
            <w:tcW w:w="2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注销</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9" w:right="0"/>
              <w:jc w:val="center"/>
              <w:rPr>
                <w:rFonts w:ascii="宋体" w:hAnsi="宋体" w:cs="宋体" w:eastAsia="宋体" w:hint="default"/>
                <w:sz w:val="18"/>
                <w:szCs w:val="18"/>
              </w:rPr>
            </w:pPr>
            <w:r>
              <w:rPr>
                <w:rFonts w:ascii="宋体"/>
                <w:sz w:val="18"/>
              </w:rPr>
              <w:t>-</w:t>
            </w:r>
          </w:p>
        </w:tc>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6"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5"/>
          <w:szCs w:val="25"/>
        </w:rPr>
      </w:pPr>
    </w:p>
    <w:p>
      <w:pPr>
        <w:pStyle w:val="Heading3"/>
        <w:spacing w:line="240" w:lineRule="auto" w:before="35"/>
        <w:ind w:left="234" w:right="1121"/>
        <w:jc w:val="left"/>
        <w:rPr>
          <w:b w:val="0"/>
          <w:bCs w:val="0"/>
        </w:rPr>
      </w:pPr>
      <w:bookmarkStart w:name="6、其他" w:id="398"/>
      <w:bookmarkEnd w:id="398"/>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234" w:right="1121"/>
        <w:jc w:val="left"/>
      </w:pPr>
      <w:r>
        <w:rPr/>
        <w:t>不适用</w:t>
      </w:r>
    </w:p>
    <w:p>
      <w:pPr>
        <w:spacing w:after="0" w:line="240" w:lineRule="auto"/>
        <w:jc w:val="left"/>
        <w:sectPr>
          <w:pgSz w:w="11910" w:h="16840"/>
          <w:pgMar w:header="747" w:footer="979" w:top="1060" w:bottom="1160" w:left="90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九、在其他主体中的权益" w:id="399"/>
      <w:bookmarkEnd w:id="399"/>
      <w:r>
        <w:rPr>
          <w:b w:val="0"/>
          <w:bCs w:val="0"/>
        </w:rPr>
      </w:r>
      <w:r>
        <w:rPr/>
        <w:t>九、在其他主体中的权益</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在子公司中的权益" w:id="400"/>
      <w:bookmarkEnd w:id="400"/>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90"/>
        <w:ind w:right="0"/>
        <w:jc w:val="left"/>
        <w:rPr>
          <w:b w:val="0"/>
          <w:bCs w:val="0"/>
        </w:rPr>
      </w:pPr>
      <w:bookmarkStart w:name="（1）企业集团的构成" w:id="401"/>
      <w:bookmarkEnd w:id="40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广州市浩云安防 设备有限公司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广州市苏瑞计算 机科技有限公司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重庆浩云公共安 全物联网技术有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广州浩昀宏信息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软件开发及技术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西藏浩云创业投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武汉浩立威保安 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安保服务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深圳市润安科技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信息系统集成服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广东冠网信息科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软件开发、系统 集成服务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辛集市浩云智慧 城市科技有限公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幸集市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幸集市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智慧城市规划设 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广州市浩耘元鸿 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软件开发及技术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0"/>
                <w:sz w:val="18"/>
                <w:szCs w:val="18"/>
              </w:rPr>
              <w:t>设立（于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月注销）</w:t>
            </w:r>
          </w:p>
        </w:tc>
      </w:tr>
    </w:tbl>
    <w:p>
      <w:pPr>
        <w:spacing w:line="240" w:lineRule="auto" w:before="6"/>
        <w:rPr>
          <w:rFonts w:ascii="宋体" w:hAnsi="宋体" w:cs="宋体" w:eastAsia="宋体" w:hint="default"/>
          <w:b/>
          <w:bCs/>
          <w:sz w:val="6"/>
          <w:szCs w:val="6"/>
        </w:rPr>
      </w:pPr>
    </w:p>
    <w:p>
      <w:pPr>
        <w:pStyle w:val="BodyText"/>
        <w:spacing w:line="494" w:lineRule="auto" w:before="44"/>
        <w:ind w:right="0"/>
        <w:jc w:val="left"/>
      </w:pPr>
      <w:r>
        <w:rPr/>
        <w:t>在子公司的持股比例不同于表决权比例的说明： </w:t>
      </w:r>
      <w:r>
        <w:rPr>
          <w:spacing w:val="-2"/>
        </w:rPr>
        <w:t>根据深圳市润安科技发展有限公司的公司章程约定，全体董事人数过半数决议有效。公司在子公司深圳市润安科技发展有限</w:t>
      </w:r>
      <w:r>
        <w:rPr>
          <w:spacing w:val="-64"/>
        </w:rPr>
        <w:t> </w:t>
      </w:r>
      <w:r>
        <w:rPr>
          <w:spacing w:val="-64"/>
        </w:rPr>
      </w:r>
      <w:r>
        <w:rPr/>
        <w:t>公司的董事会席位占比为五分之三</w:t>
      </w:r>
      <w:r>
        <w:rPr>
          <w:rFonts w:ascii="Times New Roman" w:hAnsi="Times New Roman" w:cs="Times New Roman" w:eastAsia="Times New Roman" w:hint="default"/>
        </w:rPr>
        <w:t>,</w:t>
      </w:r>
      <w:r>
        <w:rPr/>
        <w:t>持有半数以上的表决权，对深圳市润安科技发展有限公司形成控制。 持有半数或以下表决权但仍控制被投资单位、以及持有半数以上表决权但不控制被投资单位的依据：</w:t>
      </w:r>
    </w:p>
    <w:p>
      <w:pPr>
        <w:pStyle w:val="BodyText"/>
        <w:spacing w:line="240" w:lineRule="auto" w:before="82"/>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516" w:lineRule="auto"/>
        <w:ind w:right="6432"/>
        <w:jc w:val="left"/>
      </w:pPr>
      <w:r>
        <w:rPr/>
        <w:t>对于纳入合并范围的重要的结构化主体，控制的依据： 不适用</w:t>
      </w:r>
    </w:p>
    <w:p>
      <w:pPr>
        <w:pStyle w:val="BodyText"/>
        <w:spacing w:line="518" w:lineRule="auto" w:before="66"/>
        <w:ind w:right="7692"/>
        <w:jc w:val="left"/>
      </w:pPr>
      <w:r>
        <w:rPr/>
        <w:t>确定公司是代理人还是委托人的依据： 不适用</w:t>
      </w:r>
    </w:p>
    <w:p>
      <w:pPr>
        <w:pStyle w:val="BodyText"/>
        <w:spacing w:line="240" w:lineRule="auto" w:before="63"/>
        <w:ind w:right="0"/>
        <w:jc w:val="left"/>
      </w:pPr>
      <w:r>
        <w:rPr/>
        <w:t>其他说明：</w:t>
      </w:r>
    </w:p>
    <w:p>
      <w:pPr>
        <w:spacing w:line="240" w:lineRule="auto" w:before="12"/>
        <w:rPr>
          <w:rFonts w:ascii="宋体" w:hAnsi="宋体" w:cs="宋体" w:eastAsia="宋体" w:hint="default"/>
          <w:sz w:val="20"/>
          <w:szCs w:val="20"/>
        </w:rPr>
      </w:pPr>
    </w:p>
    <w:p>
      <w:pPr>
        <w:pStyle w:val="BodyText"/>
        <w:spacing w:line="240" w:lineRule="auto"/>
        <w:ind w:right="0"/>
        <w:jc w:val="left"/>
      </w:pPr>
      <w:r>
        <w:rPr/>
        <w:t>注：截至</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日，本公司对广州浩昀宏信息技术有限公司、辛集市浩云智慧城市科技有限公司未出资。</w:t>
      </w:r>
    </w:p>
    <w:p>
      <w:pPr>
        <w:spacing w:line="240" w:lineRule="auto" w:before="9"/>
        <w:rPr>
          <w:rFonts w:ascii="宋体" w:hAnsi="宋体" w:cs="宋体" w:eastAsia="宋体" w:hint="default"/>
          <w:sz w:val="19"/>
          <w:szCs w:val="19"/>
        </w:rPr>
      </w:pPr>
    </w:p>
    <w:p>
      <w:pPr>
        <w:pStyle w:val="BodyText"/>
        <w:spacing w:line="240" w:lineRule="auto"/>
        <w:ind w:right="0"/>
        <w:jc w:val="left"/>
      </w:pPr>
      <w:r>
        <w:rPr/>
        <w:t>鉴于浩耘元鸿成立后未能如期实际开展业务，为优化公司资产结构，降低运营成本，浩耘元鸿于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12 </w:t>
      </w:r>
      <w:r>
        <w:rPr/>
        <w:t>日召开股</w:t>
      </w:r>
    </w:p>
    <w:p>
      <w:pPr>
        <w:spacing w:line="240" w:lineRule="auto" w:before="9"/>
        <w:rPr>
          <w:rFonts w:ascii="宋体" w:hAnsi="宋体" w:cs="宋体" w:eastAsia="宋体" w:hint="default"/>
          <w:sz w:val="16"/>
          <w:szCs w:val="16"/>
        </w:rPr>
      </w:pPr>
    </w:p>
    <w:p>
      <w:pPr>
        <w:pStyle w:val="BodyText"/>
        <w:spacing w:line="451" w:lineRule="auto"/>
        <w:ind w:right="1117"/>
        <w:jc w:val="left"/>
      </w:pPr>
      <w:r>
        <w:rPr/>
        <w:t>东会决议，决议解散并授权财务人员办理相关清算和注销事宜。</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日，公司收到由广州市番禺区工商行政管理 </w:t>
      </w:r>
      <w:r>
        <w:rPr>
          <w:spacing w:val="-3"/>
        </w:rPr>
        <w:t>局下发的《企业核准简易注销登记通知书》，浩耘元鸿的注销登记手续全部办理完毕。</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bookmarkStart w:name="（2）重要的非全资子公司" w:id="402"/>
      <w:bookmarkEnd w:id="40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深圳市润安科技发展有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12,023,866.70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62,432,056.18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广东冠网信息科技有限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6,086,248.25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5,757,309.33</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重要非全资子公司的主要财务信息" w:id="403"/>
      <w:bookmarkEnd w:id="40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深圳市 润安科 技发展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152,132,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291.83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19,368,5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06.83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171,500,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798.66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57,077,2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40.26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5,078,22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62,155,4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66.16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99,813,2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10,568,7</w:t>
            </w:r>
          </w:p>
          <w:p>
            <w:pPr>
              <w:pStyle w:val="TableParagraph"/>
              <w:spacing w:line="240" w:lineRule="auto" w:before="105"/>
              <w:ind w:left="303" w:right="0"/>
              <w:jc w:val="left"/>
              <w:rPr>
                <w:rFonts w:ascii="Times New Roman" w:hAnsi="Times New Roman" w:cs="Times New Roman" w:eastAsia="Times New Roman" w:hint="default"/>
                <w:sz w:val="18"/>
                <w:szCs w:val="18"/>
              </w:rPr>
            </w:pPr>
            <w:r>
              <w:rPr>
                <w:rFonts w:ascii="Times New Roman"/>
                <w:sz w:val="18"/>
              </w:rPr>
              <w:t>74.11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110,381,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993.76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35,517,9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20.98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5,516,00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41,033,9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23.18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广东冠 网信息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28,530,8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94.06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29,450,9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62.37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16,701,3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68.04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17,201,3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68.04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深圳市润安 科技发展有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132,703,756.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22,225,261.9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22,225,261.9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1,400,652.56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65,342,456.2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16,679,614.2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16,679,614.2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-7,124,900.34</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广东冠网信 息科技有限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24,836,224.2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12,949,464.3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12,949,464.3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931,457.75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4）使用企业集团资产和清偿企业集团债务的重大限制" w:id="404"/>
      <w:bookmarkEnd w:id="40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5）向纳入合并财务报表范围的结构化主体提供的财务支持或其他支持" w:id="405"/>
      <w:bookmarkEnd w:id="40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在子公司的所有者权益份额发生变化且仍控制子公司的交易" w:id="406"/>
      <w:bookmarkEnd w:id="40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在子公司所有者权益份额发生变化的情况说明" w:id="407"/>
      <w:bookmarkEnd w:id="40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交易对于少数股东权益及归属于母公司所有者权益的影响" w:id="408"/>
      <w:bookmarkEnd w:id="40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在合营安排或联营企业中的权益" w:id="409"/>
      <w:bookmarkEnd w:id="40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重要的合营企业或联营企业" w:id="410"/>
      <w:bookmarkEnd w:id="41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重要合营企业的主要财务信息" w:id="411"/>
      <w:bookmarkEnd w:id="41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重要联营企业的主要财务信息" w:id="412"/>
      <w:bookmarkEnd w:id="41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不重要的合营企业和联营企业的汇总财务信息" w:id="413"/>
      <w:bookmarkEnd w:id="41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5）合营企业或联营企业向本公司转移资金的能力存在重大限制的说明" w:id="414"/>
      <w:bookmarkEnd w:id="414"/>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6）合营企业或联营企业发生的超额亏损" w:id="415"/>
      <w:bookmarkEnd w:id="415"/>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7）与合营企业投资相关的未确认承诺" w:id="416"/>
      <w:bookmarkEnd w:id="416"/>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8）与合营企业或联营企业投资相关的或有负债" w:id="417"/>
      <w:bookmarkEnd w:id="417"/>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重要的共同经营" w:id="418"/>
      <w:bookmarkEnd w:id="418"/>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5、在未纳入合并财务报表范围的结构化主体中的权益" w:id="419"/>
      <w:bookmarkEnd w:id="419"/>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left="234" w:right="1121"/>
        <w:jc w:val="left"/>
        <w:rPr>
          <w:b w:val="0"/>
          <w:bCs w:val="0"/>
        </w:rPr>
      </w:pPr>
      <w:bookmarkStart w:name="6、其他" w:id="420"/>
      <w:bookmarkEnd w:id="420"/>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234" w:right="1121"/>
        <w:jc w:val="left"/>
      </w:pPr>
      <w:r>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left="234" w:right="1121"/>
        <w:jc w:val="left"/>
        <w:rPr>
          <w:b w:val="0"/>
          <w:bCs w:val="0"/>
        </w:rPr>
      </w:pPr>
      <w:bookmarkStart w:name="十、与金融工具相关的风险" w:id="421"/>
      <w:bookmarkEnd w:id="421"/>
      <w:r>
        <w:rPr>
          <w:b w:val="0"/>
          <w:bCs w:val="0"/>
        </w:rPr>
      </w:r>
      <w:r>
        <w:rPr/>
        <w:t>十、与金融工具相关的风险</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234" w:right="1130" w:firstLine="90"/>
        <w:jc w:val="both"/>
      </w:pPr>
      <w:r>
        <w:rPr/>
        <w:t>本公司从事风险管理的目标是在风险和收益之间取得平衡，将风险对本公司经营业绩的负面影响降至最低水平，使股东和 </w:t>
      </w:r>
      <w:r>
        <w:rPr>
          <w:spacing w:val="-2"/>
        </w:rPr>
        <w:t>其他权益投资者的利益最大化。基于该风险管理目标，本公司风险管理的基本策略是确认和分析本公司面临的各种风险，建</w:t>
      </w:r>
      <w:r>
        <w:rPr>
          <w:spacing w:val="-66"/>
        </w:rPr>
        <w:t> </w:t>
      </w:r>
      <w:r>
        <w:rPr>
          <w:spacing w:val="-66"/>
        </w:rPr>
      </w:r>
      <w:r>
        <w:rPr/>
        <w:t>立适当的风险承受底线和进行风险管理，并及时可靠地对各种风险进行监督，将风险控制在限定的范围内。</w:t>
      </w:r>
    </w:p>
    <w:p>
      <w:pPr>
        <w:pStyle w:val="BodyText"/>
        <w:spacing w:line="477" w:lineRule="auto" w:before="92"/>
        <w:ind w:left="234" w:right="1121"/>
        <w:jc w:val="left"/>
      </w:pPr>
      <w:r>
        <w:rPr>
          <w:spacing w:val="-2"/>
        </w:rPr>
        <w:t>本公司在日常活动中面临各种与金融工具相关的风险，主要包括信用风险、流动风险及市场风险。管理层已审议并批准管理</w:t>
      </w:r>
      <w:r>
        <w:rPr>
          <w:spacing w:val="-66"/>
        </w:rPr>
        <w:t> </w:t>
      </w:r>
      <w:r>
        <w:rPr>
          <w:spacing w:val="-66"/>
        </w:rPr>
      </w:r>
      <w:r>
        <w:rPr/>
        <w:t>这些风险的政策，概括如下。</w:t>
      </w:r>
    </w:p>
    <w:p>
      <w:pPr>
        <w:pStyle w:val="BodyText"/>
        <w:spacing w:line="489" w:lineRule="auto" w:before="95"/>
        <w:ind w:left="234" w:right="4272" w:firstLine="9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信用风险</w:t>
      </w:r>
      <w:r>
        <w:rPr>
          <w:w w:val="99"/>
        </w:rPr>
        <w:t> </w:t>
      </w:r>
      <w:r>
        <w:rPr/>
        <w:t>信用风险，是指金融工具的一方不能履行义务，造成另一方发生财务损失的风险。</w:t>
      </w:r>
    </w:p>
    <w:p>
      <w:pPr>
        <w:pStyle w:val="BodyText"/>
        <w:spacing w:line="240" w:lineRule="auto" w:before="85"/>
        <w:ind w:left="234" w:right="1121"/>
        <w:jc w:val="left"/>
      </w:pPr>
      <w:r>
        <w:rPr/>
        <w:t>本公司的信用风险主要来自银行存款和应收款项。为控制上述相关风险，本公司分别采取了以下措施。</w:t>
      </w:r>
    </w:p>
    <w:p>
      <w:pPr>
        <w:spacing w:line="240" w:lineRule="auto" w:before="12"/>
        <w:rPr>
          <w:rFonts w:ascii="宋体" w:hAnsi="宋体" w:cs="宋体" w:eastAsia="宋体" w:hint="default"/>
          <w:sz w:val="20"/>
          <w:szCs w:val="20"/>
        </w:rPr>
      </w:pPr>
    </w:p>
    <w:p>
      <w:pPr>
        <w:pStyle w:val="BodyText"/>
        <w:spacing w:line="504" w:lineRule="auto"/>
        <w:ind w:left="234" w:right="4992"/>
        <w:jc w:val="left"/>
      </w:pPr>
      <w:r>
        <w:rPr>
          <w:rFonts w:ascii="Times New Roman" w:hAnsi="Times New Roman" w:cs="Times New Roman" w:eastAsia="Times New Roman" w:hint="default"/>
        </w:rPr>
        <w:t>1. </w:t>
      </w:r>
      <w:r>
        <w:rPr/>
        <w:t>银行存款 本公司将银行存款存放于信用评级较高的金融机构，故其信用风险较低。 </w:t>
      </w:r>
      <w:r>
        <w:rPr>
          <w:rFonts w:ascii="Times New Roman" w:hAnsi="Times New Roman" w:cs="Times New Roman" w:eastAsia="Times New Roman" w:hint="default"/>
        </w:rPr>
        <w:t>2.  </w:t>
      </w:r>
      <w:r>
        <w:rPr/>
        <w:t>应收款项</w:t>
      </w:r>
    </w:p>
    <w:p>
      <w:pPr>
        <w:pStyle w:val="BodyText"/>
        <w:spacing w:line="496" w:lineRule="auto" w:before="39"/>
        <w:ind w:left="234" w:right="1121"/>
        <w:jc w:val="left"/>
      </w:pPr>
      <w:r>
        <w:rPr>
          <w:spacing w:val="-2"/>
        </w:rPr>
        <w:t>本公司持续对采用信用方式交易的客户进行信用评估。根据信用评估结果，本公司选择与经认可的且信用良好的客户进行交</w:t>
      </w:r>
      <w:r>
        <w:rPr>
          <w:spacing w:val="-64"/>
        </w:rPr>
        <w:t> </w:t>
      </w:r>
      <w:r>
        <w:rPr>
          <w:spacing w:val="-64"/>
        </w:rPr>
      </w:r>
      <w:r>
        <w:rPr/>
        <w:t>易，并对其应收款项余额进行监控，以确保本公司不会面临重大坏账风险。 由于本公司的应收账款风险点分布于多个合作方和多个客户，截至</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日，本公司应收账款的</w:t>
      </w:r>
      <w:r>
        <w:rPr>
          <w:spacing w:val="-43"/>
        </w:rPr>
        <w:t> </w:t>
      </w:r>
      <w:r>
        <w:rPr>
          <w:rFonts w:ascii="Times New Roman" w:hAnsi="Times New Roman" w:cs="Times New Roman" w:eastAsia="Times New Roman" w:hint="default"/>
        </w:rPr>
        <w:t>24.78%(2017</w:t>
      </w:r>
      <w:r>
        <w:rPr>
          <w:rFonts w:ascii="Times New Roman" w:hAnsi="Times New Roman" w:cs="Times New Roman" w:eastAsia="Times New Roman" w:hint="default"/>
          <w:spacing w:val="2"/>
        </w:rPr>
        <w:t> </w:t>
      </w:r>
      <w:r>
        <w:rPr/>
        <w:t>年</w:t>
      </w:r>
    </w:p>
    <w:p>
      <w:pPr>
        <w:pStyle w:val="BodyText"/>
        <w:spacing w:line="240" w:lineRule="auto" w:before="6"/>
        <w:ind w:left="234" w:right="1121"/>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37.42%)</w:t>
      </w:r>
      <w:r>
        <w:rPr/>
        <w:t>源于余额前五名客户，本公司不存在重大的信用集中风险。</w:t>
      </w:r>
    </w:p>
    <w:p>
      <w:pPr>
        <w:spacing w:line="240" w:lineRule="auto" w:before="10"/>
        <w:rPr>
          <w:rFonts w:ascii="宋体" w:hAnsi="宋体" w:cs="宋体" w:eastAsia="宋体" w:hint="default"/>
          <w:sz w:val="19"/>
          <w:szCs w:val="19"/>
        </w:rPr>
      </w:pPr>
    </w:p>
    <w:p>
      <w:pPr>
        <w:pStyle w:val="BodyText"/>
        <w:spacing w:line="482" w:lineRule="auto"/>
        <w:ind w:left="234" w:right="1121" w:firstLine="9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流动风险</w:t>
      </w:r>
      <w:r>
        <w:rPr>
          <w:w w:val="99"/>
        </w:rPr>
        <w:t> </w:t>
      </w:r>
      <w:r>
        <w:rPr>
          <w:spacing w:val="-2"/>
        </w:rPr>
        <w:t>流动风险，是指本公司在履行以交付现金或其他金融资产的方式结算的义务时发生资金短缺的风险。流动风险可能源于无法</w:t>
      </w:r>
      <w:r>
        <w:rPr>
          <w:spacing w:val="-65"/>
        </w:rPr>
        <w:t> </w:t>
      </w:r>
      <w:r>
        <w:rPr>
          <w:spacing w:val="-65"/>
        </w:rPr>
      </w:r>
      <w:r>
        <w:rPr>
          <w:spacing w:val="-2"/>
        </w:rPr>
        <w:t>尽快以公允价值售出金融资产；或者源于对方无法偿还其合同债务；或者源于提前到期的债务；或者源于无法产生预期的现</w:t>
      </w:r>
    </w:p>
    <w:p>
      <w:pPr>
        <w:pStyle w:val="BodyText"/>
        <w:spacing w:line="496" w:lineRule="auto" w:before="52"/>
        <w:ind w:left="234" w:right="1121"/>
        <w:jc w:val="left"/>
      </w:pPr>
      <w:r>
        <w:rPr/>
        <w:t>金流量。 </w:t>
      </w:r>
      <w:r>
        <w:rPr>
          <w:spacing w:val="-2"/>
        </w:rPr>
        <w:t>为控制该项风险，本公司综合运用票据结算、银行借款等多种融资手段，并采取长、短期融资方式适当结合，优化融资结构</w:t>
      </w:r>
      <w:r>
        <w:rPr>
          <w:spacing w:val="-66"/>
        </w:rPr>
        <w:t> </w:t>
      </w:r>
      <w:r>
        <w:rPr>
          <w:spacing w:val="-66"/>
        </w:rPr>
      </w:r>
      <w:r>
        <w:rPr/>
        <w:t>的方法，保持融资持续性与灵活性之间的平衡。本公司已从银行取得银行授信额度以满足营运资金需求和资本开支。</w:t>
      </w:r>
    </w:p>
    <w:p>
      <w:pPr>
        <w:pStyle w:val="BodyText"/>
        <w:spacing w:line="240" w:lineRule="auto" w:before="80"/>
        <w:ind w:left="234" w:right="1121"/>
        <w:jc w:val="left"/>
      </w:pPr>
      <w:r>
        <w:rPr/>
        <w:t>金融负债按剩余到期日分类</w:t>
      </w:r>
    </w:p>
    <w:p>
      <w:pPr>
        <w:spacing w:line="240" w:lineRule="auto" w:before="0"/>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093"/>
        <w:gridCol w:w="1984"/>
        <w:gridCol w:w="2063"/>
        <w:gridCol w:w="1482"/>
        <w:gridCol w:w="1133"/>
        <w:gridCol w:w="1105"/>
      </w:tblGrid>
      <w:tr>
        <w:trPr>
          <w:trHeight w:val="331" w:hRule="exact"/>
        </w:trPr>
        <w:tc>
          <w:tcPr>
            <w:tcW w:w="2093"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767" w:type="dxa"/>
            <w:gridSpan w:val="5"/>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33" w:hRule="exact"/>
        </w:trPr>
        <w:tc>
          <w:tcPr>
            <w:tcW w:w="2093" w:type="dxa"/>
            <w:vMerge/>
            <w:tcBorders>
              <w:left w:val="single" w:sz="8" w:space="0" w:color="000000"/>
              <w:bottom w:val="single" w:sz="8" w:space="0" w:color="000000"/>
              <w:right w:val="single" w:sz="8" w:space="0" w:color="000000"/>
            </w:tcBorders>
            <w:shd w:val="clear" w:color="auto" w:fill="D2D2D2"/>
          </w:tcPr>
          <w:p>
            <w:pPr/>
          </w:p>
        </w:tc>
        <w:tc>
          <w:tcPr>
            <w:tcW w:w="198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6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6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39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8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3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3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309"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0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bl>
    <w:p>
      <w:pPr>
        <w:spacing w:after="0" w:line="240" w:lineRule="auto"/>
        <w:jc w:val="left"/>
        <w:rPr>
          <w:rFonts w:ascii="宋体" w:hAnsi="宋体" w:cs="宋体" w:eastAsia="宋体" w:hint="default"/>
          <w:sz w:val="18"/>
          <w:szCs w:val="18"/>
        </w:rPr>
        <w:sectPr>
          <w:pgSz w:w="11910" w:h="16840"/>
          <w:pgMar w:header="747" w:footer="979" w:top="1060" w:bottom="1160" w:left="900" w:right="0"/>
        </w:sectPr>
      </w:pPr>
    </w:p>
    <w:p>
      <w:pPr>
        <w:spacing w:line="240" w:lineRule="auto" w:before="10"/>
        <w:rPr>
          <w:rFonts w:ascii="宋体" w:hAnsi="宋体" w:cs="宋体" w:eastAsia="宋体"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093"/>
        <w:gridCol w:w="1984"/>
        <w:gridCol w:w="2063"/>
        <w:gridCol w:w="1482"/>
        <w:gridCol w:w="1133"/>
        <w:gridCol w:w="1100"/>
      </w:tblGrid>
      <w:tr>
        <w:trPr>
          <w:trHeight w:val="322" w:hRule="exact"/>
        </w:trPr>
        <w:tc>
          <w:tcPr>
            <w:tcW w:w="209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98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14,000,000.00</w:t>
            </w:r>
          </w:p>
        </w:tc>
        <w:tc>
          <w:tcPr>
            <w:tcW w:w="206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14,431,044.44</w:t>
            </w:r>
          </w:p>
        </w:tc>
        <w:tc>
          <w:tcPr>
            <w:tcW w:w="148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14,431,044.44</w:t>
            </w:r>
          </w:p>
        </w:tc>
        <w:tc>
          <w:tcPr>
            <w:tcW w:w="1133" w:type="dxa"/>
            <w:tcBorders>
              <w:top w:val="nil" w:sz="6" w:space="0" w:color="auto"/>
              <w:left w:val="single" w:sz="8" w:space="0" w:color="000000"/>
              <w:bottom w:val="single" w:sz="8" w:space="0" w:color="000000"/>
              <w:right w:val="single" w:sz="8" w:space="0" w:color="000000"/>
            </w:tcBorders>
          </w:tcPr>
          <w:p>
            <w:pPr/>
          </w:p>
        </w:tc>
        <w:tc>
          <w:tcPr>
            <w:tcW w:w="1100" w:type="dxa"/>
            <w:tcBorders>
              <w:top w:val="nil" w:sz="6" w:space="0" w:color="auto"/>
              <w:left w:val="single" w:sz="8" w:space="0" w:color="000000"/>
              <w:bottom w:val="single" w:sz="8" w:space="0" w:color="000000"/>
              <w:right w:val="single" w:sz="8" w:space="0" w:color="000000"/>
            </w:tcBorders>
          </w:tcPr>
          <w:p>
            <w:pPr/>
          </w:p>
        </w:tc>
      </w:tr>
      <w:tr>
        <w:trPr>
          <w:trHeight w:val="332" w:hRule="exact"/>
        </w:trPr>
        <w:tc>
          <w:tcPr>
            <w:tcW w:w="2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61,441,136.39</w:t>
            </w:r>
          </w:p>
        </w:tc>
        <w:tc>
          <w:tcPr>
            <w:tcW w:w="20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61,441,136.39</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61,441,136.39</w:t>
            </w:r>
          </w:p>
        </w:tc>
        <w:tc>
          <w:tcPr>
            <w:tcW w:w="1133"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2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99,765,012.48</w:t>
            </w:r>
          </w:p>
        </w:tc>
        <w:tc>
          <w:tcPr>
            <w:tcW w:w="20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99,765,012.48</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99,765,012.48</w:t>
            </w:r>
          </w:p>
        </w:tc>
        <w:tc>
          <w:tcPr>
            <w:tcW w:w="1133"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r>
      <w:tr>
        <w:trPr>
          <w:trHeight w:val="332" w:hRule="exact"/>
        </w:trPr>
        <w:tc>
          <w:tcPr>
            <w:tcW w:w="2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175,206,148.87</w:t>
            </w:r>
          </w:p>
        </w:tc>
        <w:tc>
          <w:tcPr>
            <w:tcW w:w="20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175,637,193.31</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175,637,193.31</w:t>
            </w:r>
          </w:p>
        </w:tc>
        <w:tc>
          <w:tcPr>
            <w:tcW w:w="1133"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8"/>
        <w:rPr>
          <w:rFonts w:ascii="宋体" w:hAnsi="宋体" w:cs="宋体" w:eastAsia="宋体" w:hint="default"/>
          <w:sz w:val="6"/>
          <w:szCs w:val="6"/>
        </w:rPr>
      </w:pPr>
    </w:p>
    <w:p>
      <w:pPr>
        <w:pStyle w:val="BodyText"/>
        <w:spacing w:line="240" w:lineRule="auto" w:before="44"/>
        <w:ind w:left="234" w:right="1121"/>
        <w:jc w:val="left"/>
      </w:pPr>
      <w:r>
        <w:rPr/>
        <w:t>（续上表）</w:t>
      </w:r>
    </w:p>
    <w:p>
      <w:pPr>
        <w:spacing w:line="240" w:lineRule="auto" w:before="1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099"/>
        <w:gridCol w:w="1984"/>
        <w:gridCol w:w="2065"/>
        <w:gridCol w:w="1476"/>
        <w:gridCol w:w="1133"/>
        <w:gridCol w:w="1098"/>
      </w:tblGrid>
      <w:tr>
        <w:trPr>
          <w:trHeight w:val="332" w:hRule="exact"/>
        </w:trPr>
        <w:tc>
          <w:tcPr>
            <w:tcW w:w="2099"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756" w:type="dxa"/>
            <w:gridSpan w:val="5"/>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32" w:hRule="exact"/>
        </w:trPr>
        <w:tc>
          <w:tcPr>
            <w:tcW w:w="2099" w:type="dxa"/>
            <w:vMerge/>
            <w:tcBorders>
              <w:left w:val="single" w:sz="8" w:space="0" w:color="000000"/>
              <w:bottom w:val="single" w:sz="8" w:space="0" w:color="000000"/>
              <w:right w:val="single" w:sz="8" w:space="0" w:color="000000"/>
            </w:tcBorders>
            <w:shd w:val="clear" w:color="auto" w:fill="D2D2D2"/>
          </w:tcPr>
          <w:p>
            <w:pPr/>
          </w:p>
        </w:tc>
        <w:tc>
          <w:tcPr>
            <w:tcW w:w="198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6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392"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39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3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308"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9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331" w:hRule="exact"/>
        </w:trPr>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19,450,000.00</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19,770,263.86</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19,770,263.86</w:t>
            </w:r>
          </w:p>
        </w:tc>
        <w:tc>
          <w:tcPr>
            <w:tcW w:w="1133" w:type="dxa"/>
            <w:tcBorders>
              <w:top w:val="single" w:sz="8" w:space="0" w:color="000000"/>
              <w:left w:val="single" w:sz="8" w:space="0" w:color="000000"/>
              <w:bottom w:val="single" w:sz="8" w:space="0" w:color="000000"/>
              <w:right w:val="single" w:sz="8" w:space="0" w:color="000000"/>
            </w:tcBorders>
          </w:tcPr>
          <w:p>
            <w:pPr/>
          </w:p>
        </w:tc>
        <w:tc>
          <w:tcPr>
            <w:tcW w:w="1098" w:type="dxa"/>
            <w:tcBorders>
              <w:top w:val="single" w:sz="8" w:space="0" w:color="000000"/>
              <w:left w:val="single" w:sz="8" w:space="0" w:color="000000"/>
              <w:bottom w:val="single" w:sz="8" w:space="0" w:color="000000"/>
              <w:right w:val="single" w:sz="8" w:space="0" w:color="000000"/>
            </w:tcBorders>
          </w:tcPr>
          <w:p>
            <w:pPr/>
          </w:p>
        </w:tc>
      </w:tr>
      <w:tr>
        <w:trPr>
          <w:trHeight w:val="332" w:hRule="exact"/>
        </w:trPr>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25,471,007.13</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25,471,007.13</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25,471,007.13</w:t>
            </w:r>
          </w:p>
        </w:tc>
        <w:tc>
          <w:tcPr>
            <w:tcW w:w="1133" w:type="dxa"/>
            <w:tcBorders>
              <w:top w:val="single" w:sz="8" w:space="0" w:color="000000"/>
              <w:left w:val="single" w:sz="8" w:space="0" w:color="000000"/>
              <w:bottom w:val="single" w:sz="8" w:space="0" w:color="000000"/>
              <w:right w:val="single" w:sz="8" w:space="0" w:color="000000"/>
            </w:tcBorders>
          </w:tcPr>
          <w:p>
            <w:pPr/>
          </w:p>
        </w:tc>
        <w:tc>
          <w:tcPr>
            <w:tcW w:w="1098" w:type="dxa"/>
            <w:tcBorders>
              <w:top w:val="single" w:sz="8" w:space="0" w:color="000000"/>
              <w:left w:val="single" w:sz="8" w:space="0" w:color="000000"/>
              <w:bottom w:val="single" w:sz="8" w:space="0" w:color="000000"/>
              <w:right w:val="single" w:sz="8" w:space="0" w:color="000000"/>
            </w:tcBorders>
          </w:tcPr>
          <w:p>
            <w:pPr/>
          </w:p>
        </w:tc>
      </w:tr>
      <w:tr>
        <w:trPr>
          <w:trHeight w:val="332" w:hRule="exact"/>
        </w:trPr>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20,674,109.76</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20,674,109.76</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20,674,109.76</w:t>
            </w:r>
          </w:p>
        </w:tc>
        <w:tc>
          <w:tcPr>
            <w:tcW w:w="1133" w:type="dxa"/>
            <w:tcBorders>
              <w:top w:val="single" w:sz="8" w:space="0" w:color="000000"/>
              <w:left w:val="single" w:sz="8" w:space="0" w:color="000000"/>
              <w:bottom w:val="single" w:sz="8" w:space="0" w:color="000000"/>
              <w:right w:val="single" w:sz="8" w:space="0" w:color="000000"/>
            </w:tcBorders>
          </w:tcPr>
          <w:p>
            <w:pPr/>
          </w:p>
        </w:tc>
        <w:tc>
          <w:tcPr>
            <w:tcW w:w="1098"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65,595,116.89</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65,915,380.75</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65,915,380.75</w:t>
            </w:r>
          </w:p>
        </w:tc>
        <w:tc>
          <w:tcPr>
            <w:tcW w:w="1133" w:type="dxa"/>
            <w:tcBorders>
              <w:top w:val="single" w:sz="8" w:space="0" w:color="000000"/>
              <w:left w:val="single" w:sz="8" w:space="0" w:color="000000"/>
              <w:bottom w:val="single" w:sz="8" w:space="0" w:color="000000"/>
              <w:right w:val="single" w:sz="8" w:space="0" w:color="000000"/>
            </w:tcBorders>
          </w:tcPr>
          <w:p>
            <w:pPr/>
          </w:p>
        </w:tc>
        <w:tc>
          <w:tcPr>
            <w:tcW w:w="1098"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8"/>
        <w:rPr>
          <w:rFonts w:ascii="宋体" w:hAnsi="宋体" w:cs="宋体" w:eastAsia="宋体" w:hint="default"/>
          <w:sz w:val="6"/>
          <w:szCs w:val="6"/>
        </w:rPr>
      </w:pPr>
    </w:p>
    <w:p>
      <w:pPr>
        <w:pStyle w:val="BodyText"/>
        <w:spacing w:line="482" w:lineRule="auto" w:before="44"/>
        <w:ind w:left="234" w:right="1121" w:firstLine="9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市场风险</w:t>
      </w:r>
      <w:r>
        <w:rPr>
          <w:w w:val="99"/>
        </w:rPr>
        <w:t> </w:t>
      </w:r>
      <w:r>
        <w:rPr>
          <w:spacing w:val="-2"/>
        </w:rPr>
        <w:t>市场风险，是指金融工具的公允价值或未来现金流量因市场价格变动而发生波动的风险。市场风险主要包括利率风险和外汇</w:t>
      </w:r>
      <w:r>
        <w:rPr>
          <w:spacing w:val="-65"/>
        </w:rPr>
        <w:t> </w:t>
      </w:r>
      <w:r>
        <w:rPr>
          <w:spacing w:val="-65"/>
        </w:rPr>
      </w:r>
      <w:r>
        <w:rPr/>
        <w:t>风险。</w:t>
      </w:r>
    </w:p>
    <w:p>
      <w:pPr>
        <w:pStyle w:val="BodyText"/>
        <w:spacing w:line="482" w:lineRule="auto" w:before="90"/>
        <w:ind w:left="234" w:right="1121"/>
        <w:jc w:val="left"/>
      </w:pPr>
      <w:r>
        <w:rPr>
          <w:rFonts w:ascii="Times New Roman" w:hAnsi="Times New Roman" w:cs="Times New Roman" w:eastAsia="Times New Roman" w:hint="default"/>
        </w:rPr>
        <w:t>1. </w:t>
      </w:r>
      <w:r>
        <w:rPr/>
        <w:t>利率风险 </w:t>
      </w:r>
      <w:r>
        <w:rPr>
          <w:spacing w:val="-2"/>
        </w:rPr>
        <w:t>利率风险，是指金融工具的公允价值或未来现金流量因市场利率变动而发生波动的风险。本公司面临的市场利率变动的风险</w:t>
      </w:r>
      <w:r>
        <w:rPr>
          <w:spacing w:val="-64"/>
        </w:rPr>
        <w:t> </w:t>
      </w:r>
      <w:r>
        <w:rPr>
          <w:spacing w:val="-64"/>
        </w:rPr>
      </w:r>
      <w:r>
        <w:rPr/>
        <w:t>主要与本公司以浮动利率计息的借款有关。</w:t>
      </w:r>
    </w:p>
    <w:p>
      <w:pPr>
        <w:pStyle w:val="BodyText"/>
        <w:spacing w:line="240" w:lineRule="auto" w:before="90"/>
        <w:ind w:left="234" w:right="0"/>
        <w:jc w:val="left"/>
        <w:rPr>
          <w:rFonts w:ascii="Times New Roman" w:hAnsi="Times New Roman" w:cs="Times New Roman" w:eastAsia="Times New Roman" w:hint="default"/>
        </w:rPr>
      </w:pPr>
      <w:r>
        <w:rPr/>
        <w:t>截至</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w:t>
      </w:r>
      <w:r>
        <w:rPr>
          <w:spacing w:val="-90"/>
        </w:rPr>
        <w:t>，</w:t>
      </w:r>
      <w:r>
        <w:rPr/>
        <w:t>本公司以浮动利率计息的银行借款人民币</w:t>
      </w:r>
      <w:r>
        <w:rPr>
          <w:spacing w:val="-55"/>
        </w:rPr>
        <w:t> </w:t>
      </w:r>
      <w:r>
        <w:rPr>
          <w:rFonts w:ascii="Times New Roman" w:hAnsi="Times New Roman" w:cs="Times New Roman" w:eastAsia="Times New Roman" w:hint="default"/>
        </w:rPr>
        <w:t>14,000,000.00</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w:t>
      </w:r>
      <w:r>
        <w:rPr>
          <w:spacing w:val="-90"/>
        </w:rPr>
        <w:t>：</w:t>
      </w:r>
      <w:r>
        <w:rPr/>
        <w:t>人民币</w:t>
      </w:r>
      <w:r>
        <w:rPr>
          <w:spacing w:val="-56"/>
        </w:rPr>
        <w:t> </w:t>
      </w:r>
      <w:r>
        <w:rPr>
          <w:rFonts w:ascii="Times New Roman" w:hAnsi="Times New Roman" w:cs="Times New Roman" w:eastAsia="Times New Roman" w:hint="default"/>
        </w:rPr>
        <w:t>19,450</w:t>
      </w:r>
      <w:r>
        <w:rPr>
          <w:rFonts w:ascii="Times New Roman" w:hAnsi="Times New Roman" w:cs="Times New Roman" w:eastAsia="Times New Roman" w:hint="default"/>
          <w:spacing w:val="-1"/>
        </w:rPr>
        <w:t>,</w:t>
      </w:r>
      <w:r>
        <w:rPr>
          <w:rFonts w:ascii="Times New Roman" w:hAnsi="Times New Roman" w:cs="Times New Roman" w:eastAsia="Times New Roman" w:hint="default"/>
        </w:rPr>
        <w:t>000.00</w:t>
      </w:r>
    </w:p>
    <w:p>
      <w:pPr>
        <w:spacing w:line="240" w:lineRule="auto" w:before="2"/>
        <w:rPr>
          <w:rFonts w:ascii="Times New Roman" w:hAnsi="Times New Roman" w:cs="Times New Roman" w:eastAsia="Times New Roman" w:hint="default"/>
          <w:sz w:val="19"/>
          <w:szCs w:val="19"/>
        </w:rPr>
      </w:pPr>
    </w:p>
    <w:p>
      <w:pPr>
        <w:pStyle w:val="BodyText"/>
        <w:spacing w:line="240" w:lineRule="auto"/>
        <w:ind w:left="234" w:right="1121"/>
        <w:jc w:val="left"/>
      </w:pPr>
      <w:r>
        <w:rPr/>
        <w:t>元</w:t>
      </w:r>
      <w:r>
        <w:rPr>
          <w:rFonts w:ascii="Times New Roman" w:hAnsi="Times New Roman" w:cs="Times New Roman" w:eastAsia="Times New Roman" w:hint="default"/>
        </w:rPr>
        <w:t>)</w:t>
      </w:r>
      <w:r>
        <w:rPr/>
        <w:t>，在其他变量不变的假设下，假定利率变动</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个基准点，不会对本公司的利润总额和股东权益产生重大的影响。</w:t>
      </w:r>
    </w:p>
    <w:p>
      <w:pPr>
        <w:spacing w:line="240" w:lineRule="auto" w:before="10"/>
        <w:rPr>
          <w:rFonts w:ascii="宋体" w:hAnsi="宋体" w:cs="宋体" w:eastAsia="宋体" w:hint="default"/>
          <w:sz w:val="19"/>
          <w:szCs w:val="19"/>
        </w:rPr>
      </w:pPr>
    </w:p>
    <w:p>
      <w:pPr>
        <w:pStyle w:val="BodyText"/>
        <w:spacing w:line="482" w:lineRule="auto"/>
        <w:ind w:left="234" w:right="1121"/>
        <w:jc w:val="left"/>
      </w:pPr>
      <w:r>
        <w:rPr>
          <w:rFonts w:ascii="Times New Roman" w:hAnsi="Times New Roman" w:cs="Times New Roman" w:eastAsia="Times New Roman" w:hint="default"/>
        </w:rPr>
        <w:t>2. </w:t>
      </w:r>
      <w:r>
        <w:rPr/>
        <w:t>外汇风险 </w:t>
      </w:r>
      <w:r>
        <w:rPr>
          <w:spacing w:val="-2"/>
        </w:rPr>
        <w:t>外汇风险，是指金融工具的公允价值或未来现金流量因外汇汇率变动而发生波动的风险。本公司于中国内地经营，且主要活</w:t>
      </w:r>
      <w:r>
        <w:rPr>
          <w:spacing w:val="-66"/>
        </w:rPr>
        <w:t> </w:t>
      </w:r>
      <w:r>
        <w:rPr>
          <w:spacing w:val="-66"/>
        </w:rPr>
      </w:r>
      <w:r>
        <w:rPr/>
        <w:t>动以人民币计价。因此，本公司所承担的外汇变动市场风险不重大。</w:t>
      </w:r>
    </w:p>
    <w:p>
      <w:pPr>
        <w:spacing w:line="240" w:lineRule="auto" w:before="1"/>
        <w:rPr>
          <w:rFonts w:ascii="宋体" w:hAnsi="宋体" w:cs="宋体" w:eastAsia="宋体" w:hint="default"/>
          <w:sz w:val="23"/>
          <w:szCs w:val="23"/>
        </w:rPr>
      </w:pPr>
    </w:p>
    <w:p>
      <w:pPr>
        <w:pStyle w:val="Heading2"/>
        <w:spacing w:line="240" w:lineRule="auto"/>
        <w:ind w:left="234" w:right="1121"/>
        <w:jc w:val="left"/>
        <w:rPr>
          <w:b w:val="0"/>
          <w:bCs w:val="0"/>
        </w:rPr>
      </w:pPr>
      <w:bookmarkStart w:name="十一、公允价值的披露" w:id="422"/>
      <w:bookmarkEnd w:id="422"/>
      <w:r>
        <w:rPr>
          <w:b w:val="0"/>
          <w:bCs w:val="0"/>
        </w:rPr>
      </w:r>
      <w:r>
        <w:rPr/>
        <w:t>十一、公允价值的披露</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1"/>
        <w:ind w:left="234" w:right="1121"/>
        <w:jc w:val="left"/>
        <w:rPr>
          <w:b w:val="0"/>
          <w:bCs w:val="0"/>
        </w:rPr>
      </w:pPr>
      <w:bookmarkStart w:name="1、以公允价值计量的资产和负债的期末公允价值" w:id="423"/>
      <w:bookmarkEnd w:id="42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234" w:right="1121"/>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234" w:right="1121"/>
        <w:jc w:val="left"/>
        <w:rPr>
          <w:b w:val="0"/>
          <w:bCs w:val="0"/>
        </w:rPr>
      </w:pPr>
      <w:bookmarkStart w:name="2、持续和非持续第一层次公允价值计量项目市价的确定依据" w:id="424"/>
      <w:bookmarkEnd w:id="42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240" w:lineRule="auto"/>
        <w:ind w:left="234" w:right="1121"/>
        <w:jc w:val="left"/>
      </w:pPr>
      <w:r>
        <w:rPr/>
        <w:t>不适用</w:t>
      </w:r>
    </w:p>
    <w:p>
      <w:pPr>
        <w:spacing w:after="0" w:line="240" w:lineRule="auto"/>
        <w:jc w:val="left"/>
        <w:sectPr>
          <w:pgSz w:w="11910" w:h="16840"/>
          <w:pgMar w:header="747" w:footer="979" w:top="1060" w:bottom="1160" w:left="90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3、持续和非持续第二层次公允价值计量项目，采用的估值技术和重要参数的定性及定量信" w:id="425"/>
      <w:bookmarkEnd w:id="425"/>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持续和非持续第三层次公允价值计量项目，采用的估值技术和重要参数的定性及定量信" w:id="426"/>
      <w:bookmarkEnd w:id="426"/>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5、持续的第三层次公允价值计量项目，期初与期末账面价值间的调节信息及不可观察参数" w:id="427"/>
      <w:bookmarkEnd w:id="427"/>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6、持续的公允价值计量项目，本期内发生各层级之间转换的，转换的原因及确定转换时点" w:id="428"/>
      <w:bookmarkEnd w:id="428"/>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7、本期内发生的估值技术变更及变更原因" w:id="429"/>
      <w:bookmarkEnd w:id="429"/>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8、不以公允价值计量的金融资产和金融负债的公允价值情况" w:id="430"/>
      <w:bookmarkEnd w:id="430"/>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9、其他" w:id="431"/>
      <w:bookmarkEnd w:id="431"/>
      <w:r>
        <w:rPr>
          <w:b w:val="0"/>
          <w:bCs w:val="0"/>
        </w:rPr>
      </w:r>
      <w:r>
        <w:rPr>
          <w:rFonts w:ascii="Times New Roman" w:hAnsi="Times New Roman" w:cs="Times New Roman" w:eastAsia="Times New Roman" w:hint="default"/>
        </w:rPr>
        <w:t>9</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bookmarkStart w:name="十二、关联方及关联交易" w:id="432"/>
      <w:bookmarkEnd w:id="432"/>
      <w:r>
        <w:rPr>
          <w:b w:val="0"/>
          <w:bCs w:val="0"/>
        </w:rPr>
      </w:r>
      <w:r>
        <w:rPr/>
        <w:t>十二、关联方及关联交易</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本企业的母公司情况" w:id="433"/>
      <w:bookmarkEnd w:id="43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本企业的母公司情况的说明</w:t>
      </w:r>
    </w:p>
    <w:p>
      <w:pPr>
        <w:spacing w:line="240" w:lineRule="auto" w:before="9"/>
        <w:rPr>
          <w:rFonts w:ascii="宋体" w:hAnsi="宋体" w:cs="宋体" w:eastAsia="宋体" w:hint="default"/>
          <w:sz w:val="20"/>
          <w:szCs w:val="20"/>
        </w:rPr>
      </w:pPr>
    </w:p>
    <w:p>
      <w:pPr>
        <w:pStyle w:val="BodyText"/>
        <w:spacing w:line="451" w:lineRule="auto"/>
        <w:ind w:right="1116"/>
        <w:jc w:val="left"/>
      </w:pPr>
      <w:r>
        <w:rPr/>
        <w:t>茅庆江先生直接持有本公司</w:t>
      </w:r>
      <w:r>
        <w:rPr>
          <w:spacing w:val="-9"/>
        </w:rPr>
        <w:t> </w:t>
      </w:r>
      <w:r>
        <w:rPr>
          <w:rFonts w:ascii="Times New Roman" w:hAnsi="Times New Roman" w:cs="Times New Roman" w:eastAsia="Times New Roman" w:hint="default"/>
        </w:rPr>
        <w:t>35.22%</w:t>
      </w:r>
      <w:r>
        <w:rPr/>
        <w:t>股权，并通过西藏常森创业投资管理有限公司和西藏碧天创业投资管理有限公司间接持 有本公司</w:t>
      </w:r>
      <w:r>
        <w:rPr>
          <w:spacing w:val="-28"/>
        </w:rPr>
        <w:t> </w:t>
      </w:r>
      <w:r>
        <w:rPr>
          <w:rFonts w:ascii="Times New Roman" w:hAnsi="Times New Roman" w:cs="Times New Roman" w:eastAsia="Times New Roman" w:hint="default"/>
        </w:rPr>
        <w:t>0.10%</w:t>
      </w:r>
      <w:r>
        <w:rPr/>
        <w:t>的股权，直接和间接合计持有本公司</w:t>
      </w:r>
      <w:r>
        <w:rPr>
          <w:spacing w:val="-28"/>
        </w:rPr>
        <w:t> </w:t>
      </w:r>
      <w:r>
        <w:rPr>
          <w:rFonts w:ascii="Times New Roman" w:hAnsi="Times New Roman" w:cs="Times New Roman" w:eastAsia="Times New Roman" w:hint="default"/>
        </w:rPr>
        <w:t>35.32%</w:t>
      </w:r>
      <w:r>
        <w:rPr/>
        <w:t>的股权，茅庆江先生可以实际支配公司股份表决权超过</w:t>
      </w:r>
      <w:r>
        <w:rPr>
          <w:spacing w:val="-28"/>
        </w:rPr>
        <w:t> </w:t>
      </w:r>
      <w:r>
        <w:rPr>
          <w:rFonts w:ascii="Times New Roman" w:hAnsi="Times New Roman" w:cs="Times New Roman" w:eastAsia="Times New Roman" w:hint="default"/>
        </w:rPr>
        <w:t>30%</w:t>
      </w:r>
      <w:r>
        <w:rPr/>
        <w:t>，</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认定为本公司控股股东。</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本企业的子公司情况" w:id="434"/>
      <w:bookmarkEnd w:id="43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本企业子公司的情况详见附注在其他主体中的权益之说明。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本企业合营和联营企业情况" w:id="435"/>
      <w:bookmarkEnd w:id="43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其他关联方情况" w:id="436"/>
      <w:bookmarkEnd w:id="43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5、关联交易情况" w:id="437"/>
      <w:bookmarkEnd w:id="43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购销商品、提供和接受劳务的关联交易" w:id="438"/>
      <w:bookmarkEnd w:id="43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99" w:lineRule="auto"/>
        <w:ind w:right="8722"/>
        <w:jc w:val="left"/>
      </w:pPr>
      <w:r>
        <w:rPr/>
        <w:t>采购商品</w:t>
      </w:r>
      <w:r>
        <w:rPr>
          <w:rFonts w:ascii="Times New Roman" w:hAnsi="Times New Roman" w:cs="Times New Roman" w:eastAsia="Times New Roman" w:hint="default"/>
        </w:rPr>
        <w:t>/</w:t>
      </w:r>
      <w:r>
        <w:rPr/>
        <w:t>接受劳务情况表 不适用 出售商品</w:t>
      </w:r>
      <w:r>
        <w:rPr>
          <w:rFonts w:ascii="Times New Roman" w:hAnsi="Times New Roman" w:cs="Times New Roman" w:eastAsia="Times New Roman" w:hint="default"/>
        </w:rPr>
        <w:t>/</w:t>
      </w:r>
      <w:r>
        <w:rPr/>
        <w:t>提供劳务情况表 不适用</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2）关联受托管理/承包及委托管理/出包情况" w:id="439"/>
      <w:bookmarkEnd w:id="43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99" w:lineRule="auto"/>
        <w:ind w:right="8362"/>
        <w:jc w:val="left"/>
      </w:pPr>
      <w:r>
        <w:rPr/>
        <w:t>本公司受托管理</w:t>
      </w:r>
      <w:r>
        <w:rPr>
          <w:rFonts w:ascii="Times New Roman" w:hAnsi="Times New Roman" w:cs="Times New Roman" w:eastAsia="Times New Roman" w:hint="default"/>
        </w:rPr>
        <w:t>/</w:t>
      </w:r>
      <w:r>
        <w:rPr/>
        <w:t>承包情况表： 不适用 本公司委托管理</w:t>
      </w:r>
      <w:r>
        <w:rPr>
          <w:rFonts w:ascii="Times New Roman" w:hAnsi="Times New Roman" w:cs="Times New Roman" w:eastAsia="Times New Roman" w:hint="default"/>
        </w:rPr>
        <w:t>/</w:t>
      </w:r>
      <w:r>
        <w:rPr/>
        <w:t>出包情况表： 不适用</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3）关联租赁情况" w:id="440"/>
      <w:bookmarkEnd w:id="44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right="9132"/>
        <w:jc w:val="left"/>
      </w:pPr>
      <w:r>
        <w:rPr/>
        <w:t>本公司作为出租方： 不适用</w:t>
      </w:r>
    </w:p>
    <w:p>
      <w:pPr>
        <w:spacing w:after="0" w:line="5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本公司作为承租方：</w:t>
      </w:r>
    </w:p>
    <w:p>
      <w:pPr>
        <w:spacing w:line="240" w:lineRule="auto" w:before="5"/>
        <w:rPr>
          <w:rFonts w:ascii="宋体" w:hAnsi="宋体" w:cs="宋体" w:eastAsia="宋体" w:hint="default"/>
          <w:sz w:val="17"/>
          <w:szCs w:val="17"/>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员工宿舍租赁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6" w:right="0"/>
              <w:jc w:val="left"/>
              <w:rPr>
                <w:rFonts w:ascii="Times New Roman" w:hAnsi="Times New Roman" w:cs="Times New Roman" w:eastAsia="Times New Roman" w:hint="default"/>
                <w:sz w:val="18"/>
                <w:szCs w:val="18"/>
              </w:rPr>
            </w:pPr>
            <w:r>
              <w:rPr>
                <w:rFonts w:ascii="Times New Roman"/>
                <w:sz w:val="18"/>
              </w:rPr>
              <w:t>112,080.00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6" w:right="0"/>
              <w:jc w:val="left"/>
              <w:rPr>
                <w:rFonts w:ascii="Times New Roman" w:hAnsi="Times New Roman" w:cs="Times New Roman" w:eastAsia="Times New Roman" w:hint="default"/>
                <w:sz w:val="18"/>
                <w:szCs w:val="18"/>
              </w:rPr>
            </w:pPr>
            <w:r>
              <w:rPr>
                <w:rFonts w:ascii="Times New Roman"/>
                <w:sz w:val="18"/>
              </w:rPr>
              <w:t>112,800.00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关联租赁情况说明</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日，茅庆江与公司签订了《广州市房屋租赁合同》，该合同约定茅庆江将其个人名下位于番禺区番禺大道北</w:t>
      </w:r>
    </w:p>
    <w:p>
      <w:pPr>
        <w:spacing w:line="240" w:lineRule="auto" w:before="9"/>
        <w:rPr>
          <w:rFonts w:ascii="宋体" w:hAnsi="宋体" w:cs="宋体" w:eastAsia="宋体" w:hint="default"/>
          <w:sz w:val="16"/>
          <w:szCs w:val="16"/>
        </w:rPr>
      </w:pPr>
    </w:p>
    <w:p>
      <w:pPr>
        <w:pStyle w:val="BodyText"/>
        <w:spacing w:line="451" w:lineRule="auto"/>
        <w:ind w:right="0"/>
        <w:jc w:val="left"/>
      </w:pPr>
      <w:r>
        <w:rPr>
          <w:rFonts w:ascii="Times New Roman" w:hAnsi="Times New Roman" w:cs="Times New Roman" w:eastAsia="Times New Roman" w:hint="default"/>
          <w:spacing w:val="-2"/>
        </w:rPr>
        <w:t>555</w:t>
      </w:r>
      <w:r>
        <w:rPr>
          <w:spacing w:val="-2"/>
        </w:rPr>
        <w:t>号番禺节能科技园内天安菁华公寓</w:t>
      </w:r>
      <w:r>
        <w:rPr>
          <w:rFonts w:ascii="Times New Roman" w:hAnsi="Times New Roman" w:cs="Times New Roman" w:eastAsia="Times New Roman" w:hint="default"/>
          <w:spacing w:val="-2"/>
        </w:rPr>
        <w:t>2</w:t>
      </w:r>
      <w:r>
        <w:rPr>
          <w:spacing w:val="-2"/>
        </w:rPr>
        <w:t>栋</w:t>
      </w:r>
      <w:r>
        <w:rPr>
          <w:rFonts w:ascii="Times New Roman" w:hAnsi="Times New Roman" w:cs="Times New Roman" w:eastAsia="Times New Roman" w:hint="default"/>
          <w:spacing w:val="-2"/>
        </w:rPr>
        <w:t>1701</w:t>
      </w:r>
      <w:r>
        <w:rPr>
          <w:spacing w:val="-2"/>
        </w:rPr>
        <w:t>号、</w:t>
      </w:r>
      <w:r>
        <w:rPr>
          <w:rFonts w:ascii="Times New Roman" w:hAnsi="Times New Roman" w:cs="Times New Roman" w:eastAsia="Times New Roman" w:hint="default"/>
          <w:spacing w:val="-2"/>
        </w:rPr>
        <w:t>1702</w:t>
      </w:r>
      <w:r>
        <w:rPr>
          <w:spacing w:val="-2"/>
        </w:rPr>
        <w:t>号、</w:t>
      </w:r>
      <w:r>
        <w:rPr>
          <w:rFonts w:ascii="Times New Roman" w:hAnsi="Times New Roman" w:cs="Times New Roman" w:eastAsia="Times New Roman" w:hint="default"/>
          <w:spacing w:val="-2"/>
        </w:rPr>
        <w:t>1703</w:t>
      </w:r>
      <w:r>
        <w:rPr>
          <w:spacing w:val="-2"/>
        </w:rPr>
        <w:t>号、</w:t>
      </w:r>
      <w:r>
        <w:rPr>
          <w:rFonts w:ascii="Times New Roman" w:hAnsi="Times New Roman" w:cs="Times New Roman" w:eastAsia="Times New Roman" w:hint="default"/>
          <w:spacing w:val="-2"/>
        </w:rPr>
        <w:t>1717</w:t>
      </w:r>
      <w:r>
        <w:rPr>
          <w:spacing w:val="-2"/>
        </w:rPr>
        <w:t>号、</w:t>
      </w:r>
      <w:r>
        <w:rPr>
          <w:rFonts w:ascii="Times New Roman" w:hAnsi="Times New Roman" w:cs="Times New Roman" w:eastAsia="Times New Roman" w:hint="default"/>
          <w:spacing w:val="-2"/>
        </w:rPr>
        <w:t>1718</w:t>
      </w:r>
      <w:r>
        <w:rPr>
          <w:spacing w:val="-2"/>
        </w:rPr>
        <w:t>号及</w:t>
      </w:r>
      <w:r>
        <w:rPr>
          <w:rFonts w:ascii="Times New Roman" w:hAnsi="Times New Roman" w:cs="Times New Roman" w:eastAsia="Times New Roman" w:hint="default"/>
          <w:spacing w:val="-2"/>
        </w:rPr>
        <w:t>1719</w:t>
      </w:r>
      <w:r>
        <w:rPr>
          <w:spacing w:val="-2"/>
        </w:rPr>
        <w:t>号的房产出租给公司作为住宅用</w:t>
      </w:r>
      <w:r>
        <w:rPr>
          <w:spacing w:val="-37"/>
        </w:rPr>
        <w:t> </w:t>
      </w:r>
      <w:r>
        <w:rPr/>
        <w:t>途使用。租赁期限从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日，租金共计</w:t>
      </w:r>
      <w:r>
        <w:rPr>
          <w:rFonts w:ascii="Times New Roman" w:hAnsi="Times New Roman" w:cs="Times New Roman" w:eastAsia="Times New Roman" w:hint="default"/>
        </w:rPr>
        <w:t>9,400</w:t>
      </w:r>
      <w:r>
        <w:rPr/>
        <w:t>元</w:t>
      </w:r>
      <w:r>
        <w:rPr>
          <w:rFonts w:ascii="Times New Roman" w:hAnsi="Times New Roman" w:cs="Times New Roman" w:eastAsia="Times New Roman" w:hint="default"/>
        </w:rPr>
        <w:t>/</w:t>
      </w:r>
      <w:r>
        <w:rPr/>
        <w:t>月。</w:t>
      </w:r>
      <w:r>
        <w:rPr>
          <w:spacing w:val="-2"/>
        </w:rPr>
        <w:t>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13</w:t>
      </w:r>
      <w:r>
        <w:rPr>
          <w:spacing w:val="-2"/>
        </w:rPr>
        <w:t>日，茅庆江与公司签订了《广州市房屋租赁合同》，该合同约定茅庆江将其个人名下位于番禺区番禺大道北</w:t>
      </w:r>
    </w:p>
    <w:p>
      <w:pPr>
        <w:pStyle w:val="BodyText"/>
        <w:spacing w:line="451" w:lineRule="auto" w:before="43"/>
        <w:ind w:right="0"/>
        <w:jc w:val="left"/>
      </w:pPr>
      <w:r>
        <w:rPr>
          <w:rFonts w:ascii="Times New Roman" w:hAnsi="Times New Roman" w:cs="Times New Roman" w:eastAsia="Times New Roman" w:hint="default"/>
          <w:spacing w:val="-2"/>
        </w:rPr>
        <w:t>555</w:t>
      </w:r>
      <w:r>
        <w:rPr>
          <w:spacing w:val="-2"/>
        </w:rPr>
        <w:t>号番禺节能科技园内天安菁华公寓</w:t>
      </w:r>
      <w:r>
        <w:rPr>
          <w:rFonts w:ascii="Times New Roman" w:hAnsi="Times New Roman" w:cs="Times New Roman" w:eastAsia="Times New Roman" w:hint="default"/>
          <w:spacing w:val="-2"/>
        </w:rPr>
        <w:t>2</w:t>
      </w:r>
      <w:r>
        <w:rPr>
          <w:spacing w:val="-2"/>
        </w:rPr>
        <w:t>栋</w:t>
      </w:r>
      <w:r>
        <w:rPr>
          <w:rFonts w:ascii="Times New Roman" w:hAnsi="Times New Roman" w:cs="Times New Roman" w:eastAsia="Times New Roman" w:hint="default"/>
          <w:spacing w:val="-2"/>
        </w:rPr>
        <w:t>1701</w:t>
      </w:r>
      <w:r>
        <w:rPr>
          <w:spacing w:val="-2"/>
        </w:rPr>
        <w:t>号、</w:t>
      </w:r>
      <w:r>
        <w:rPr>
          <w:rFonts w:ascii="Times New Roman" w:hAnsi="Times New Roman" w:cs="Times New Roman" w:eastAsia="Times New Roman" w:hint="default"/>
          <w:spacing w:val="-2"/>
        </w:rPr>
        <w:t>1702</w:t>
      </w:r>
      <w:r>
        <w:rPr>
          <w:spacing w:val="-2"/>
        </w:rPr>
        <w:t>号、</w:t>
      </w:r>
      <w:r>
        <w:rPr>
          <w:rFonts w:ascii="Times New Roman" w:hAnsi="Times New Roman" w:cs="Times New Roman" w:eastAsia="Times New Roman" w:hint="default"/>
          <w:spacing w:val="-2"/>
        </w:rPr>
        <w:t>1703</w:t>
      </w:r>
      <w:r>
        <w:rPr>
          <w:spacing w:val="-2"/>
        </w:rPr>
        <w:t>号、</w:t>
      </w:r>
      <w:r>
        <w:rPr>
          <w:rFonts w:ascii="Times New Roman" w:hAnsi="Times New Roman" w:cs="Times New Roman" w:eastAsia="Times New Roman" w:hint="default"/>
          <w:spacing w:val="-2"/>
        </w:rPr>
        <w:t>1717</w:t>
      </w:r>
      <w:r>
        <w:rPr>
          <w:spacing w:val="-2"/>
        </w:rPr>
        <w:t>号、</w:t>
      </w:r>
      <w:r>
        <w:rPr>
          <w:rFonts w:ascii="Times New Roman" w:hAnsi="Times New Roman" w:cs="Times New Roman" w:eastAsia="Times New Roman" w:hint="default"/>
          <w:spacing w:val="-2"/>
        </w:rPr>
        <w:t>1718</w:t>
      </w:r>
      <w:r>
        <w:rPr>
          <w:spacing w:val="-2"/>
        </w:rPr>
        <w:t>号及</w:t>
      </w:r>
      <w:r>
        <w:rPr>
          <w:rFonts w:ascii="Times New Roman" w:hAnsi="Times New Roman" w:cs="Times New Roman" w:eastAsia="Times New Roman" w:hint="default"/>
          <w:spacing w:val="-2"/>
        </w:rPr>
        <w:t>1719</w:t>
      </w:r>
      <w:r>
        <w:rPr>
          <w:spacing w:val="-2"/>
        </w:rPr>
        <w:t>号的房产出租给公司作为住宅用</w:t>
      </w:r>
      <w:r>
        <w:rPr>
          <w:spacing w:val="-37"/>
        </w:rPr>
        <w:t> </w:t>
      </w:r>
      <w:r>
        <w:rPr/>
        <w:t>途使用。租赁期限从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日，租金共计</w:t>
      </w:r>
      <w:r>
        <w:rPr>
          <w:rFonts w:ascii="Times New Roman" w:hAnsi="Times New Roman" w:cs="Times New Roman" w:eastAsia="Times New Roman" w:hint="default"/>
        </w:rPr>
        <w:t>9,200</w:t>
      </w:r>
      <w:r>
        <w:rPr/>
        <w:t>元</w:t>
      </w:r>
      <w:r>
        <w:rPr>
          <w:rFonts w:ascii="Times New Roman" w:hAnsi="Times New Roman" w:cs="Times New Roman" w:eastAsia="Times New Roman" w:hint="default"/>
        </w:rPr>
        <w:t>/</w:t>
      </w:r>
      <w:r>
        <w:rPr/>
        <w:t>月。</w:t>
      </w: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bookmarkStart w:name="（4）关联担保情况" w:id="441"/>
      <w:bookmarkEnd w:id="44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8" w:lineRule="auto"/>
        <w:ind w:right="9132"/>
        <w:jc w:val="left"/>
      </w:pPr>
      <w:r>
        <w:rPr/>
        <w:t>本公司作为担保方 不适用 本公司作为被担保方 不适用</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5）关联方资金拆借" w:id="442"/>
      <w:bookmarkEnd w:id="44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6）关联方资产转让、债务重组情况" w:id="443"/>
      <w:bookmarkEnd w:id="44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7）关键管理人员报酬" w:id="444"/>
      <w:bookmarkEnd w:id="44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3,289,415.67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3,211,432.72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8）其他关联交易" w:id="445"/>
      <w:bookmarkEnd w:id="44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6、关联方应收应付款项" w:id="446"/>
      <w:bookmarkEnd w:id="44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应收项目" w:id="447"/>
      <w:bookmarkEnd w:id="44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应付项目" w:id="448"/>
      <w:bookmarkEnd w:id="44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7、关联方承诺" w:id="449"/>
      <w:bookmarkEnd w:id="44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32"/>
          <w:szCs w:val="32"/>
        </w:rPr>
      </w:pPr>
    </w:p>
    <w:p>
      <w:pPr>
        <w:spacing w:line="667" w:lineRule="auto" w:before="0"/>
        <w:ind w:left="154" w:right="10014" w:firstLine="0"/>
        <w:jc w:val="left"/>
        <w:rPr>
          <w:rFonts w:ascii="宋体" w:hAnsi="宋体" w:cs="宋体" w:eastAsia="宋体" w:hint="default"/>
          <w:sz w:val="18"/>
          <w:szCs w:val="18"/>
        </w:rPr>
      </w:pPr>
      <w:r>
        <w:rPr>
          <w:rFonts w:ascii="宋体" w:hAnsi="宋体" w:cs="宋体" w:eastAsia="宋体" w:hint="default"/>
          <w:sz w:val="18"/>
          <w:szCs w:val="18"/>
        </w:rPr>
        <w:t>不适用 </w:t>
      </w:r>
      <w:bookmarkStart w:name="8、其他" w:id="450"/>
      <w:bookmarkEnd w:id="450"/>
      <w:r>
        <w:rPr>
          <w:rFonts w:ascii="宋体" w:hAnsi="宋体" w:cs="宋体" w:eastAsia="宋体" w:hint="default"/>
          <w:sz w:val="18"/>
          <w:szCs w:val="18"/>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2"/>
          <w:szCs w:val="12"/>
        </w:rPr>
      </w:pPr>
    </w:p>
    <w:p>
      <w:pPr>
        <w:pStyle w:val="Heading2"/>
        <w:spacing w:line="240" w:lineRule="auto"/>
        <w:ind w:right="0"/>
        <w:jc w:val="left"/>
        <w:rPr>
          <w:b w:val="0"/>
          <w:bCs w:val="0"/>
        </w:rPr>
      </w:pPr>
      <w:bookmarkStart w:name="十三、股份支付" w:id="451"/>
      <w:bookmarkEnd w:id="451"/>
      <w:r>
        <w:rPr>
          <w:b w:val="0"/>
          <w:bCs w:val="0"/>
        </w:rPr>
      </w:r>
      <w:r>
        <w:rPr/>
        <w:t>十三、股份支付</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股份支付总体情况" w:id="452"/>
      <w:bookmarkEnd w:id="452"/>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15,614,619.00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1,601,402.00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191,573.00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11.414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w:t>
            </w:r>
          </w:p>
        </w:tc>
      </w:tr>
      <w:tr>
        <w:trPr>
          <w:trHeight w:val="1338"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公司期末发行在外的各期限制性股票行权价格的范 围和合同剩余期限：</w:t>
            </w:r>
          </w:p>
          <w:p>
            <w:pPr>
              <w:pStyle w:val="TableParagraph"/>
              <w:tabs>
                <w:tab w:pos="2090" w:val="left" w:leader="none"/>
              </w:tabs>
              <w:spacing w:line="240" w:lineRule="auto" w:before="5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6.072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w:t>
              <w:tab/>
            </w:r>
            <w:r>
              <w:rPr>
                <w:rFonts w:ascii="Times New Roman" w:hAnsi="Times New Roman" w:cs="Times New Roman" w:eastAsia="Times New Roman" w:hint="default"/>
                <w:sz w:val="18"/>
                <w:szCs w:val="18"/>
              </w:rPr>
              <w:t>7.449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16 </w:t>
            </w:r>
            <w:r>
              <w:rPr>
                <w:rFonts w:ascii="宋体" w:hAnsi="宋体" w:cs="宋体" w:eastAsia="宋体" w:hint="default"/>
                <w:sz w:val="18"/>
                <w:szCs w:val="18"/>
              </w:rPr>
              <w:t>个月</w:t>
            </w:r>
          </w:p>
          <w:p>
            <w:pPr>
              <w:pStyle w:val="TableParagraph"/>
              <w:tabs>
                <w:tab w:pos="2090" w:val="left" w:leader="none"/>
              </w:tabs>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8.305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w:t>
              <w:tab/>
            </w:r>
            <w:r>
              <w:rPr>
                <w:rFonts w:ascii="Times New Roman" w:hAnsi="Times New Roman" w:cs="Times New Roman" w:eastAsia="Times New Roman" w:hint="default"/>
                <w:sz w:val="18"/>
                <w:szCs w:val="18"/>
              </w:rPr>
              <w:t>6.699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16 </w:t>
            </w:r>
            <w:r>
              <w:rPr>
                <w:rFonts w:ascii="宋体" w:hAnsi="宋体" w:cs="宋体" w:eastAsia="宋体" w:hint="default"/>
                <w:sz w:val="18"/>
                <w:szCs w:val="18"/>
              </w:rPr>
              <w:t>个月</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5446;height:353" coordorigin="10,14" coordsize="5446,353">
              <v:shape style="position:absolute;left:10;top:14;width:5446;height:353" coordorigin="10,14" coordsize="5446,353" path="m10,367l5455,367,5455,14,10,14,10,367xe" filled="true" fillcolor="#d2d2d2" stroked="false">
                <v:path arrowok="t"/>
                <v:fill type="solid"/>
              </v:shape>
            </v:group>
            <v:group style="position:absolute;left:10;top:10;width:5446;height:2" coordorigin="10,10" coordsize="5446,2">
              <v:shape style="position:absolute;left:10;top:10;width:5446;height:2" coordorigin="10,10" coordsize="5446,0" path="m10,10l5455,10e" filled="false" stroked="true" strokeweight=".48pt" strokecolor="#000000">
                <v:path arrowok="t"/>
              </v:shape>
            </v:group>
            <v:group style="position:absolute;left:5464;top:10;width:4105;height:2" coordorigin="5464,10" coordsize="4105,2">
              <v:shape style="position:absolute;left:5464;top:10;width:4105;height:2" coordorigin="5464,10" coordsize="4105,0" path="m5464,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5446;height:2" coordorigin="10,372" coordsize="5446,2">
              <v:shape style="position:absolute;left:10;top:372;width:5446;height:2" coordorigin="10,372" coordsize="5446,0" path="m10,372l5455,372e" filled="false" stroked="true" strokeweight=".48pt" strokecolor="#000000">
                <v:path arrowok="t"/>
              </v:shape>
            </v:group>
            <v:group style="position:absolute;left:5460;top:5;width:2;height:372" coordorigin="5460,5" coordsize="2,372">
              <v:shape style="position:absolute;left:5460;top:5;width:2;height:372" coordorigin="5460,5" coordsize="0,372" path="m5460,5l5460,377e" filled="false" stroked="true" strokeweight=".48001pt" strokecolor="#000000">
                <v:path arrowok="t"/>
              </v:shape>
            </v:group>
            <v:group style="position:absolute;left:5464;top:372;width:4105;height:2" coordorigin="5464,372" coordsize="4105,2">
              <v:shape style="position:absolute;left:5464;top:372;width:4105;height:2" coordorigin="5464,372" coordsize="4105,0" path="m5464,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5460;top:10;width:4114;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5.681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xbxContent>
                </v:textbox>
                <w10:wrap type="none"/>
              </v:shape>
            </v:group>
          </v:group>
        </w:pict>
      </w:r>
      <w:r>
        <w:rPr>
          <w:rFonts w:ascii="宋体" w:hAnsi="宋体" w:cs="宋体" w:eastAsia="宋体" w:hint="default"/>
          <w:position w:val="-7"/>
          <w:sz w:val="20"/>
          <w:szCs w:val="20"/>
        </w:rPr>
      </w: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以权益结算的股份支付情况" w:id="453"/>
      <w:bookmarkEnd w:id="45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斯科尔斯期权定价模型（</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公司根据在职激励对象对应的权益工具、公司业绩以及对 未来年度公司业绩的预测进行确定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34,710,471.00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18,219,541.00</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以现金结算的股份支付情况" w:id="454"/>
      <w:bookmarkEnd w:id="45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4、股份支付的修改、终止情况" w:id="455"/>
      <w:bookmarkEnd w:id="45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5、其他" w:id="456"/>
      <w:bookmarkEnd w:id="456"/>
      <w:r>
        <w:rPr>
          <w:b w:val="0"/>
          <w:bCs w:val="0"/>
        </w:rPr>
      </w:r>
      <w:r>
        <w:rPr>
          <w:rFonts w:ascii="Times New Roman" w:hAnsi="Times New Roman" w:cs="Times New Roman" w:eastAsia="Times New Roman" w:hint="default"/>
        </w:rPr>
        <w:t>5</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bookmarkStart w:name="十四、承诺及或有事项" w:id="457"/>
      <w:bookmarkEnd w:id="457"/>
      <w:r>
        <w:rPr>
          <w:b w:val="0"/>
          <w:bCs w:val="0"/>
        </w:rPr>
      </w:r>
      <w:r>
        <w:rPr/>
        <w:t>十四、承诺及或有事项</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重要承诺事项" w:id="458"/>
      <w:bookmarkEnd w:id="458"/>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资产负债表日存在的重要承诺</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或有事项" w:id="459"/>
      <w:bookmarkEnd w:id="45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90"/>
        <w:ind w:right="0"/>
        <w:jc w:val="left"/>
        <w:rPr>
          <w:b w:val="0"/>
          <w:bCs w:val="0"/>
        </w:rPr>
      </w:pPr>
      <w:bookmarkStart w:name="（1）资产负债表日存在的重要或有事项" w:id="460"/>
      <w:bookmarkEnd w:id="46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公司没有需要披露的重要或有事项，也应予以说明" w:id="461"/>
      <w:bookmarkEnd w:id="46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其他" w:id="462"/>
      <w:bookmarkEnd w:id="462"/>
      <w:r>
        <w:rPr>
          <w:b w:val="0"/>
          <w:bCs w:val="0"/>
        </w:rPr>
      </w:r>
      <w:r>
        <w:rPr>
          <w:rFonts w:ascii="Times New Roman" w:hAnsi="Times New Roman" w:cs="Times New Roman" w:eastAsia="Times New Roman" w:hint="default"/>
        </w:rPr>
        <w:t>3</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bookmarkStart w:name="十五、资产负债表日后事项" w:id="463"/>
      <w:bookmarkEnd w:id="463"/>
      <w:r>
        <w:rPr>
          <w:b w:val="0"/>
          <w:bCs w:val="0"/>
        </w:rPr>
      </w:r>
      <w:r>
        <w:rPr/>
        <w:t>十五、资产负债表日后事项</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重要的非调整事项" w:id="464"/>
      <w:bookmarkEnd w:id="464"/>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利润分配情况" w:id="465"/>
      <w:bookmarkEnd w:id="46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年年度公司利润分配预案如下：</w:t>
      </w:r>
    </w:p>
    <w:p>
      <w:pPr>
        <w:pStyle w:val="BodyText"/>
        <w:spacing w:line="240" w:lineRule="auto" w:before="101"/>
        <w:ind w:left="514" w:right="0"/>
        <w:jc w:val="left"/>
      </w:pPr>
      <w:r>
        <w:rPr/>
        <w:t>公司拟以截至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t>日的总股本</w:t>
      </w:r>
      <w:r>
        <w:rPr>
          <w:spacing w:val="-54"/>
        </w:rPr>
        <w:t> </w:t>
      </w:r>
      <w:r>
        <w:rPr>
          <w:rFonts w:ascii="Times New Roman" w:hAnsi="Times New Roman" w:cs="Times New Roman" w:eastAsia="Times New Roman" w:hint="default"/>
        </w:rPr>
        <w:t>408,405,465</w:t>
      </w:r>
      <w:r>
        <w:rPr>
          <w:rFonts w:ascii="Times New Roman" w:hAnsi="Times New Roman" w:cs="Times New Roman" w:eastAsia="Times New Roman" w:hint="default"/>
          <w:spacing w:val="-10"/>
        </w:rPr>
        <w:t> </w:t>
      </w:r>
      <w:r>
        <w:rPr/>
        <w:t>股扣除截至本公告披露之日回购专户持有股份</w:t>
      </w:r>
      <w:r>
        <w:rPr>
          <w:spacing w:val="-54"/>
        </w:rPr>
        <w:t> </w:t>
      </w:r>
      <w:r>
        <w:rPr>
          <w:rFonts w:ascii="Times New Roman" w:hAnsi="Times New Roman" w:cs="Times New Roman" w:eastAsia="Times New Roman" w:hint="default"/>
        </w:rPr>
        <w:t>3,883,600</w:t>
      </w:r>
      <w:r>
        <w:rPr>
          <w:rFonts w:ascii="Times New Roman" w:hAnsi="Times New Roman" w:cs="Times New Roman" w:eastAsia="Times New Roman" w:hint="default"/>
          <w:spacing w:val="-10"/>
        </w:rPr>
        <w:t> </w:t>
      </w:r>
      <w:r>
        <w:rPr/>
        <w:t>股后股本</w:t>
      </w:r>
    </w:p>
    <w:p>
      <w:pPr>
        <w:pStyle w:val="BodyText"/>
        <w:spacing w:line="240" w:lineRule="auto" w:before="63"/>
        <w:ind w:right="0"/>
        <w:jc w:val="left"/>
      </w:pPr>
      <w:r>
        <w:rPr>
          <w:rFonts w:ascii="Times New Roman" w:hAnsi="Times New Roman" w:cs="Times New Roman" w:eastAsia="Times New Roman" w:hint="default"/>
        </w:rPr>
        <w:t>404,521,865 </w:t>
      </w:r>
      <w:r>
        <w:rPr>
          <w:spacing w:val="-2"/>
        </w:rPr>
        <w:t>股</w:t>
      </w:r>
      <w:r>
        <w:rPr/>
        <w:t>为基数，向全体股东每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1"/>
        </w:rPr>
        <w:t>股</w:t>
      </w:r>
      <w:r>
        <w:rPr/>
        <w:t>派发现金股利人民币</w:t>
      </w:r>
      <w:r>
        <w:rPr>
          <w:spacing w:val="-46"/>
        </w:rPr>
        <w:t> </w:t>
      </w:r>
      <w:r>
        <w:rPr>
          <w:rFonts w:ascii="Times New Roman" w:hAnsi="Times New Roman" w:cs="Times New Roman" w:eastAsia="Times New Roman" w:hint="default"/>
        </w:rPr>
        <w:t>0.5</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，合计派发现金股利</w:t>
      </w:r>
      <w:r>
        <w:rPr>
          <w:spacing w:val="-46"/>
        </w:rPr>
        <w:t> </w:t>
      </w:r>
      <w:r>
        <w:rPr>
          <w:rFonts w:ascii="Times New Roman" w:hAnsi="Times New Roman" w:cs="Times New Roman" w:eastAsia="Times New Roman" w:hint="default"/>
        </w:rPr>
        <w:t>20,226,093.25 </w:t>
      </w:r>
      <w:r>
        <w:rPr/>
        <w:t>元</w:t>
      </w:r>
      <w:r>
        <w:rPr>
          <w:spacing w:val="-2"/>
        </w:rPr>
        <w:t>（</w:t>
      </w:r>
      <w:r>
        <w:rPr/>
        <w:t>含税</w:t>
      </w:r>
      <w:r>
        <w:rPr>
          <w:spacing w:val="-89"/>
        </w:rPr>
        <w:t>）</w:t>
      </w:r>
      <w:r>
        <w:rPr/>
        <w:t>，</w:t>
      </w:r>
    </w:p>
    <w:p>
      <w:pPr>
        <w:pStyle w:val="BodyText"/>
        <w:spacing w:line="338" w:lineRule="auto" w:before="64"/>
        <w:ind w:left="514" w:right="0" w:hanging="360"/>
        <w:jc w:val="left"/>
      </w:pPr>
      <w:r>
        <w:rPr/>
        <w:t>剩余未分配利润结转以后年度；同时，以资本公积金向全体股东每</w:t>
      </w:r>
      <w:r>
        <w:rPr>
          <w:spacing w:val="-45"/>
        </w:rPr>
        <w:t> </w:t>
      </w:r>
      <w:r>
        <w:rPr>
          <w:rFonts w:ascii="Times New Roman" w:hAnsi="Times New Roman" w:cs="Times New Roman" w:eastAsia="Times New Roman" w:hint="default"/>
        </w:rPr>
        <w:t>10 </w:t>
      </w:r>
      <w:r>
        <w:rPr/>
        <w:t>股转增</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股，合计转增股份数量为</w:t>
      </w:r>
      <w:r>
        <w:rPr>
          <w:spacing w:val="-46"/>
        </w:rPr>
        <w:t> </w:t>
      </w:r>
      <w:r>
        <w:rPr>
          <w:rFonts w:ascii="Times New Roman" w:hAnsi="Times New Roman" w:cs="Times New Roman" w:eastAsia="Times New Roman" w:hint="default"/>
        </w:rPr>
        <w:t>283,165,305</w:t>
      </w:r>
      <w:r>
        <w:rPr>
          <w:rFonts w:ascii="Times New Roman" w:hAnsi="Times New Roman" w:cs="Times New Roman" w:eastAsia="Times New Roman" w:hint="default"/>
          <w:spacing w:val="-1"/>
        </w:rPr>
        <w:t> </w:t>
      </w:r>
      <w:r>
        <w:rPr/>
        <w:t>股。 </w:t>
      </w:r>
      <w:r>
        <w:rPr>
          <w:spacing w:val="-2"/>
        </w:rPr>
        <w:t>上述利润分配预案披露后至权益分派实施公告确定的股权登记日前公司股本发生变动的，将按照分配总额不变的原则对</w:t>
      </w:r>
    </w:p>
    <w:p>
      <w:pPr>
        <w:pStyle w:val="BodyText"/>
        <w:spacing w:line="240" w:lineRule="auto" w:before="4"/>
        <w:ind w:right="0"/>
        <w:jc w:val="left"/>
      </w:pPr>
      <w:r>
        <w:rPr/>
        <w:t>各分配比例进行调整。</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3、销售退回" w:id="466"/>
      <w:bookmarkEnd w:id="46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其他资产负债表日后事项说明" w:id="467"/>
      <w:bookmarkEnd w:id="467"/>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bookmarkStart w:name="十六、其他重要事项" w:id="468"/>
      <w:bookmarkEnd w:id="468"/>
      <w:r>
        <w:rPr>
          <w:b w:val="0"/>
          <w:bCs w:val="0"/>
        </w:rPr>
      </w:r>
      <w:r>
        <w:rPr/>
        <w:t>十六、其他重要事项</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前期会计差错更正" w:id="469"/>
      <w:bookmarkEnd w:id="469"/>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90"/>
        <w:ind w:right="0"/>
        <w:jc w:val="left"/>
        <w:rPr>
          <w:b w:val="0"/>
          <w:bCs w:val="0"/>
        </w:rPr>
      </w:pPr>
      <w:bookmarkStart w:name="（1）追溯重述法" w:id="470"/>
      <w:bookmarkEnd w:id="470"/>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未来适用法" w:id="471"/>
      <w:bookmarkEnd w:id="471"/>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债务重组" w:id="472"/>
      <w:bookmarkEnd w:id="472"/>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资产置换" w:id="473"/>
      <w:bookmarkEnd w:id="473"/>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非货币性资产交换" w:id="474"/>
      <w:bookmarkEnd w:id="474"/>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其他资产置换" w:id="475"/>
      <w:bookmarkEnd w:id="475"/>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年金计划" w:id="476"/>
      <w:bookmarkEnd w:id="476"/>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5、终止经营" w:id="477"/>
      <w:bookmarkEnd w:id="47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6、分部信息" w:id="478"/>
      <w:bookmarkEnd w:id="47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报告分部的确定依据与会计政策" w:id="479"/>
      <w:bookmarkEnd w:id="47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0"/>
        <w:jc w:val="left"/>
      </w:pPr>
      <w:r>
        <w:rPr>
          <w:spacing w:val="-2"/>
        </w:rPr>
        <w:t>公司以内部组织结构、管理要求、内部报告制度等为依据确定报告分部，并以产品分部为基础确定报告分部。与各分部共同</w:t>
      </w:r>
      <w:r>
        <w:rPr>
          <w:spacing w:val="-66"/>
        </w:rPr>
        <w:t> </w:t>
      </w:r>
      <w:r>
        <w:rPr>
          <w:spacing w:val="-66"/>
        </w:rPr>
      </w:r>
      <w:r>
        <w:rPr/>
        <w:t>使用的资产、负债按照规模比例在不同的分部之间分配。</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2）报告分部的财务信息" w:id="480"/>
      <w:bookmarkEnd w:id="48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安防设备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平安城市运营服务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588,533,960.67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161,085,639.43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52,012,580.51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-40,655,470.83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760,976,709.78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347,544,936.75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68,273,617.86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32,443,561.94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-42,014,586.55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406,247,530.00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1,434,536,174.27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451,977,940.08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151,887,887.33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-428,419,936.12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1,609,982,065.56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571,311,986.87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6,941,910.35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20,329,483.78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-314,146,325.13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284,437,055.87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863,224,187.40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445,036,029.73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131,558,403.55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-114,273,610.99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1,325,545,009.69</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公司无报告分部的，或者不能披露各报告分部的资产总额和负债总额的，应说明原因" w:id="481"/>
      <w:bookmarkEnd w:id="48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4）其他说明" w:id="482"/>
      <w:bookmarkEnd w:id="482"/>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7、其他对投资者决策有影响的重要交易和事项" w:id="483"/>
      <w:bookmarkEnd w:id="483"/>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8、其他" w:id="484"/>
      <w:bookmarkEnd w:id="484"/>
      <w:r>
        <w:rPr>
          <w:b w:val="0"/>
          <w:bCs w:val="0"/>
        </w:rPr>
      </w:r>
      <w:r>
        <w:rPr>
          <w:rFonts w:ascii="Times New Roman" w:hAnsi="Times New Roman" w:cs="Times New Roman" w:eastAsia="Times New Roman" w:hint="default"/>
        </w:rPr>
        <w:t>8</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十七、母公司财务报表主要项目注释" w:id="485"/>
      <w:bookmarkEnd w:id="485"/>
      <w:r>
        <w:rPr>
          <w:b w:val="0"/>
          <w:bCs w:val="0"/>
        </w:rPr>
      </w:r>
      <w:r>
        <w:rPr/>
        <w:t>十七、母公司财务报表主要项目注释</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1"/>
        <w:ind w:right="0"/>
        <w:jc w:val="left"/>
        <w:rPr>
          <w:b w:val="0"/>
          <w:bCs w:val="0"/>
        </w:rPr>
      </w:pPr>
      <w:bookmarkStart w:name="1、应收票据及应收账款" w:id="486"/>
      <w:bookmarkEnd w:id="486"/>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227,215,753.81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179,180,562.67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227,215,753.81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179,180,562.67</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1）应收票据" w:id="487"/>
      <w:bookmarkEnd w:id="48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1)</w:t>
      </w:r>
      <w:r>
        <w:rPr/>
        <w:t>应收票据分类列示</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504" w:lineRule="auto"/>
        <w:ind w:right="8442"/>
        <w:jc w:val="left"/>
      </w:pPr>
      <w:r>
        <w:rPr/>
        <w:t>不适用 </w:t>
      </w:r>
      <w:r>
        <w:rPr>
          <w:rFonts w:ascii="Times New Roman" w:hAnsi="Times New Roman" w:cs="Times New Roman" w:eastAsia="Times New Roman" w:hint="default"/>
        </w:rPr>
        <w:t>2)</w:t>
      </w:r>
      <w:r>
        <w:rPr/>
        <w:t>期末公司已质押的应收票据 不适用</w:t>
      </w:r>
    </w:p>
    <w:p>
      <w:pPr>
        <w:pStyle w:val="BodyText"/>
        <w:spacing w:line="489" w:lineRule="auto" w:before="74"/>
        <w:ind w:right="5742"/>
        <w:jc w:val="left"/>
      </w:pPr>
      <w:r>
        <w:rPr>
          <w:rFonts w:ascii="Times New Roman" w:hAnsi="Times New Roman" w:cs="Times New Roman" w:eastAsia="Times New Roman" w:hint="default"/>
        </w:rPr>
        <w:t>3)</w:t>
      </w:r>
      <w:r>
        <w:rPr/>
        <w:t>期末公司已背书或贴现且在资产负债表日尚未到期的应收票据</w:t>
      </w:r>
      <w:r>
        <w:rPr>
          <w:w w:val="99"/>
        </w:rPr>
        <w:t> </w:t>
      </w:r>
      <w:r>
        <w:rPr/>
        <w:t>不适用</w:t>
      </w:r>
    </w:p>
    <w:p>
      <w:pPr>
        <w:pStyle w:val="BodyText"/>
        <w:spacing w:line="489" w:lineRule="auto" w:before="86"/>
        <w:ind w:right="6642"/>
        <w:jc w:val="left"/>
      </w:pPr>
      <w:r>
        <w:rPr>
          <w:rFonts w:ascii="Times New Roman" w:hAnsi="Times New Roman" w:cs="Times New Roman" w:eastAsia="Times New Roman" w:hint="default"/>
        </w:rPr>
        <w:t>4)</w:t>
      </w:r>
      <w:r>
        <w:rPr/>
        <w:t>期末公司因出票人未履约而将其转应收账款的票据</w:t>
      </w:r>
      <w:r>
        <w:rPr>
          <w:w w:val="99"/>
        </w:rPr>
        <w:t> </w:t>
      </w:r>
      <w:r>
        <w:rPr/>
        <w:t>不适用</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2）应收账款" w:id="488"/>
      <w:bookmarkEnd w:id="488"/>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1)</w:t>
      </w:r>
      <w:r>
        <w:rPr/>
        <w:t>应收账款分类披露</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245,427,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438.09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18,211,6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84.28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227,215,7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53.81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193,139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,770.36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13,959,20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179,180,56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2.67</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245,427,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438.09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18,211,6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84.28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7.42%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227,215,7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53.81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193,139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,770.36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13,959,20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7.69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7.23%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179,180,56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2.67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期末单项金额重大并单项计提坏账准备的应收账款：</w:t>
      </w:r>
    </w:p>
    <w:p>
      <w:pPr>
        <w:spacing w:line="240" w:lineRule="auto" w:before="12"/>
        <w:rPr>
          <w:rFonts w:ascii="宋体" w:hAnsi="宋体" w:cs="宋体" w:eastAsia="宋体" w:hint="default"/>
          <w:sz w:val="20"/>
          <w:szCs w:val="20"/>
        </w:rPr>
      </w:pPr>
    </w:p>
    <w:p>
      <w:pPr>
        <w:pStyle w:val="BodyText"/>
        <w:spacing w:line="489"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186,616,477.25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5,598,494.32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30,013,489.50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3,001,348.95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14,807,902.53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2,961,580.51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2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7,663,822.61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3,831,911.31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3,002,336.26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1,501,168.13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1,317,181.06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1,317,181.06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243,421,209.21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18,211,684.28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w:t>
            </w:r>
          </w:p>
        </w:tc>
      </w:tr>
    </w:tbl>
    <w:p>
      <w:pPr>
        <w:spacing w:line="240" w:lineRule="auto" w:before="6"/>
        <w:rPr>
          <w:rFonts w:ascii="宋体" w:hAnsi="宋体" w:cs="宋体" w:eastAsia="宋体" w:hint="default"/>
          <w:sz w:val="6"/>
          <w:szCs w:val="6"/>
        </w:rPr>
      </w:pPr>
    </w:p>
    <w:p>
      <w:pPr>
        <w:pStyle w:val="BodyText"/>
        <w:spacing w:line="518" w:lineRule="auto" w:before="44"/>
        <w:ind w:left="234" w:right="6432"/>
        <w:jc w:val="left"/>
      </w:pPr>
      <w:r>
        <w:rPr/>
        <w:t>确定该组合依据的说明： 组合中，采用余额百分比法计提坏账准备的应收账款：</w:t>
      </w:r>
    </w:p>
    <w:p>
      <w:pPr>
        <w:pStyle w:val="BodyText"/>
        <w:spacing w:line="489" w:lineRule="auto" w:before="63"/>
        <w:ind w:left="23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55" w:lineRule="exact" w:before="0"/>
        <w:ind w:left="0" w:right="1217"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464"/>
        <w:gridCol w:w="3321"/>
        <w:gridCol w:w="2008"/>
        <w:gridCol w:w="2063"/>
      </w:tblGrid>
      <w:tr>
        <w:trPr>
          <w:trHeight w:val="322" w:hRule="exact"/>
        </w:trPr>
        <w:tc>
          <w:tcPr>
            <w:tcW w:w="24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3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2" w:hRule="exact"/>
        </w:trPr>
        <w:tc>
          <w:tcPr>
            <w:tcW w:w="2464" w:type="dxa"/>
            <w:vMerge/>
            <w:tcBorders>
              <w:left w:val="single" w:sz="4" w:space="0" w:color="000000"/>
              <w:bottom w:val="single" w:sz="4" w:space="0" w:color="000000"/>
              <w:right w:val="single" w:sz="4" w:space="0" w:color="000000"/>
            </w:tcBorders>
            <w:shd w:val="clear" w:color="auto" w:fill="D2D2D2"/>
          </w:tcPr>
          <w:p>
            <w:pP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4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74"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纳入合并范围的关联方欠款</w:t>
            </w:r>
          </w:p>
        </w:tc>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2,006,228.88</w:t>
            </w:r>
          </w:p>
        </w:tc>
        <w:tc>
          <w:tcPr>
            <w:tcW w:w="2008"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2,006,228.88</w:t>
            </w:r>
          </w:p>
        </w:tc>
        <w:tc>
          <w:tcPr>
            <w:tcW w:w="2008"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left="234" w:right="1121"/>
        <w:jc w:val="left"/>
      </w:pPr>
      <w:r>
        <w:rPr>
          <w:rFonts w:ascii="Times New Roman" w:hAnsi="Times New Roman" w:cs="Times New Roman" w:eastAsia="Times New Roman" w:hint="default"/>
        </w:rPr>
        <w:t>2)</w:t>
      </w:r>
      <w:r>
        <w:rPr/>
        <w:t>本期计提、收回或转回的坏账准备情况</w:t>
      </w:r>
    </w:p>
    <w:p>
      <w:pPr>
        <w:spacing w:line="240" w:lineRule="auto" w:before="11"/>
        <w:rPr>
          <w:rFonts w:ascii="宋体" w:hAnsi="宋体" w:cs="宋体" w:eastAsia="宋体" w:hint="default"/>
          <w:sz w:val="19"/>
          <w:szCs w:val="19"/>
        </w:rPr>
      </w:pPr>
    </w:p>
    <w:p>
      <w:pPr>
        <w:pStyle w:val="BodyText"/>
        <w:spacing w:line="240" w:lineRule="auto"/>
        <w:ind w:left="234" w:right="1121"/>
        <w:jc w:val="left"/>
      </w:pPr>
      <w:r>
        <w:rPr/>
        <w:t>本期计提坏账准备金额</w:t>
      </w:r>
      <w:r>
        <w:rPr>
          <w:spacing w:val="-47"/>
        </w:rPr>
        <w:t> </w:t>
      </w:r>
      <w:r>
        <w:rPr>
          <w:rFonts w:ascii="Times New Roman" w:hAnsi="Times New Roman" w:cs="Times New Roman" w:eastAsia="Times New Roman" w:hint="default"/>
        </w:rPr>
        <w:t>4,252,476.59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19"/>
          <w:szCs w:val="19"/>
        </w:rPr>
      </w:pPr>
    </w:p>
    <w:p>
      <w:pPr>
        <w:pStyle w:val="BodyText"/>
        <w:spacing w:line="508" w:lineRule="auto"/>
        <w:ind w:left="234" w:right="8232"/>
        <w:jc w:val="left"/>
      </w:pPr>
      <w:r>
        <w:rPr>
          <w:rFonts w:ascii="Times New Roman" w:hAnsi="Times New Roman" w:cs="Times New Roman" w:eastAsia="Times New Roman" w:hint="default"/>
        </w:rPr>
        <w:t>3)</w:t>
      </w:r>
      <w:r>
        <w:rPr/>
        <w:t>本期实际核销的应收账款情况</w:t>
      </w:r>
      <w:r>
        <w:rPr>
          <w:w w:val="99"/>
        </w:rPr>
        <w:t> </w:t>
      </w:r>
      <w:r>
        <w:rPr/>
        <w:t>不适用</w:t>
      </w:r>
      <w:r>
        <w:rPr>
          <w:w w:val="99"/>
        </w:rPr>
        <w:t> </w:t>
      </w:r>
      <w:r>
        <w:rPr/>
        <w:t>其中重要的应收账款核销情况：</w:t>
      </w:r>
      <w:r>
        <w:rPr>
          <w:w w:val="99"/>
        </w:rPr>
        <w:t> </w:t>
      </w:r>
      <w:r>
        <w:rPr/>
        <w:t>不适用</w:t>
      </w:r>
    </w:p>
    <w:p>
      <w:pPr>
        <w:pStyle w:val="BodyText"/>
        <w:spacing w:line="240" w:lineRule="auto" w:before="70"/>
        <w:ind w:left="234" w:right="1121"/>
        <w:jc w:val="left"/>
      </w:pPr>
      <w:r>
        <w:rPr/>
        <w:t>应收账款核销说明：</w:t>
      </w:r>
    </w:p>
    <w:p>
      <w:pPr>
        <w:spacing w:line="240" w:lineRule="auto" w:before="12"/>
        <w:rPr>
          <w:rFonts w:ascii="宋体" w:hAnsi="宋体" w:cs="宋体" w:eastAsia="宋体" w:hint="default"/>
          <w:sz w:val="20"/>
          <w:szCs w:val="20"/>
        </w:rPr>
      </w:pPr>
    </w:p>
    <w:p>
      <w:pPr>
        <w:pStyle w:val="BodyText"/>
        <w:spacing w:line="240" w:lineRule="auto"/>
        <w:ind w:left="234" w:right="1121"/>
        <w:jc w:val="left"/>
      </w:pPr>
      <w:r>
        <w:rPr>
          <w:rFonts w:ascii="Times New Roman" w:hAnsi="Times New Roman" w:cs="Times New Roman" w:eastAsia="Times New Roman" w:hint="default"/>
        </w:rPr>
        <w:t>4)</w:t>
      </w:r>
      <w:r>
        <w:rPr/>
        <w:t>按欠款方归集的期末余额前五名的应收账款情况</w:t>
      </w:r>
    </w:p>
    <w:p>
      <w:pPr>
        <w:spacing w:line="240" w:lineRule="auto" w:before="3"/>
        <w:rPr>
          <w:rFonts w:ascii="宋体" w:hAnsi="宋体" w:cs="宋体" w:eastAsia="宋体" w:hint="default"/>
          <w:sz w:val="16"/>
          <w:szCs w:val="16"/>
        </w:rPr>
      </w:pPr>
    </w:p>
    <w:p>
      <w:pPr>
        <w:pStyle w:val="BodyText"/>
        <w:spacing w:line="240" w:lineRule="auto" w:before="44"/>
        <w:ind w:left="0" w:right="1229"/>
        <w:jc w:val="right"/>
      </w:pPr>
      <w:r>
        <w:rPr/>
        <w:t>单位：元</w:t>
      </w:r>
    </w:p>
    <w:p>
      <w:pPr>
        <w:spacing w:line="240" w:lineRule="auto" w:before="1"/>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3369"/>
        <w:gridCol w:w="2836"/>
        <w:gridCol w:w="1985"/>
        <w:gridCol w:w="1666"/>
      </w:tblGrid>
      <w:tr>
        <w:trPr>
          <w:trHeight w:val="644" w:hRule="exact"/>
        </w:trPr>
        <w:tc>
          <w:tcPr>
            <w:tcW w:w="336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3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11"/>
              <w:ind w:left="667" w:right="171" w:hanging="495"/>
              <w:jc w:val="left"/>
              <w:rPr>
                <w:rFonts w:ascii="宋体" w:hAnsi="宋体" w:cs="宋体" w:eastAsia="宋体" w:hint="default"/>
                <w:sz w:val="18"/>
                <w:szCs w:val="18"/>
              </w:rPr>
            </w:pPr>
            <w:r>
              <w:rPr>
                <w:rFonts w:ascii="宋体" w:hAnsi="宋体" w:cs="宋体" w:eastAsia="宋体" w:hint="default"/>
                <w:sz w:val="18"/>
                <w:szCs w:val="18"/>
              </w:rPr>
              <w:t>占应收账款余额的比 例（</w:t>
            </w:r>
            <w:r>
              <w:rPr>
                <w:rFonts w:ascii="宋体" w:hAnsi="宋体" w:cs="宋体" w:eastAsia="宋体" w:hint="default"/>
                <w:sz w:val="18"/>
                <w:szCs w:val="18"/>
              </w:rPr>
              <w:t>%</w:t>
            </w:r>
            <w:r>
              <w:rPr>
                <w:rFonts w:ascii="宋体" w:hAnsi="宋体" w:cs="宋体" w:eastAsia="宋体" w:hint="default"/>
                <w:sz w:val="18"/>
                <w:szCs w:val="18"/>
              </w:rPr>
              <w:t>）</w:t>
            </w:r>
          </w:p>
        </w:tc>
        <w:tc>
          <w:tcPr>
            <w:tcW w:w="166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1" w:hRule="exact"/>
        </w:trPr>
        <w:tc>
          <w:tcPr>
            <w:tcW w:w="3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单位一</w:t>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24,019,918.27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9.79</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1,905,110.07</w:t>
            </w:r>
          </w:p>
        </w:tc>
      </w:tr>
      <w:tr>
        <w:trPr>
          <w:trHeight w:val="332" w:hRule="exact"/>
        </w:trPr>
        <w:tc>
          <w:tcPr>
            <w:tcW w:w="3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单位二</w:t>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20,441,266.93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8.33</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2,137,286.45</w:t>
            </w:r>
          </w:p>
        </w:tc>
      </w:tr>
      <w:tr>
        <w:trPr>
          <w:trHeight w:val="332" w:hRule="exact"/>
        </w:trPr>
        <w:tc>
          <w:tcPr>
            <w:tcW w:w="3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单位三</w:t>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19,018,734.20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7.75</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2,410,384.53</w:t>
            </w:r>
          </w:p>
        </w:tc>
      </w:tr>
      <w:tr>
        <w:trPr>
          <w:trHeight w:val="331" w:hRule="exact"/>
        </w:trPr>
        <w:tc>
          <w:tcPr>
            <w:tcW w:w="3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单位四</w:t>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9,528,907.67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3.88</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345,999.84</w:t>
            </w:r>
          </w:p>
        </w:tc>
      </w:tr>
      <w:tr>
        <w:trPr>
          <w:trHeight w:val="332" w:hRule="exact"/>
        </w:trPr>
        <w:tc>
          <w:tcPr>
            <w:tcW w:w="3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单位五</w:t>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8,675,744.26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3.53</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443,749.37</w:t>
            </w:r>
          </w:p>
        </w:tc>
      </w:tr>
      <w:tr>
        <w:trPr>
          <w:trHeight w:val="332" w:hRule="exact"/>
        </w:trPr>
        <w:tc>
          <w:tcPr>
            <w:tcW w:w="336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81,684,571.33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33.28</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7,242,530.26</w:t>
            </w:r>
          </w:p>
        </w:tc>
      </w:tr>
    </w:tbl>
    <w:p>
      <w:pPr>
        <w:spacing w:line="240" w:lineRule="auto" w:before="8"/>
        <w:rPr>
          <w:rFonts w:ascii="宋体" w:hAnsi="宋体" w:cs="宋体" w:eastAsia="宋体" w:hint="default"/>
          <w:sz w:val="6"/>
          <w:szCs w:val="6"/>
        </w:rPr>
      </w:pPr>
    </w:p>
    <w:p>
      <w:pPr>
        <w:pStyle w:val="BodyText"/>
        <w:spacing w:line="489" w:lineRule="auto" w:before="44"/>
        <w:ind w:left="234" w:right="7542"/>
        <w:jc w:val="left"/>
      </w:pPr>
      <w:r>
        <w:rPr>
          <w:rFonts w:ascii="Times New Roman" w:hAnsi="Times New Roman" w:cs="Times New Roman" w:eastAsia="Times New Roman" w:hint="default"/>
        </w:rPr>
        <w:t>5)</w:t>
      </w:r>
      <w:r>
        <w:rPr/>
        <w:t>因金融资产转移而终止确认的应收账款</w:t>
      </w:r>
      <w:r>
        <w:rPr>
          <w:w w:val="99"/>
        </w:rPr>
        <w:t> </w:t>
      </w:r>
      <w:r>
        <w:rPr/>
        <w:t>不适用</w:t>
      </w:r>
    </w:p>
    <w:p>
      <w:pPr>
        <w:spacing w:after="0" w:line="489" w:lineRule="auto"/>
        <w:jc w:val="left"/>
        <w:sectPr>
          <w:pgSz w:w="11910" w:h="16840"/>
          <w:pgMar w:header="747" w:footer="979" w:top="1060" w:bottom="1160" w:left="90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89" w:lineRule="auto"/>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不适用</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2、其他应收款" w:id="489"/>
      <w:bookmarkEnd w:id="48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695,725.48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705,143.84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27,155,734.78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16,933,334.89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27,851,460.26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17,638,478.73</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1）应收利息" w:id="490"/>
      <w:bookmarkEnd w:id="49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1)</w:t>
      </w:r>
      <w:r>
        <w:rPr/>
        <w:t>应收利息分类</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695,725.48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705,143.84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695,725.48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705,143.84</w:t>
            </w:r>
          </w:p>
        </w:tc>
      </w:tr>
    </w:tbl>
    <w:p>
      <w:pPr>
        <w:spacing w:line="240" w:lineRule="auto" w:before="6"/>
        <w:rPr>
          <w:rFonts w:ascii="宋体" w:hAnsi="宋体" w:cs="宋体" w:eastAsia="宋体" w:hint="default"/>
          <w:sz w:val="6"/>
          <w:szCs w:val="6"/>
        </w:rPr>
      </w:pPr>
    </w:p>
    <w:p>
      <w:pPr>
        <w:pStyle w:val="BodyText"/>
        <w:spacing w:line="489" w:lineRule="auto" w:before="44"/>
        <w:ind w:right="9522"/>
        <w:jc w:val="left"/>
      </w:pPr>
      <w:r>
        <w:rPr>
          <w:rFonts w:ascii="Times New Roman" w:hAnsi="Times New Roman" w:cs="Times New Roman" w:eastAsia="Times New Roman" w:hint="default"/>
        </w:rPr>
        <w:t>2)</w:t>
      </w:r>
      <w:r>
        <w:rPr/>
        <w:t>重要逾期利息</w:t>
      </w:r>
      <w:r>
        <w:rPr>
          <w:w w:val="99"/>
        </w:rPr>
        <w:t> </w:t>
      </w:r>
      <w:r>
        <w:rPr/>
        <w:t>不适用</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2）应收股利" w:id="491"/>
      <w:bookmarkEnd w:id="491"/>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9882"/>
        <w:jc w:val="left"/>
      </w:pPr>
      <w:r>
        <w:rPr>
          <w:rFonts w:ascii="Times New Roman" w:hAnsi="Times New Roman" w:cs="Times New Roman" w:eastAsia="Times New Roman" w:hint="default"/>
        </w:rPr>
        <w:t>1)</w:t>
      </w:r>
      <w:r>
        <w:rPr/>
        <w:t>应收股利</w:t>
      </w:r>
      <w:r>
        <w:rPr>
          <w:w w:val="99"/>
        </w:rPr>
        <w:t> </w:t>
      </w:r>
      <w:r>
        <w:rPr/>
        <w:t>不适用</w:t>
      </w:r>
    </w:p>
    <w:p>
      <w:pPr>
        <w:pStyle w:val="BodyText"/>
        <w:spacing w:line="489" w:lineRule="auto" w:before="85"/>
        <w:ind w:right="8084"/>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r>
        <w:rPr>
          <w:w w:val="99"/>
        </w:rPr>
        <w:t> </w:t>
      </w:r>
      <w:r>
        <w:rPr/>
        <w:t>不适用</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3）其他应收款" w:id="492"/>
      <w:bookmarkEnd w:id="49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28,574,4</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17.82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1,418,68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27,155,73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17,867,</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246.78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933,911.8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16,933,334.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28,574,4</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17.82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1,418,68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4.96%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27,155,73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4.78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17,867,</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246.78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933,911.8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5.23%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16,933,334.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left="234" w:right="1121"/>
        <w:jc w:val="left"/>
      </w:pPr>
      <w:r>
        <w:rPr/>
        <w:t>期末单项金额重大并单项计提坏账准备的其他应收款：</w:t>
      </w:r>
    </w:p>
    <w:p>
      <w:pPr>
        <w:spacing w:line="240" w:lineRule="auto" w:before="12"/>
        <w:rPr>
          <w:rFonts w:ascii="宋体" w:hAnsi="宋体" w:cs="宋体" w:eastAsia="宋体" w:hint="default"/>
          <w:sz w:val="20"/>
          <w:szCs w:val="20"/>
        </w:rPr>
      </w:pPr>
    </w:p>
    <w:p>
      <w:pPr>
        <w:pStyle w:val="BodyText"/>
        <w:spacing w:line="489" w:lineRule="auto"/>
        <w:ind w:left="23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86"/>
        <w:ind w:left="234"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24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4,846,472.37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145,394.17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5,177,584.73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517,758.47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1,234,504.60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246,900.92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297,058.95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148,529.48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300,100.00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300,100.00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11,975,720.65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1,418,683.04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11.85%</w:t>
            </w:r>
          </w:p>
        </w:tc>
      </w:tr>
    </w:tbl>
    <w:p>
      <w:pPr>
        <w:spacing w:line="240" w:lineRule="auto" w:before="6"/>
        <w:rPr>
          <w:rFonts w:ascii="宋体" w:hAnsi="宋体" w:cs="宋体" w:eastAsia="宋体" w:hint="default"/>
          <w:sz w:val="6"/>
          <w:szCs w:val="6"/>
        </w:rPr>
      </w:pPr>
    </w:p>
    <w:p>
      <w:pPr>
        <w:pStyle w:val="BodyText"/>
        <w:spacing w:line="516" w:lineRule="auto" w:before="44"/>
        <w:ind w:left="234" w:right="6252"/>
        <w:jc w:val="left"/>
      </w:pPr>
      <w:r>
        <w:rPr/>
        <w:t>确定该组合依据的说明： 组合中，采用余额百分比法计提坏账准备的其他应收款：</w:t>
      </w:r>
    </w:p>
    <w:p>
      <w:pPr>
        <w:pStyle w:val="BodyText"/>
        <w:spacing w:line="489" w:lineRule="auto" w:before="66"/>
        <w:ind w:left="23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85"/>
        <w:ind w:left="234"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0"/>
          <w:szCs w:val="10"/>
        </w:rPr>
      </w:pPr>
    </w:p>
    <w:p>
      <w:pPr>
        <w:pStyle w:val="BodyText"/>
        <w:spacing w:line="240" w:lineRule="auto" w:before="44"/>
        <w:ind w:left="0" w:right="1319"/>
        <w:jc w:val="right"/>
      </w:pPr>
      <w:r>
        <w:rPr/>
        <w:t>单位：元</w:t>
      </w:r>
    </w:p>
    <w:p>
      <w:pPr>
        <w:spacing w:line="240" w:lineRule="auto" w:before="0"/>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566"/>
        <w:gridCol w:w="3231"/>
        <w:gridCol w:w="2003"/>
        <w:gridCol w:w="2056"/>
      </w:tblGrid>
      <w:tr>
        <w:trPr>
          <w:trHeight w:val="332" w:hRule="exact"/>
        </w:trPr>
        <w:tc>
          <w:tcPr>
            <w:tcW w:w="2566"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290" w:type="dxa"/>
            <w:gridSpan w:val="3"/>
            <w:tcBorders>
              <w:top w:val="single" w:sz="8" w:space="0" w:color="000000"/>
              <w:left w:val="single" w:sz="8" w:space="0" w:color="000000"/>
              <w:bottom w:val="single" w:sz="8" w:space="0" w:color="000000"/>
              <w:right w:val="nil" w:sz="6" w:space="0" w:color="auto"/>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32" w:hRule="exact"/>
        </w:trPr>
        <w:tc>
          <w:tcPr>
            <w:tcW w:w="2566" w:type="dxa"/>
            <w:vMerge/>
            <w:tcBorders>
              <w:left w:val="single" w:sz="8" w:space="0" w:color="000000"/>
              <w:bottom w:val="single" w:sz="8" w:space="0" w:color="000000"/>
              <w:right w:val="single" w:sz="8" w:space="0" w:color="000000"/>
            </w:tcBorders>
            <w:shd w:val="clear" w:color="auto" w:fill="D2D2D2"/>
          </w:tcPr>
          <w:p>
            <w:pPr/>
          </w:p>
        </w:tc>
        <w:tc>
          <w:tcPr>
            <w:tcW w:w="32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0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5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86" w:hRule="exact"/>
        </w:trPr>
        <w:tc>
          <w:tcPr>
            <w:tcW w:w="2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纳入合并范围的关联方欠款</w:t>
            </w:r>
          </w:p>
        </w:tc>
        <w:tc>
          <w:tcPr>
            <w:tcW w:w="3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2077" w:right="0"/>
              <w:jc w:val="left"/>
              <w:rPr>
                <w:rFonts w:ascii="Times New Roman" w:hAnsi="Times New Roman" w:cs="Times New Roman" w:eastAsia="Times New Roman" w:hint="default"/>
                <w:sz w:val="18"/>
                <w:szCs w:val="18"/>
              </w:rPr>
            </w:pPr>
            <w:r>
              <w:rPr>
                <w:rFonts w:ascii="Times New Roman"/>
                <w:sz w:val="18"/>
              </w:rPr>
              <w:t>16,598,697.17</w:t>
            </w:r>
          </w:p>
        </w:tc>
        <w:tc>
          <w:tcPr>
            <w:tcW w:w="2003" w:type="dxa"/>
            <w:tcBorders>
              <w:top w:val="single" w:sz="8" w:space="0" w:color="000000"/>
              <w:left w:val="single" w:sz="8" w:space="0" w:color="000000"/>
              <w:bottom w:val="single" w:sz="8" w:space="0" w:color="000000"/>
              <w:right w:val="single" w:sz="8" w:space="0" w:color="000000"/>
            </w:tcBorders>
          </w:tcPr>
          <w:p>
            <w:pPr/>
          </w:p>
        </w:tc>
        <w:tc>
          <w:tcPr>
            <w:tcW w:w="2056"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747" w:footer="979" w:top="1060" w:bottom="1160" w:left="900" w:right="0"/>
        </w:sectPr>
      </w:pPr>
    </w:p>
    <w:p>
      <w:pPr>
        <w:spacing w:line="240" w:lineRule="auto" w:before="10"/>
        <w:rPr>
          <w:rFonts w:ascii="宋体" w:hAnsi="宋体" w:cs="宋体" w:eastAsia="宋体" w:hint="default"/>
          <w:sz w:val="27"/>
          <w:szCs w:val="27"/>
        </w:rPr>
      </w:pPr>
    </w:p>
    <w:p>
      <w:pPr>
        <w:spacing w:line="351" w:lineRule="exact"/>
        <w:ind w:left="11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93.75pt;height:17.6pt;mso-position-horizontal-relative:char;mso-position-vertical-relative:line" coordorigin="0,0" coordsize="9875,352">
            <v:group style="position:absolute;left:10;top:10;width:2;height:333" coordorigin="10,10" coordsize="2,333">
              <v:shape style="position:absolute;left:10;top:10;width:2;height:333" coordorigin="10,10" coordsize="0,333" path="m10,10l10,342e" filled="false" stroked="true" strokeweight=".96pt" strokecolor="#000000">
                <v:path arrowok="t"/>
              </v:shape>
            </v:group>
            <v:group style="position:absolute;left:19;top:332;width:2547;height:2" coordorigin="19,332" coordsize="2547,2">
              <v:shape style="position:absolute;left:19;top:332;width:2547;height:2" coordorigin="19,332" coordsize="2547,0" path="m19,332l2566,332e" filled="false" stroked="true" strokeweight=".96pt" strokecolor="#000000">
                <v:path arrowok="t"/>
              </v:shape>
            </v:group>
            <v:group style="position:absolute;left:2576;top:10;width:2;height:333" coordorigin="2576,10" coordsize="2,333">
              <v:shape style="position:absolute;left:2576;top:10;width:2;height:333" coordorigin="2576,10" coordsize="0,333" path="m2576,10l2576,342e" filled="false" stroked="true" strokeweight=".96001pt" strokecolor="#000000">
                <v:path arrowok="t"/>
              </v:shape>
            </v:group>
            <v:group style="position:absolute;left:2585;top:332;width:3212;height:2" coordorigin="2585,332" coordsize="3212,2">
              <v:shape style="position:absolute;left:2585;top:332;width:3212;height:2" coordorigin="2585,332" coordsize="3212,0" path="m2585,332l5797,332e" filled="false" stroked="true" strokeweight=".96pt" strokecolor="#000000">
                <v:path arrowok="t"/>
              </v:shape>
            </v:group>
            <v:group style="position:absolute;left:5806;top:10;width:2;height:333" coordorigin="5806,10" coordsize="2,333">
              <v:shape style="position:absolute;left:5806;top:10;width:2;height:333" coordorigin="5806,10" coordsize="0,333" path="m5806,10l5806,342e" filled="false" stroked="true" strokeweight=".95999pt" strokecolor="#000000">
                <v:path arrowok="t"/>
              </v:shape>
            </v:group>
            <v:group style="position:absolute;left:5816;top:332;width:1984;height:2" coordorigin="5816,332" coordsize="1984,2">
              <v:shape style="position:absolute;left:5816;top:332;width:1984;height:2" coordorigin="5816,332" coordsize="1984,0" path="m5816,332l7800,332e" filled="false" stroked="true" strokeweight=".96pt" strokecolor="#000000">
                <v:path arrowok="t"/>
              </v:shape>
            </v:group>
            <v:group style="position:absolute;left:7810;top:10;width:2;height:333" coordorigin="7810,10" coordsize="2,333">
              <v:shape style="position:absolute;left:7810;top:10;width:2;height:333" coordorigin="7810,10" coordsize="0,333" path="m7810,10l7810,342e" filled="false" stroked="true" strokeweight=".96002pt" strokecolor="#000000">
                <v:path arrowok="t"/>
              </v:shape>
            </v:group>
            <v:group style="position:absolute;left:7819;top:332;width:2037;height:2" coordorigin="7819,332" coordsize="2037,2">
              <v:shape style="position:absolute;left:7819;top:332;width:2037;height:2" coordorigin="7819,332" coordsize="2037,0" path="m7819,332l9856,332e" filled="false" stroked="true" strokeweight=".96pt" strokecolor="#000000">
                <v:path arrowok="t"/>
              </v:shape>
            </v:group>
            <v:group style="position:absolute;left:9865;top:10;width:2;height:333" coordorigin="9865,10" coordsize="2,333">
              <v:shape style="position:absolute;left:9865;top:10;width:2;height:333" coordorigin="9865,10" coordsize="0,333" path="m9865,10l9865,342e" filled="false" stroked="true" strokeweight=".96002pt" strokecolor="#000000">
                <v:path arrowok="t"/>
              </v:shape>
              <v:shape style="position:absolute;left:1112;top:7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小计</w:t>
                      </w:r>
                    </w:p>
                  </w:txbxContent>
                </v:textbox>
                <w10:wrap type="none"/>
              </v:shape>
              <v:shape style="position:absolute;left:4663;top:83;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16,598,697.17</w:t>
                      </w:r>
                    </w:p>
                  </w:txbxContent>
                </v:textbox>
                <w10:wrap type="none"/>
              </v:shape>
            </v:group>
          </v:group>
        </w:pict>
      </w:r>
      <w:r>
        <w:rPr>
          <w:rFonts w:ascii="宋体" w:hAnsi="宋体" w:cs="宋体" w:eastAsia="宋体" w:hint="default"/>
          <w:position w:val="-6"/>
          <w:sz w:val="20"/>
          <w:szCs w:val="20"/>
        </w:rPr>
      </w:r>
    </w:p>
    <w:p>
      <w:pPr>
        <w:spacing w:line="240" w:lineRule="auto" w:before="10"/>
        <w:rPr>
          <w:rFonts w:ascii="宋体" w:hAnsi="宋体" w:cs="宋体" w:eastAsia="宋体" w:hint="default"/>
          <w:sz w:val="5"/>
          <w:szCs w:val="5"/>
        </w:rPr>
      </w:pPr>
    </w:p>
    <w:p>
      <w:pPr>
        <w:pStyle w:val="BodyText"/>
        <w:spacing w:line="240" w:lineRule="auto" w:before="44"/>
        <w:ind w:left="234" w:right="1121"/>
        <w:jc w:val="left"/>
      </w:pPr>
      <w:r>
        <w:rPr>
          <w:rFonts w:ascii="Times New Roman" w:hAnsi="Times New Roman" w:cs="Times New Roman" w:eastAsia="Times New Roman" w:hint="default"/>
        </w:rPr>
        <w:t>2)</w:t>
      </w:r>
      <w:r>
        <w:rPr/>
        <w:t>本期计提、收回或转回的坏账准备情况</w:t>
      </w:r>
    </w:p>
    <w:p>
      <w:pPr>
        <w:spacing w:line="240" w:lineRule="auto" w:before="10"/>
        <w:rPr>
          <w:rFonts w:ascii="宋体" w:hAnsi="宋体" w:cs="宋体" w:eastAsia="宋体" w:hint="default"/>
          <w:sz w:val="19"/>
          <w:szCs w:val="19"/>
        </w:rPr>
      </w:pPr>
    </w:p>
    <w:p>
      <w:pPr>
        <w:pStyle w:val="BodyText"/>
        <w:spacing w:line="489" w:lineRule="auto"/>
        <w:ind w:left="234" w:right="4591"/>
        <w:jc w:val="left"/>
      </w:pPr>
      <w:r>
        <w:rPr/>
        <w:t>本期计提坏账准备金额</w:t>
      </w:r>
      <w:r>
        <w:rPr>
          <w:spacing w:val="-46"/>
        </w:rPr>
        <w:t> </w:t>
      </w:r>
      <w:r>
        <w:rPr>
          <w:rFonts w:ascii="Times New Roman" w:hAnsi="Times New Roman" w:cs="Times New Roman" w:eastAsia="Times New Roman" w:hint="default"/>
        </w:rPr>
        <w:t>484,771.15</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pStyle w:val="BodyText"/>
        <w:spacing w:line="511" w:lineRule="auto" w:before="85"/>
        <w:ind w:left="234" w:right="8052"/>
        <w:jc w:val="left"/>
      </w:pPr>
      <w:r>
        <w:rPr/>
        <w:t>不适用 </w:t>
      </w:r>
      <w:r>
        <w:rPr>
          <w:rFonts w:ascii="Times New Roman" w:hAnsi="Times New Roman" w:cs="Times New Roman" w:eastAsia="Times New Roman" w:hint="default"/>
        </w:rPr>
        <w:t>3)</w:t>
      </w:r>
      <w:r>
        <w:rPr/>
        <w:t>本期实际核销的其他应收款情况 不适用 其中重要的其他应收款核销情况： 不适用 </w:t>
      </w:r>
      <w:r>
        <w:rPr>
          <w:rFonts w:ascii="Times New Roman" w:hAnsi="Times New Roman" w:cs="Times New Roman" w:eastAsia="Times New Roman" w:hint="default"/>
        </w:rPr>
        <w:t>4)</w:t>
      </w:r>
      <w:r>
        <w:rPr/>
        <w:t>其他应收款按款项性质分类情况</w:t>
      </w:r>
    </w:p>
    <w:p>
      <w:pPr>
        <w:pStyle w:val="BodyText"/>
        <w:spacing w:line="240" w:lineRule="auto" w:before="33"/>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2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16,598,697.17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5,127,610.95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11,098,705.28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11,350,040.41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877,015.37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1,389,595.42</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28,574,417.82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17,867,246.78</w:t>
            </w:r>
          </w:p>
        </w:tc>
      </w:tr>
    </w:tbl>
    <w:p>
      <w:pPr>
        <w:spacing w:line="240" w:lineRule="auto" w:before="6"/>
        <w:rPr>
          <w:rFonts w:ascii="宋体" w:hAnsi="宋体" w:cs="宋体" w:eastAsia="宋体" w:hint="default"/>
          <w:sz w:val="6"/>
          <w:szCs w:val="6"/>
        </w:rPr>
      </w:pPr>
    </w:p>
    <w:p>
      <w:pPr>
        <w:pStyle w:val="BodyText"/>
        <w:spacing w:line="240" w:lineRule="auto" w:before="44"/>
        <w:ind w:left="234" w:right="1121"/>
        <w:jc w:val="left"/>
      </w:pPr>
      <w:r>
        <w:rPr>
          <w:rFonts w:ascii="Times New Roman" w:hAnsi="Times New Roman" w:cs="Times New Roman" w:eastAsia="Times New Roman" w:hint="default"/>
        </w:rPr>
        <w:t>5)</w:t>
      </w:r>
      <w:r>
        <w:rPr/>
        <w:t>按欠款方归集的期末余额前五名的其他应收款情况</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2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5,444,237.63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3,655,127.49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365,512.75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1,092,276.00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25,830.00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21,052,641.12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391,342.75</w:t>
            </w:r>
          </w:p>
        </w:tc>
      </w:tr>
    </w:tbl>
    <w:p>
      <w:pPr>
        <w:spacing w:line="240" w:lineRule="auto" w:before="6"/>
        <w:rPr>
          <w:rFonts w:ascii="宋体" w:hAnsi="宋体" w:cs="宋体" w:eastAsia="宋体" w:hint="default"/>
          <w:sz w:val="6"/>
          <w:szCs w:val="6"/>
        </w:rPr>
      </w:pPr>
    </w:p>
    <w:p>
      <w:pPr>
        <w:pStyle w:val="BodyText"/>
        <w:spacing w:line="489" w:lineRule="auto" w:before="44"/>
        <w:ind w:left="234" w:right="8622"/>
        <w:jc w:val="left"/>
      </w:pPr>
      <w:r>
        <w:rPr>
          <w:rFonts w:ascii="Times New Roman" w:hAnsi="Times New Roman" w:cs="Times New Roman" w:eastAsia="Times New Roman" w:hint="default"/>
        </w:rPr>
        <w:t>6)</w:t>
      </w:r>
      <w:r>
        <w:rPr/>
        <w:t>涉及政府补助的应收款项</w:t>
      </w:r>
      <w:r>
        <w:rPr>
          <w:w w:val="99"/>
        </w:rPr>
        <w:t> </w:t>
      </w:r>
      <w:r>
        <w:rPr/>
        <w:t>不适用</w:t>
      </w:r>
    </w:p>
    <w:p>
      <w:pPr>
        <w:pStyle w:val="BodyText"/>
        <w:spacing w:line="489" w:lineRule="auto" w:before="85"/>
        <w:ind w:left="234" w:right="7362"/>
        <w:jc w:val="left"/>
      </w:pPr>
      <w:r>
        <w:rPr>
          <w:rFonts w:ascii="Times New Roman" w:hAnsi="Times New Roman" w:cs="Times New Roman" w:eastAsia="Times New Roman" w:hint="default"/>
        </w:rPr>
        <w:t>7)</w:t>
      </w:r>
      <w:r>
        <w:rPr/>
        <w:t>因金融资产转移而终止确认的其他应收款</w:t>
      </w:r>
      <w:r>
        <w:rPr>
          <w:w w:val="99"/>
        </w:rPr>
        <w:t> </w:t>
      </w:r>
      <w:r>
        <w:rPr/>
        <w:t>不适用</w:t>
      </w:r>
    </w:p>
    <w:p>
      <w:pPr>
        <w:spacing w:after="0" w:line="489" w:lineRule="auto"/>
        <w:jc w:val="left"/>
        <w:sectPr>
          <w:pgSz w:w="11910" w:h="16840"/>
          <w:pgMar w:header="747" w:footer="979" w:top="1060" w:bottom="1160" w:left="90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89" w:lineRule="auto"/>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不适用</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3、长期股权投资" w:id="493"/>
      <w:bookmarkEnd w:id="49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255,591,771.87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254,591,771.87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194,362,871.87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193,362,871.87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255,591,771.87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254,591,771.87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194,362,871.87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193,362,871.87</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1）对子公司投资" w:id="494"/>
      <w:bookmarkEnd w:id="49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广州市浩云安防 设备有限公司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10,237,071.87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10,237,071.87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广州市苏瑞计算 机科技有限公司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重庆浩云公共安 全物联网技术有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深圳市润安科技 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68,125,800.00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2,928,900.00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71,054,700.00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西藏浩云创业投 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武汉浩立威保安 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广东冠网信息科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194,362,871.87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61,228,900.00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255,591,771.87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对联营、合营企业投资" w:id="495"/>
      <w:bookmarkEnd w:id="49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3）其他说明" w:id="496"/>
      <w:bookmarkEnd w:id="49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营业收入和营业成本" w:id="497"/>
      <w:bookmarkEnd w:id="49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549,313,681.07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309,296,548.25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451,760,005.61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259,340,147.48</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4,449,477.80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3,489,232.96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1,400,997.60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1,346,961.52</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553,763,158.87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312,785,781.21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453,161,003.21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260,687,109.00</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5、投资收益" w:id="498"/>
      <w:bookmarkEnd w:id="49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5,434,861.46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665,230.04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5,434,861.46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665,230.04</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6、其他" w:id="499"/>
      <w:bookmarkEnd w:id="499"/>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十八、补充资料" w:id="500"/>
      <w:bookmarkEnd w:id="500"/>
      <w:r>
        <w:rPr>
          <w:b w:val="0"/>
          <w:bCs w:val="0"/>
        </w:rPr>
      </w:r>
      <w:r>
        <w:rPr/>
        <w:t>十八、补充资料</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1"/>
        <w:ind w:right="0"/>
        <w:jc w:val="left"/>
        <w:rPr>
          <w:b w:val="0"/>
          <w:bCs w:val="0"/>
        </w:rPr>
      </w:pPr>
      <w:bookmarkStart w:name="1、当期非经常性损益明细表" w:id="501"/>
      <w:bookmarkEnd w:id="50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34,617.55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7,006,725.17</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5,434,861.46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系理财产品收益</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515,389.37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1,876,923.61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735,206.54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10,379,463.40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line="240" w:lineRule="auto" w:before="9"/>
        <w:rPr>
          <w:rFonts w:ascii="宋体" w:hAnsi="宋体" w:cs="宋体" w:eastAsia="宋体" w:hint="default"/>
          <w:sz w:val="16"/>
          <w:szCs w:val="16"/>
        </w:rPr>
      </w:pPr>
    </w:p>
    <w:p>
      <w:pPr>
        <w:pStyle w:val="BodyText"/>
        <w:spacing w:line="451" w:lineRule="auto"/>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1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净资产收益率及每股收益" w:id="502"/>
      <w:bookmarkEnd w:id="50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r>
    </w:tbl>
    <w:p>
      <w:pPr>
        <w:spacing w:line="240" w:lineRule="auto" w:before="1"/>
        <w:rPr>
          <w:rFonts w:ascii="宋体" w:hAnsi="宋体" w:cs="宋体" w:eastAsia="宋体" w:hint="default"/>
          <w:b/>
          <w:bCs/>
          <w:sz w:val="25"/>
          <w:szCs w:val="25"/>
        </w:rPr>
      </w:pPr>
    </w:p>
    <w:p>
      <w:pPr>
        <w:pStyle w:val="Heading3"/>
        <w:spacing w:line="240" w:lineRule="auto" w:before="35"/>
        <w:ind w:right="0"/>
        <w:jc w:val="left"/>
        <w:rPr>
          <w:b w:val="0"/>
          <w:bCs w:val="0"/>
        </w:rPr>
      </w:pPr>
      <w:bookmarkStart w:name="3、境内外会计准则下会计数据差异" w:id="503"/>
      <w:bookmarkEnd w:id="50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同时按照国际会计准则与按中国会计准则披露的财务报告中净利润和净资产差异情况" w:id="504"/>
      <w:bookmarkEnd w:id="50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2）同时按照境外会计准则与按中国会计准则披露的财务报告中净利润和净资产差异情况" w:id="505"/>
      <w:bookmarkEnd w:id="50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386" w:lineRule="auto"/>
        <w:ind w:right="0"/>
        <w:jc w:val="left"/>
        <w:rPr>
          <w:b w:val="0"/>
          <w:bCs w:val="0"/>
        </w:rPr>
      </w:pPr>
      <w:bookmarkStart w:name="（3）境内外会计准则下会计数据差异原因说明，对已经境外审计机构审计的数据进行差异" w:id="506"/>
      <w:bookmarkEnd w:id="50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12"/>
        <w:rPr>
          <w:rFonts w:ascii="宋体" w:hAnsi="宋体" w:cs="宋体" w:eastAsia="宋体" w:hint="default"/>
          <w:b/>
          <w:bCs/>
          <w:sz w:val="27"/>
          <w:szCs w:val="27"/>
        </w:rPr>
      </w:pPr>
    </w:p>
    <w:p>
      <w:pPr>
        <w:pStyle w:val="Heading3"/>
        <w:spacing w:line="240" w:lineRule="auto"/>
        <w:ind w:right="0"/>
        <w:jc w:val="left"/>
        <w:rPr>
          <w:b w:val="0"/>
          <w:bCs w:val="0"/>
        </w:rPr>
      </w:pPr>
      <w:bookmarkStart w:name="4、其他" w:id="507"/>
      <w:bookmarkEnd w:id="507"/>
      <w:r>
        <w:rPr>
          <w:b w:val="0"/>
          <w:bCs w:val="0"/>
        </w:rPr>
      </w:r>
      <w:r>
        <w:rPr>
          <w:rFonts w:ascii="Times New Roman" w:hAnsi="Times New Roman" w:cs="Times New Roman" w:eastAsia="Times New Roman" w:hint="default"/>
        </w:rPr>
        <w:t>4</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spacing w:line="240" w:lineRule="auto"/>
        <w:ind w:left="3286" w:right="0"/>
        <w:jc w:val="left"/>
        <w:rPr>
          <w:b w:val="0"/>
          <w:bCs w:val="0"/>
        </w:rPr>
      </w:pPr>
      <w:bookmarkStart w:name="第十二节 备查文件目录" w:id="508"/>
      <w:bookmarkEnd w:id="508"/>
      <w:r>
        <w:rPr>
          <w:b w:val="0"/>
          <w:bCs w:val="0"/>
        </w:rPr>
      </w:r>
      <w:bookmarkStart w:name="_bookmark10" w:id="509"/>
      <w:bookmarkEnd w:id="509"/>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468" w:lineRule="auto" w:before="215"/>
        <w:ind w:right="0"/>
        <w:jc w:val="left"/>
      </w:pPr>
      <w:r>
        <w:rPr/>
        <w:t>一、经公司法定代表人雷洪文先生签名的</w:t>
      </w:r>
      <w:r>
        <w:rPr>
          <w:rFonts w:ascii="Times New Roman" w:hAnsi="Times New Roman" w:cs="Times New Roman" w:eastAsia="Times New Roman" w:hint="default"/>
        </w:rPr>
        <w:t>2018</w:t>
      </w:r>
      <w:r>
        <w:rPr/>
        <w:t>年年度报告文本。 </w:t>
      </w:r>
      <w:r>
        <w:rPr>
          <w:spacing w:val="-4"/>
        </w:rPr>
        <w:t>二、载有公司法定代表人雷洪文先生、主管会计工作负责人王汉晖先生、会计机构负责人简玉琴女士签名并盖章的财务报表。</w:t>
      </w:r>
      <w:r>
        <w:rPr>
          <w:spacing w:val="-44"/>
        </w:rPr>
        <w:t> </w:t>
      </w:r>
      <w:r>
        <w:rPr>
          <w:spacing w:val="-44"/>
        </w:rPr>
      </w:r>
      <w:r>
        <w:rPr/>
        <w:t>三、载有会计师事务所盖章、注册会计师签名并盖章的审计报告原件。 四、报告期内在中国证监会指定网站上公开披露过的所有公司文件的正本及公告的原稿。</w:t>
      </w:r>
    </w:p>
    <w:p>
      <w:pPr>
        <w:pStyle w:val="BodyText"/>
        <w:spacing w:line="477" w:lineRule="auto" w:before="61"/>
        <w:ind w:right="5712"/>
        <w:jc w:val="left"/>
      </w:pPr>
      <w:r>
        <w:rPr/>
        <w:t>五、其他有关资料。 以上备查文件的备置地点：深圳证券交易所、公司董事会办公室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0504" type="#_x0000_t75" stroked="false">
          <v:imagedata r:id="rId1" o:title=""/>
        </v:shape>
      </w:pict>
    </w:r>
    <w:r>
      <w:rPr/>
      <w:pict>
        <v:shape style="position:absolute;margin-left:533.179993pt;margin-top:795.517944pt;width:6.5pt;height:11pt;mso-position-horizontal-relative:page;mso-position-vertical-relative:page;z-index:-12104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0048" type="#_x0000_t75" stroked="false">
          <v:imagedata r:id="rId1" o:title=""/>
        </v:shape>
      </w:pict>
    </w:r>
    <w:r>
      <w:rPr/>
      <w:pict>
        <v:shape style="position:absolute;margin-left:55.700001pt;margin-top:756.745605pt;width:258.5pt;height:11.5pt;mso-position-horizontal-relative:page;mso-position-vertical-relative:page;z-index:-1210024"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3</w:t>
                </w:r>
                <w:r>
                  <w:rPr/>
                  <w:t>）期末公司已背书或贴现且在资产负债表日尚未到期的应收票据</w:t>
                </w:r>
              </w:p>
            </w:txbxContent>
          </v:textbox>
          <w10:wrap type="none"/>
        </v:shape>
      </w:pict>
    </w:r>
    <w:r>
      <w:rPr/>
      <w:pict>
        <v:shape style="position:absolute;margin-left:523.179993pt;margin-top:781.957947pt;width:17.5pt;height:11pt;mso-position-horizontal-relative:page;mso-position-vertical-relative:page;z-index:-1210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9976" type="#_x0000_t75" stroked="false">
          <v:imagedata r:id="rId1" o:title=""/>
        </v:shape>
      </w:pict>
    </w:r>
    <w:r>
      <w:rPr/>
      <w:pict>
        <v:shape style="position:absolute;margin-left:523.179993pt;margin-top:781.957947pt;width:17.5pt;height:11pt;mso-position-horizontal-relative:page;mso-position-vertical-relative:page;z-index:-1209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9928" type="#_x0000_t75" stroked="false">
          <v:imagedata r:id="rId1" o:title=""/>
        </v:shape>
      </w:pict>
    </w:r>
    <w:r>
      <w:rPr/>
      <w:pict>
        <v:shape style="position:absolute;margin-left:524.179993pt;margin-top:781.957947pt;width:15.5pt;height:11pt;mso-position-horizontal-relative:page;mso-position-vertical-relative:page;z-index:-12099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9880" type="#_x0000_t75" stroked="false">
          <v:imagedata r:id="rId1" o:title=""/>
        </v:shape>
      </w:pict>
    </w:r>
    <w:r>
      <w:rPr/>
      <w:pict>
        <v:shape style="position:absolute;margin-left:523.179993pt;margin-top:781.957947pt;width:17.5pt;height:11pt;mso-position-horizontal-relative:page;mso-position-vertical-relative:page;z-index:-1209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0456" type="#_x0000_t75" stroked="false">
          <v:imagedata r:id="rId1" o:title=""/>
        </v:shape>
      </w:pict>
    </w:r>
    <w:r>
      <w:rPr/>
      <w:pict>
        <v:shape style="position:absolute;margin-left:527.679993pt;margin-top:781.957947pt;width:13pt;height:11pt;mso-position-horizontal-relative:page;mso-position-vertical-relative:page;z-index:-1210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0408" type="#_x0000_t75" stroked="false">
          <v:imagedata r:id="rId1" o:title=""/>
        </v:shape>
      </w:pict>
    </w:r>
    <w:r>
      <w:rPr/>
      <w:pict>
        <v:shape style="position:absolute;margin-left:527.679993pt;margin-top:781.957947pt;width:13pt;height:11pt;mso-position-horizontal-relative:page;mso-position-vertical-relative:page;z-index:-1210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0360" type="#_x0000_t75" stroked="false">
          <v:imagedata r:id="rId1" o:title=""/>
        </v:shape>
      </w:pict>
    </w:r>
    <w:r>
      <w:rPr/>
      <w:pict>
        <v:shape style="position:absolute;margin-left:527.679993pt;margin-top:781.957947pt;width:13pt;height:11pt;mso-position-horizontal-relative:page;mso-position-vertical-relative:page;z-index:-1210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0312" type="#_x0000_t75" stroked="false">
          <v:imagedata r:id="rId1" o:title=""/>
        </v:shape>
      </w:pict>
    </w:r>
    <w:r>
      <w:rPr/>
      <w:pict>
        <v:shape style="position:absolute;margin-left:55.700001pt;margin-top:756.865601pt;width:483.55pt;height:11.5pt;mso-position-horizontal-relative:page;mso-position-vertical-relative:page;z-index:-1210288" type="#_x0000_t202" filled="false" stroked="false">
          <v:textbox inset="0,0,0,0">
            <w:txbxContent>
              <w:p>
                <w:pPr>
                  <w:pStyle w:val="BodyText"/>
                  <w:spacing w:line="214" w:lineRule="exact"/>
                  <w:ind w:left="20" w:right="0"/>
                  <w:jc w:val="left"/>
                </w:pPr>
                <w:r>
                  <w:rPr/>
                  <w:t>的优势资源和特长，实现产学研的优势结合，具体内容详见公司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日披露于巨潮资讯网的相关公告（公告编号：</w:t>
                </w:r>
              </w:p>
            </w:txbxContent>
          </v:textbox>
          <w10:wrap type="none"/>
        </v:shape>
      </w:pict>
    </w:r>
    <w:r>
      <w:rPr/>
      <w:pict>
        <v:shape style="position:absolute;margin-left:527.679993pt;margin-top:781.957947pt;width:13pt;height:11pt;mso-position-horizontal-relative:page;mso-position-vertical-relative:page;z-index:-1210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0240" type="#_x0000_t75" stroked="false">
          <v:imagedata r:id="rId1" o:title=""/>
        </v:shape>
      </w:pict>
    </w:r>
    <w:r>
      <w:rPr/>
      <w:pict>
        <v:shape style="position:absolute;margin-left:527.679993pt;margin-top:781.957947pt;width:13pt;height:11pt;mso-position-horizontal-relative:page;mso-position-vertical-relative:page;z-index:-1210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0192" type="#_x0000_t75" stroked="false">
          <v:imagedata r:id="rId1" o:title=""/>
        </v:shape>
      </w:pict>
    </w:r>
    <w:r>
      <w:rPr/>
      <w:pict>
        <v:shape style="position:absolute;margin-left:524.179993pt;margin-top:781.957947pt;width:15.5pt;height:11pt;mso-position-horizontal-relative:page;mso-position-vertical-relative:page;z-index:-12101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0144" type="#_x0000_t75" stroked="false">
          <v:imagedata r:id="rId1" o:title=""/>
        </v:shape>
      </w:pict>
    </w:r>
    <w:r>
      <w:rPr/>
      <w:pict>
        <v:shape style="position:absolute;margin-left:523.179993pt;margin-top:781.957947pt;width:17.5pt;height:11pt;mso-position-horizontal-relative:page;mso-position-vertical-relative:page;z-index:-1210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0096" type="#_x0000_t75" stroked="false">
          <v:imagedata r:id="rId1" o:title=""/>
        </v:shape>
      </w:pict>
    </w:r>
    <w:r>
      <w:rPr/>
      <w:pict>
        <v:shape style="position:absolute;margin-left:523.179993pt;margin-top:781.957947pt;width:17.5pt;height:11pt;mso-position-horizontal-relative:page;mso-position-vertical-relative:page;z-index:-1210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8.400002pt;margin-top:36.325607pt;width:92pt;height:11pt;mso-position-horizontal-relative:page;mso-position-vertical-relative:page;z-index:-1210552" type="#_x0000_t202" filled="false" stroked="false">
          <v:textbox inset="0,0,0,0">
            <w:txbxContent>
              <w:p>
                <w:pPr>
                  <w:pStyle w:val="BodyText"/>
                  <w:spacing w:line="200" w:lineRule="exact"/>
                  <w:ind w:left="20" w:right="0"/>
                  <w:jc w:val="left"/>
                </w:pPr>
                <w:r>
                  <w:rPr/>
                  <w:t>浩云科技股份有限公司</w:t>
                </w:r>
              </w:p>
            </w:txbxContent>
          </v:textbox>
          <w10:wrap type="none"/>
        </v:shape>
      </w:pict>
    </w:r>
    <w:r>
      <w:rPr/>
      <w:pict>
        <v:shape style="position:absolute;margin-left:454.459991pt;margin-top:36.325607pt;width:85.25pt;height:11.5pt;mso-position-horizontal-relative:page;mso-position-vertical-relative:page;z-index:-121052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haoyuntech.com/" TargetMode="External"/><Relationship Id="rId10" Type="http://schemas.openxmlformats.org/officeDocument/2006/relationships/hyperlink" Target="mailto:zqb@haoyuntech.com" TargetMode="External"/><Relationship Id="rId11" Type="http://schemas.openxmlformats.org/officeDocument/2006/relationships/hyperlink" Target="http://w/" TargetMode="External"/><Relationship Id="rId12" Type="http://schemas.openxmlformats.org/officeDocument/2006/relationships/footer" Target="footer3.xml"/><Relationship Id="rId13" Type="http://schemas.openxmlformats.org/officeDocument/2006/relationships/hyperlink" Target="http://www/"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yperlink" Target="http://www.cninfo.com.cn/" TargetMode="External"/><Relationship Id="rId18" Type="http://schemas.openxmlformats.org/officeDocument/2006/relationships/image" Target="media/image3.jpeg"/><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yperlink" Target="http://www.cninfo.co/" TargetMode="Externa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浩云科技股份有限公司</dc:creator>
  <dc:title>浩云科技股份有限公司2018年年度报告全文</dc:title>
  <dcterms:created xsi:type="dcterms:W3CDTF">2020-05-05T00:04:26Z</dcterms:created>
  <dcterms:modified xsi:type="dcterms:W3CDTF">2020-05-05T00:04:26Z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Creator">
    <vt:lpwstr>Microsoft® Office Word 2007</vt:lpwstr>
  </property>
  <property fmtid="{D5CDD505-2E9C-101B-9397-08002B2CF9AE}" pid="4" name="LastSaved">
    <vt:filetime>2020-05-04T00:00:00Z</vt:filetime>
  </property>
</Properties>
</file>