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50.674999pt;width:485.85pt;height:.1pt;mso-position-horizontal-relative:page;mso-position-vertical-relative:page;z-index:0" coordorigin="1112,1013" coordsize="9717,2">
            <v:shape style="position:absolute;left:1112;top:1013;width:9717;height:2" coordorigin="1112,1013" coordsize="9717,0" path="m1112,1013l10829,101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870" w:lineRule="exact"/>
        <w:ind w:left="38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09700" cy="5524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552450"/>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3"/>
        <w:rPr>
          <w:rFonts w:ascii="Times New Roman" w:hAnsi="Times New Roman" w:cs="Times New Roman" w:eastAsia="Times New Roman" w:hint="default"/>
          <w:sz w:val="14"/>
          <w:szCs w:val="14"/>
        </w:rPr>
      </w:pPr>
    </w:p>
    <w:p>
      <w:pPr>
        <w:spacing w:line="460" w:lineRule="exact" w:before="0"/>
        <w:ind w:left="0" w:right="968" w:firstLine="0"/>
        <w:jc w:val="center"/>
        <w:rPr>
          <w:rFonts w:ascii="宋体" w:hAnsi="宋体" w:cs="宋体" w:eastAsia="宋体" w:hint="default"/>
          <w:sz w:val="36"/>
          <w:szCs w:val="36"/>
        </w:rPr>
      </w:pPr>
      <w:r>
        <w:rPr>
          <w:rFonts w:ascii="宋体" w:hAnsi="宋体" w:cs="宋体" w:eastAsia="宋体" w:hint="default"/>
          <w:b/>
          <w:bCs/>
          <w:sz w:val="36"/>
          <w:szCs w:val="36"/>
        </w:rPr>
        <w:t>浩云科技股份有限公司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2"/>
          <w:szCs w:val="32"/>
        </w:rPr>
      </w:pPr>
    </w:p>
    <w:p>
      <w:pPr>
        <w:spacing w:before="0"/>
        <w:ind w:left="0" w:right="967"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12"/>
        <w:rPr>
          <w:rFonts w:ascii="宋体" w:hAnsi="宋体" w:cs="宋体" w:eastAsia="宋体" w:hint="default"/>
          <w:b/>
          <w:bCs/>
          <w:sz w:val="31"/>
          <w:szCs w:val="31"/>
        </w:rPr>
      </w:pPr>
    </w:p>
    <w:p>
      <w:pPr>
        <w:spacing w:before="0"/>
        <w:ind w:left="0" w:right="983" w:firstLine="0"/>
        <w:jc w:val="center"/>
        <w:rPr>
          <w:rFonts w:ascii="Times New Roman" w:hAnsi="Times New Roman" w:cs="Times New Roman" w:eastAsia="Times New Roman" w:hint="default"/>
          <w:sz w:val="22"/>
          <w:szCs w:val="22"/>
        </w:rPr>
      </w:pPr>
      <w:r>
        <w:rPr>
          <w:rFonts w:ascii="Times New Roman"/>
          <w:b/>
          <w:spacing w:val="-4"/>
          <w:sz w:val="22"/>
        </w:rPr>
        <w:t>2020-027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7"/>
        <w:ind w:left="0" w:right="967"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76" w:footer="1026" w:top="1100" w:bottom="1220" w:left="1000" w:right="0"/>
        </w:sectPr>
      </w:pPr>
    </w:p>
    <w:p>
      <w:pPr>
        <w:spacing w:line="240" w:lineRule="auto" w:before="1"/>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11"/>
        <w:rPr>
          <w:rFonts w:ascii="宋体" w:hAnsi="宋体" w:cs="宋体" w:eastAsia="宋体" w:hint="default"/>
          <w:b/>
          <w:bCs/>
          <w:sz w:val="42"/>
          <w:szCs w:val="42"/>
        </w:rPr>
      </w:pPr>
    </w:p>
    <w:p>
      <w:pPr>
        <w:spacing w:line="408" w:lineRule="auto" w:before="0"/>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81" w:lineRule="auto" w:before="173"/>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公司负责人雷洪文、主管会计工作负责人王汉晖及会计机构负责人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简玉琴声明：保证年度报告中财务报告的真实、准确、完整。</w:t>
      </w:r>
      <w:r>
        <w:rPr>
          <w:rFonts w:ascii="宋体" w:hAnsi="宋体" w:cs="宋体" w:eastAsia="宋体" w:hint="default"/>
          <w:spacing w:val="-4"/>
          <w:sz w:val="28"/>
          <w:szCs w:val="28"/>
        </w:rPr>
      </w:r>
    </w:p>
    <w:p>
      <w:pPr>
        <w:spacing w:line="472" w:lineRule="auto" w:before="165"/>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本报告中涉及的未来发展规划及事项的陈述，属于计划性事项，不构成公</w:t>
      </w:r>
      <w:r>
        <w:rPr>
          <w:rFonts w:ascii="宋体" w:hAnsi="宋体" w:cs="宋体" w:eastAsia="宋体" w:hint="default"/>
          <w:spacing w:val="-1"/>
          <w:sz w:val="28"/>
          <w:szCs w:val="28"/>
        </w:rPr>
      </w:r>
    </w:p>
    <w:p>
      <w:pPr>
        <w:spacing w:line="365" w:lineRule="exact" w:before="0"/>
        <w:ind w:left="141" w:right="0" w:firstLine="0"/>
        <w:jc w:val="both"/>
        <w:rPr>
          <w:rFonts w:ascii="宋体" w:hAnsi="宋体" w:cs="宋体" w:eastAsia="宋体" w:hint="default"/>
          <w:sz w:val="28"/>
          <w:szCs w:val="28"/>
        </w:rPr>
      </w:pPr>
      <w:r>
        <w:rPr>
          <w:rFonts w:ascii="宋体" w:hAnsi="宋体" w:cs="宋体" w:eastAsia="宋体" w:hint="default"/>
          <w:b/>
          <w:bCs/>
          <w:spacing w:val="-6"/>
          <w:sz w:val="28"/>
          <w:szCs w:val="28"/>
        </w:rPr>
        <w:t>司对投资者的实质承诺，请投资者注意投资风险。公司在本报告第四节</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经营情</w:t>
      </w:r>
      <w:r>
        <w:rPr>
          <w:rFonts w:ascii="宋体" w:hAnsi="宋体" w:cs="宋体" w:eastAsia="宋体" w:hint="default"/>
          <w:spacing w:val="-6"/>
          <w:sz w:val="28"/>
          <w:szCs w:val="28"/>
        </w:rPr>
      </w:r>
    </w:p>
    <w:p>
      <w:pPr>
        <w:spacing w:line="391" w:lineRule="auto" w:before="243"/>
        <w:ind w:left="141" w:right="1106" w:firstLine="0"/>
        <w:jc w:val="both"/>
        <w:rPr>
          <w:rFonts w:ascii="宋体" w:hAnsi="宋体" w:cs="宋体" w:eastAsia="宋体" w:hint="default"/>
          <w:sz w:val="28"/>
          <w:szCs w:val="28"/>
        </w:rPr>
      </w:pPr>
      <w:r>
        <w:rPr>
          <w:rFonts w:ascii="宋体" w:hAnsi="宋体" w:cs="宋体" w:eastAsia="宋体" w:hint="default"/>
          <w:b/>
          <w:bCs/>
          <w:spacing w:val="2"/>
          <w:sz w:val="28"/>
          <w:szCs w:val="28"/>
        </w:rPr>
        <w:t>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中公司未来发展的展望部分描述了公司未来经营中可能面临的</w:t>
      </w:r>
      <w:r>
        <w:rPr>
          <w:rFonts w:ascii="宋体" w:hAnsi="宋体" w:cs="宋体" w:eastAsia="宋体" w:hint="default"/>
          <w:b/>
          <w:bCs/>
          <w:spacing w:val="28"/>
          <w:sz w:val="28"/>
          <w:szCs w:val="28"/>
        </w:rPr>
        <w:t> </w:t>
      </w:r>
      <w:r>
        <w:rPr>
          <w:rFonts w:ascii="宋体" w:hAnsi="宋体" w:cs="宋体" w:eastAsia="宋体" w:hint="default"/>
          <w:b/>
          <w:bCs/>
          <w:spacing w:val="28"/>
          <w:sz w:val="28"/>
          <w:szCs w:val="28"/>
        </w:rPr>
      </w:r>
      <w:r>
        <w:rPr>
          <w:rFonts w:ascii="宋体" w:hAnsi="宋体" w:cs="宋体" w:eastAsia="宋体" w:hint="default"/>
          <w:b/>
          <w:bCs/>
          <w:sz w:val="28"/>
          <w:szCs w:val="28"/>
        </w:rPr>
        <w:t>风险以及 </w:t>
      </w:r>
      <w:r>
        <w:rPr>
          <w:rFonts w:ascii="Times New Roman" w:hAnsi="Times New Roman" w:cs="Times New Roman" w:eastAsia="Times New Roman" w:hint="default"/>
          <w:b/>
          <w:bCs/>
          <w:spacing w:val="-6"/>
          <w:sz w:val="28"/>
          <w:szCs w:val="28"/>
        </w:rPr>
        <w:t>2020</w:t>
      </w:r>
      <w:r>
        <w:rPr>
          <w:rFonts w:ascii="Times New Roman" w:hAnsi="Times New Roman" w:cs="Times New Roman" w:eastAsia="Times New Roman" w:hint="default"/>
          <w:b/>
          <w:bCs/>
          <w:spacing w:val="55"/>
          <w:sz w:val="28"/>
          <w:szCs w:val="28"/>
        </w:rPr>
        <w:t> </w:t>
      </w:r>
      <w:r>
        <w:rPr>
          <w:rFonts w:ascii="宋体" w:hAnsi="宋体" w:cs="宋体" w:eastAsia="宋体" w:hint="default"/>
          <w:b/>
          <w:bCs/>
          <w:spacing w:val="-4"/>
          <w:sz w:val="28"/>
          <w:szCs w:val="28"/>
        </w:rPr>
        <w:t>年度主要经营计划，敬请广大投资者注意查阅。</w:t>
      </w:r>
      <w:r>
        <w:rPr>
          <w:rFonts w:ascii="宋体" w:hAnsi="宋体" w:cs="宋体" w:eastAsia="宋体" w:hint="default"/>
          <w:spacing w:val="-4"/>
          <w:sz w:val="28"/>
          <w:szCs w:val="28"/>
        </w:rPr>
      </w:r>
    </w:p>
    <w:p>
      <w:pPr>
        <w:spacing w:line="446" w:lineRule="auto" w:before="137"/>
        <w:ind w:left="69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1</w:t>
      </w:r>
      <w:r>
        <w:rPr>
          <w:rFonts w:ascii="宋体" w:hAnsi="宋体" w:cs="宋体" w:eastAsia="宋体" w:hint="default"/>
          <w:b/>
          <w:bCs/>
          <w:spacing w:val="-3"/>
          <w:sz w:val="28"/>
          <w:szCs w:val="28"/>
        </w:rPr>
        <w:t>）生产经营的季节性影响风险</w:t>
      </w:r>
      <w:r>
        <w:rPr>
          <w:rFonts w:ascii="宋体" w:hAnsi="宋体" w:cs="宋体" w:eastAsia="宋体" w:hint="default"/>
          <w:b/>
          <w:bCs/>
          <w:spacing w:val="-72"/>
          <w:sz w:val="28"/>
          <w:szCs w:val="28"/>
        </w:rPr>
        <w:t> </w:t>
      </w:r>
      <w:r>
        <w:rPr>
          <w:rFonts w:ascii="宋体" w:hAnsi="宋体" w:cs="宋体" w:eastAsia="宋体" w:hint="default"/>
          <w:b/>
          <w:bCs/>
          <w:spacing w:val="-72"/>
          <w:sz w:val="28"/>
          <w:szCs w:val="28"/>
        </w:rPr>
      </w:r>
      <w:r>
        <w:rPr>
          <w:rFonts w:ascii="宋体" w:hAnsi="宋体" w:cs="宋体" w:eastAsia="宋体" w:hint="default"/>
          <w:b/>
          <w:bCs/>
          <w:spacing w:val="-1"/>
          <w:sz w:val="28"/>
          <w:szCs w:val="28"/>
        </w:rPr>
        <w:t>受客户结构、行业业务特点因素的影响，公司营业收入存在各季度分布不</w:t>
      </w:r>
      <w:r>
        <w:rPr>
          <w:rFonts w:ascii="宋体" w:hAnsi="宋体" w:cs="宋体" w:eastAsia="宋体" w:hint="default"/>
          <w:spacing w:val="-1"/>
          <w:sz w:val="28"/>
          <w:szCs w:val="28"/>
        </w:rPr>
      </w:r>
    </w:p>
    <w:p>
      <w:pPr>
        <w:spacing w:line="408" w:lineRule="auto" w:before="23"/>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均衡、前低后高的特点，公司的经营业绩有明显的季节性波动，营业收入和利</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润主要集中于下半年实现。投资者不能简单地以公司季度或中期的财务数据来</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推算全年的经营成果、财务状况及现金流量。</w:t>
      </w:r>
      <w:r>
        <w:rPr>
          <w:rFonts w:ascii="宋体" w:hAnsi="宋体" w:cs="宋体" w:eastAsia="宋体" w:hint="default"/>
          <w:spacing w:val="-4"/>
          <w:sz w:val="28"/>
          <w:szCs w:val="28"/>
        </w:rPr>
      </w:r>
    </w:p>
    <w:p>
      <w:pPr>
        <w:spacing w:line="456" w:lineRule="auto" w:before="158"/>
        <w:ind w:left="69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2</w:t>
      </w:r>
      <w:r>
        <w:rPr>
          <w:rFonts w:ascii="宋体" w:hAnsi="宋体" w:cs="宋体" w:eastAsia="宋体" w:hint="default"/>
          <w:b/>
          <w:bCs/>
          <w:spacing w:val="-3"/>
          <w:sz w:val="28"/>
          <w:szCs w:val="28"/>
        </w:rPr>
        <w:t>）技术开发风险</w:t>
      </w:r>
      <w:r>
        <w:rPr>
          <w:rFonts w:ascii="宋体" w:hAnsi="宋体" w:cs="宋体" w:eastAsia="宋体" w:hint="default"/>
          <w:b/>
          <w:bCs/>
          <w:spacing w:val="-101"/>
          <w:sz w:val="28"/>
          <w:szCs w:val="28"/>
        </w:rPr>
        <w:t> </w:t>
      </w:r>
      <w:r>
        <w:rPr>
          <w:rFonts w:ascii="宋体" w:hAnsi="宋体" w:cs="宋体" w:eastAsia="宋体" w:hint="default"/>
          <w:b/>
          <w:bCs/>
          <w:spacing w:val="-101"/>
          <w:sz w:val="28"/>
          <w:szCs w:val="28"/>
        </w:rPr>
      </w:r>
      <w:r>
        <w:rPr>
          <w:rFonts w:ascii="宋体" w:hAnsi="宋体" w:cs="宋体" w:eastAsia="宋体" w:hint="default"/>
          <w:b/>
          <w:bCs/>
          <w:spacing w:val="-2"/>
          <w:sz w:val="28"/>
          <w:szCs w:val="28"/>
        </w:rPr>
        <w:t>近年来物联网及泛安防领域，技术进步和更新换代的速度越来越快，伴随</w:t>
      </w:r>
      <w:r>
        <w:rPr>
          <w:rFonts w:ascii="宋体" w:hAnsi="宋体" w:cs="宋体" w:eastAsia="宋体" w:hint="default"/>
          <w:spacing w:val="-2"/>
          <w:sz w:val="28"/>
          <w:szCs w:val="28"/>
        </w:rPr>
      </w:r>
    </w:p>
    <w:p>
      <w:pPr>
        <w:spacing w:line="391" w:lineRule="auto" w:before="0"/>
        <w:ind w:left="141" w:right="0" w:firstLine="0"/>
        <w:jc w:val="left"/>
        <w:rPr>
          <w:rFonts w:ascii="宋体" w:hAnsi="宋体" w:cs="宋体" w:eastAsia="宋体" w:hint="default"/>
          <w:sz w:val="28"/>
          <w:szCs w:val="28"/>
        </w:rPr>
      </w:pPr>
      <w:r>
        <w:rPr>
          <w:rFonts w:ascii="宋体" w:hAnsi="宋体" w:cs="宋体" w:eastAsia="宋体" w:hint="default"/>
          <w:b/>
          <w:bCs/>
          <w:spacing w:val="-7"/>
          <w:sz w:val="28"/>
          <w:szCs w:val="28"/>
        </w:rPr>
        <w:t>区块链、云计算、大数据、人工智能、机器人流程自动化</w:t>
      </w:r>
      <w:r>
        <w:rPr>
          <w:rFonts w:ascii="Times New Roman" w:hAnsi="Times New Roman" w:cs="Times New Roman" w:eastAsia="Times New Roman" w:hint="default"/>
          <w:b/>
          <w:bCs/>
          <w:spacing w:val="-7"/>
          <w:sz w:val="28"/>
          <w:szCs w:val="28"/>
        </w:rPr>
        <w:t>(RPA)</w:t>
      </w:r>
      <w:r>
        <w:rPr>
          <w:rFonts w:ascii="宋体" w:hAnsi="宋体" w:cs="宋体" w:eastAsia="宋体" w:hint="default"/>
          <w:b/>
          <w:bCs/>
          <w:spacing w:val="-7"/>
          <w:sz w:val="28"/>
          <w:szCs w:val="28"/>
        </w:rPr>
        <w:t>等各种创新技术</w:t>
      </w:r>
      <w:r>
        <w:rPr>
          <w:rFonts w:ascii="宋体" w:hAnsi="宋体" w:cs="宋体" w:eastAsia="宋体" w:hint="default"/>
          <w:b/>
          <w:bCs/>
          <w:spacing w:val="26"/>
          <w:sz w:val="28"/>
          <w:szCs w:val="28"/>
        </w:rPr>
        <w:t> </w:t>
      </w:r>
      <w:r>
        <w:rPr>
          <w:rFonts w:ascii="宋体" w:hAnsi="宋体" w:cs="宋体" w:eastAsia="宋体" w:hint="default"/>
          <w:b/>
          <w:bCs/>
          <w:spacing w:val="-6"/>
          <w:sz w:val="28"/>
          <w:szCs w:val="28"/>
        </w:rPr>
        <w:t>与物联网及泛安防业务的发展融合，客户对产品的要求也趋于专业化和个性化，</w:t>
      </w:r>
      <w:r>
        <w:rPr>
          <w:rFonts w:ascii="宋体" w:hAnsi="宋体" w:cs="宋体" w:eastAsia="宋体" w:hint="default"/>
          <w:spacing w:val="-6"/>
          <w:sz w:val="28"/>
          <w:szCs w:val="28"/>
        </w:rPr>
      </w:r>
    </w:p>
    <w:p>
      <w:pPr>
        <w:spacing w:after="0" w:line="391" w:lineRule="auto"/>
        <w:jc w:val="left"/>
        <w:rPr>
          <w:rFonts w:ascii="宋体" w:hAnsi="宋体" w:cs="宋体" w:eastAsia="宋体" w:hint="default"/>
          <w:sz w:val="28"/>
          <w:szCs w:val="28"/>
        </w:rPr>
        <w:sectPr>
          <w:footerReference w:type="default" r:id="rId8"/>
          <w:pgSz w:w="11910" w:h="16850"/>
          <w:pgMar w:footer="1026" w:header="776" w:top="1100" w:bottom="1220" w:left="1000" w:right="0"/>
          <w:pgNumType w:start="2"/>
        </w:sectPr>
      </w:pPr>
    </w:p>
    <w:p>
      <w:pPr>
        <w:spacing w:line="240" w:lineRule="auto" w:before="1"/>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6"/>
          <w:szCs w:val="26"/>
        </w:rPr>
      </w:pPr>
    </w:p>
    <w:p>
      <w:pPr>
        <w:spacing w:line="410" w:lineRule="auto" w:before="18"/>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公司必须全面了解业内技术发展的最新趋势，更好的满足客户不断提升发展的</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需求。如果公司的技术储备和产品研发方向偏离市场需求，或者研发时机掌握</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不对，产品化速度减缓，将可能存在产品不能在新的环境下形成技术优势的风</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line="446" w:lineRule="auto" w:before="155"/>
        <w:ind w:left="696" w:right="0"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）管理风险</w:t>
      </w:r>
      <w:r>
        <w:rPr>
          <w:rFonts w:ascii="宋体" w:hAnsi="宋体" w:cs="宋体" w:eastAsia="宋体" w:hint="default"/>
          <w:b/>
          <w:bCs/>
          <w:spacing w:val="-120"/>
          <w:sz w:val="28"/>
          <w:szCs w:val="28"/>
        </w:rPr>
        <w:t> </w:t>
      </w:r>
      <w:r>
        <w:rPr>
          <w:rFonts w:ascii="宋体" w:hAnsi="宋体" w:cs="宋体" w:eastAsia="宋体" w:hint="default"/>
          <w:b/>
          <w:bCs/>
          <w:spacing w:val="-1"/>
          <w:sz w:val="28"/>
          <w:szCs w:val="28"/>
        </w:rPr>
        <w:t>随着公司规模和经营领域的不断扩张，公司控制或参股的企业数量随之增</w:t>
      </w:r>
      <w:r>
        <w:rPr>
          <w:rFonts w:ascii="宋体" w:hAnsi="宋体" w:cs="宋体" w:eastAsia="宋体" w:hint="default"/>
          <w:spacing w:val="-1"/>
          <w:sz w:val="28"/>
          <w:szCs w:val="28"/>
        </w:rPr>
      </w:r>
    </w:p>
    <w:p>
      <w:pPr>
        <w:spacing w:line="410" w:lineRule="auto" w:before="23"/>
        <w:ind w:left="141" w:right="1089" w:firstLine="0"/>
        <w:jc w:val="both"/>
        <w:rPr>
          <w:rFonts w:ascii="宋体" w:hAnsi="宋体" w:cs="宋体" w:eastAsia="宋体" w:hint="default"/>
          <w:sz w:val="28"/>
          <w:szCs w:val="28"/>
        </w:rPr>
      </w:pPr>
      <w:r>
        <w:rPr>
          <w:rFonts w:ascii="宋体" w:hAnsi="宋体" w:cs="宋体" w:eastAsia="宋体" w:hint="default"/>
          <w:b/>
          <w:bCs/>
          <w:spacing w:val="-2"/>
          <w:sz w:val="28"/>
          <w:szCs w:val="28"/>
        </w:rPr>
        <w:t>加，业务范围也在行业和地域两个维度不断延伸。若公司的研发管理、生产管</w:t>
      </w:r>
      <w:r>
        <w:rPr>
          <w:rFonts w:ascii="宋体" w:hAnsi="宋体" w:cs="宋体" w:eastAsia="宋体" w:hint="default"/>
          <w:b/>
          <w:bCs/>
          <w:spacing w:val="39"/>
          <w:sz w:val="28"/>
          <w:szCs w:val="28"/>
        </w:rPr>
        <w:t> </w:t>
      </w:r>
      <w:r>
        <w:rPr>
          <w:rFonts w:ascii="宋体" w:hAnsi="宋体" w:cs="宋体" w:eastAsia="宋体" w:hint="default"/>
          <w:b/>
          <w:bCs/>
          <w:spacing w:val="39"/>
          <w:sz w:val="28"/>
          <w:szCs w:val="28"/>
        </w:rPr>
      </w:r>
      <w:r>
        <w:rPr>
          <w:rFonts w:ascii="宋体" w:hAnsi="宋体" w:cs="宋体" w:eastAsia="宋体" w:hint="default"/>
          <w:b/>
          <w:bCs/>
          <w:spacing w:val="-1"/>
          <w:sz w:val="28"/>
          <w:szCs w:val="28"/>
        </w:rPr>
        <w:t>理、销售管理、质量控制等不能适应公司规模与经营范围扩张的要求，人才培</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养、组织模式和管理制度不能随之进一步健全和完善，将会引发相应的管理风</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z w:val="28"/>
          <w:szCs w:val="28"/>
        </w:rPr>
        <w:t>险。</w:t>
      </w:r>
      <w:r>
        <w:rPr>
          <w:rFonts w:ascii="宋体" w:hAnsi="宋体" w:cs="宋体" w:eastAsia="宋体" w:hint="default"/>
          <w:sz w:val="28"/>
          <w:szCs w:val="28"/>
        </w:rPr>
      </w:r>
    </w:p>
    <w:p>
      <w:pPr>
        <w:spacing w:line="446" w:lineRule="auto" w:before="155"/>
        <w:ind w:left="69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4</w:t>
      </w:r>
      <w:r>
        <w:rPr>
          <w:rFonts w:ascii="宋体" w:hAnsi="宋体" w:cs="宋体" w:eastAsia="宋体" w:hint="default"/>
          <w:b/>
          <w:bCs/>
          <w:spacing w:val="-3"/>
          <w:sz w:val="28"/>
          <w:szCs w:val="28"/>
        </w:rPr>
        <w:t>）人力资源风险</w:t>
      </w:r>
      <w:r>
        <w:rPr>
          <w:rFonts w:ascii="宋体" w:hAnsi="宋体" w:cs="宋体" w:eastAsia="宋体" w:hint="default"/>
          <w:b/>
          <w:bCs/>
          <w:spacing w:val="-101"/>
          <w:sz w:val="28"/>
          <w:szCs w:val="28"/>
        </w:rPr>
        <w:t> </w:t>
      </w:r>
      <w:r>
        <w:rPr>
          <w:rFonts w:ascii="宋体" w:hAnsi="宋体" w:cs="宋体" w:eastAsia="宋体" w:hint="default"/>
          <w:b/>
          <w:bCs/>
          <w:spacing w:val="-101"/>
          <w:sz w:val="28"/>
          <w:szCs w:val="28"/>
        </w:rPr>
      </w:r>
      <w:r>
        <w:rPr>
          <w:rFonts w:ascii="宋体" w:hAnsi="宋体" w:cs="宋体" w:eastAsia="宋体" w:hint="default"/>
          <w:b/>
          <w:bCs/>
          <w:spacing w:val="-1"/>
          <w:sz w:val="28"/>
          <w:szCs w:val="28"/>
        </w:rPr>
        <w:t>经过多年发展，公司已形成一支稳定、高效的员工队伍，为公司快速发展</w:t>
      </w:r>
      <w:r>
        <w:rPr>
          <w:rFonts w:ascii="宋体" w:hAnsi="宋体" w:cs="宋体" w:eastAsia="宋体" w:hint="default"/>
          <w:spacing w:val="-1"/>
          <w:sz w:val="28"/>
          <w:szCs w:val="28"/>
        </w:rPr>
      </w:r>
    </w:p>
    <w:p>
      <w:pPr>
        <w:spacing w:line="408" w:lineRule="auto" w:before="23"/>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奠定了可靠的人力资源基础。随着公司业务规模和领域的拓展需要更多的专业</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人才，这也成为公司可持续发展的关键因素。此外，公司也面临市场竞争加剧</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导致人力资源成本上升的问题。尽管公司已加大对紧缺人才的引进力度，加强</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现有人员在技术、管理等方面的培训，同时立足企业文化建设，增强企业凝聚</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力，但如果公司不能按照实际需要实现人才引进和培养，建立和完善人才激励</w:t>
      </w:r>
      <w:r>
        <w:rPr>
          <w:rFonts w:ascii="宋体" w:hAnsi="宋体" w:cs="宋体" w:eastAsia="宋体" w:hint="default"/>
          <w:b/>
          <w:bCs/>
          <w:spacing w:val="9"/>
          <w:sz w:val="28"/>
          <w:szCs w:val="28"/>
        </w:rPr>
        <w:t> </w:t>
      </w:r>
      <w:r>
        <w:rPr>
          <w:rFonts w:ascii="宋体" w:hAnsi="宋体" w:cs="宋体" w:eastAsia="宋体" w:hint="default"/>
          <w:b/>
          <w:bCs/>
          <w:spacing w:val="9"/>
          <w:sz w:val="28"/>
          <w:szCs w:val="28"/>
        </w:rPr>
      </w:r>
      <w:r>
        <w:rPr>
          <w:rFonts w:ascii="宋体" w:hAnsi="宋体" w:cs="宋体" w:eastAsia="宋体" w:hint="default"/>
          <w:b/>
          <w:bCs/>
          <w:spacing w:val="-4"/>
          <w:sz w:val="28"/>
          <w:szCs w:val="28"/>
        </w:rPr>
        <w:t>机制，公司的生产经营和战略目标的实现可能会受到人力资源的制约。</w:t>
      </w:r>
      <w:r>
        <w:rPr>
          <w:rFonts w:ascii="宋体" w:hAnsi="宋体" w:cs="宋体" w:eastAsia="宋体" w:hint="default"/>
          <w:spacing w:val="-4"/>
          <w:sz w:val="28"/>
          <w:szCs w:val="28"/>
        </w:rPr>
      </w:r>
    </w:p>
    <w:p>
      <w:pPr>
        <w:spacing w:before="158"/>
        <w:ind w:left="696"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5</w:t>
      </w:r>
      <w:r>
        <w:rPr>
          <w:rFonts w:ascii="宋体" w:hAnsi="宋体" w:cs="宋体" w:eastAsia="宋体" w:hint="default"/>
          <w:b/>
          <w:bCs/>
          <w:spacing w:val="-3"/>
          <w:sz w:val="28"/>
          <w:szCs w:val="28"/>
        </w:rPr>
        <w:t>）新冠肺炎疫情风险</w:t>
      </w:r>
      <w:r>
        <w:rPr>
          <w:rFonts w:ascii="宋体" w:hAnsi="宋体" w:cs="宋体" w:eastAsia="宋体" w:hint="default"/>
          <w:spacing w:val="-3"/>
          <w:sz w:val="28"/>
          <w:szCs w:val="28"/>
        </w:rPr>
      </w:r>
    </w:p>
    <w:p>
      <w:pPr>
        <w:spacing w:line="240" w:lineRule="auto" w:before="6"/>
        <w:rPr>
          <w:rFonts w:ascii="宋体" w:hAnsi="宋体" w:cs="宋体" w:eastAsia="宋体" w:hint="default"/>
          <w:b/>
          <w:bCs/>
          <w:sz w:val="25"/>
          <w:szCs w:val="25"/>
        </w:rPr>
      </w:pPr>
    </w:p>
    <w:p>
      <w:pPr>
        <w:spacing w:line="391" w:lineRule="auto" w:before="0"/>
        <w:ind w:left="141" w:right="0" w:firstLine="555"/>
        <w:jc w:val="left"/>
        <w:rPr>
          <w:rFonts w:ascii="宋体" w:hAnsi="宋体" w:cs="宋体" w:eastAsia="宋体" w:hint="default"/>
          <w:sz w:val="28"/>
          <w:szCs w:val="28"/>
        </w:rPr>
      </w:pPr>
      <w:r>
        <w:rPr>
          <w:rFonts w:ascii="宋体" w:hAnsi="宋体" w:cs="宋体" w:eastAsia="宋体" w:hint="default"/>
          <w:b/>
          <w:bCs/>
          <w:spacing w:val="-3"/>
          <w:sz w:val="28"/>
          <w:szCs w:val="28"/>
        </w:rPr>
        <w:t>新型冠状病毒感染的肺炎疫情于 </w:t>
      </w:r>
      <w:r>
        <w:rPr>
          <w:rFonts w:ascii="Times New Roman" w:hAnsi="Times New Roman" w:cs="Times New Roman" w:eastAsia="Times New Roman" w:hint="default"/>
          <w:b/>
          <w:bCs/>
          <w:spacing w:val="-3"/>
          <w:sz w:val="28"/>
          <w:szCs w:val="28"/>
        </w:rPr>
        <w:t>2020 </w:t>
      </w:r>
      <w:r>
        <w:rPr>
          <w:rFonts w:ascii="宋体" w:hAnsi="宋体" w:cs="宋体" w:eastAsia="宋体" w:hint="default"/>
          <w:b/>
          <w:bCs/>
          <w:sz w:val="28"/>
          <w:szCs w:val="28"/>
        </w:rPr>
        <w:t>年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55"/>
          <w:sz w:val="28"/>
          <w:szCs w:val="28"/>
        </w:rPr>
        <w:t> </w:t>
      </w:r>
      <w:r>
        <w:rPr>
          <w:rFonts w:ascii="宋体" w:hAnsi="宋体" w:cs="宋体" w:eastAsia="宋体" w:hint="default"/>
          <w:b/>
          <w:bCs/>
          <w:spacing w:val="-3"/>
          <w:sz w:val="28"/>
          <w:szCs w:val="28"/>
        </w:rPr>
        <w:t>月在全国爆发以来，对新冠病</w:t>
      </w:r>
      <w:r>
        <w:rPr>
          <w:rFonts w:ascii="宋体" w:hAnsi="宋体" w:cs="宋体" w:eastAsia="宋体" w:hint="default"/>
          <w:b/>
          <w:bCs/>
          <w:w w:val="101"/>
          <w:sz w:val="28"/>
          <w:szCs w:val="28"/>
        </w:rPr>
        <w:t> </w:t>
      </w:r>
      <w:r>
        <w:rPr>
          <w:rFonts w:ascii="宋体" w:hAnsi="宋体" w:cs="宋体" w:eastAsia="宋体" w:hint="default"/>
          <w:b/>
          <w:bCs/>
          <w:spacing w:val="-1"/>
          <w:sz w:val="28"/>
          <w:szCs w:val="28"/>
        </w:rPr>
        <w:t>毒疫情的防控工作正在全国范围内持续进行，公司切实贯彻落实防控工作的各</w:t>
      </w:r>
      <w:r>
        <w:rPr>
          <w:rFonts w:ascii="宋体" w:hAnsi="宋体" w:cs="宋体" w:eastAsia="宋体" w:hint="default"/>
          <w:spacing w:val="-1"/>
          <w:sz w:val="28"/>
          <w:szCs w:val="28"/>
        </w:rPr>
      </w:r>
    </w:p>
    <w:p>
      <w:pPr>
        <w:spacing w:after="0" w:line="391" w:lineRule="auto"/>
        <w:jc w:val="left"/>
        <w:rPr>
          <w:rFonts w:ascii="宋体" w:hAnsi="宋体" w:cs="宋体" w:eastAsia="宋体" w:hint="default"/>
          <w:sz w:val="28"/>
          <w:szCs w:val="28"/>
        </w:rPr>
        <w:sectPr>
          <w:pgSz w:w="11910" w:h="16850"/>
          <w:pgMar w:header="776" w:footer="1026" w:top="1100" w:bottom="1220" w:left="1000" w:right="0"/>
        </w:sectPr>
      </w:pPr>
    </w:p>
    <w:p>
      <w:pPr>
        <w:spacing w:line="240" w:lineRule="auto" w:before="0"/>
        <w:rPr>
          <w:rFonts w:ascii="宋体" w:hAnsi="宋体" w:cs="宋体" w:eastAsia="宋体" w:hint="default"/>
          <w:b/>
          <w:bCs/>
          <w:sz w:val="20"/>
          <w:szCs w:val="20"/>
        </w:rPr>
      </w:pPr>
    </w:p>
    <w:p>
      <w:pPr>
        <w:spacing w:line="408" w:lineRule="auto" w:before="156"/>
        <w:ind w:left="141" w:right="1089" w:firstLine="0"/>
        <w:jc w:val="both"/>
        <w:rPr>
          <w:rFonts w:ascii="宋体" w:hAnsi="宋体" w:cs="宋体" w:eastAsia="宋体" w:hint="default"/>
          <w:sz w:val="28"/>
          <w:szCs w:val="28"/>
        </w:rPr>
      </w:pPr>
      <w:r>
        <w:rPr>
          <w:rFonts w:ascii="宋体" w:hAnsi="宋体" w:cs="宋体" w:eastAsia="宋体" w:hint="default"/>
          <w:b/>
          <w:bCs/>
          <w:spacing w:val="-1"/>
          <w:sz w:val="28"/>
          <w:szCs w:val="28"/>
        </w:rPr>
        <w:t>项要求，强化对疫情防控工作的支持。春节以来，因疫情防控需要，大范围停</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工停业，虽然目前已逐步恢复，但受人员延迟复工、生产活动减缓、交通运输</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1"/>
          <w:sz w:val="28"/>
          <w:szCs w:val="28"/>
        </w:rPr>
        <w:t>受限等多种因素叠加影响，导致公司部分已建项目延迟验收和新项目无法现场</w:t>
      </w:r>
      <w:r>
        <w:rPr>
          <w:rFonts w:ascii="宋体" w:hAnsi="宋体" w:cs="宋体" w:eastAsia="宋体" w:hint="default"/>
          <w:b/>
          <w:bCs/>
          <w:spacing w:val="7"/>
          <w:sz w:val="28"/>
          <w:szCs w:val="28"/>
        </w:rPr>
        <w:t> </w:t>
      </w:r>
      <w:r>
        <w:rPr>
          <w:rFonts w:ascii="宋体" w:hAnsi="宋体" w:cs="宋体" w:eastAsia="宋体" w:hint="default"/>
          <w:b/>
          <w:bCs/>
          <w:spacing w:val="7"/>
          <w:sz w:val="28"/>
          <w:szCs w:val="28"/>
        </w:rPr>
      </w:r>
      <w:r>
        <w:rPr>
          <w:rFonts w:ascii="宋体" w:hAnsi="宋体" w:cs="宋体" w:eastAsia="宋体" w:hint="default"/>
          <w:b/>
          <w:bCs/>
          <w:spacing w:val="-1"/>
          <w:sz w:val="28"/>
          <w:szCs w:val="28"/>
        </w:rPr>
        <w:t>实施，且在一段时间内客户的需求落地顺延；同时，各项社会经济活动在疫情</w:t>
      </w:r>
      <w:r>
        <w:rPr>
          <w:rFonts w:ascii="宋体" w:hAnsi="宋体" w:cs="宋体" w:eastAsia="宋体" w:hint="default"/>
          <w:b/>
          <w:bCs/>
          <w:spacing w:val="8"/>
          <w:sz w:val="28"/>
          <w:szCs w:val="28"/>
        </w:rPr>
        <w:t> </w:t>
      </w:r>
      <w:r>
        <w:rPr>
          <w:rFonts w:ascii="宋体" w:hAnsi="宋体" w:cs="宋体" w:eastAsia="宋体" w:hint="default"/>
          <w:b/>
          <w:bCs/>
          <w:spacing w:val="8"/>
          <w:sz w:val="28"/>
          <w:szCs w:val="28"/>
        </w:rPr>
      </w:r>
      <w:r>
        <w:rPr>
          <w:rFonts w:ascii="宋体" w:hAnsi="宋体" w:cs="宋体" w:eastAsia="宋体" w:hint="default"/>
          <w:b/>
          <w:bCs/>
          <w:spacing w:val="-4"/>
          <w:sz w:val="28"/>
          <w:szCs w:val="28"/>
        </w:rPr>
        <w:t>完全结束后，需要一定的恢复时间，公司年度业务存在不及预期的可能性。</w:t>
      </w:r>
      <w:r>
        <w:rPr>
          <w:rFonts w:ascii="宋体" w:hAnsi="宋体" w:cs="宋体" w:eastAsia="宋体" w:hint="default"/>
          <w:spacing w:val="-4"/>
          <w:sz w:val="28"/>
          <w:szCs w:val="28"/>
        </w:rPr>
      </w:r>
    </w:p>
    <w:p>
      <w:pPr>
        <w:spacing w:before="173"/>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公司经本次董事会审议通过的利润分配预案为：以 </w:t>
      </w:r>
      <w:r>
        <w:rPr>
          <w:rFonts w:ascii="Times New Roman" w:hAnsi="Times New Roman" w:cs="Times New Roman" w:eastAsia="Times New Roman" w:hint="default"/>
          <w:b/>
          <w:bCs/>
          <w:spacing w:val="-5"/>
          <w:sz w:val="28"/>
          <w:szCs w:val="28"/>
        </w:rPr>
        <w:t>686,616,614 </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28"/>
        <w:ind w:left="141" w:right="0" w:firstLine="0"/>
        <w:jc w:val="both"/>
        <w:rPr>
          <w:rFonts w:ascii="宋体" w:hAnsi="宋体" w:cs="宋体" w:eastAsia="宋体" w:hint="default"/>
          <w:sz w:val="28"/>
          <w:szCs w:val="28"/>
        </w:rPr>
      </w:pPr>
      <w:r>
        <w:rPr>
          <w:rFonts w:ascii="宋体" w:hAnsi="宋体" w:cs="宋体" w:eastAsia="宋体" w:hint="default"/>
          <w:b/>
          <w:bCs/>
          <w:w w:val="101"/>
          <w:sz w:val="28"/>
          <w:szCs w:val="28"/>
        </w:rPr>
        <w:t>向全体股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股派发</w:t>
      </w:r>
      <w:r>
        <w:rPr>
          <w:rFonts w:ascii="宋体" w:hAnsi="宋体" w:cs="宋体" w:eastAsia="宋体" w:hint="default"/>
          <w:b/>
          <w:bCs/>
          <w:spacing w:val="-16"/>
          <w:w w:val="101"/>
          <w:sz w:val="28"/>
          <w:szCs w:val="28"/>
        </w:rPr>
        <w:t>现</w:t>
      </w:r>
      <w:r>
        <w:rPr>
          <w:rFonts w:ascii="宋体" w:hAnsi="宋体" w:cs="宋体" w:eastAsia="宋体" w:hint="default"/>
          <w:b/>
          <w:bCs/>
          <w:w w:val="101"/>
          <w:sz w:val="28"/>
          <w:szCs w:val="28"/>
        </w:rPr>
        <w:t>金</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4"/>
          <w:w w:val="101"/>
          <w:sz w:val="28"/>
          <w:szCs w:val="28"/>
        </w:rPr>
        <w:t>.</w:t>
      </w:r>
      <w:r>
        <w:rPr>
          <w:rFonts w:ascii="Times New Roman" w:hAnsi="Times New Roman" w:cs="Times New Roman" w:eastAsia="Times New Roman" w:hint="default"/>
          <w:b/>
          <w:bCs/>
          <w:spacing w:val="-8"/>
          <w:w w:val="101"/>
          <w:sz w:val="28"/>
          <w:szCs w:val="28"/>
        </w:rPr>
        <w:t>4</w:t>
      </w:r>
      <w:r>
        <w:rPr>
          <w:rFonts w:ascii="Times New Roman" w:hAnsi="Times New Roman" w:cs="Times New Roman" w:eastAsia="Times New Roman" w:hint="default"/>
          <w:b/>
          <w:bCs/>
          <w:w w:val="101"/>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0"/>
          <w:w w:val="101"/>
          <w:sz w:val="28"/>
          <w:szCs w:val="28"/>
        </w:rPr>
        <w:t>元</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30"/>
          <w:w w:val="101"/>
          <w:sz w:val="28"/>
          <w:szCs w:val="28"/>
        </w:rPr>
        <w:t>，</w:t>
      </w:r>
      <w:r>
        <w:rPr>
          <w:rFonts w:ascii="宋体" w:hAnsi="宋体" w:cs="宋体" w:eastAsia="宋体" w:hint="default"/>
          <w:b/>
          <w:bCs/>
          <w:w w:val="101"/>
          <w:sz w:val="28"/>
          <w:szCs w:val="28"/>
        </w:rPr>
        <w:t>送</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18"/>
          <w:sz w:val="28"/>
          <w:szCs w:val="28"/>
        </w:rPr>
        <w:t> </w:t>
      </w:r>
      <w:r>
        <w:rPr>
          <w:rFonts w:ascii="宋体" w:hAnsi="宋体" w:cs="宋体" w:eastAsia="宋体" w:hint="default"/>
          <w:b/>
          <w:bCs/>
          <w:spacing w:val="-30"/>
          <w:w w:val="101"/>
          <w:sz w:val="28"/>
          <w:szCs w:val="28"/>
        </w:rPr>
        <w:t>股</w:t>
      </w:r>
      <w:r>
        <w:rPr>
          <w:rFonts w:ascii="宋体" w:hAnsi="宋体" w:cs="宋体" w:eastAsia="宋体" w:hint="default"/>
          <w:b/>
          <w:bCs/>
          <w:w w:val="101"/>
          <w:sz w:val="28"/>
          <w:szCs w:val="28"/>
        </w:rPr>
        <w:t>（</w:t>
      </w:r>
      <w:r>
        <w:rPr>
          <w:rFonts w:ascii="宋体" w:hAnsi="宋体" w:cs="宋体" w:eastAsia="宋体" w:hint="default"/>
          <w:b/>
          <w:bCs/>
          <w:spacing w:val="-16"/>
          <w:w w:val="101"/>
          <w:sz w:val="28"/>
          <w:szCs w:val="28"/>
        </w:rPr>
        <w:t>含</w:t>
      </w:r>
      <w:r>
        <w:rPr>
          <w:rFonts w:ascii="宋体" w:hAnsi="宋体" w:cs="宋体" w:eastAsia="宋体" w:hint="default"/>
          <w:b/>
          <w:bCs/>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46"/>
          <w:w w:val="101"/>
          <w:sz w:val="28"/>
          <w:szCs w:val="28"/>
        </w:rPr>
        <w:t>，</w:t>
      </w:r>
      <w:r>
        <w:rPr>
          <w:rFonts w:ascii="宋体" w:hAnsi="宋体" w:cs="宋体" w:eastAsia="宋体" w:hint="default"/>
          <w:b/>
          <w:bCs/>
          <w:w w:val="101"/>
          <w:sz w:val="28"/>
          <w:szCs w:val="28"/>
        </w:rPr>
        <w:t>以资本</w:t>
      </w:r>
      <w:r>
        <w:rPr>
          <w:rFonts w:ascii="宋体" w:hAnsi="宋体" w:cs="宋体" w:eastAsia="宋体" w:hint="default"/>
          <w:sz w:val="28"/>
          <w:szCs w:val="28"/>
        </w:rPr>
      </w:r>
    </w:p>
    <w:p>
      <w:pPr>
        <w:spacing w:before="243"/>
        <w:ind w:left="141"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公积金向全体股东每</w:t>
      </w:r>
      <w:r>
        <w:rPr>
          <w:rFonts w:ascii="宋体" w:hAnsi="宋体" w:cs="宋体" w:eastAsia="宋体" w:hint="default"/>
          <w:b/>
          <w:bCs/>
          <w:spacing w:val="-48"/>
          <w:sz w:val="28"/>
          <w:szCs w:val="28"/>
        </w:rPr>
        <w:t> </w:t>
      </w:r>
      <w:r>
        <w:rPr>
          <w:rFonts w:ascii="Times New Roman" w:hAnsi="Times New Roman" w:cs="Times New Roman" w:eastAsia="Times New Roman" w:hint="default"/>
          <w:b/>
          <w:bCs/>
          <w:spacing w:val="-4"/>
          <w:sz w:val="28"/>
          <w:szCs w:val="28"/>
        </w:rPr>
        <w:t>10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股转增</w:t>
      </w:r>
      <w:r>
        <w:rPr>
          <w:rFonts w:ascii="宋体" w:hAnsi="宋体" w:cs="宋体" w:eastAsia="宋体" w:hint="default"/>
          <w:b/>
          <w:bCs/>
          <w:spacing w:val="-46"/>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50"/>
          <w:pgMar w:header="776" w:footer="1026" w:top="1100" w:bottom="122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line="460" w:lineRule="exact" w:before="0"/>
        <w:ind w:left="0" w:right="98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3"/>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7"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before="163"/>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236</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76" w:footer="1026" w:top="1100" w:bottom="1220" w:left="100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1"/>
        <w:rPr>
          <w:rFonts w:ascii="Times New Roman" w:hAnsi="Times New Roman" w:cs="Times New Roman" w:eastAsia="Times New Roman" w:hint="default"/>
          <w:b/>
          <w:bCs/>
          <w:sz w:val="28"/>
          <w:szCs w:val="28"/>
        </w:rPr>
      </w:pPr>
    </w:p>
    <w:p>
      <w:pPr>
        <w:spacing w:before="0"/>
        <w:ind w:left="0" w:right="954"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浩云科技、公司、本公司</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浩云设备</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广州市浩云安防设备有限公司，本公司全资子公司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苏瑞科技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广州市苏瑞计算机科技有限公司，本公司全资子公司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浩云物联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重庆浩云公共安全物联网技术有限公司，本公司全资子公司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西藏浩云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西藏浩云创业投资有限公司，本公司全资子公司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辛集浩云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辛集市浩云智慧城市科技有限公司，本公司全资子公司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信泽云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信泽云（武汉）计算机软件有限公司，本公司全资子公司</w:t>
            </w:r>
          </w:p>
        </w:tc>
      </w:tr>
      <w:tr>
        <w:trPr>
          <w:trHeight w:val="158" w:hRule="exact"/>
        </w:trPr>
        <w:tc>
          <w:tcPr>
            <w:tcW w:w="3545"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湖北浩威</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21" w:lineRule="auto" w:before="29"/>
              <w:ind w:left="30" w:right="-9"/>
              <w:jc w:val="left"/>
              <w:rPr>
                <w:rFonts w:ascii="宋体" w:hAnsi="宋体" w:cs="宋体" w:eastAsia="宋体" w:hint="default"/>
                <w:sz w:val="18"/>
                <w:szCs w:val="18"/>
              </w:rPr>
            </w:pPr>
            <w:r>
              <w:rPr>
                <w:rFonts w:ascii="宋体" w:hAnsi="宋体" w:cs="宋体" w:eastAsia="宋体" w:hint="default"/>
                <w:sz w:val="18"/>
                <w:szCs w:val="18"/>
              </w:rPr>
              <w:t>湖北浩威保安服务有限公司，原名：武汉浩立威保安服务有限公司， 原为本公司全资子公司，现为本公司参股公司</w:t>
            </w:r>
          </w:p>
        </w:tc>
      </w:tr>
      <w:tr>
        <w:trPr>
          <w:trHeight w:val="391" w:hRule="exact"/>
        </w:trPr>
        <w:tc>
          <w:tcPr>
            <w:tcW w:w="3545" w:type="dxa"/>
            <w:vMerge/>
            <w:tcBorders>
              <w:left w:val="single" w:sz="6" w:space="0" w:color="000000"/>
              <w:right w:val="single" w:sz="12"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45" w:type="dxa"/>
            <w:vMerge/>
            <w:tcBorders>
              <w:left w:val="single" w:sz="6" w:space="0" w:color="000000"/>
              <w:bottom w:val="single" w:sz="6" w:space="0" w:color="000000"/>
              <w:right w:val="single" w:sz="12"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润安科技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深圳市润安科技发展有限公司，本公司控股子公司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浩昀宏</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广州浩昀宏信息技术有限公司，本公司控股子公司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冠网科技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广东冠网信息科技有限公司，本公司控股子公司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甲壳云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甲壳云计算有限公司，本公司控股子公司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久视智能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湖南久视智能科技有限公司，苏瑞科技控股子公司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云盾智能</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云盾智能物联有限公司，甲壳云全资子公司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碧天投资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广州碧天企业管理有限公司，本公司之股东</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常森投资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广州常森企业管理有限公司，本公司之股东</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浩云科技股份有限公司股东大会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浩云科技股份有限公司董事会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浩云科技股份有限公司监事会</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本公司的《公司章程》</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b/>
          <w:bCs/>
          <w:sz w:val="20"/>
          <w:szCs w:val="20"/>
        </w:rPr>
      </w:pPr>
      <w:r>
        <w:rPr/>
        <w:pict>
          <v:group style="position:absolute;margin-left:171.229996pt;margin-top:254.475006pt;width:363.45pt;height:19.55pt;mso-position-horizontal-relative:page;mso-position-vertical-relative:page;z-index:-1110112" coordorigin="3425,5090" coordsize="7269,391">
            <v:group style="position:absolute;left:3425;top:5090;width:30;height:391" coordorigin="3425,5090" coordsize="30,391">
              <v:shape style="position:absolute;left:3425;top:5090;width:30;height:391" coordorigin="3425,5090" coordsize="30,391" path="m3425,5480l3455,5480,3455,5090,3425,5090,3425,5480xe" filled="true" fillcolor="#ffffff" stroked="false">
                <v:path arrowok="t"/>
                <v:fill type="solid"/>
              </v:shape>
            </v:group>
            <v:group style="position:absolute;left:3455;top:5090;width:7239;height:391" coordorigin="3455,5090" coordsize="7239,391">
              <v:shape style="position:absolute;left:3455;top:5090;width:7239;height:391" coordorigin="3455,5090" coordsize="7239,391" path="m3455,5480l10694,5480,10694,5090,3455,5090,3455,5480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浩云科技</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300448</w:t>
            </w:r>
          </w:p>
        </w:tc>
      </w:tr>
      <w:tr>
        <w:trPr>
          <w:trHeight w:val="391"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浩云科技</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pacing w:val="2"/>
                <w:sz w:val="18"/>
              </w:rPr>
              <w:t>Haoyun </w:t>
            </w:r>
            <w:r>
              <w:rPr>
                <w:rFonts w:ascii="Times New Roman"/>
                <w:spacing w:val="-3"/>
                <w:sz w:val="18"/>
              </w:rPr>
              <w:t>Technologies </w:t>
            </w:r>
            <w:r>
              <w:rPr>
                <w:rFonts w:ascii="Times New Roman"/>
                <w:sz w:val="18"/>
              </w:rPr>
              <w:t>Co.,Ltd.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6"/>
                <w:position w:val="1"/>
                <w:sz w:val="18"/>
                <w:szCs w:val="18"/>
              </w:rPr>
              <w:t>）</w:t>
            </w:r>
            <w:r>
              <w:rPr>
                <w:rFonts w:ascii="Times New Roman" w:hAnsi="Times New Roman" w:cs="Times New Roman" w:eastAsia="Times New Roman" w:hint="default"/>
                <w:spacing w:val="-6"/>
                <w:sz w:val="18"/>
                <w:szCs w:val="18"/>
              </w:rPr>
              <w:t>Haoyun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Technologies</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雷洪文</w:t>
            </w:r>
          </w:p>
        </w:tc>
      </w:tr>
      <w:tr>
        <w:trPr>
          <w:trHeight w:val="391"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号天安总部中心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房</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511400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号天安总部中心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房</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511400</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http://www.haoyuntech.com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10"/>
        <w:rPr>
          <w:rFonts w:ascii="宋体" w:hAnsi="宋体" w:cs="宋体" w:eastAsia="宋体" w:hint="default"/>
          <w:b/>
          <w:bCs/>
          <w:sz w:val="24"/>
          <w:szCs w:val="24"/>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彭燕君</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w:t>
            </w:r>
          </w:p>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房</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广州市番禺区东环街番禺大道北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天安总部中心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 </w:t>
            </w:r>
            <w:r>
              <w:rPr>
                <w:rFonts w:ascii="宋体" w:hAnsi="宋体" w:cs="宋体" w:eastAsia="宋体" w:hint="default"/>
                <w:sz w:val="18"/>
                <w:szCs w:val="18"/>
              </w:rPr>
              <w:t>房</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020-34831515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020-34831515</w:t>
            </w: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020-34831415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020-34831415</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zqb@haoyuntech.com</w:t>
              </w:r>
            </w:hyperlink>
          </w:p>
        </w:tc>
      </w:tr>
    </w:tbl>
    <w:p>
      <w:pPr>
        <w:spacing w:line="240" w:lineRule="auto" w:before="10"/>
        <w:rPr>
          <w:rFonts w:ascii="宋体" w:hAnsi="宋体" w:cs="宋体" w:eastAsia="宋体" w:hint="default"/>
          <w:b/>
          <w:bCs/>
          <w:sz w:val="24"/>
          <w:szCs w:val="24"/>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91"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深圳证券交易所、浩云科技股份有限公司董事会办公室</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11"/>
        <w:rPr>
          <w:rFonts w:ascii="宋体" w:hAnsi="宋体" w:cs="宋体" w:eastAsia="宋体" w:hint="default"/>
          <w:b/>
          <w:bCs/>
          <w:sz w:val="27"/>
          <w:szCs w:val="2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t>公司聘请的会计师事务所</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公司聘请的报告期内履行持续督导职责的保荐机构</w:t>
      </w:r>
    </w:p>
    <w:p>
      <w:pPr>
        <w:spacing w:line="240" w:lineRule="auto" w:before="13"/>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肖雁、张健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公司聘请的报告期内履行持续督导职责的财务顾问</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right="0"/>
        <w:jc w:val="left"/>
      </w:pPr>
      <w:r>
        <w:rPr/>
        <w:t>公司是否需追溯调整或重述以前年度会计数据</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784,434,539.34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765,302,136.94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2.50%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569,795,019.21</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154,431,200.03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140,225,348.38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10.13%</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111,185,107.71</w:t>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147,564,282.08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129,845,884.98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13.65%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105,797,801.10</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118,709,165.31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138,509,269.09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-14.30%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112,525,666.19</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0.2321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0.2113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9.84%</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0.1756</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0.2254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0.2058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9.52%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0.1745</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11.56%</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11.78%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12.77%</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1,810,459,986.30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1,609,982,065.56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12.45%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1,349,383,995.85</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1,427,717,932.36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1,257,626,494.77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13.52%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1,131,411,645.45</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11"/>
        <w:rPr>
          <w:rFonts w:ascii="宋体" w:hAnsi="宋体" w:cs="宋体" w:eastAsia="宋体" w:hint="default"/>
          <w:sz w:val="27"/>
          <w:szCs w:val="2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146,571,691.96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118,343,972.20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124,976,132.94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394,542,742.24</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10,338,894.07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4,322,198.34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16,550,195.88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123,219,911.74</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7,260,229.06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3,813,611.68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13,705,833.89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122,784,607.45</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-117,825,931.42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10,205,563.31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717,730.45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225,611,802.97</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上述财务指标或其加总数是否与公司已披露季度报告、半年度报告相关财务指标存在重大差异</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91" w:lineRule="auto"/>
        <w:ind w:right="18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91"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8"/>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76,167.56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34,617.55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-18,400.37</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9,879,420.50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7,006,725.17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6,486,230.09</w:t>
            </w: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665,807.14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5,434,861.46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705,677.70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118,833.26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515,389.37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276,977.05</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1,090,362.84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1,876,923.61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773,060.84</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2,782,947.67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735,206.54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1,290,117.02</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6,866,917.95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10,379,463.40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5,387,306.61</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7"/>
          <w:szCs w:val="17"/>
        </w:rPr>
      </w:pPr>
    </w:p>
    <w:p>
      <w:pPr>
        <w:pStyle w:val="BodyText"/>
        <w:spacing w:line="434" w:lineRule="auto"/>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19"/>
          <w:szCs w:val="19"/>
        </w:rPr>
      </w:pPr>
    </w:p>
    <w:p>
      <w:pPr>
        <w:pStyle w:val="BodyText"/>
        <w:spacing w:line="448" w:lineRule="auto"/>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448"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520" w:right="0"/>
        <w:jc w:val="left"/>
        <w:rPr>
          <w:b w:val="0"/>
          <w:bCs w:val="0"/>
        </w:rPr>
      </w:pPr>
      <w:bookmarkStart w:name="第三节公司业务概要" w:id="15"/>
      <w:bookmarkEnd w:id="15"/>
      <w:r>
        <w:rPr>
          <w:b w:val="0"/>
          <w:bCs w:val="0"/>
        </w:rPr>
      </w:r>
      <w:bookmarkStart w:name="_bookmark2" w:id="16"/>
      <w:bookmarkEnd w:id="16"/>
      <w:r>
        <w:rPr>
          <w:b w:val="0"/>
          <w:bCs w:val="0"/>
        </w:rPr>
      </w:r>
      <w:r>
        <w:rPr>
          <w:spacing w:val="5"/>
        </w:rPr>
        <w:t>第三节公司业务概要</w:t>
      </w:r>
      <w:r>
        <w:rPr>
          <w:b w:val="0"/>
          <w:bCs w:val="0"/>
          <w:spacing w:val="5"/>
        </w:rPr>
      </w:r>
    </w:p>
    <w:p>
      <w:pPr>
        <w:spacing w:line="240" w:lineRule="auto" w:before="10"/>
        <w:rPr>
          <w:rFonts w:ascii="宋体" w:hAnsi="宋体" w:cs="宋体" w:eastAsia="宋体" w:hint="default"/>
          <w:b/>
          <w:bCs/>
          <w:sz w:val="41"/>
          <w:szCs w:val="41"/>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（一）公司主要业务</w:t>
      </w:r>
      <w:r>
        <w:rPr>
          <w:b w:val="0"/>
          <w:bCs w:val="0"/>
        </w:rPr>
      </w:r>
    </w:p>
    <w:p>
      <w:pPr>
        <w:spacing w:line="240" w:lineRule="auto" w:before="1"/>
        <w:rPr>
          <w:rFonts w:ascii="宋体" w:hAnsi="宋体" w:cs="宋体" w:eastAsia="宋体" w:hint="default"/>
          <w:b/>
          <w:bCs/>
          <w:sz w:val="16"/>
          <w:szCs w:val="16"/>
        </w:rPr>
      </w:pPr>
    </w:p>
    <w:p>
      <w:pPr>
        <w:pStyle w:val="BodyText"/>
        <w:spacing w:line="465" w:lineRule="auto"/>
        <w:ind w:right="1120" w:firstLine="360"/>
        <w:jc w:val="both"/>
      </w:pPr>
      <w:r>
        <w:rPr>
          <w:spacing w:val="-2"/>
        </w:rPr>
        <w:t>公司是基于业务引擎的智慧物联网数据平台提供商。报告期内，公司将大数据、云计算、边缘计算、人工智能和区块链</w:t>
      </w:r>
      <w:r>
        <w:rPr/>
        <w:t> 等多种技术作为公司的技术支撑体系，与公司持续研究的智慧物联网数据平台（又称</w:t>
      </w:r>
      <w:r>
        <w:rPr>
          <w:rFonts w:ascii="Times New Roman" w:hAnsi="Times New Roman" w:cs="Times New Roman" w:eastAsia="Times New Roman" w:hint="default"/>
        </w:rPr>
        <w:t>“</w:t>
      </w:r>
      <w:r>
        <w:rPr/>
        <w:t>低代码平台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UWB</w:t>
      </w:r>
      <w:r>
        <w:rPr/>
        <w:t>应用相结合，</w:t>
      </w:r>
      <w:r>
        <w:rPr>
          <w:spacing w:val="-77"/>
        </w:rPr>
        <w:t> </w:t>
      </w:r>
      <w:r>
        <w:rPr>
          <w:spacing w:val="-2"/>
        </w:rPr>
        <w:t>为客户提供以物联网低代码开发平台为核心，智能感知终端为配套，大数据运营为服务的多位一体的行业综合解决方案，广</w:t>
      </w:r>
      <w:r>
        <w:rPr>
          <w:spacing w:val="-75"/>
        </w:rPr>
        <w:t> </w:t>
      </w:r>
      <w:r>
        <w:rPr>
          <w:spacing w:val="-75"/>
        </w:rPr>
      </w:r>
      <w:r>
        <w:rPr/>
        <w:t>泛应用于金融物联、公共安全、智慧司法、泛在电力物联网等行业领域。</w:t>
      </w:r>
    </w:p>
    <w:p>
      <w:pPr>
        <w:pStyle w:val="Heading3"/>
        <w:spacing w:line="405" w:lineRule="auto" w:before="55"/>
        <w:ind w:right="8534"/>
        <w:jc w:val="left"/>
        <w:rPr>
          <w:b w:val="0"/>
          <w:bCs w:val="0"/>
        </w:rPr>
      </w:pPr>
      <w:r>
        <w:rPr/>
        <w:t>（二）公司主要产品</w:t>
      </w:r>
      <w:r>
        <w:rPr>
          <w:spacing w:val="-99"/>
        </w:rPr>
        <w:t> </w:t>
      </w:r>
      <w:r>
        <w:rPr>
          <w:spacing w:val="-99"/>
        </w:rPr>
      </w:r>
      <w:r>
        <w:rPr>
          <w:rFonts w:ascii="宋体" w:hAnsi="宋体" w:cs="宋体" w:eastAsia="宋体" w:hint="default"/>
        </w:rPr>
        <w:t>1</w:t>
      </w:r>
      <w:r>
        <w:rPr/>
        <w:t>、智慧物联网数据平台</w:t>
      </w:r>
      <w:r>
        <w:rPr>
          <w:b w:val="0"/>
          <w:bCs w:val="0"/>
        </w:rPr>
      </w:r>
    </w:p>
    <w:p>
      <w:pPr>
        <w:pStyle w:val="BodyText"/>
        <w:spacing w:line="472" w:lineRule="auto" w:before="66"/>
        <w:ind w:right="1097" w:firstLine="360"/>
        <w:jc w:val="both"/>
      </w:pPr>
      <w:r>
        <w:rPr>
          <w:spacing w:val="-2"/>
        </w:rPr>
        <w:t>智慧物联网数据平台是一个零代码或者低代码的平台，通过很少代码或者几乎不用编写代码就可以实现快速建立应用开</w:t>
      </w:r>
      <w:r>
        <w:rPr/>
        <w:t> </w:t>
      </w:r>
      <w:r>
        <w:rPr>
          <w:spacing w:val="-2"/>
        </w:rPr>
        <w:t>发、配置和部署，实现平台开发的工具。报告期内，公司的低代码平台实现了如下创新突破：首先，该平台具备柔性配置功</w:t>
      </w:r>
      <w:r>
        <w:rPr>
          <w:spacing w:val="-62"/>
        </w:rPr>
        <w:t> </w:t>
      </w:r>
      <w:r>
        <w:rPr>
          <w:spacing w:val="-62"/>
        </w:rPr>
      </w:r>
      <w:r>
        <w:rPr>
          <w:spacing w:val="-1"/>
        </w:rPr>
        <w:t>能，可实现并行开发，使得应用配置人员可根据应用需求随时进行编辑、根据需求变化进行后续的灵活改动，从而实现对业</w:t>
      </w:r>
      <w:r>
        <w:rPr/>
        <w:t> 务的分级管理、自定义管理；其次，该平台打通了物联与业务管理（包括</w:t>
      </w:r>
      <w:r>
        <w:rPr>
          <w:rFonts w:ascii="Times New Roman" w:hAnsi="Times New Roman" w:cs="Times New Roman" w:eastAsia="Times New Roman" w:hint="default"/>
        </w:rPr>
        <w:t>OA</w:t>
      </w:r>
      <w:r>
        <w:rPr/>
        <w:t>、</w:t>
      </w:r>
      <w:r>
        <w:rPr>
          <w:rFonts w:ascii="Times New Roman" w:hAnsi="Times New Roman" w:cs="Times New Roman" w:eastAsia="Times New Roman" w:hint="default"/>
        </w:rPr>
        <w:t>ERP</w:t>
      </w:r>
      <w:r>
        <w:rPr/>
        <w:t>等细分业务管理类应用），在设备控制</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spacing w:val="-2"/>
        </w:rPr>
        <w:t>执行、信息流、综合管理数据流等方面实现数据的无缝对接，从而实现各流程和业务的自动化、智慧化管理；最后，该平台</w:t>
      </w:r>
      <w:r>
        <w:rPr>
          <w:spacing w:val="-67"/>
        </w:rPr>
        <w:t> </w:t>
      </w:r>
      <w:r>
        <w:rPr>
          <w:spacing w:val="-67"/>
        </w:rPr>
      </w:r>
      <w:r>
        <w:rPr/>
        <w:t>具备强物联网属性，拥有良好的兼容性，可接入众多品牌的软件平台和硬件终端。</w:t>
      </w:r>
    </w:p>
    <w:p>
      <w:pPr>
        <w:pStyle w:val="Heading3"/>
        <w:spacing w:line="240" w:lineRule="auto" w:before="35"/>
        <w:ind w:right="0"/>
        <w:jc w:val="left"/>
        <w:rPr>
          <w:b w:val="0"/>
          <w:bCs w:val="0"/>
        </w:rPr>
      </w:pPr>
      <w:r>
        <w:rPr>
          <w:rFonts w:ascii="宋体" w:hAnsi="宋体" w:cs="宋体" w:eastAsia="宋体" w:hint="default"/>
        </w:rPr>
        <w:t>2</w:t>
      </w:r>
      <w:r>
        <w:rPr/>
        <w:t>、</w:t>
      </w:r>
      <w:r>
        <w:rPr>
          <w:rFonts w:ascii="宋体" w:hAnsi="宋体" w:cs="宋体" w:eastAsia="宋体" w:hint="default"/>
        </w:rPr>
        <w:t>UWB</w:t>
      </w:r>
      <w:r>
        <w:rPr/>
        <w:t>系列产品</w:t>
      </w:r>
      <w:r>
        <w:rPr>
          <w:b w:val="0"/>
          <w:bCs w:val="0"/>
        </w:rPr>
      </w:r>
    </w:p>
    <w:p>
      <w:pPr>
        <w:spacing w:line="240" w:lineRule="auto" w:before="1"/>
        <w:rPr>
          <w:rFonts w:ascii="宋体" w:hAnsi="宋体" w:cs="宋体" w:eastAsia="宋体" w:hint="default"/>
          <w:b/>
          <w:bCs/>
          <w:sz w:val="16"/>
          <w:szCs w:val="16"/>
        </w:rPr>
      </w:pPr>
    </w:p>
    <w:p>
      <w:pPr>
        <w:pStyle w:val="BodyText"/>
        <w:spacing w:line="460" w:lineRule="auto"/>
        <w:ind w:right="996" w:firstLine="360"/>
        <w:jc w:val="left"/>
      </w:pPr>
      <w:r>
        <w:rPr/>
        <w:t>公司基于</w:t>
      </w:r>
      <w:r>
        <w:rPr>
          <w:rFonts w:ascii="Times New Roman" w:hAnsi="Times New Roman" w:cs="Times New Roman" w:eastAsia="Times New Roman" w:hint="default"/>
        </w:rPr>
        <w:t>UWB</w:t>
      </w:r>
      <w:r>
        <w:rPr/>
        <w:t>高精准定位技术打造了</w:t>
      </w:r>
      <w:r>
        <w:rPr>
          <w:rFonts w:ascii="Times New Roman" w:hAnsi="Times New Roman" w:cs="Times New Roman" w:eastAsia="Times New Roman" w:hint="default"/>
        </w:rPr>
        <w:t>“UWB</w:t>
      </w:r>
      <w:r>
        <w:rPr/>
        <w:t>腕带</w:t>
      </w:r>
      <w:r>
        <w:rPr>
          <w:rFonts w:ascii="Times New Roman" w:hAnsi="Times New Roman" w:cs="Times New Roman" w:eastAsia="Times New Roman" w:hint="default"/>
        </w:rPr>
        <w:t>+”</w:t>
      </w:r>
      <w:r>
        <w:rPr/>
        <w:t>系列产品，形成了智能硬件终端组合</w:t>
      </w:r>
      <w:r>
        <w:rPr>
          <w:rFonts w:ascii="Times New Roman" w:hAnsi="Times New Roman" w:cs="Times New Roman" w:eastAsia="Times New Roman" w:hint="default"/>
        </w:rPr>
        <w:t>+</w:t>
      </w:r>
      <w:r>
        <w:rPr/>
        <w:t>智慧管理平台的软硬一体的整 体解决方案。公司采用</w:t>
      </w:r>
      <w:r>
        <w:rPr>
          <w:rFonts w:ascii="Times New Roman" w:hAnsi="Times New Roman" w:cs="Times New Roman" w:eastAsia="Times New Roman" w:hint="default"/>
        </w:rPr>
        <w:t>“UWB</w:t>
      </w:r>
      <w:r>
        <w:rPr/>
        <w:t>腕带</w:t>
      </w:r>
      <w:r>
        <w:rPr>
          <w:rFonts w:ascii="Times New Roman" w:hAnsi="Times New Roman" w:cs="Times New Roman" w:eastAsia="Times New Roman" w:hint="default"/>
        </w:rPr>
        <w:t>+</w:t>
      </w:r>
      <w:r>
        <w:rPr/>
        <w:t>基站</w:t>
      </w:r>
      <w:r>
        <w:rPr>
          <w:rFonts w:ascii="Times New Roman" w:hAnsi="Times New Roman" w:cs="Times New Roman" w:eastAsia="Times New Roman" w:hint="default"/>
        </w:rPr>
        <w:t>”</w:t>
      </w:r>
      <w:r>
        <w:rPr/>
        <w:t>的模式为智慧监狱打造了勤务指挥管理平台、综合业务管理平台、电子身份管理平 台三大管理平台，通过三大平台数据融合的能力，有效地记录了服刑人员的衣食住行、停留时间及车间生产的活动等信息， 同时，联动监狱各个子系统，打破时空限制，实现随时随地办公、行政管理、应急指挥、实时监控，全面强化现代监狱信息 </w:t>
      </w:r>
      <w:r>
        <w:rPr>
          <w:spacing w:val="-1"/>
        </w:rPr>
        <w:t>化建设；采用</w:t>
      </w:r>
      <w:r>
        <w:rPr>
          <w:rFonts w:ascii="Times New Roman" w:hAnsi="Times New Roman" w:cs="Times New Roman" w:eastAsia="Times New Roman" w:hint="default"/>
          <w:spacing w:val="-1"/>
        </w:rPr>
        <w:t>“UWB</w:t>
      </w:r>
      <w:r>
        <w:rPr>
          <w:spacing w:val="-1"/>
        </w:rPr>
        <w:t>腕带</w:t>
      </w:r>
      <w:r>
        <w:rPr>
          <w:rFonts w:ascii="Times New Roman" w:hAnsi="Times New Roman" w:cs="Times New Roman" w:eastAsia="Times New Roman" w:hint="default"/>
          <w:spacing w:val="-1"/>
        </w:rPr>
        <w:t>+</w:t>
      </w:r>
      <w:r>
        <w:rPr>
          <w:spacing w:val="-1"/>
        </w:rPr>
        <w:t>手机</w:t>
      </w:r>
      <w:r>
        <w:rPr>
          <w:rFonts w:ascii="Times New Roman" w:hAnsi="Times New Roman" w:cs="Times New Roman" w:eastAsia="Times New Roman" w:hint="default"/>
          <w:spacing w:val="-1"/>
        </w:rPr>
        <w:t>”</w:t>
      </w:r>
      <w:r>
        <w:rPr>
          <w:spacing w:val="-1"/>
        </w:rPr>
        <w:t>可分离管理模式的社区矫正系统，采用</w:t>
      </w:r>
      <w:r>
        <w:rPr>
          <w:rFonts w:ascii="Times New Roman" w:hAnsi="Times New Roman" w:cs="Times New Roman" w:eastAsia="Times New Roman" w:hint="default"/>
          <w:spacing w:val="-1"/>
        </w:rPr>
        <w:t>“</w:t>
      </w:r>
      <w:r>
        <w:rPr>
          <w:spacing w:val="-1"/>
        </w:rPr>
        <w:t>一朵云两平台</w:t>
      </w:r>
      <w:r>
        <w:rPr>
          <w:rFonts w:ascii="Times New Roman" w:hAnsi="Times New Roman" w:cs="Times New Roman" w:eastAsia="Times New Roman" w:hint="default"/>
          <w:spacing w:val="-1"/>
        </w:rPr>
        <w:t>”</w:t>
      </w:r>
      <w:r>
        <w:rPr>
          <w:spacing w:val="-1"/>
        </w:rPr>
        <w:t>设计架构的社区矫正管理平台、</w:t>
      </w:r>
      <w:r>
        <w:rPr>
          <w:rFonts w:ascii="Times New Roman" w:hAnsi="Times New Roman" w:cs="Times New Roman" w:eastAsia="Times New Roman" w:hint="default"/>
          <w:spacing w:val="-1"/>
        </w:rPr>
        <w:t>APP</w:t>
      </w:r>
      <w:r>
        <w:rPr>
          <w:spacing w:val="-1"/>
        </w:rPr>
        <w:t>，</w:t>
      </w:r>
      <w:r>
        <w:rPr/>
        <w:t> </w:t>
      </w:r>
      <w:r>
        <w:rPr>
          <w:spacing w:val="-2"/>
        </w:rPr>
        <w:t>以及跨部门大数据办案平台，解决了定位精度低、误报信息以及人机分离存在的安全隐患等问题，从而实现对社区矫正人员</w:t>
      </w:r>
    </w:p>
    <w:p>
      <w:pPr>
        <w:pStyle w:val="BodyText"/>
        <w:spacing w:line="448" w:lineRule="auto" w:before="79"/>
        <w:ind w:right="1123"/>
        <w:jc w:val="left"/>
      </w:pPr>
      <w:r>
        <w:rPr>
          <w:spacing w:val="-1"/>
        </w:rPr>
        <w:t>的轨迹跟踪和还原、线上教育等。报告期内，公司积极探索</w:t>
      </w:r>
      <w:r>
        <w:rPr>
          <w:rFonts w:ascii="Times New Roman" w:hAnsi="Times New Roman" w:cs="Times New Roman" w:eastAsia="Times New Roman" w:hint="default"/>
          <w:spacing w:val="-1"/>
        </w:rPr>
        <w:t>“UWB+”</w:t>
      </w:r>
      <w:r>
        <w:rPr>
          <w:spacing w:val="-1"/>
        </w:rPr>
        <w:t>在其他领域的应用，并在金融领域、核电领域和电力领</w:t>
      </w:r>
      <w:r>
        <w:rPr>
          <w:spacing w:val="-83"/>
        </w:rPr>
        <w:t> </w:t>
      </w:r>
      <w:r>
        <w:rPr>
          <w:spacing w:val="-83"/>
        </w:rPr>
      </w:r>
      <w:r>
        <w:rPr/>
        <w:t>域有相应的应用和落地。</w:t>
      </w:r>
    </w:p>
    <w:p>
      <w:pPr>
        <w:pStyle w:val="Heading3"/>
        <w:spacing w:line="240" w:lineRule="auto" w:before="53"/>
        <w:ind w:right="0"/>
        <w:jc w:val="left"/>
        <w:rPr>
          <w:b w:val="0"/>
          <w:bCs w:val="0"/>
        </w:rPr>
      </w:pPr>
      <w:r>
        <w:rPr>
          <w:rFonts w:ascii="宋体" w:hAnsi="宋体" w:cs="宋体" w:eastAsia="宋体" w:hint="default"/>
        </w:rPr>
        <w:t>3</w:t>
      </w:r>
      <w:r>
        <w:rPr/>
        <w:t>、公共安全大数据系列产品</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501" w:right="0"/>
        <w:jc w:val="left"/>
      </w:pPr>
      <w:r>
        <w:rPr/>
        <w:t>公司基于对公安刑侦、交警、高速公路稽查各执法部门的各项管理流程和业务流程需求的深刻理解，针对性地开发了</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65" w:lineRule="auto" w:before="44"/>
        <w:ind w:right="1029"/>
        <w:jc w:val="left"/>
      </w:pPr>
      <w:r>
        <w:rPr>
          <w:rFonts w:ascii="Times New Roman" w:hAnsi="Times New Roman" w:cs="Times New Roman" w:eastAsia="Times New Roman" w:hint="default"/>
          <w:spacing w:val="-2"/>
        </w:rPr>
        <w:t>e-Cars</w:t>
      </w:r>
      <w:r>
        <w:rPr>
          <w:spacing w:val="-2"/>
        </w:rPr>
        <w:t>车辆特征识别大数据分析系统、</w:t>
      </w:r>
      <w:r>
        <w:rPr>
          <w:rFonts w:ascii="Times New Roman" w:hAnsi="Times New Roman" w:cs="Times New Roman" w:eastAsia="Times New Roman" w:hint="default"/>
          <w:spacing w:val="-2"/>
        </w:rPr>
        <w:t>vcs</w:t>
      </w:r>
      <w:r>
        <w:rPr>
          <w:spacing w:val="-2"/>
        </w:rPr>
        <w:t>视频图像采集摘要对比器、公安视频图像信息库系统、高速公路防逃费稽查系统等</w:t>
      </w:r>
      <w:r>
        <w:rPr>
          <w:spacing w:val="-53"/>
        </w:rPr>
        <w:t> </w:t>
      </w:r>
      <w:r>
        <w:rPr>
          <w:spacing w:val="-53"/>
        </w:rPr>
      </w:r>
      <w:r>
        <w:rPr>
          <w:spacing w:val="-2"/>
        </w:rPr>
        <w:t>系列产品，目前该系列产品在很多省份都有广泛的应用。报告期内，随着高速公路省级收费站的取消，公司开发的高速公路</w:t>
      </w:r>
      <w:r>
        <w:rPr>
          <w:spacing w:val="-42"/>
        </w:rPr>
        <w:t> </w:t>
      </w:r>
      <w:r>
        <w:rPr>
          <w:spacing w:val="-42"/>
        </w:rPr>
      </w:r>
      <w:r>
        <w:rPr>
          <w:rFonts w:ascii="Times New Roman" w:hAnsi="Times New Roman" w:cs="Times New Roman" w:eastAsia="Times New Roman" w:hint="default"/>
          <w:spacing w:val="-1"/>
        </w:rPr>
        <w:t>ETC</w:t>
      </w:r>
      <w:r>
        <w:rPr>
          <w:spacing w:val="-1"/>
        </w:rPr>
        <w:t>防偷逃费系统能够有效地提升客户信息化稽查能力。同时，公司开发的多维大数据平台通过对人脸数据、人体数据、车</w:t>
      </w:r>
      <w:r>
        <w:rPr>
          <w:spacing w:val="-88"/>
        </w:rPr>
        <w:t> </w:t>
      </w:r>
      <w:r>
        <w:rPr>
          <w:spacing w:val="-88"/>
        </w:rPr>
      </w:r>
      <w:r>
        <w:rPr>
          <w:spacing w:val="-4"/>
        </w:rPr>
        <w:t>辆数据、事件数据等多维数据进行时间、空间上的碰撞，从而挖掘出特定人员或车辆的行踪轨迹，为公安刑侦提供数据线索，</w:t>
      </w:r>
      <w:r>
        <w:rPr>
          <w:spacing w:val="-50"/>
        </w:rPr>
        <w:t> </w:t>
      </w:r>
      <w:r>
        <w:rPr>
          <w:spacing w:val="-50"/>
        </w:rPr>
      </w:r>
      <w:r>
        <w:rPr/>
        <w:t>实现轨迹追踪和追逃跟踪。公司采取纵深开拓和横向扩展两个维度展开产品市场开发，纵深加强各省市县客户的开拓力度，</w:t>
      </w:r>
      <w:r>
        <w:rPr/>
        <w:t> 横向扩展与其他企业的合作，持续促进产品的培育和发展。</w:t>
      </w:r>
    </w:p>
    <w:p>
      <w:pPr>
        <w:pStyle w:val="BodyText"/>
        <w:spacing w:line="240" w:lineRule="auto" w:before="61"/>
        <w:ind w:left="441" w:right="0"/>
        <w:jc w:val="left"/>
      </w:pPr>
      <w:r>
        <w:rPr/>
        <w:t>报告期内公司客户所处行业相关的发展情况等，请详见第四节经营情况讨论与分析</w:t>
      </w:r>
      <w:r>
        <w:rPr>
          <w:rFonts w:ascii="Times New Roman" w:hAnsi="Times New Roman" w:cs="Times New Roman" w:eastAsia="Times New Roman" w:hint="default"/>
        </w:rPr>
        <w:t>/</w:t>
      </w:r>
      <w:r>
        <w:rPr/>
        <w:t>九、公司未来发展的展望。</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3"/>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88"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8"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vMerge w:val="restart"/>
            <w:tcBorders>
              <w:top w:val="single" w:sz="6" w:space="0" w:color="000000"/>
              <w:left w:val="single" w:sz="12" w:space="0" w:color="D2D2D2"/>
              <w:right w:val="single" w:sz="6" w:space="0" w:color="000000"/>
            </w:tcBorders>
          </w:tcPr>
          <w:p>
            <w:pPr>
              <w:pStyle w:val="TableParagraph"/>
              <w:spacing w:line="288" w:lineRule="auto" w:before="60"/>
              <w:ind w:left="22" w:right="74"/>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34,320,874.34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1.90%</w:t>
            </w:r>
            <w:r>
              <w:rPr>
                <w:rFonts w:ascii="宋体" w:hAnsi="宋体" w:cs="宋体" w:eastAsia="宋体" w:hint="default"/>
                <w:sz w:val="18"/>
                <w:szCs w:val="18"/>
              </w:rPr>
              <w:t>，比年初增 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32.10%</w:t>
            </w:r>
            <w:r>
              <w:rPr>
                <w:rFonts w:ascii="宋体" w:hAnsi="宋体" w:cs="宋体" w:eastAsia="宋体" w:hint="default"/>
                <w:sz w:val="18"/>
                <w:szCs w:val="18"/>
              </w:rPr>
              <w:t>，主要原因系报告期公司购买软件所致。</w:t>
            </w:r>
          </w:p>
        </w:tc>
      </w:tr>
      <w:tr>
        <w:trPr>
          <w:trHeight w:val="405"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vMerge/>
            <w:tcBorders>
              <w:left w:val="single" w:sz="12" w:space="0" w:color="D2D2D2"/>
              <w:right w:val="single" w:sz="6" w:space="0" w:color="000000"/>
            </w:tcBorders>
          </w:tcPr>
          <w:p>
            <w:pPr/>
          </w:p>
        </w:tc>
      </w:tr>
      <w:tr>
        <w:trPr>
          <w:trHeight w:val="15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vMerge/>
            <w:tcBorders>
              <w:left w:val="single" w:sz="12" w:space="0" w:color="D2D2D2"/>
              <w:bottom w:val="single" w:sz="6" w:space="0" w:color="000000"/>
              <w:right w:val="single" w:sz="6" w:space="0" w:color="000000"/>
            </w:tcBorders>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30" w:right="3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元，比年初下降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，主要原因系报告期公 司收回年初到期的银行理财产品本金及利息所致。</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30" w:right="28"/>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633,644,562.51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35.00%</w:t>
            </w:r>
            <w:r>
              <w:rPr>
                <w:rFonts w:ascii="宋体" w:hAnsi="宋体" w:cs="宋体" w:eastAsia="宋体" w:hint="default"/>
                <w:sz w:val="18"/>
                <w:szCs w:val="18"/>
              </w:rPr>
              <w:t>，比年初 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33.52%</w:t>
            </w:r>
            <w:r>
              <w:rPr>
                <w:rFonts w:ascii="宋体" w:hAnsi="宋体" w:cs="宋体" w:eastAsia="宋体" w:hint="default"/>
                <w:sz w:val="18"/>
                <w:szCs w:val="18"/>
              </w:rPr>
              <w:t>，主要原因系报告期销售回款较上年增长所致。</w:t>
            </w:r>
          </w:p>
        </w:tc>
      </w:tr>
      <w:tr>
        <w:trPr>
          <w:trHeight w:val="7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30" w:right="16"/>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年年末余额为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元，比年初下降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，主要原因系报告期应收银 行承兑汇票到期承兑所致。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5"/>
              <w:ind w:left="30" w:right="73"/>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12,352,085.91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0.68%</w:t>
            </w:r>
            <w:r>
              <w:rPr>
                <w:rFonts w:ascii="宋体" w:hAnsi="宋体" w:cs="宋体" w:eastAsia="宋体" w:hint="default"/>
                <w:sz w:val="18"/>
                <w:szCs w:val="18"/>
              </w:rPr>
              <w:t>，比年初 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32.86%</w:t>
            </w:r>
            <w:r>
              <w:rPr>
                <w:rFonts w:ascii="宋体" w:hAnsi="宋体" w:cs="宋体" w:eastAsia="宋体" w:hint="default"/>
                <w:sz w:val="18"/>
                <w:szCs w:val="18"/>
              </w:rPr>
              <w:t>，主要原因系应收押金保证金减少所致。</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30" w:right="74"/>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197,416,432.49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10.90%</w:t>
            </w:r>
            <w:r>
              <w:rPr>
                <w:rFonts w:ascii="宋体" w:hAnsi="宋体" w:cs="宋体" w:eastAsia="宋体" w:hint="default"/>
                <w:sz w:val="18"/>
                <w:szCs w:val="18"/>
              </w:rPr>
              <w:t>，比年初增长 </w:t>
            </w:r>
            <w:r>
              <w:rPr>
                <w:rFonts w:ascii="Times New Roman" w:hAnsi="Times New Roman" w:cs="Times New Roman" w:eastAsia="Times New Roman" w:hint="default"/>
                <w:sz w:val="18"/>
                <w:szCs w:val="18"/>
              </w:rPr>
              <w:t>30.44%</w:t>
            </w:r>
            <w:r>
              <w:rPr>
                <w:rFonts w:ascii="宋体" w:hAnsi="宋体" w:cs="宋体" w:eastAsia="宋体" w:hint="default"/>
                <w:sz w:val="18"/>
                <w:szCs w:val="18"/>
              </w:rPr>
              <w:t>，主要原因系公司项目备货增加所致。</w:t>
            </w:r>
          </w:p>
        </w:tc>
      </w:tr>
      <w:tr>
        <w:trPr>
          <w:trHeight w:val="10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30" w:right="7"/>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26,570,000.00 </w:t>
            </w:r>
            <w:r>
              <w:rPr>
                <w:rFonts w:ascii="宋体" w:hAnsi="宋体" w:cs="宋体" w:eastAsia="宋体" w:hint="default"/>
                <w:sz w:val="18"/>
                <w:szCs w:val="18"/>
              </w:rPr>
              <w:t>元，比年初增长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47.61% </w:t>
            </w:r>
            <w:r>
              <w:rPr>
                <w:rFonts w:ascii="宋体" w:hAnsi="宋体" w:cs="宋体" w:eastAsia="宋体" w:hint="default"/>
                <w:sz w:val="18"/>
                <w:szCs w:val="18"/>
              </w:rPr>
              <w:t>， 主要原因系子公司西藏浩云投资宁波清科嘉豪和嘉投资管理合伙企业（有限合伙）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万元所致。</w:t>
            </w:r>
          </w:p>
        </w:tc>
      </w:tr>
      <w:tr>
        <w:trPr>
          <w:trHeight w:val="133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34"/>
              <w:jc w:val="both"/>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28,323,880.81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1.56%</w:t>
            </w:r>
            <w:r>
              <w:rPr>
                <w:rFonts w:ascii="宋体" w:hAnsi="宋体" w:cs="宋体" w:eastAsia="宋体" w:hint="default"/>
                <w:sz w:val="18"/>
                <w:szCs w:val="18"/>
              </w:rPr>
              <w:t>，比年初增 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412.15%</w:t>
            </w:r>
            <w:r>
              <w:rPr>
                <w:rFonts w:ascii="宋体" w:hAnsi="宋体" w:cs="宋体" w:eastAsia="宋体" w:hint="default"/>
                <w:sz w:val="18"/>
                <w:szCs w:val="18"/>
              </w:rPr>
              <w:t>，主要原因系与年初相比，报告期公司增加了对研发项目软件定义物联 网应用平台开发阶段的支出，并新增了对研发项目物联网智慧管理平台（</w:t>
            </w: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sz w:val="18"/>
                <w:szCs w:val="18"/>
              </w:rPr>
              <w:t>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移动端开发阶段的支出。</w:t>
            </w:r>
          </w:p>
        </w:tc>
      </w:tr>
    </w:tbl>
    <w:p>
      <w:pPr>
        <w:spacing w:after="0" w:line="297" w:lineRule="auto"/>
        <w:jc w:val="both"/>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147"/>
        <w:jc w:val="right"/>
      </w:pPr>
      <w:r>
        <w:rPr/>
        <w:pict>
          <v:shape style="position:absolute;margin-left:56.325001pt;margin-top:-70.528275pt;width:480.25pt;height:154.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6533"/>
                  </w:tblGrid>
                  <w:tr>
                    <w:trPr>
                      <w:trHeight w:val="10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30" w:right="13"/>
                          <w:jc w:val="both"/>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年年末余额为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3,398,337.90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元，占总资产比重为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0.19%</w:t>
                        </w:r>
                        <w:r>
                          <w:rPr>
                            <w:rFonts w:ascii="宋体" w:hAnsi="宋体" w:cs="宋体" w:eastAsia="宋体" w:hint="default"/>
                            <w:sz w:val="18"/>
                            <w:szCs w:val="18"/>
                          </w:rPr>
                          <w:t>，比年初 增长</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56.56%</w:t>
                        </w:r>
                        <w:r>
                          <w:rPr>
                            <w:rFonts w:ascii="宋体" w:hAnsi="宋体" w:cs="宋体" w:eastAsia="宋体" w:hint="default"/>
                            <w:spacing w:val="-3"/>
                            <w:sz w:val="18"/>
                            <w:szCs w:val="18"/>
                          </w:rPr>
                          <w:t>，主要原因系报告期子公司深圳市润安科技发展有限公司装修新办公室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所致。</w:t>
                        </w:r>
                      </w:p>
                    </w:tc>
                  </w:tr>
                  <w:tr>
                    <w:trPr>
                      <w:trHeight w:val="135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30" w:right="73"/>
                          <w:jc w:val="both"/>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20,559,706.97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1.14%</w:t>
                        </w:r>
                        <w:r>
                          <w:rPr>
                            <w:rFonts w:ascii="宋体" w:hAnsi="宋体" w:cs="宋体" w:eastAsia="宋体" w:hint="default"/>
                            <w:sz w:val="18"/>
                            <w:szCs w:val="18"/>
                          </w:rPr>
                          <w:t>，比 年初增长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132.50%</w:t>
                        </w:r>
                        <w:r>
                          <w:rPr>
                            <w:rFonts w:ascii="宋体" w:hAnsi="宋体" w:cs="宋体" w:eastAsia="宋体" w:hint="default"/>
                            <w:spacing w:val="-3"/>
                            <w:sz w:val="18"/>
                            <w:szCs w:val="18"/>
                          </w:rPr>
                          <w:t>，主要原因系报告期应收账款坏账准备增加，存货跌价准备增加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股权激励费用增加所形成的递延所得税资产相应增加以及内部销售未实现损益确</w:t>
                        </w:r>
                      </w:p>
                      <w:p>
                        <w:pPr>
                          <w:pStyle w:val="TableParagraph"/>
                          <w:spacing w:line="240" w:lineRule="auto" w:before="41"/>
                          <w:ind w:left="30" w:right="0"/>
                          <w:jc w:val="both"/>
                          <w:rPr>
                            <w:rFonts w:ascii="宋体" w:hAnsi="宋体" w:cs="宋体" w:eastAsia="宋体" w:hint="default"/>
                            <w:sz w:val="18"/>
                            <w:szCs w:val="18"/>
                          </w:rPr>
                        </w:pPr>
                        <w:r>
                          <w:rPr>
                            <w:rFonts w:ascii="宋体" w:hAnsi="宋体" w:cs="宋体" w:eastAsia="宋体" w:hint="default"/>
                            <w:sz w:val="18"/>
                            <w:szCs w:val="18"/>
                          </w:rPr>
                          <w:t>认递延所得税资产所致。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73"/>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年年末余额为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元，占总资产比重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，比年 初增长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1,724.65%</w:t>
                        </w:r>
                        <w:r>
                          <w:rPr>
                            <w:rFonts w:ascii="宋体" w:hAnsi="宋体" w:cs="宋体" w:eastAsia="宋体" w:hint="default"/>
                            <w:sz w:val="18"/>
                            <w:szCs w:val="18"/>
                          </w:rPr>
                          <w:t>，主要原因系公司预付的购买软件款项所致。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right="0"/>
        <w:jc w:val="left"/>
      </w:pPr>
      <w:r>
        <w:rPr/>
        <w:t>报告期内，公司核心竞争力未发生重要变化，公司主要核心竞争力主要体现在以下几方面：</w:t>
      </w:r>
    </w:p>
    <w:p>
      <w:pPr>
        <w:spacing w:line="240" w:lineRule="auto" w:before="2"/>
        <w:rPr>
          <w:rFonts w:ascii="宋体" w:hAnsi="宋体" w:cs="宋体" w:eastAsia="宋体" w:hint="default"/>
          <w:sz w:val="17"/>
          <w:szCs w:val="17"/>
        </w:rPr>
      </w:pPr>
    </w:p>
    <w:p>
      <w:pPr>
        <w:pStyle w:val="Heading3"/>
        <w:spacing w:line="240" w:lineRule="auto"/>
        <w:ind w:left="231" w:right="0"/>
        <w:jc w:val="left"/>
        <w:rPr>
          <w:b w:val="0"/>
          <w:bCs w:val="0"/>
        </w:rPr>
      </w:pPr>
      <w:r>
        <w:rPr>
          <w:rFonts w:ascii="Times New Roman" w:hAnsi="Times New Roman" w:cs="Times New Roman" w:eastAsia="Times New Roman" w:hint="default"/>
        </w:rPr>
        <w:t>1</w:t>
      </w:r>
      <w:r>
        <w:rPr/>
        <w:t>、研发和技术团队优势</w:t>
      </w:r>
      <w:r>
        <w:rPr>
          <w:b w:val="0"/>
          <w:bCs w:val="0"/>
        </w:rPr>
      </w:r>
    </w:p>
    <w:p>
      <w:pPr>
        <w:pStyle w:val="BodyText"/>
        <w:spacing w:line="460" w:lineRule="auto" w:before="194"/>
        <w:ind w:right="1120" w:firstLine="360"/>
        <w:jc w:val="both"/>
      </w:pPr>
      <w:r>
        <w:rPr>
          <w:spacing w:val="-2"/>
        </w:rPr>
        <w:t>公司一贯重视技术创新，通过不断积累关键技术能力，布局前沿技术，保持技术优势。报告期内，公司研发投入总额为</w:t>
      </w:r>
      <w:r>
        <w:rPr/>
        <w:t> </w:t>
      </w:r>
      <w:r>
        <w:rPr>
          <w:rFonts w:ascii="Times New Roman" w:hAnsi="Times New Roman" w:cs="Times New Roman" w:eastAsia="Times New Roman" w:hint="default"/>
        </w:rPr>
        <w:t>6,910.46</w:t>
      </w:r>
      <w:r>
        <w:rPr/>
        <w:t>万元，占营业收入比例为</w:t>
      </w:r>
      <w:r>
        <w:rPr>
          <w:rFonts w:ascii="Times New Roman" w:hAnsi="Times New Roman" w:cs="Times New Roman" w:eastAsia="Times New Roman" w:hint="default"/>
        </w:rPr>
        <w:t>8.81%%</w:t>
      </w:r>
      <w:r>
        <w:rPr/>
        <w:t>，</w:t>
      </w:r>
      <w:r>
        <w:rPr>
          <w:spacing w:val="-13"/>
        </w:rPr>
        <w:t> </w:t>
      </w:r>
      <w:r>
        <w:rPr/>
        <w:t>同比增长</w:t>
      </w:r>
      <w:r>
        <w:rPr>
          <w:rFonts w:ascii="Times New Roman" w:hAnsi="Times New Roman" w:cs="Times New Roman" w:eastAsia="Times New Roman" w:hint="default"/>
        </w:rPr>
        <w:t>42.82%</w:t>
      </w:r>
      <w:r>
        <w:rPr/>
        <w:t>。报告期内，公司继续坚持在区块链、物联网、大数据技术、 </w:t>
      </w:r>
      <w:r>
        <w:rPr>
          <w:rFonts w:ascii="宋体" w:hAnsi="宋体" w:cs="宋体" w:eastAsia="宋体" w:hint="default"/>
        </w:rPr>
        <w:t>UWB</w:t>
      </w:r>
      <w:r>
        <w:rPr/>
        <w:t>技术和人工智能等战略技术领域加大投入。</w:t>
      </w:r>
    </w:p>
    <w:p>
      <w:pPr>
        <w:pStyle w:val="BodyText"/>
        <w:spacing w:line="477" w:lineRule="auto" w:before="64"/>
        <w:ind w:right="0" w:firstLine="360"/>
        <w:jc w:val="left"/>
      </w:pPr>
      <w:r>
        <w:rPr>
          <w:spacing w:val="-2"/>
        </w:rPr>
        <w:t>公司与广州大学共建公共安全智能联合实验室，合力共研区块链、大数据、智慧物联网平台、智慧楼宇安全、智慧城市</w:t>
      </w:r>
      <w:r>
        <w:rPr/>
        <w:t> </w:t>
      </w:r>
      <w:r>
        <w:rPr>
          <w:spacing w:val="-2"/>
        </w:rPr>
        <w:t>安全和物联网安全等核心技术及应用。公司控股子公司冠网科技凭借自身领先的车辆识别和车辆大数据技术跻身视频图像智</w:t>
      </w:r>
      <w:r>
        <w:rPr>
          <w:spacing w:val="-53"/>
        </w:rPr>
        <w:t> </w:t>
      </w:r>
      <w:r>
        <w:rPr>
          <w:spacing w:val="-53"/>
        </w:rPr>
      </w:r>
      <w:r>
        <w:rPr>
          <w:spacing w:val="-2"/>
        </w:rPr>
        <w:t>能分析与应用技术公安部重点实验室成员单位，该实验室亦是视频图像信息智能分析与共享应用技术国家工程实验室成员单</w:t>
      </w:r>
      <w:r>
        <w:rPr>
          <w:spacing w:val="-58"/>
        </w:rPr>
        <w:t> </w:t>
      </w:r>
      <w:r>
        <w:rPr>
          <w:spacing w:val="-58"/>
        </w:rPr>
      </w:r>
      <w:r>
        <w:rPr/>
        <w:t>位，公司技术研发方向及研发实力得到有效保障。公司控股子公司润安科技是基于</w:t>
      </w:r>
      <w:r>
        <w:rPr>
          <w:rFonts w:ascii="宋体" w:hAnsi="宋体" w:cs="宋体" w:eastAsia="宋体" w:hint="default"/>
        </w:rPr>
        <w:t>UWB</w:t>
      </w:r>
      <w:r>
        <w:rPr/>
        <w:t>精准位置服务的互联网</w:t>
      </w:r>
      <w:r>
        <w:rPr>
          <w:rFonts w:ascii="宋体" w:hAnsi="宋体" w:cs="宋体" w:eastAsia="宋体" w:hint="default"/>
        </w:rPr>
        <w:t>+</w:t>
      </w:r>
      <w:r>
        <w:rPr/>
        <w:t>物联网</w:t>
      </w:r>
      <w:r>
        <w:rPr>
          <w:rFonts w:ascii="宋体" w:hAnsi="宋体" w:cs="宋体" w:eastAsia="宋体" w:hint="default"/>
        </w:rPr>
        <w:t>+</w:t>
      </w:r>
      <w:r>
        <w:rPr/>
        <w:t>大数</w:t>
      </w:r>
      <w:r>
        <w:rPr>
          <w:spacing w:val="-80"/>
        </w:rPr>
        <w:t> </w:t>
      </w:r>
      <w:r>
        <w:rPr>
          <w:spacing w:val="-2"/>
        </w:rPr>
        <w:t>据整体解决方案提供商，是广东省司法行政科技协同创新中心成员单位，拥有完全独立自主的高精度定位等核心技术，承担</w:t>
      </w:r>
      <w:r>
        <w:rPr>
          <w:spacing w:val="-75"/>
        </w:rPr>
        <w:t> </w:t>
      </w:r>
      <w:r>
        <w:rPr>
          <w:spacing w:val="-75"/>
        </w:rPr>
      </w:r>
      <w:r>
        <w:rPr>
          <w:spacing w:val="-4"/>
        </w:rPr>
        <w:t>了多项国家及省市级科研课题，并受邀参与多项行业标准的制定。此外，公司控股设立了孙公司湖南久视智能科技有限公司，</w:t>
      </w:r>
      <w:r>
        <w:rPr>
          <w:spacing w:val="-50"/>
        </w:rPr>
        <w:t> </w:t>
      </w:r>
      <w:r>
        <w:rPr>
          <w:spacing w:val="-50"/>
        </w:rPr>
      </w:r>
      <w:r>
        <w:rPr>
          <w:spacing w:val="-2"/>
        </w:rPr>
        <w:t>结合国防科技大学、汕头大学博士科研团队，共研人工智能算法、人员多场景检测、异常人脸识别、车辆视频结构化等尖端</w:t>
      </w:r>
      <w:r>
        <w:rPr>
          <w:spacing w:val="-56"/>
        </w:rPr>
        <w:t> </w:t>
      </w:r>
      <w:r>
        <w:rPr>
          <w:spacing w:val="-56"/>
        </w:rPr>
      </w:r>
      <w:r>
        <w:rPr>
          <w:spacing w:val="-2"/>
        </w:rPr>
        <w:t>计算视觉技术以及开展物联网操控类语音语义专项技术攻关。同时，公司研发和技术团队由行业专家龙中胜先生领军，公司</w:t>
      </w:r>
    </w:p>
    <w:p>
      <w:pPr>
        <w:pStyle w:val="BodyText"/>
        <w:spacing w:line="448" w:lineRule="auto" w:before="51"/>
        <w:ind w:right="1119"/>
        <w:jc w:val="left"/>
      </w:pPr>
      <w:r>
        <w:rPr>
          <w:rFonts w:ascii="宋体" w:hAnsi="宋体" w:cs="宋体" w:eastAsia="宋体" w:hint="default"/>
        </w:rPr>
        <w:t>UWB</w:t>
      </w:r>
      <w:r>
        <w:rPr/>
        <w:t>技术、</w:t>
      </w:r>
      <w:r>
        <w:rPr>
          <w:rFonts w:ascii="Times New Roman" w:hAnsi="Times New Roman" w:cs="Times New Roman" w:eastAsia="Times New Roman" w:hint="default"/>
        </w:rPr>
        <w:t>CTO</w:t>
      </w:r>
      <w:r>
        <w:rPr/>
        <w:t>、区块链、物联网、算法、大数据、人工智能、云计算、低代码开发大型平台软件等研发均由博士担纲，各</w:t>
      </w:r>
      <w:r>
        <w:rPr>
          <w:spacing w:val="-77"/>
        </w:rPr>
        <w:t> </w:t>
      </w:r>
      <w:r>
        <w:rPr/>
        <w:t>领域高精尖技术人才组成联合研发团队，合力为公司发展提供坚实技术后盾。</w:t>
      </w:r>
    </w:p>
    <w:p>
      <w:pPr>
        <w:pStyle w:val="Heading3"/>
        <w:spacing w:line="240" w:lineRule="auto" w:before="53"/>
        <w:ind w:right="0"/>
        <w:jc w:val="left"/>
        <w:rPr>
          <w:b w:val="0"/>
          <w:bCs w:val="0"/>
        </w:rPr>
      </w:pPr>
      <w:r>
        <w:rPr>
          <w:rFonts w:ascii="Times New Roman" w:hAnsi="Times New Roman" w:cs="Times New Roman" w:eastAsia="Times New Roman" w:hint="default"/>
        </w:rPr>
        <w:t>2</w:t>
      </w:r>
      <w:r>
        <w:rPr/>
        <w:t>、产品优势</w:t>
      </w:r>
      <w:r>
        <w:rPr>
          <w:b w:val="0"/>
          <w:bCs w:val="0"/>
        </w:rPr>
      </w:r>
    </w:p>
    <w:p>
      <w:pPr>
        <w:spacing w:line="240" w:lineRule="auto" w:before="0"/>
        <w:rPr>
          <w:rFonts w:ascii="宋体" w:hAnsi="宋体" w:cs="宋体" w:eastAsia="宋体" w:hint="default"/>
          <w:b/>
          <w:bCs/>
          <w:sz w:val="16"/>
          <w:szCs w:val="16"/>
        </w:rPr>
      </w:pPr>
    </w:p>
    <w:p>
      <w:pPr>
        <w:pStyle w:val="BodyText"/>
        <w:spacing w:line="240" w:lineRule="auto"/>
        <w:ind w:left="501" w:right="0"/>
        <w:jc w:val="left"/>
      </w:pPr>
      <w:r>
        <w:rPr/>
        <w:t>公司打造的智慧物联网数据平台</w:t>
      </w:r>
      <w:r>
        <w:rPr>
          <w:rFonts w:ascii="Times New Roman" w:hAnsi="Times New Roman" w:cs="Times New Roman" w:eastAsia="Times New Roman" w:hint="default"/>
        </w:rPr>
        <w:t>4.0</w:t>
      </w:r>
      <w:r>
        <w:rPr/>
        <w:t>是基于工业</w:t>
      </w:r>
      <w:r>
        <w:rPr>
          <w:rFonts w:ascii="Times New Roman" w:hAnsi="Times New Roman" w:cs="Times New Roman" w:eastAsia="Times New Roman" w:hint="default"/>
        </w:rPr>
        <w:t>4.0</w:t>
      </w:r>
      <w:r>
        <w:rPr/>
        <w:t>思想并糅合了平台工具技术、人工智能技术以及大数据技术的低代码</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1136"/>
        <w:jc w:val="both"/>
      </w:pPr>
      <w:r>
        <w:rPr>
          <w:spacing w:val="-2"/>
        </w:rPr>
        <w:t>平台，其核心优势在于轻开发、柔性定制、敏捷生产、迅速实施且快速实现、研发时间及成本大幅度减少，同时可实现数据</w:t>
      </w:r>
      <w:r>
        <w:rPr>
          <w:spacing w:val="-72"/>
        </w:rPr>
        <w:t> </w:t>
      </w:r>
      <w:r>
        <w:rPr>
          <w:spacing w:val="-72"/>
        </w:rPr>
      </w:r>
      <w:r>
        <w:rPr>
          <w:spacing w:val="-2"/>
        </w:rPr>
        <w:t>价值挖掘、低代码开发等功能，有效打通物联操控、流程化管理和业务联通，能为客户提供更尖端、更柔性、全面物联、智</w:t>
      </w:r>
      <w:r>
        <w:rPr>
          <w:spacing w:val="-73"/>
        </w:rPr>
        <w:t> </w:t>
      </w:r>
      <w:r>
        <w:rPr>
          <w:spacing w:val="-73"/>
        </w:rPr>
      </w:r>
      <w:r>
        <w:rPr/>
        <w:t>慧管理的综合服务。</w:t>
      </w:r>
    </w:p>
    <w:p>
      <w:pPr>
        <w:pStyle w:val="BodyText"/>
        <w:spacing w:line="448" w:lineRule="auto" w:before="68"/>
        <w:ind w:right="1166" w:firstLine="360"/>
        <w:jc w:val="both"/>
      </w:pPr>
      <w:r>
        <w:rPr/>
        <w:t>公司</w:t>
      </w:r>
      <w:r>
        <w:rPr>
          <w:rFonts w:ascii="Times New Roman" w:hAnsi="Times New Roman" w:cs="Times New Roman" w:eastAsia="Times New Roman" w:hint="default"/>
        </w:rPr>
        <w:t>UWB</w:t>
      </w:r>
      <w:r>
        <w:rPr/>
        <w:t>系列智能终端产品及智慧管理软件平台系列产品在定位精准度、超低功耗设计、大规模组网、立体跨楼层定 位、防止信号漂移、平台数据融合应用、物联操控融合业务流程及项目推广等方面均有着突出优势。</w:t>
      </w:r>
    </w:p>
    <w:p>
      <w:pPr>
        <w:pStyle w:val="BodyText"/>
        <w:spacing w:line="460" w:lineRule="auto" w:before="73"/>
        <w:ind w:right="1126" w:firstLine="360"/>
        <w:jc w:val="both"/>
      </w:pPr>
      <w:r>
        <w:rPr>
          <w:spacing w:val="-1"/>
        </w:rPr>
        <w:t>公司打造的多维大数据平台则糅合了平安城市、雪亮工程、人脸识别平台、车辆大数据平台、</w:t>
      </w:r>
      <w:r>
        <w:rPr>
          <w:rFonts w:ascii="Times New Roman" w:hAnsi="Times New Roman" w:cs="Times New Roman" w:eastAsia="Times New Roman" w:hint="default"/>
          <w:spacing w:val="-1"/>
        </w:rPr>
        <w:t>9+X</w:t>
      </w:r>
      <w:r>
        <w:rPr>
          <w:spacing w:val="-1"/>
        </w:rPr>
        <w:t>综合治理平台等多个</w:t>
      </w:r>
      <w:r>
        <w:rPr/>
        <w:t> </w:t>
      </w:r>
      <w:r>
        <w:rPr>
          <w:spacing w:val="-2"/>
        </w:rPr>
        <w:t>平台，将各平台的数据做在同一个数据平台上，汇集不同平台的数据可实现有针对性的整合成完整的数据证据链等功能，能</w:t>
      </w:r>
      <w:r>
        <w:rPr>
          <w:spacing w:val="-75"/>
        </w:rPr>
        <w:t> </w:t>
      </w:r>
      <w:r>
        <w:rPr>
          <w:spacing w:val="-75"/>
        </w:rPr>
      </w:r>
      <w:r>
        <w:rPr/>
        <w:t>够实现数据应用价值的最大化。</w:t>
      </w:r>
    </w:p>
    <w:p>
      <w:pPr>
        <w:pStyle w:val="Heading3"/>
        <w:spacing w:line="240" w:lineRule="auto" w:before="59"/>
        <w:ind w:right="0"/>
        <w:jc w:val="both"/>
        <w:rPr>
          <w:b w:val="0"/>
          <w:bCs w:val="0"/>
        </w:rPr>
      </w:pPr>
      <w:r>
        <w:rPr>
          <w:rFonts w:ascii="Times New Roman" w:hAnsi="Times New Roman" w:cs="Times New Roman" w:eastAsia="Times New Roman" w:hint="default"/>
        </w:rPr>
        <w:t>3</w:t>
      </w:r>
      <w:r>
        <w:rPr/>
        <w:t>、对行业和客户需求理解及响应能力优势</w:t>
      </w:r>
      <w:r>
        <w:rPr>
          <w:b w:val="0"/>
          <w:bCs w:val="0"/>
        </w:rPr>
      </w:r>
    </w:p>
    <w:p>
      <w:pPr>
        <w:pStyle w:val="BodyText"/>
        <w:spacing w:line="475" w:lineRule="auto" w:before="194"/>
        <w:ind w:right="1029" w:firstLine="360"/>
        <w:jc w:val="left"/>
      </w:pPr>
      <w:r>
        <w:rPr/>
        <w:t>依托深耕公共安全、智慧司法和金融物联领域多年的经验积累和技术沉淀，公司已建立以客户为中心的产品研发能力， </w:t>
      </w:r>
      <w:r>
        <w:rPr>
          <w:spacing w:val="-2"/>
        </w:rPr>
        <w:t>通过深入理解和分析客户业务，能够灵敏、快速的识别和挖掘客户的个性化需求，从而快速定制开发出一系列满足客户专业</w:t>
      </w:r>
      <w:r>
        <w:rPr>
          <w:spacing w:val="-75"/>
        </w:rPr>
        <w:t> </w:t>
      </w:r>
      <w:r>
        <w:rPr>
          <w:spacing w:val="-75"/>
        </w:rPr>
      </w:r>
      <w:r>
        <w:rPr/>
        <w:t>细致的差异化需求并切实解决客户痛点的软硬件产品。</w:t>
      </w:r>
    </w:p>
    <w:p>
      <w:pPr>
        <w:pStyle w:val="BodyText"/>
        <w:spacing w:line="470" w:lineRule="auto" w:before="53"/>
        <w:ind w:right="1038" w:firstLine="360"/>
        <w:jc w:val="both"/>
      </w:pPr>
      <w:r>
        <w:rPr>
          <w:spacing w:val="-3"/>
          <w:w w:val="99"/>
        </w:rPr>
        <w:t>在智慧司法领域，公司控股子公司润安科技凭借其数十年的行业积累，在深刻认识客户需求的基础上研发的超宽带</w:t>
      </w:r>
      <w:r>
        <w:rPr>
          <w:rFonts w:ascii="Times New Roman" w:hAnsi="Times New Roman" w:cs="Times New Roman" w:eastAsia="Times New Roman" w:hint="default"/>
          <w:spacing w:val="-3"/>
          <w:w w:val="99"/>
        </w:rPr>
        <w:t>UWB</w:t>
      </w:r>
      <w:r>
        <w:rPr>
          <w:rFonts w:ascii="Times New Roman" w:hAnsi="Times New Roman" w:cs="Times New Roman" w:eastAsia="Times New Roman" w:hint="default"/>
        </w:rPr>
        <w:t> </w:t>
      </w:r>
      <w:r>
        <w:rPr>
          <w:spacing w:val="-2"/>
        </w:rPr>
        <w:t>高精度定位技术、腕表超长续航技术、大规模组网技术、防边界信号漂移技术、电子围栏技术、位置轨迹大数据分析等技术</w:t>
      </w:r>
      <w:r>
        <w:rPr>
          <w:spacing w:val="-57"/>
        </w:rPr>
        <w:t> </w:t>
      </w:r>
      <w:r>
        <w:rPr>
          <w:spacing w:val="-57"/>
        </w:rPr>
      </w:r>
      <w:r>
        <w:rPr>
          <w:spacing w:val="-2"/>
        </w:rPr>
        <w:t>和产品具有较为领先的优势，并以前述技术为核心，针对智慧监狱、智慧社矫、智慧戒毒、核电、医院等不同行业客户场景</w:t>
      </w:r>
      <w:r>
        <w:rPr>
          <w:spacing w:val="-69"/>
        </w:rPr>
        <w:t> </w:t>
      </w:r>
      <w:r>
        <w:rPr>
          <w:spacing w:val="-69"/>
        </w:rPr>
      </w:r>
      <w:r>
        <w:rPr/>
        <w:t>需求的差异，对综合解决方案进行调整、改造，以客户需求为导向打造专属其应用场景的“</w:t>
      </w:r>
      <w:r>
        <w:rPr>
          <w:rFonts w:ascii="宋体" w:hAnsi="宋体" w:cs="宋体" w:eastAsia="宋体" w:hint="default"/>
        </w:rPr>
        <w:t>UWB+</w:t>
      </w:r>
      <w:r>
        <w:rPr/>
        <w:t>物联网大数据”解决方案。</w:t>
      </w:r>
    </w:p>
    <w:p>
      <w:pPr>
        <w:pStyle w:val="BodyText"/>
        <w:spacing w:line="460" w:lineRule="auto" w:before="57"/>
        <w:ind w:right="1029" w:firstLine="360"/>
        <w:jc w:val="left"/>
      </w:pPr>
      <w:r>
        <w:rPr/>
        <w:t>在金融物联领域，行业整体需求升级明显，除对金融安防的需求外，公司进一步发掘了银行等金融机构对于智慧物联、 安保运营、智慧运营及风险控制等物联及业务管理方面的需求，并创造性的开发了智慧物联网数据平台</w:t>
      </w:r>
      <w:r>
        <w:rPr>
          <w:rFonts w:ascii="Times New Roman" w:hAnsi="Times New Roman" w:cs="Times New Roman" w:eastAsia="Times New Roman" w:hint="default"/>
        </w:rPr>
        <w:t>4.0</w:t>
      </w:r>
      <w:r>
        <w:rPr/>
        <w:t>，以实现对前述</w:t>
      </w:r>
      <w:r>
        <w:rPr>
          <w:spacing w:val="-81"/>
        </w:rPr>
        <w:t> </w:t>
      </w:r>
      <w:r>
        <w:rPr>
          <w:spacing w:val="-2"/>
        </w:rPr>
        <w:t>新需求的快速响应。例如，公司对银行机构在金库的精准管理需求方面针对性的开发了“</w:t>
      </w:r>
      <w:r>
        <w:rPr>
          <w:rFonts w:ascii="Times New Roman" w:hAnsi="Times New Roman" w:cs="Times New Roman" w:eastAsia="Times New Roman" w:hint="default"/>
          <w:spacing w:val="-2"/>
        </w:rPr>
        <w:t>UWB+</w:t>
      </w:r>
      <w:r>
        <w:rPr>
          <w:spacing w:val="-2"/>
        </w:rPr>
        <w:t>智慧物联”的解决方案，解</w:t>
      </w:r>
      <w:r>
        <w:rPr>
          <w:spacing w:val="-45"/>
        </w:rPr>
        <w:t> </w:t>
      </w:r>
      <w:r>
        <w:rPr>
          <w:spacing w:val="-45"/>
        </w:rPr>
      </w:r>
      <w:r>
        <w:rPr/>
        <w:t>决了视频监控等传统监控方式无法解决的实时监控等问题。</w:t>
      </w:r>
    </w:p>
    <w:p>
      <w:pPr>
        <w:pStyle w:val="BodyText"/>
        <w:spacing w:line="480" w:lineRule="auto" w:before="64"/>
        <w:ind w:right="1106" w:firstLine="360"/>
        <w:jc w:val="both"/>
      </w:pPr>
      <w:r>
        <w:rPr>
          <w:spacing w:val="-2"/>
        </w:rPr>
        <w:t>在公共安全领域，公司考虑到应用场景涉及人脸数据、车辆数据、事件数据、平安城市数据、雪亮工程数据等多维数据</w:t>
      </w:r>
      <w:r>
        <w:rPr/>
        <w:t> </w:t>
      </w:r>
      <w:r>
        <w:rPr>
          <w:spacing w:val="-2"/>
        </w:rPr>
        <w:t>的现状，打造了多维大数据平台，以实现多维数据的有效融合，可为客户提供完整的数据信息及证据；公司还下沉到各具体</w:t>
      </w:r>
      <w:r>
        <w:rPr>
          <w:spacing w:val="-42"/>
        </w:rPr>
        <w:t> </w:t>
      </w:r>
      <w:r>
        <w:rPr>
          <w:spacing w:val="-42"/>
        </w:rPr>
      </w:r>
      <w:r>
        <w:rPr>
          <w:spacing w:val="-2"/>
        </w:rPr>
        <w:t>业务场景针对性的打造专属产品及解决方案，如针对高速公路防逃费等现实需求打造了高速公路防逃费稽查系统等。对行业</w:t>
      </w:r>
      <w:r>
        <w:rPr>
          <w:spacing w:val="-61"/>
        </w:rPr>
        <w:t> </w:t>
      </w:r>
      <w:r>
        <w:rPr>
          <w:spacing w:val="-61"/>
        </w:rPr>
      </w:r>
      <w:r>
        <w:rPr/>
        <w:t>和客户的深刻理解使得公司在对应的主营业务领域具有较为明显的先发优势。</w:t>
      </w:r>
    </w:p>
    <w:p>
      <w:pPr>
        <w:pStyle w:val="BodyText"/>
        <w:spacing w:line="465" w:lineRule="auto" w:before="50"/>
        <w:ind w:right="1120" w:firstLine="360"/>
        <w:jc w:val="both"/>
      </w:pPr>
      <w:r>
        <w:rPr>
          <w:spacing w:val="-2"/>
        </w:rPr>
        <w:t>同时，公司立足广东，构建以总部为核心，辐射全国的服务和运营网络，不断扩充全国服务及营运网点，优化终端服务</w:t>
      </w:r>
      <w:r>
        <w:rPr/>
        <w:t> </w:t>
      </w:r>
      <w:r>
        <w:rPr>
          <w:spacing w:val="-2"/>
        </w:rPr>
        <w:t>功能。目前公司已在全国设立了</w:t>
      </w:r>
      <w:r>
        <w:rPr>
          <w:rFonts w:ascii="Times New Roman" w:hAnsi="Times New Roman" w:cs="Times New Roman" w:eastAsia="Times New Roman" w:hint="default"/>
          <w:spacing w:val="-2"/>
        </w:rPr>
        <w:t>30</w:t>
      </w:r>
      <w:r>
        <w:rPr>
          <w:spacing w:val="-2"/>
        </w:rPr>
        <w:t>家分公司，拥有一支营销能力较强的市场开拓队伍和服务意识强烈的客户服务队伍，贴近</w:t>
      </w:r>
      <w:r>
        <w:rPr>
          <w:spacing w:val="-70"/>
        </w:rPr>
        <w:t> </w:t>
      </w:r>
      <w:r>
        <w:rPr>
          <w:spacing w:val="-70"/>
        </w:rPr>
      </w:r>
      <w:r>
        <w:rPr>
          <w:spacing w:val="-2"/>
        </w:rPr>
        <w:t>客户群体，能及时响应客户的需求，具备针对不同的客户群体的不同需求提供高效优质的整体解决方案和专业的运营服务的</w:t>
      </w:r>
      <w:r>
        <w:rPr>
          <w:spacing w:val="-72"/>
        </w:rPr>
        <w:t> </w:t>
      </w:r>
      <w:r>
        <w:rPr>
          <w:spacing w:val="-72"/>
        </w:rPr>
      </w:r>
      <w:r>
        <w:rPr/>
        <w:t>显著优势。</w:t>
      </w:r>
    </w:p>
    <w:p>
      <w:pPr>
        <w:pStyle w:val="Heading3"/>
        <w:spacing w:line="240" w:lineRule="auto" w:before="55"/>
        <w:ind w:right="0"/>
        <w:jc w:val="both"/>
        <w:rPr>
          <w:b w:val="0"/>
          <w:bCs w:val="0"/>
        </w:rPr>
      </w:pPr>
      <w:r>
        <w:rPr>
          <w:rFonts w:ascii="Times New Roman" w:hAnsi="Times New Roman" w:cs="Times New Roman" w:eastAsia="Times New Roman" w:hint="default"/>
        </w:rPr>
        <w:t>4</w:t>
      </w:r>
      <w:r>
        <w:rPr/>
        <w:t>、综合资质优势</w:t>
      </w:r>
      <w:r>
        <w:rPr>
          <w:b w:val="0"/>
          <w:bCs w:val="0"/>
        </w:rPr>
      </w:r>
    </w:p>
    <w:p>
      <w:pPr>
        <w:spacing w:after="0" w:line="240" w:lineRule="auto"/>
        <w:jc w:val="both"/>
        <w:sectPr>
          <w:pgSz w:w="11910" w:h="16850"/>
          <w:pgMar w:header="776" w:footer="1026" w:top="1100" w:bottom="1220" w:left="1000" w:right="0"/>
        </w:sectPr>
      </w:pPr>
    </w:p>
    <w:p>
      <w:pPr>
        <w:spacing w:line="240" w:lineRule="auto" w:before="4"/>
        <w:rPr>
          <w:rFonts w:ascii="宋体" w:hAnsi="宋体" w:cs="宋体" w:eastAsia="宋体" w:hint="default"/>
          <w:b/>
          <w:bCs/>
          <w:sz w:val="28"/>
          <w:szCs w:val="28"/>
        </w:rPr>
      </w:pPr>
    </w:p>
    <w:p>
      <w:pPr>
        <w:pStyle w:val="BodyText"/>
        <w:spacing w:line="477" w:lineRule="auto" w:before="44"/>
        <w:ind w:right="1096" w:firstLine="360"/>
        <w:jc w:val="both"/>
      </w:pPr>
      <w:r>
        <w:rPr>
          <w:spacing w:val="-2"/>
        </w:rPr>
        <w:t>由于公共安全、司法和金融均是受到国家高度监管的行业，产品和服务提供商必须要获得相应的行业资质证书和经营许</w:t>
      </w:r>
      <w:r>
        <w:rPr/>
        <w:t> 可证才能参与竞标，从而获得订单和项目，资质分为壹级</w:t>
      </w:r>
      <w:r>
        <w:rPr>
          <w:rFonts w:ascii="宋体" w:hAnsi="宋体" w:cs="宋体" w:eastAsia="宋体" w:hint="default"/>
        </w:rPr>
        <w:t>/</w:t>
      </w:r>
      <w:r>
        <w:rPr/>
        <w:t>甲级、贰级</w:t>
      </w:r>
      <w:r>
        <w:rPr>
          <w:rFonts w:ascii="宋体" w:hAnsi="宋体" w:cs="宋体" w:eastAsia="宋体" w:hint="default"/>
        </w:rPr>
        <w:t>/</w:t>
      </w:r>
      <w:r>
        <w:rPr/>
        <w:t>乙级、三级</w:t>
      </w:r>
      <w:r>
        <w:rPr>
          <w:rFonts w:ascii="宋体" w:hAnsi="宋体" w:cs="宋体" w:eastAsia="宋体" w:hint="default"/>
        </w:rPr>
        <w:t>/</w:t>
      </w:r>
      <w:r>
        <w:rPr/>
        <w:t>丙级三个等级，每个等级都设置了相应</w:t>
      </w:r>
      <w:r>
        <w:rPr>
          <w:spacing w:val="-83"/>
        </w:rPr>
        <w:t> </w:t>
      </w:r>
      <w:r>
        <w:rPr>
          <w:spacing w:val="-2"/>
        </w:rPr>
        <w:t>的项目指标，企业必须通过指标评估之后才能获得相应的证书。公司凭借长期积累的行业技术优势及综合服务能力，具备综</w:t>
      </w:r>
      <w:r>
        <w:rPr>
          <w:spacing w:val="-75"/>
        </w:rPr>
        <w:t> </w:t>
      </w:r>
      <w:r>
        <w:rPr>
          <w:spacing w:val="-75"/>
        </w:rPr>
      </w:r>
      <w:r>
        <w:rPr>
          <w:spacing w:val="-2"/>
        </w:rPr>
        <w:t>合资质证书优势，并先后取得了涉密信息系统集成乙级资质证书、电子与智能化工程专业承包壹级证书、广东省安全技术防</w:t>
      </w:r>
      <w:r>
        <w:rPr>
          <w:spacing w:val="-75"/>
        </w:rPr>
        <w:t> </w:t>
      </w:r>
      <w:r>
        <w:rPr>
          <w:spacing w:val="-75"/>
        </w:rPr>
      </w:r>
      <w:r>
        <w:rPr>
          <w:spacing w:val="-1"/>
        </w:rPr>
        <w:t>范系统设计</w:t>
      </w:r>
      <w:r>
        <w:rPr>
          <w:rFonts w:ascii="宋体" w:hAnsi="宋体" w:cs="宋体" w:eastAsia="宋体" w:hint="default"/>
          <w:spacing w:val="-1"/>
        </w:rPr>
        <w:t>/</w:t>
      </w:r>
      <w:r>
        <w:rPr>
          <w:spacing w:val="-1"/>
        </w:rPr>
        <w:t>施工</w:t>
      </w:r>
      <w:r>
        <w:rPr>
          <w:rFonts w:ascii="宋体" w:hAnsi="宋体" w:cs="宋体" w:eastAsia="宋体" w:hint="default"/>
          <w:spacing w:val="-1"/>
        </w:rPr>
        <w:t>/</w:t>
      </w:r>
      <w:r>
        <w:rPr>
          <w:spacing w:val="-1"/>
        </w:rPr>
        <w:t>维修资格证壹级证书（该证书由广东省公安厅颁发，适用全国）、安防工程企业设计施工维护能力壹级证</w:t>
      </w:r>
      <w:r>
        <w:rPr>
          <w:spacing w:val="-86"/>
        </w:rPr>
        <w:t> </w:t>
      </w:r>
      <w:r>
        <w:rPr>
          <w:spacing w:val="-86"/>
        </w:rPr>
      </w:r>
      <w:r>
        <w:rPr>
          <w:spacing w:val="-2"/>
        </w:rPr>
        <w:t>书、特种工程（限特种防雷）专业承包不分等级、消防设施工程专业承包二级、建筑智能化系统设计专项乙级证书、建筑机</w:t>
      </w:r>
      <w:r>
        <w:rPr>
          <w:spacing w:val="-72"/>
        </w:rPr>
        <w:t> </w:t>
      </w:r>
      <w:r>
        <w:rPr>
          <w:spacing w:val="-72"/>
        </w:rPr>
      </w:r>
      <w:r>
        <w:rPr/>
        <w:t>电安装工程专业承包三级、建筑装修装饰工程专业承包二级、安全生产许可证、</w:t>
      </w:r>
      <w:r>
        <w:rPr>
          <w:rFonts w:ascii="宋体" w:hAnsi="宋体" w:cs="宋体" w:eastAsia="宋体" w:hint="default"/>
        </w:rPr>
        <w:t>CMMI3</w:t>
      </w:r>
      <w:r>
        <w:rPr>
          <w:rFonts w:ascii="宋体" w:hAnsi="宋体" w:cs="宋体" w:eastAsia="宋体" w:hint="default"/>
          <w:spacing w:val="-70"/>
        </w:rPr>
        <w:t> </w:t>
      </w:r>
      <w:r>
        <w:rPr/>
        <w:t>级评估认证证书、</w:t>
      </w:r>
      <w:r>
        <w:rPr>
          <w:rFonts w:ascii="宋体" w:hAnsi="宋体" w:cs="宋体" w:eastAsia="宋体" w:hint="default"/>
        </w:rPr>
        <w:t>IT</w:t>
      </w:r>
      <w:r>
        <w:rPr>
          <w:rFonts w:ascii="宋体" w:hAnsi="宋体" w:cs="宋体" w:eastAsia="宋体" w:hint="default"/>
          <w:spacing w:val="-70"/>
        </w:rPr>
        <w:t> </w:t>
      </w:r>
      <w:r>
        <w:rPr/>
        <w:t>服务管理体系认 </w:t>
      </w:r>
      <w:r>
        <w:rPr>
          <w:spacing w:val="-2"/>
        </w:rPr>
        <w:t>证证书、信息安全管理体系认证证书、质量管理体系认证证书、环境管理体系认证证书、职业健康安全管理体系认证证书等</w:t>
      </w:r>
      <w:r>
        <w:rPr>
          <w:spacing w:val="-42"/>
        </w:rPr>
        <w:t> </w:t>
      </w:r>
      <w:r>
        <w:rPr>
          <w:spacing w:val="-42"/>
        </w:rPr>
      </w:r>
      <w:r>
        <w:rPr>
          <w:spacing w:val="-2"/>
        </w:rPr>
        <w:t>企业资质。公司所取得的以上等级证书已充分满足公司目前业务领域对业内企业的资质要求，成为业内资质较齐全的企业之</w:t>
      </w:r>
      <w:r>
        <w:rPr>
          <w:spacing w:val="-72"/>
        </w:rPr>
        <w:t> </w:t>
      </w:r>
      <w:r>
        <w:rPr>
          <w:spacing w:val="-72"/>
        </w:rPr>
      </w:r>
      <w:r>
        <w:rPr/>
        <w:t>一。</w:t>
      </w:r>
    </w:p>
    <w:p>
      <w:pPr>
        <w:spacing w:after="0" w:line="477" w:lineRule="auto"/>
        <w:jc w:val="both"/>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before="9"/>
        <w:ind w:left="3040" w:right="0"/>
        <w:jc w:val="left"/>
        <w:rPr>
          <w:b w:val="0"/>
          <w:bCs w:val="0"/>
        </w:rPr>
      </w:pPr>
      <w:bookmarkStart w:name="第四节经营情况讨论与分析" w:id="22"/>
      <w:bookmarkEnd w:id="22"/>
      <w:r>
        <w:rPr>
          <w:b w:val="0"/>
          <w:bCs w:val="0"/>
        </w:rPr>
      </w:r>
      <w:bookmarkStart w:name="_bookmark3" w:id="23"/>
      <w:bookmarkEnd w:id="23"/>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8"/>
        <w:ind w:left="501" w:right="0"/>
        <w:jc w:val="left"/>
      </w:pPr>
      <w:r>
        <w:rPr>
          <w:rFonts w:ascii="Times New Roman" w:hAnsi="Times New Roman" w:cs="Times New Roman" w:eastAsia="Times New Roman" w:hint="default"/>
        </w:rPr>
        <w:t>2019</w:t>
      </w:r>
      <w:r>
        <w:rPr>
          <w:spacing w:val="-1"/>
        </w:rPr>
        <w:t>年</w:t>
      </w:r>
      <w:r>
        <w:rPr>
          <w:rFonts w:ascii="Times New Roman" w:hAnsi="Times New Roman" w:cs="Times New Roman" w:eastAsia="Times New Roman" w:hint="default"/>
        </w:rPr>
        <w:t>3</w:t>
      </w:r>
      <w:r>
        <w:rPr/>
        <w:t>月</w:t>
      </w:r>
      <w:r>
        <w:rPr>
          <w:spacing w:val="-90"/>
        </w:rPr>
        <w:t>，</w:t>
      </w:r>
      <w:r>
        <w:rPr/>
        <w:t>中共中央全面深化改革委员会第七次会议审议通过</w:t>
      </w:r>
      <w:r>
        <w:rPr>
          <w:spacing w:val="-90"/>
        </w:rPr>
        <w:t>了</w:t>
      </w:r>
      <w:r>
        <w:rPr/>
        <w:t>《关于促进人工智能和实体经济深度融合的指导意见</w:t>
      </w:r>
      <w:r>
        <w:rPr>
          <w:spacing w:val="-90"/>
        </w:rPr>
        <w:t>》</w:t>
      </w:r>
      <w:r>
        <w:rPr/>
        <w:t>。</w:t>
      </w:r>
    </w:p>
    <w:p>
      <w:pPr>
        <w:spacing w:line="240" w:lineRule="auto" w:before="9"/>
        <w:rPr>
          <w:rFonts w:ascii="宋体" w:hAnsi="宋体" w:cs="宋体" w:eastAsia="宋体" w:hint="default"/>
          <w:sz w:val="17"/>
          <w:szCs w:val="17"/>
        </w:rPr>
      </w:pPr>
    </w:p>
    <w:p>
      <w:pPr>
        <w:pStyle w:val="BodyText"/>
        <w:spacing w:line="453" w:lineRule="auto"/>
        <w:ind w:right="1028"/>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月，中国软件协会发布了《</w:t>
      </w:r>
      <w:r>
        <w:rPr>
          <w:rFonts w:ascii="Times New Roman" w:hAnsi="Times New Roman" w:cs="Times New Roman" w:eastAsia="Times New Roman" w:hint="default"/>
          <w:spacing w:val="-1"/>
        </w:rPr>
        <w:t>2020</w:t>
      </w:r>
      <w:r>
        <w:rPr>
          <w:spacing w:val="-1"/>
        </w:rPr>
        <w:t>中国低代码平台趋势发展报告》，报告指出随着各类企业系统的普及和互联网终端</w:t>
      </w:r>
      <w:r>
        <w:rPr/>
        <w:t> 成几何倍数增长的接入，为了敏捷适应用户业务快速发展对数字化系统的需求，低代码</w:t>
      </w:r>
      <w:r>
        <w:rPr>
          <w:rFonts w:ascii="Times New Roman" w:hAnsi="Times New Roman" w:cs="Times New Roman" w:eastAsia="Times New Roman" w:hint="default"/>
        </w:rPr>
        <w:t>/</w:t>
      </w:r>
      <w:r>
        <w:rPr/>
        <w:t>零代码技术是可行的解决方案。低</w:t>
      </w:r>
      <w:r>
        <w:rPr>
          <w:spacing w:val="-87"/>
        </w:rPr>
        <w:t> </w:t>
      </w:r>
      <w:r>
        <w:rPr/>
        <w:t>代码、人工智能与物联网相结合，将为各行业的变革及发展注入新的动力，为企业数字化转型赋能，推动各行业向智慧化、</w:t>
      </w:r>
      <w:r>
        <w:rPr>
          <w:spacing w:val="-79"/>
        </w:rPr>
        <w:t> </w:t>
      </w:r>
      <w:r>
        <w:rPr>
          <w:spacing w:val="-79"/>
        </w:rPr>
      </w:r>
      <w:r>
        <w:rPr/>
        <w:t>物联化方向发展。</w:t>
      </w:r>
      <w:r>
        <w:rPr>
          <w:rFonts w:ascii="Times New Roman" w:hAnsi="Times New Roman" w:cs="Times New Roman" w:eastAsia="Times New Roman" w:hint="default"/>
        </w:rPr>
        <w:t>2019</w:t>
      </w:r>
      <w:r>
        <w:rPr/>
        <w:t>年下半年，苹果在</w:t>
      </w:r>
      <w:r>
        <w:rPr>
          <w:rFonts w:ascii="Times New Roman" w:hAnsi="Times New Roman" w:cs="Times New Roman" w:eastAsia="Times New Roman" w:hint="default"/>
        </w:rPr>
        <w:t>iPhone</w:t>
      </w:r>
      <w:r>
        <w:rPr>
          <w:rFonts w:ascii="Times New Roman" w:hAnsi="Times New Roman" w:cs="Times New Roman" w:eastAsia="Times New Roman" w:hint="default"/>
          <w:spacing w:val="-28"/>
        </w:rPr>
        <w:t> </w:t>
      </w:r>
      <w:r>
        <w:rPr>
          <w:rFonts w:ascii="Times New Roman" w:hAnsi="Times New Roman" w:cs="Times New Roman" w:eastAsia="Times New Roman" w:hint="default"/>
        </w:rPr>
        <w:t>11</w:t>
      </w:r>
      <w:r>
        <w:rPr/>
        <w:t>、</w:t>
      </w:r>
      <w:r>
        <w:rPr>
          <w:rFonts w:ascii="Times New Roman" w:hAnsi="Times New Roman" w:cs="Times New Roman" w:eastAsia="Times New Roman" w:hint="default"/>
        </w:rPr>
        <w:t>iPhone</w:t>
      </w:r>
      <w:r>
        <w:rPr>
          <w:rFonts w:ascii="Times New Roman" w:hAnsi="Times New Roman" w:cs="Times New Roman" w:eastAsia="Times New Roman" w:hint="default"/>
          <w:spacing w:val="-28"/>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rFonts w:ascii="Times New Roman" w:hAnsi="Times New Roman" w:cs="Times New Roman" w:eastAsia="Times New Roman" w:hint="default"/>
        </w:rPr>
        <w:t>Pro</w:t>
      </w:r>
      <w:r>
        <w:rPr/>
        <w:t>、</w:t>
      </w:r>
      <w:r>
        <w:rPr>
          <w:rFonts w:ascii="Times New Roman" w:hAnsi="Times New Roman" w:cs="Times New Roman" w:eastAsia="Times New Roman" w:hint="default"/>
        </w:rPr>
        <w:t>iPhone</w:t>
      </w:r>
      <w:r>
        <w:rPr>
          <w:rFonts w:ascii="Times New Roman" w:hAnsi="Times New Roman" w:cs="Times New Roman" w:eastAsia="Times New Roman" w:hint="default"/>
          <w:spacing w:val="-28"/>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rFonts w:ascii="Times New Roman" w:hAnsi="Times New Roman" w:cs="Times New Roman" w:eastAsia="Times New Roman" w:hint="default"/>
        </w:rPr>
        <w:t>Pro</w:t>
      </w:r>
      <w:r>
        <w:rPr>
          <w:rFonts w:ascii="Times New Roman" w:hAnsi="Times New Roman" w:cs="Times New Roman" w:eastAsia="Times New Roman" w:hint="default"/>
          <w:spacing w:val="-25"/>
        </w:rPr>
        <w:t> </w:t>
      </w:r>
      <w:r>
        <w:rPr>
          <w:rFonts w:ascii="Times New Roman" w:hAnsi="Times New Roman" w:cs="Times New Roman" w:eastAsia="Times New Roman" w:hint="default"/>
        </w:rPr>
        <w:t>Max</w:t>
      </w:r>
      <w:r>
        <w:rPr/>
        <w:t>中均搭载了</w:t>
      </w:r>
      <w:r>
        <w:rPr>
          <w:rFonts w:ascii="Times New Roman" w:hAnsi="Times New Roman" w:cs="Times New Roman" w:eastAsia="Times New Roman" w:hint="default"/>
        </w:rPr>
        <w:t>UWB</w:t>
      </w:r>
      <w:r>
        <w:rPr/>
        <w:t>技术以及三星、索尼、 恩智浦、博世在内的世界巨头联手成立了</w:t>
      </w:r>
      <w:r>
        <w:rPr>
          <w:rFonts w:ascii="Times New Roman" w:hAnsi="Times New Roman" w:cs="Times New Roman" w:eastAsia="Times New Roman" w:hint="default"/>
        </w:rPr>
        <w:t>FiRa</w:t>
      </w:r>
      <w:r>
        <w:rPr/>
        <w:t>联盟，引起了行业对</w:t>
      </w:r>
      <w:r>
        <w:rPr>
          <w:rFonts w:ascii="Times New Roman" w:hAnsi="Times New Roman" w:cs="Times New Roman" w:eastAsia="Times New Roman" w:hint="default"/>
        </w:rPr>
        <w:t>UWB</w:t>
      </w:r>
      <w:r>
        <w:rPr/>
        <w:t>技术的关注，加速了</w:t>
      </w:r>
      <w:r>
        <w:rPr>
          <w:rFonts w:ascii="Times New Roman" w:hAnsi="Times New Roman" w:cs="Times New Roman" w:eastAsia="Times New Roman" w:hint="default"/>
        </w:rPr>
        <w:t>UWB</w:t>
      </w:r>
      <w:r>
        <w:rPr/>
        <w:t>的生态发展。</w:t>
      </w:r>
    </w:p>
    <w:p>
      <w:pPr>
        <w:pStyle w:val="BodyText"/>
        <w:spacing w:line="460" w:lineRule="auto" w:before="54"/>
        <w:ind w:right="994" w:firstLine="360"/>
        <w:jc w:val="left"/>
      </w:pPr>
      <w:r>
        <w:rPr/>
        <w:t>顺应技术的发展，公司结合自身发展阶段和实际情况，在智慧物联网数据平台的基础上融合了</w:t>
      </w:r>
      <w:r>
        <w:rPr>
          <w:rFonts w:ascii="Times New Roman" w:hAnsi="Times New Roman" w:cs="Times New Roman" w:eastAsia="Times New Roman" w:hint="default"/>
        </w:rPr>
        <w:t>UWB</w:t>
      </w:r>
      <w:r>
        <w:rPr/>
        <w:t>的应用，更加完善 </w:t>
      </w:r>
      <w:r>
        <w:rPr>
          <w:spacing w:val="-4"/>
        </w:rPr>
        <w:t>和构建物联网在各行业应用的生态体系，实现物联网产品、物联网服务双翼齐飞。在公司战略的指导和管理层的统一部署下，</w:t>
      </w:r>
      <w:r>
        <w:rPr>
          <w:spacing w:val="-50"/>
        </w:rPr>
        <w:t> </w:t>
      </w:r>
      <w:r>
        <w:rPr>
          <w:spacing w:val="-50"/>
        </w:rPr>
      </w:r>
      <w:r>
        <w:rPr/>
        <w:t>公司围绕年度经营计划目标，持续增加研发投入，根据客户需求进行产品研发和迭代升级，积极抓住行业发展机会，通过加</w:t>
      </w:r>
      <w:r>
        <w:rPr/>
        <w:t> 强各资源整合和协同发展，提升公司综合竞争力，促进公司整体收入的增长。报告期内，公司实现营业收入</w:t>
      </w:r>
      <w:r>
        <w:rPr>
          <w:rFonts w:ascii="Times New Roman" w:hAnsi="Times New Roman" w:cs="Times New Roman" w:eastAsia="Times New Roman" w:hint="default"/>
        </w:rPr>
        <w:t>78,443.45</w:t>
      </w:r>
      <w:r>
        <w:rPr>
          <w:rFonts w:ascii="Times New Roman" w:hAnsi="Times New Roman" w:cs="Times New Roman" w:eastAsia="Times New Roman" w:hint="default"/>
          <w:spacing w:val="-10"/>
        </w:rPr>
        <w:t> </w:t>
      </w:r>
      <w:r>
        <w:rPr/>
        <w:t>万元， 较上年同期增长</w:t>
      </w:r>
      <w:r>
        <w:rPr>
          <w:rFonts w:ascii="Times New Roman" w:hAnsi="Times New Roman" w:cs="Times New Roman" w:eastAsia="Times New Roman" w:hint="default"/>
        </w:rPr>
        <w:t>2.50%</w:t>
      </w:r>
      <w:r>
        <w:rPr/>
        <w:t>；营业利润为</w:t>
      </w:r>
      <w:r>
        <w:rPr>
          <w:rFonts w:ascii="Times New Roman" w:hAnsi="Times New Roman" w:cs="Times New Roman" w:eastAsia="Times New Roman" w:hint="default"/>
        </w:rPr>
        <w:t>19,392.80</w:t>
      </w:r>
      <w:r>
        <w:rPr/>
        <w:t>万元，较上年同期增长</w:t>
      </w:r>
      <w:r>
        <w:rPr>
          <w:rFonts w:ascii="Times New Roman" w:hAnsi="Times New Roman" w:cs="Times New Roman" w:eastAsia="Times New Roman" w:hint="default"/>
        </w:rPr>
        <w:t>8.08%</w:t>
      </w:r>
      <w:r>
        <w:rPr/>
        <w:t>；归属于母公司所有者的净利润为</w:t>
      </w:r>
      <w:r>
        <w:rPr>
          <w:rFonts w:ascii="Times New Roman" w:hAnsi="Times New Roman" w:cs="Times New Roman" w:eastAsia="Times New Roman" w:hint="default"/>
        </w:rPr>
        <w:t>15,443.12</w:t>
      </w:r>
      <w:r>
        <w:rPr/>
        <w:t>万元，</w:t>
      </w:r>
      <w:r>
        <w:rPr>
          <w:spacing w:val="-82"/>
        </w:rPr>
        <w:t> </w:t>
      </w:r>
      <w:r>
        <w:rPr/>
        <w:t>较上年同期增长</w:t>
      </w:r>
      <w:r>
        <w:rPr>
          <w:rFonts w:ascii="Times New Roman" w:hAnsi="Times New Roman" w:cs="Times New Roman" w:eastAsia="Times New Roman" w:hint="default"/>
        </w:rPr>
        <w:t>10.13%</w:t>
      </w:r>
      <w:r>
        <w:rPr/>
        <w:t>。</w:t>
      </w:r>
    </w:p>
    <w:p>
      <w:pPr>
        <w:pStyle w:val="BodyText"/>
        <w:spacing w:line="472" w:lineRule="auto" w:before="33"/>
        <w:ind w:right="1133" w:firstLine="360"/>
        <w:jc w:val="left"/>
      </w:pPr>
      <w:r>
        <w:rPr>
          <w:spacing w:val="-2"/>
        </w:rPr>
        <w:t>公司管理层紧密围绕着公司的业务战略、总体经营思路和年初制定的年度工作计划，贯彻执行董事会的战略部署，结合</w:t>
      </w:r>
      <w:r>
        <w:rPr/>
        <w:t> 公司优势，积极开展各项工作。报告期内，公司总体经营情况如下：</w:t>
      </w:r>
    </w:p>
    <w:p>
      <w:pPr>
        <w:pStyle w:val="BodyText"/>
        <w:spacing w:line="240" w:lineRule="auto" w:before="55"/>
        <w:ind w:left="501" w:right="0"/>
        <w:jc w:val="left"/>
      </w:pPr>
      <w:r>
        <w:rPr>
          <w:rFonts w:ascii="宋体" w:hAnsi="宋体" w:cs="宋体" w:eastAsia="宋体" w:hint="default"/>
        </w:rPr>
        <w:t>1</w:t>
      </w:r>
      <w:r>
        <w:rPr/>
        <w:t>、产品和技术研发</w:t>
      </w:r>
    </w:p>
    <w:p>
      <w:pPr>
        <w:spacing w:line="240" w:lineRule="auto" w:before="7"/>
        <w:rPr>
          <w:rFonts w:ascii="宋体" w:hAnsi="宋体" w:cs="宋体" w:eastAsia="宋体" w:hint="default"/>
          <w:sz w:val="17"/>
          <w:szCs w:val="17"/>
        </w:rPr>
      </w:pPr>
    </w:p>
    <w:p>
      <w:pPr>
        <w:pStyle w:val="BodyText"/>
        <w:spacing w:line="463" w:lineRule="auto"/>
        <w:ind w:right="0" w:firstLine="360"/>
        <w:jc w:val="left"/>
      </w:pPr>
      <w:r>
        <w:rPr>
          <w:rFonts w:ascii="Times New Roman" w:hAnsi="Times New Roman" w:cs="Times New Roman" w:eastAsia="Times New Roman" w:hint="default"/>
        </w:rPr>
        <w:t>2019</w:t>
      </w:r>
      <w:r>
        <w:rPr/>
        <w:t>年全年公司研发投入金额</w:t>
      </w:r>
      <w:r>
        <w:rPr>
          <w:rFonts w:ascii="Times New Roman" w:hAnsi="Times New Roman" w:cs="Times New Roman" w:eastAsia="Times New Roman" w:hint="default"/>
        </w:rPr>
        <w:t>6,910.46</w:t>
      </w:r>
      <w:r>
        <w:rPr/>
        <w:t>万元，占公司营业总收入的</w:t>
      </w:r>
      <w:r>
        <w:rPr>
          <w:rFonts w:ascii="Times New Roman" w:hAnsi="Times New Roman" w:cs="Times New Roman" w:eastAsia="Times New Roman" w:hint="default"/>
        </w:rPr>
        <w:t>8.81%</w:t>
      </w:r>
      <w:r>
        <w:rPr/>
        <w:t>。报告期内，公司紧跟全球技术热点，对大数 据、</w:t>
      </w:r>
      <w:r>
        <w:rPr>
          <w:rFonts w:ascii="Times New Roman" w:hAnsi="Times New Roman" w:cs="Times New Roman" w:eastAsia="Times New Roman" w:hint="default"/>
        </w:rPr>
        <w:t>UWB</w:t>
      </w:r>
      <w:r>
        <w:rPr/>
        <w:t>技术、边缘计算、区块链、云计算和以深度学习为代表的人工智能技术方面进行深入研究，加强对公司研发体系 </w:t>
      </w:r>
      <w:r>
        <w:rPr>
          <w:spacing w:val="-4"/>
        </w:rPr>
        <w:t>内部资源的整合。公司在低代码研发方面已积累了丰富的经验，具备科技研发、技术支撑和产品输出的核心能力。报告期内，</w:t>
      </w:r>
      <w:r>
        <w:rPr>
          <w:spacing w:val="-50"/>
        </w:rPr>
        <w:t> </w:t>
      </w:r>
      <w:r>
        <w:rPr>
          <w:spacing w:val="-50"/>
        </w:rPr>
      </w:r>
      <w:r>
        <w:rPr>
          <w:spacing w:val="-2"/>
        </w:rPr>
        <w:t>公司积极抓住低代码平台业务发展机会，在产品研发、人才储备和市场推广上提前做了布局。围绕更智慧更便利的目标大力</w:t>
      </w:r>
      <w:r>
        <w:rPr>
          <w:spacing w:val="-75"/>
        </w:rPr>
        <w:t> </w:t>
      </w:r>
      <w:r>
        <w:rPr>
          <w:spacing w:val="-75"/>
        </w:rPr>
      </w:r>
      <w:r>
        <w:rPr>
          <w:spacing w:val="-2"/>
        </w:rPr>
        <w:t>推进低代码平台的迭代升级，实现了几个创新突破，并在部分金融机构中落地应用，得到客户的高度认可。同时，控股子公</w:t>
      </w:r>
      <w:r>
        <w:rPr>
          <w:spacing w:val="-54"/>
        </w:rPr>
        <w:t> </w:t>
      </w:r>
      <w:r>
        <w:rPr>
          <w:spacing w:val="-54"/>
        </w:rPr>
      </w:r>
      <w:r>
        <w:rPr/>
        <w:t>司润安科技基于</w:t>
      </w:r>
      <w:r>
        <w:rPr>
          <w:rFonts w:ascii="Times New Roman" w:hAnsi="Times New Roman" w:cs="Times New Roman" w:eastAsia="Times New Roman" w:hint="default"/>
        </w:rPr>
        <w:t>UWB</w:t>
      </w:r>
      <w:r>
        <w:rPr/>
        <w:t>高精准定位技术打造了</w:t>
      </w:r>
      <w:r>
        <w:rPr>
          <w:rFonts w:ascii="Times New Roman" w:hAnsi="Times New Roman" w:cs="Times New Roman" w:eastAsia="Times New Roman" w:hint="default"/>
        </w:rPr>
        <w:t>“UWB</w:t>
      </w:r>
      <w:r>
        <w:rPr/>
        <w:t>腕带</w:t>
      </w:r>
      <w:r>
        <w:rPr>
          <w:rFonts w:ascii="Times New Roman" w:hAnsi="Times New Roman" w:cs="Times New Roman" w:eastAsia="Times New Roman" w:hint="default"/>
        </w:rPr>
        <w:t>+”</w:t>
      </w:r>
      <w:r>
        <w:rPr/>
        <w:t>系列产品，形成了智能硬件终端组合</w:t>
      </w:r>
      <w:r>
        <w:rPr>
          <w:rFonts w:ascii="Times New Roman" w:hAnsi="Times New Roman" w:cs="Times New Roman" w:eastAsia="Times New Roman" w:hint="default"/>
        </w:rPr>
        <w:t>+</w:t>
      </w:r>
      <w:r>
        <w:rPr/>
        <w:t>智慧管理平台的软硬一体的 </w:t>
      </w:r>
      <w:r>
        <w:rPr>
          <w:spacing w:val="-2"/>
        </w:rPr>
        <w:t>整体解决方案。</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月，润安科技作为广东省司法行政科技协同创新中心的核心成员，打造的智慧监狱</w:t>
      </w:r>
      <w:r>
        <w:rPr>
          <w:rFonts w:ascii="Times New Roman" w:hAnsi="Times New Roman" w:cs="Times New Roman" w:eastAsia="Times New Roman" w:hint="default"/>
          <w:spacing w:val="-2"/>
        </w:rPr>
        <w:t>“</w:t>
      </w:r>
      <w:r>
        <w:rPr>
          <w:spacing w:val="-2"/>
        </w:rPr>
        <w:t>监管人员司法电</w:t>
      </w:r>
      <w:r>
        <w:rPr>
          <w:spacing w:val="-49"/>
        </w:rPr>
        <w:t> </w:t>
      </w:r>
      <w:r>
        <w:rPr/>
        <w:t>子身份认证平台</w:t>
      </w:r>
      <w:r>
        <w:rPr>
          <w:rFonts w:ascii="Times New Roman" w:hAnsi="Times New Roman" w:cs="Times New Roman" w:eastAsia="Times New Roman" w:hint="default"/>
        </w:rPr>
        <w:t>”</w:t>
      </w:r>
      <w:r>
        <w:rPr/>
        <w:t>顺利通过专家组论证。</w:t>
      </w:r>
    </w:p>
    <w:p>
      <w:pPr>
        <w:pStyle w:val="BodyText"/>
        <w:spacing w:line="240" w:lineRule="auto" w:before="31"/>
        <w:ind w:left="501" w:right="0"/>
        <w:jc w:val="left"/>
      </w:pPr>
      <w:r>
        <w:rPr>
          <w:rFonts w:ascii="宋体" w:hAnsi="宋体" w:cs="宋体" w:eastAsia="宋体" w:hint="default"/>
        </w:rPr>
        <w:t>2</w:t>
      </w:r>
      <w:r>
        <w:rPr/>
        <w:t>、 业务发展和行业推广</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rFonts w:ascii="Times New Roman" w:hAnsi="Times New Roman" w:cs="Times New Roman" w:eastAsia="Times New Roman" w:hint="default"/>
        </w:rPr>
        <w:t>2019</w:t>
      </w:r>
      <w:r>
        <w:rPr/>
        <w:t>年，公司紧密关注客户行业动态，增加市场开拓力度，不断提升营销团队的市场开拓能力，使前线营销与技术团队</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65" w:lineRule="auto" w:before="44"/>
        <w:ind w:right="0"/>
        <w:jc w:val="left"/>
      </w:pPr>
      <w:r>
        <w:rPr/>
        <w:t>高效对接，有效把握客户需求变化，积极推进新技术、新产品的落地，真正做到了以客户为中心，快速响应客户需求的同时 </w:t>
      </w:r>
      <w:r>
        <w:rPr>
          <w:spacing w:val="-2"/>
        </w:rPr>
        <w:t>保证了新技术和产品的及时落地和转化。业务发展布局上，一方面公司继续扩展传统的金融安防市场，为全国数万个银行网</w:t>
      </w:r>
      <w:r>
        <w:rPr>
          <w:spacing w:val="-75"/>
        </w:rPr>
        <w:t> </w:t>
      </w:r>
      <w:r>
        <w:rPr>
          <w:spacing w:val="-75"/>
        </w:rPr>
      </w:r>
      <w:r>
        <w:rPr/>
        <w:t>点提供服务。</w:t>
      </w:r>
      <w:r>
        <w:rPr>
          <w:rFonts w:ascii="Times New Roman" w:hAnsi="Times New Roman" w:cs="Times New Roman" w:eastAsia="Times New Roman" w:hint="default"/>
        </w:rPr>
        <w:t>2019</w:t>
      </w:r>
      <w:r>
        <w:rPr/>
        <w:t>年，公司产品和服务再次成功入围中国银行总行、中国民生银行总行、华夏银行总行等单位。另一方面公 </w:t>
      </w:r>
      <w:r>
        <w:rPr>
          <w:spacing w:val="-2"/>
        </w:rPr>
        <w:t>司也积极深化、拓展物联网技术在智慧金融、公共安全、智慧司法、智慧楼宇等细分行业的应用。报告期内，公司与华为技</w:t>
      </w:r>
      <w:r>
        <w:rPr>
          <w:spacing w:val="-72"/>
        </w:rPr>
        <w:t> </w:t>
      </w:r>
      <w:r>
        <w:rPr>
          <w:spacing w:val="-72"/>
        </w:rPr>
      </w:r>
      <w:r>
        <w:rPr>
          <w:spacing w:val="-2"/>
        </w:rPr>
        <w:t>术有限公司在金融领域达成了战略合作，积极展开两方面的业务拓展工作，一是基于华为为部分合作伙伴提供的高算力芯片</w:t>
      </w:r>
      <w:r>
        <w:rPr>
          <w:spacing w:val="-72"/>
        </w:rPr>
        <w:t> </w:t>
      </w:r>
      <w:r>
        <w:rPr>
          <w:spacing w:val="-72"/>
        </w:rPr>
      </w:r>
      <w:r>
        <w:rPr/>
        <w:t>打造一些边缘端的物联解决方案，如针对银行客户研创的具体应用场景的嵌入式算法嵌入华为软件定义</w:t>
      </w:r>
      <w:r>
        <w:rPr>
          <w:rFonts w:ascii="Times New Roman" w:hAnsi="Times New Roman" w:cs="Times New Roman" w:eastAsia="Times New Roman" w:hint="default"/>
        </w:rPr>
        <w:t>AI</w:t>
      </w:r>
      <w:r>
        <w:rPr/>
        <w:t>产品，开创智慧</w:t>
      </w:r>
      <w:r>
        <w:rPr>
          <w:spacing w:val="-76"/>
        </w:rPr>
        <w:t> </w:t>
      </w:r>
      <w:r>
        <w:rPr/>
        <w:t>运营、安规管理等具体金融场景的全新解决方案；二是利用华为的</w:t>
      </w:r>
      <w:r>
        <w:rPr>
          <w:rFonts w:ascii="Times New Roman" w:hAnsi="Times New Roman" w:cs="Times New Roman" w:eastAsia="Times New Roman" w:hint="default"/>
        </w:rPr>
        <w:t>5G</w:t>
      </w:r>
      <w:r>
        <w:rPr/>
        <w:t>技术及基础云平台，打破现有本地存储的传统方案，</w:t>
      </w:r>
      <w:r>
        <w:rPr>
          <w:spacing w:val="-80"/>
        </w:rPr>
        <w:t> </w:t>
      </w:r>
      <w:r>
        <w:rPr>
          <w:spacing w:val="-6"/>
        </w:rPr>
        <w:t>实现数据的云存储，打造数据存储及运算的新格局。行业推广上，公司携手中国电力科学研究院有限公司（下称“电科院”），</w:t>
      </w:r>
      <w:r>
        <w:rPr>
          <w:spacing w:val="-73"/>
        </w:rPr>
        <w:t> </w:t>
      </w:r>
      <w:r>
        <w:rPr>
          <w:spacing w:val="-73"/>
        </w:rPr>
      </w:r>
      <w:r>
        <w:rPr/>
        <w:t>基于公司低代码平台、</w:t>
      </w:r>
      <w:r>
        <w:rPr>
          <w:rFonts w:ascii="Times New Roman" w:hAnsi="Times New Roman" w:cs="Times New Roman" w:eastAsia="Times New Roman" w:hint="default"/>
        </w:rPr>
        <w:t>UWB</w:t>
      </w:r>
      <w:r>
        <w:rPr/>
        <w:t>精准位置服务以及其它感知终端方面的优势，结合电科院授权公司相关关键技术，针对电力物 联网管理需求的特点，打造电力物联网方面的全新产品，共同开拓智能电网管理市场。</w:t>
      </w:r>
    </w:p>
    <w:p>
      <w:pPr>
        <w:pStyle w:val="BodyText"/>
        <w:spacing w:line="475" w:lineRule="auto" w:before="61"/>
        <w:ind w:left="441" w:right="1097" w:firstLine="60"/>
        <w:jc w:val="left"/>
      </w:pPr>
      <w:r>
        <w:rPr>
          <w:rFonts w:ascii="宋体" w:hAnsi="宋体" w:cs="宋体" w:eastAsia="宋体" w:hint="default"/>
        </w:rPr>
        <w:t>3</w:t>
      </w:r>
      <w:r>
        <w:rPr/>
        <w:t>、 资本运作 </w:t>
      </w:r>
      <w:r>
        <w:rPr>
          <w:spacing w:val="-1"/>
        </w:rPr>
        <w:t>报告期内，公司引入了广东粤科智弘创业投资合伙企业（有限合伙）作为公司的股东</w:t>
      </w:r>
      <w:r>
        <w:rPr>
          <w:rFonts w:ascii="Times New Roman" w:hAnsi="Times New Roman" w:cs="Times New Roman" w:eastAsia="Times New Roman" w:hint="default"/>
          <w:spacing w:val="-1"/>
        </w:rPr>
        <w:t>,</w:t>
      </w:r>
      <w:r>
        <w:rPr>
          <w:spacing w:val="-1"/>
        </w:rPr>
        <w:t>在有效优化公司股份分布和治理结</w:t>
      </w:r>
    </w:p>
    <w:p>
      <w:pPr>
        <w:pStyle w:val="BodyText"/>
        <w:spacing w:line="468" w:lineRule="auto" w:before="21"/>
        <w:ind w:right="1046"/>
        <w:jc w:val="both"/>
      </w:pPr>
      <w:r>
        <w:rPr/>
        <w:t>构的同时公司有望在业务扩展、投资并购等方面获得强有力的支持，加快实施公司的发展战略、促进公司的长期稳定发展。 </w:t>
      </w:r>
      <w:r>
        <w:rPr>
          <w:spacing w:val="-1"/>
        </w:rPr>
        <w:t>此外，基于对公司未来的持续发展和长期投资价值的认可，公司于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月披露了回购公司股份的事项，报告期内，公司</w:t>
      </w:r>
      <w:r>
        <w:rPr>
          <w:spacing w:val="-87"/>
        </w:rPr>
        <w:t> </w:t>
      </w:r>
      <w:r>
        <w:rPr>
          <w:spacing w:val="-87"/>
        </w:rPr>
      </w:r>
      <w:r>
        <w:rPr/>
        <w:t>积极推进公司股票市场价格与内在价值相匹配，本次回购事项累计回购公司股份</w:t>
      </w:r>
      <w:r>
        <w:rPr>
          <w:rFonts w:ascii="Times New Roman" w:hAnsi="Times New Roman" w:cs="Times New Roman" w:eastAsia="Times New Roman" w:hint="default"/>
        </w:rPr>
        <w:t>5,704,800</w:t>
      </w:r>
      <w:r>
        <w:rPr/>
        <w:t>股，累计支付的总金额为</w:t>
      </w:r>
    </w:p>
    <w:p>
      <w:pPr>
        <w:pStyle w:val="BodyText"/>
        <w:spacing w:line="240" w:lineRule="auto" w:before="26"/>
        <w:ind w:right="0"/>
        <w:jc w:val="left"/>
      </w:pPr>
      <w:r>
        <w:rPr>
          <w:rFonts w:ascii="Times New Roman" w:hAnsi="Times New Roman" w:cs="Times New Roman" w:eastAsia="Times New Roman" w:hint="default"/>
        </w:rPr>
        <w:t>51,486,420.57</w:t>
      </w:r>
      <w:r>
        <w:rPr/>
        <w:t>元，既完成了公司本次回购的承诺又维护了广大投资者的利益，推动公司股票价值的合理回归。</w:t>
      </w:r>
    </w:p>
    <w:p>
      <w:pPr>
        <w:spacing w:line="240" w:lineRule="auto" w:before="7"/>
        <w:rPr>
          <w:rFonts w:ascii="宋体" w:hAnsi="宋体" w:cs="宋体" w:eastAsia="宋体" w:hint="default"/>
          <w:sz w:val="16"/>
          <w:szCs w:val="16"/>
        </w:rPr>
      </w:pPr>
    </w:p>
    <w:p>
      <w:pPr>
        <w:pStyle w:val="BodyText"/>
        <w:spacing w:line="475" w:lineRule="auto"/>
        <w:ind w:left="441" w:right="1089" w:firstLine="60"/>
        <w:jc w:val="left"/>
      </w:pPr>
      <w:r>
        <w:rPr>
          <w:rFonts w:ascii="宋体" w:hAnsi="宋体" w:cs="宋体" w:eastAsia="宋体" w:hint="default"/>
        </w:rPr>
        <w:t>4</w:t>
      </w:r>
      <w:r>
        <w:rPr/>
        <w:t>、 人才梯队建设和管理 公司构建了符合发展战略需求的多层次人才结构，通过在人才储备、薪酬管理、人才引进及人才培养等多方面不断完善</w:t>
      </w:r>
    </w:p>
    <w:p>
      <w:pPr>
        <w:pStyle w:val="BodyText"/>
        <w:spacing w:line="460" w:lineRule="auto" w:before="68"/>
        <w:ind w:right="0"/>
        <w:jc w:val="left"/>
      </w:pPr>
      <w:r>
        <w:rPr>
          <w:spacing w:val="-4"/>
        </w:rPr>
        <w:t>公司人力资源体系。报告期内，为提升公司管理团队和核心骨干的凝聚力和创造力，吸引和保留优秀的管理人才和核心员工，</w:t>
      </w:r>
      <w:r>
        <w:rPr>
          <w:spacing w:val="-50"/>
        </w:rPr>
        <w:t> </w:t>
      </w:r>
      <w:r>
        <w:rPr>
          <w:spacing w:val="-50"/>
        </w:rPr>
      </w:r>
      <w:r>
        <w:rPr/>
        <w:t>为公司的持续快速发展注入新的动力，公司于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月实施完成</w:t>
      </w:r>
      <w:r>
        <w:rPr>
          <w:rFonts w:ascii="Times New Roman" w:hAnsi="Times New Roman" w:cs="Times New Roman" w:eastAsia="Times New Roman" w:hint="default"/>
        </w:rPr>
        <w:t>2018</w:t>
      </w:r>
      <w:r>
        <w:rPr/>
        <w:t>年股权激励计划预留部分股票的授予工作，搭建员工</w:t>
      </w:r>
      <w:r>
        <w:rPr>
          <w:spacing w:val="-85"/>
        </w:rPr>
        <w:t> </w:t>
      </w:r>
      <w:r>
        <w:rPr/>
        <w:t>与公司共同发展的平台，促进公司建立高素质、多层次人才体系，健全激励机制和约束机制。</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营业收入整体情况</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8"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87"/>
              <w:ind w:right="8"/>
              <w:jc w:val="right"/>
              <w:rPr>
                <w:rFonts w:ascii="Times New Roman" w:hAnsi="Times New Roman" w:cs="Times New Roman" w:eastAsia="Times New Roman" w:hint="default"/>
                <w:sz w:val="18"/>
                <w:szCs w:val="18"/>
              </w:rPr>
            </w:pPr>
            <w:r>
              <w:rPr>
                <w:rFonts w:ascii="Times New Roman"/>
                <w:sz w:val="18"/>
              </w:rPr>
              <w:t>784,434,539.34</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765,302,136.94</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2.50%</w:t>
            </w:r>
            <w:r>
              <w:rPr>
                <w:rFonts w:ascii="Times New Roman"/>
                <w:sz w:val="18"/>
              </w:rPr>
            </w:r>
          </w:p>
        </w:tc>
      </w:tr>
      <w:tr>
        <w:trPr>
          <w:trHeight w:val="391"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517,190,178.38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65.93%</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481,587,754.78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62.93%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7.39%</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66,614,510.38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8.49%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68,582,726.73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8.96%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-2.87%</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101,214,616.70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12.90%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137,732,458.89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18.00%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-26.51%</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99,415,233.88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12.68%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77,399,196.54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10.11%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28.44%</w:t>
            </w:r>
            <w:r>
              <w:rPr>
                <w:rFonts w:ascii="Times New Roman"/>
                <w:sz w:val="18"/>
              </w:rPr>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2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1"/>
              <w:jc w:val="left"/>
              <w:rPr>
                <w:rFonts w:ascii="宋体" w:hAnsi="宋体" w:cs="宋体" w:eastAsia="宋体" w:hint="default"/>
                <w:sz w:val="18"/>
                <w:szCs w:val="18"/>
              </w:rPr>
            </w:pPr>
            <w:r>
              <w:rPr>
                <w:rFonts w:ascii="宋体" w:hAnsi="宋体" w:cs="宋体" w:eastAsia="宋体" w:hint="default"/>
                <w:sz w:val="18"/>
                <w:szCs w:val="18"/>
              </w:rPr>
              <w:t>物联网平台建设及 解决方案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526,024,683.42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67.06%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582,819,564.53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76.16%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-9.74%</w:t>
            </w:r>
          </w:p>
        </w:tc>
      </w:tr>
      <w:tr>
        <w:trPr>
          <w:trHeight w:val="72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1"/>
              <w:jc w:val="left"/>
              <w:rPr>
                <w:rFonts w:ascii="宋体" w:hAnsi="宋体" w:cs="宋体" w:eastAsia="宋体" w:hint="default"/>
                <w:sz w:val="18"/>
                <w:szCs w:val="18"/>
              </w:rPr>
            </w:pPr>
            <w:r>
              <w:rPr>
                <w:rFonts w:ascii="宋体" w:hAnsi="宋体" w:cs="宋体" w:eastAsia="宋体" w:hint="default"/>
                <w:sz w:val="18"/>
                <w:szCs w:val="18"/>
              </w:rPr>
              <w:t>物联设备及软件销 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129,490,529.54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16.51%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108,306,255.04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14.15%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19.56%</w:t>
            </w:r>
            <w:r>
              <w:rPr>
                <w:rFonts w:ascii="Times New Roman"/>
                <w:sz w:val="18"/>
              </w:rPr>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平安城市运营服务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58,791,140.04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7.49%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50,157,447.95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6.55%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17.21%</w:t>
            </w:r>
            <w:r>
              <w:rPr>
                <w:rFonts w:ascii="Times New Roman"/>
                <w:sz w:val="18"/>
              </w:rPr>
            </w:r>
          </w:p>
        </w:tc>
      </w:tr>
      <w:tr>
        <w:trPr>
          <w:trHeight w:val="72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产品及解决方 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63,412,134.52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8.08%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19,693,442.26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222.00%</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6,716,051.82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0.86%</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4,325,427.16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55.27%</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31,522,450.42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4.02%</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33,216,933.71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4.34%</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-5.10%</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64,376,569.22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8.21%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109,668,081.67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14.33%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-41.30%</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63,405,693.28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8.08%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39,810,178.89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5.20%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59.27%</w:t>
            </w:r>
            <w:r>
              <w:rPr>
                <w:rFonts w:ascii="Times New Roman"/>
                <w:sz w:val="18"/>
              </w:rPr>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359,217,695.32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45.79%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336,624,579.83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43.99%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6.71%</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77,266,628.68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9.85%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71,799,638.22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9.38%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72,019,967.76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9.18%</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79,260,895.92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10.36%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-9.14%</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116,625,534.66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14.87%</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94,921,828.70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12.40%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22.86%</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6"/>
        <w:rPr>
          <w:rFonts w:ascii="宋体" w:hAnsi="宋体" w:cs="宋体" w:eastAsia="宋体" w:hint="default"/>
          <w:sz w:val="15"/>
          <w:szCs w:val="15"/>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17"/>
        <w:gridCol w:w="4055"/>
        <w:gridCol w:w="4010"/>
      </w:tblGrid>
      <w:tr>
        <w:trPr>
          <w:trHeight w:val="405"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0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40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1510"/>
        <w:gridCol w:w="1006"/>
        <w:gridCol w:w="1021"/>
        <w:gridCol w:w="1006"/>
        <w:gridCol w:w="1022"/>
        <w:gridCol w:w="991"/>
        <w:gridCol w:w="1006"/>
        <w:gridCol w:w="1006"/>
        <w:gridCol w:w="1006"/>
      </w:tblGrid>
      <w:tr>
        <w:trPr>
          <w:trHeight w:val="405"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06"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146,571,691.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118,343,972.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124,976,132.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394,542,742.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127,720,863.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94,197,109.4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157,615,464.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385,768,699.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80</w:t>
            </w:r>
          </w:p>
        </w:tc>
      </w:tr>
      <w:tr>
        <w:trPr>
          <w:trHeight w:val="721" w:hRule="exact"/>
        </w:trPr>
        <w:tc>
          <w:tcPr>
            <w:tcW w:w="15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10,338,894.0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4,322,198.34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16,550,195.8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123,219,911.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6,332,112.01</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6,043,649.30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12,369,795.0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115,479,792.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05</w:t>
            </w:r>
          </w:p>
        </w:tc>
      </w:tr>
    </w:tbl>
    <w:p>
      <w:pPr>
        <w:spacing w:line="240" w:lineRule="auto" w:before="10"/>
        <w:rPr>
          <w:rFonts w:ascii="宋体" w:hAnsi="宋体" w:cs="宋体" w:eastAsia="宋体" w:hint="default"/>
          <w:sz w:val="5"/>
          <w:szCs w:val="5"/>
        </w:rPr>
      </w:pPr>
    </w:p>
    <w:p>
      <w:pPr>
        <w:pStyle w:val="BodyText"/>
        <w:spacing w:line="496" w:lineRule="auto" w:before="44"/>
        <w:ind w:right="0"/>
        <w:jc w:val="left"/>
      </w:pPr>
      <w:r>
        <w:rPr/>
        <w:t>说明经营季节性（或周期性）发生的原因及波动风险 </w:t>
      </w:r>
      <w:r>
        <w:rPr>
          <w:spacing w:val="-2"/>
        </w:rPr>
        <w:t>受客户结构、行业业务特点等因素的影响，公司营业收入存在各季度分布不均衡、前低后高的特点，公司的经营业绩有明显</w:t>
      </w:r>
      <w:r>
        <w:rPr>
          <w:spacing w:val="-42"/>
        </w:rPr>
        <w:t> </w:t>
      </w:r>
      <w:r>
        <w:rPr>
          <w:spacing w:val="-42"/>
        </w:rPr>
      </w:r>
      <w:r>
        <w:rPr/>
        <w:t>的季节性波动，营业收入和利润主要集中于下半年实现。</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3"/>
        <w:rPr>
          <w:rFonts w:ascii="宋体" w:hAnsi="宋体" w:cs="宋体" w:eastAsia="宋体" w:hint="default"/>
          <w:sz w:val="19"/>
          <w:szCs w:val="19"/>
        </w:rPr>
      </w:pPr>
    </w:p>
    <w:p>
      <w:pPr>
        <w:pStyle w:val="BodyText"/>
        <w:spacing w:line="240" w:lineRule="auto"/>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19"/>
          <w:szCs w:val="19"/>
        </w:rPr>
      </w:pPr>
    </w:p>
    <w:p>
      <w:pPr>
        <w:pStyle w:val="BodyText"/>
        <w:spacing w:line="240" w:lineRule="auto"/>
        <w:ind w:left="0" w:right="1110"/>
        <w:jc w:val="right"/>
      </w:pPr>
      <w:r>
        <w:rPr/>
        <w:t>单位：元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517,190,178.38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269,477,516.96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47.90%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7.39%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-1.16%</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66,614,510.38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17,660,981.64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73.49%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18.28%</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101,214,616.70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51,328,947.78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49.29%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17.18%</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99,415,233.88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57,435,644.34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42.23%</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28.44%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42.83%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-5.82%</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物联网平台建设 及解决方案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526,024,683.42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268,822,393.86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48.90%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2.87%</w:t>
            </w:r>
            <w:r>
              <w:rPr>
                <w:rFonts w:ascii="Times New Roman"/>
                <w:sz w:val="18"/>
              </w:rPr>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物联设备及软件 销售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129,490,529.54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72,749,666.76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43.82%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19.56%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21.65%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-0.96%</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产品及解 决方案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63,412,134.52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15,018,137.64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76.32%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222.00%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889.37%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-15.97%</w:t>
            </w:r>
          </w:p>
        </w:tc>
      </w:tr>
      <w:tr>
        <w:trPr>
          <w:trHeight w:val="391"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359,217,695.32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170,587,615.56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52.51%</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6.71%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3.25%</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116,625,534.66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69,111,920.80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40.74%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22.86%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17.69%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1"/>
        <w:rPr>
          <w:rFonts w:ascii="宋体" w:hAnsi="宋体" w:cs="宋体" w:eastAsia="宋体" w:hint="default"/>
          <w:sz w:val="18"/>
          <w:szCs w:val="18"/>
        </w:rPr>
      </w:pPr>
    </w:p>
    <w:p>
      <w:pPr>
        <w:pStyle w:val="BodyText"/>
        <w:spacing w:line="491" w:lineRule="auto"/>
        <w:ind w:right="1816"/>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39"/>
        </w:rPr>
        <w:t> </w:t>
      </w:r>
      <w:r>
        <w:rPr>
          <w:rFonts w:ascii="Times New Roman" w:hAnsi="Times New Roman" w:cs="Times New Roman" w:eastAsia="Times New Roman" w:hint="default"/>
        </w:rPr>
        <w:t>30%</w:t>
      </w:r>
      <w:r>
        <w:rPr/>
        <w:t>以上且金额超过</w:t>
      </w:r>
      <w:r>
        <w:rPr>
          <w:spacing w:val="-43"/>
        </w:rPr>
        <w:t> </w:t>
      </w:r>
      <w:r>
        <w:rPr>
          <w:rFonts w:ascii="Times New Roman" w:hAnsi="Times New Roman" w:cs="Times New Roman" w:eastAsia="Times New Roman" w:hint="default"/>
        </w:rPr>
        <w:t>5000 </w:t>
      </w:r>
      <w:r>
        <w:rPr/>
        <w:t>万元的正在履行的合同情况</w:t>
      </w:r>
    </w:p>
    <w:p>
      <w:pPr>
        <w:pStyle w:val="BodyText"/>
        <w:spacing w:line="240" w:lineRule="auto" w:before="5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8"/>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82"/>
        <w:gridCol w:w="1051"/>
        <w:gridCol w:w="1067"/>
        <w:gridCol w:w="1066"/>
      </w:tblGrid>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项目执行进 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75" w:hanging="361"/>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50" w:right="74" w:hanging="361"/>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5"/>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5" w:right="74"/>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渝北区公共 安全视频监 控工程服务</w:t>
            </w:r>
          </w:p>
          <w:p>
            <w:pPr>
              <w:pStyle w:val="TableParagraph"/>
              <w:spacing w:line="240" w:lineRule="auto" w:before="24"/>
              <w:ind w:left="15" w:right="0"/>
              <w:jc w:val="both"/>
              <w:rPr>
                <w:rFonts w:ascii="宋体" w:hAnsi="宋体" w:cs="宋体" w:eastAsia="宋体" w:hint="default"/>
                <w:sz w:val="18"/>
                <w:szCs w:val="18"/>
              </w:rPr>
            </w:pPr>
            <w:r>
              <w:rPr>
                <w:rFonts w:ascii="宋体" w:hAnsi="宋体" w:cs="宋体" w:eastAsia="宋体" w:hint="default"/>
                <w:sz w:val="18"/>
                <w:szCs w:val="18"/>
              </w:rPr>
              <w:t>（智慧天网）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239,115,510.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工程服务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49,231,085.5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145,494,934.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5" w:right="118"/>
              <w:jc w:val="left"/>
              <w:rPr>
                <w:rFonts w:ascii="宋体" w:hAnsi="宋体" w:cs="宋体" w:eastAsia="宋体" w:hint="default"/>
                <w:sz w:val="18"/>
                <w:szCs w:val="18"/>
              </w:rPr>
            </w:pPr>
            <w:r>
              <w:rPr>
                <w:rFonts w:ascii="宋体" w:hAnsi="宋体" w:cs="宋体" w:eastAsia="宋体" w:hint="default"/>
                <w:sz w:val="18"/>
                <w:szCs w:val="18"/>
              </w:rPr>
              <w:t>已按照合同 如期回款</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r>
        <w:rPr/>
        <w:pict>
          <v:group style="position:absolute;margin-left:110.400002pt;margin-top:-32.516323pt;width:52.55pt;height:15.75pt;mso-position-horizontal-relative:page;mso-position-vertical-relative:paragraph;z-index:-1110064" coordorigin="2208,-650" coordsize="1051,315">
            <v:shape style="position:absolute;left:2208;top:-650;width:1051;height:315" coordorigin="2208,-650" coordsize="1051,315" path="m2208,-335l3259,-335,3259,-650,2208,-650,2208,-335xe" filled="true" fillcolor="#ffffff" stroked="false">
              <v:path arrowok="t"/>
              <v:fill type="solid"/>
            </v:shape>
            <w10:wrap type="none"/>
          </v:group>
        </w:pict>
      </w: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行业和产品分类</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269,477,516.96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68.07%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245,298,818.98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59.87%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司法行业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17,660,981.64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30,717,721.48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7.50%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-42.51%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平安城市行业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51,328,947.78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12.96%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93,508,797.79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22.82%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-45.11%</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57,435,644.34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14.51%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40,211,424.71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9.81%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42.83%</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left="0" w:right="1110"/>
        <w:jc w:val="right"/>
      </w:pPr>
      <w:r>
        <w:rPr/>
        <w:t>单位：元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物联网平台建设 及解决方案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268,822,393.86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67.90%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314,521,704.56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76.76%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-14.53%</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物联设备及软件 销售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72,749,666.76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18.38%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59,804,061.17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14.60%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21.65%</w:t>
            </w:r>
            <w:r>
              <w:rPr>
                <w:rFonts w:ascii="Times New Roman"/>
                <w:sz w:val="18"/>
              </w:rPr>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平安城市运营服 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35,149,642.39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8.88%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30,403,817.41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15.61%</w:t>
            </w:r>
            <w:r>
              <w:rPr>
                <w:rFonts w:ascii="Times New Roman"/>
                <w:sz w:val="18"/>
              </w:rPr>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产品及解 决方案</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15,018,137.64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3.79%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1,517,946.86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889.37%</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4,163,250.07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3,489,232.96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0.85%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19.32%</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说明</w:t>
      </w:r>
    </w:p>
    <w:p>
      <w:pPr>
        <w:spacing w:line="240" w:lineRule="auto" w:before="0"/>
        <w:rPr>
          <w:rFonts w:ascii="宋体" w:hAnsi="宋体" w:cs="宋体" w:eastAsia="宋体" w:hint="default"/>
          <w:sz w:val="21"/>
          <w:szCs w:val="21"/>
        </w:rPr>
      </w:pPr>
    </w:p>
    <w:p>
      <w:pPr>
        <w:pStyle w:val="BodyText"/>
        <w:spacing w:line="491" w:lineRule="auto"/>
        <w:ind w:right="1834"/>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86"/>
        <w:ind w:left="0" w:right="1110"/>
        <w:jc w:val="right"/>
      </w:pPr>
      <w:r>
        <w:rPr/>
        <w:t>单位：元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0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275,127,835.11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69.49%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308,278,167.44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75.24%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-10.75%</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49,806,638.11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12.58%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44,409,206.97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10.84%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12.15%</w:t>
            </w:r>
            <w:r>
              <w:rPr>
                <w:rFonts w:ascii="Times New Roman"/>
                <w:sz w:val="18"/>
              </w:rPr>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70,968,617.50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17.93%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57,049,388.55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13.92%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24.40%</w:t>
            </w:r>
            <w:r>
              <w:rPr>
                <w:rFonts w:ascii="Times New Roman"/>
                <w:sz w:val="18"/>
              </w:rPr>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pStyle w:val="BodyText"/>
        <w:spacing w:line="482" w:lineRule="auto" w:before="192"/>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w:t>
      </w:r>
      <w:r>
        <w:rPr>
          <w:spacing w:val="-2"/>
        </w:rPr>
        <w:t>与上年度财务报告相比，本报告期新增甲壳云计算有限公司、信泽云（武汉）计算机软件有限公司；减少湖北浩威保安服务</w:t>
      </w:r>
      <w:r>
        <w:rPr>
          <w:spacing w:val="-57"/>
        </w:rPr>
        <w:t> </w:t>
      </w:r>
      <w:r>
        <w:rPr>
          <w:spacing w:val="-57"/>
        </w:rPr>
      </w:r>
      <w:r>
        <w:rPr/>
        <w:t>有限公司（原名：武汉浩立威保安服务有限公司）</w:t>
      </w:r>
      <w:r>
        <w:rPr>
          <w:rFonts w:ascii="Times New Roman" w:hAnsi="Times New Roman" w:cs="Times New Roman" w:eastAsia="Times New Roman" w:hint="default"/>
        </w:rPr>
        <w:t>1</w:t>
      </w:r>
      <w:r>
        <w:rPr/>
        <w:t>家子公司。</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公司主要销售客户情况</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180,187,025.64</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22.97%</w:t>
            </w:r>
            <w:r>
              <w:rPr>
                <w:rFonts w:ascii="Times New Roman"/>
                <w:sz w:val="18"/>
              </w:rPr>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49,231,085.56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6.28%</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44,914,136.55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5.73%</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30,547,490.86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3.89%</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29,811,256.73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3.80%</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25,683,055.94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3.27%</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180,187,025.64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22.97%</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主要客户其他情况说明</w:t>
      </w:r>
    </w:p>
    <w:p>
      <w:pPr>
        <w:spacing w:line="240" w:lineRule="auto" w:before="0"/>
        <w:rPr>
          <w:rFonts w:ascii="宋体" w:hAnsi="宋体" w:cs="宋体" w:eastAsia="宋体" w:hint="default"/>
          <w:sz w:val="21"/>
          <w:szCs w:val="21"/>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1"/>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9"/>
              <w:jc w:val="right"/>
              <w:rPr>
                <w:rFonts w:ascii="Times New Roman" w:hAnsi="Times New Roman" w:cs="Times New Roman" w:eastAsia="Times New Roman" w:hint="default"/>
                <w:sz w:val="18"/>
                <w:szCs w:val="18"/>
              </w:rPr>
            </w:pPr>
            <w:r>
              <w:rPr>
                <w:rFonts w:ascii="Times New Roman"/>
                <w:sz w:val="18"/>
              </w:rPr>
              <w:t>97,030,161.49</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0"/>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8"/>
              <w:jc w:val="right"/>
              <w:rPr>
                <w:rFonts w:ascii="Times New Roman" w:hAnsi="Times New Roman" w:cs="Times New Roman" w:eastAsia="Times New Roman" w:hint="default"/>
                <w:sz w:val="18"/>
                <w:szCs w:val="18"/>
              </w:rPr>
            </w:pPr>
            <w:r>
              <w:rPr>
                <w:rFonts w:ascii="Times New Roman"/>
                <w:w w:val="95"/>
                <w:sz w:val="18"/>
              </w:rPr>
              <w:t>29.26%</w:t>
            </w:r>
            <w:r>
              <w:rPr>
                <w:rFonts w:ascii="Times New Roman"/>
                <w:sz w:val="18"/>
              </w:rPr>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0"/>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5"/>
          <w:szCs w:val="5"/>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43,180,709.75</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13.02%</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19,491,492.42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5.88%</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13,534,284.07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10,937,303.57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3.30%</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9,886,371.68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2.98%</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97,030,161.49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29.26%</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主要供应商其他情况说明</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900"/>
        <w:gridCol w:w="1652"/>
        <w:gridCol w:w="1637"/>
        <w:gridCol w:w="1457"/>
        <w:gridCol w:w="2929"/>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69,197,240.19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61,712,303.71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12.13%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76,391,456.01</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55" w:right="0"/>
              <w:jc w:val="left"/>
              <w:rPr>
                <w:rFonts w:ascii="Times New Roman" w:hAnsi="Times New Roman" w:cs="Times New Roman" w:eastAsia="Times New Roman" w:hint="default"/>
                <w:sz w:val="18"/>
                <w:szCs w:val="18"/>
              </w:rPr>
            </w:pPr>
            <w:r>
              <w:rPr>
                <w:rFonts w:ascii="Times New Roman"/>
                <w:sz w:val="18"/>
              </w:rPr>
              <w:t>68,005,664.55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12.33%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1637"/>
        <w:gridCol w:w="1457"/>
        <w:gridCol w:w="2929"/>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303,479.39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-717,159.63</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142.32%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
              <w:jc w:val="left"/>
              <w:rPr>
                <w:rFonts w:ascii="宋体" w:hAnsi="宋体" w:cs="宋体" w:eastAsia="宋体" w:hint="default"/>
                <w:sz w:val="18"/>
                <w:szCs w:val="18"/>
              </w:rPr>
            </w:pPr>
            <w:r>
              <w:rPr>
                <w:rFonts w:ascii="宋体" w:hAnsi="宋体" w:cs="宋体" w:eastAsia="宋体" w:hint="default"/>
                <w:sz w:val="18"/>
                <w:szCs w:val="18"/>
              </w:rPr>
              <w:t>主要原因系报告期，银行借款增加， 利息支出增加所致。</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46,311,057.93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42,856,277.15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8.06%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468" w:lineRule="auto"/>
        <w:ind w:right="1104" w:firstLine="300"/>
        <w:jc w:val="both"/>
      </w:pPr>
      <w:r>
        <w:rPr>
          <w:rFonts w:ascii="Times New Roman" w:hAnsi="Times New Roman" w:cs="Times New Roman" w:eastAsia="Times New Roman" w:hint="default"/>
        </w:rPr>
        <w:t>“</w:t>
      </w:r>
      <w:r>
        <w:rPr/>
        <w:t>智慧物联网数据平台</w:t>
      </w:r>
      <w:r>
        <w:rPr>
          <w:rFonts w:ascii="Times New Roman" w:hAnsi="Times New Roman" w:cs="Times New Roman" w:eastAsia="Times New Roman" w:hint="default"/>
        </w:rPr>
        <w:t>”</w:t>
      </w:r>
      <w:r>
        <w:rPr/>
        <w:t>在</w:t>
      </w:r>
      <w:r>
        <w:rPr>
          <w:rFonts w:ascii="Times New Roman" w:hAnsi="Times New Roman" w:cs="Times New Roman" w:eastAsia="Times New Roman" w:hint="default"/>
        </w:rPr>
        <w:t>2019</w:t>
      </w:r>
      <w:r>
        <w:rPr/>
        <w:t>年推出并开始在行业中应用，为金融行业老客户带来全新产品体验。高度柔性的低代码平 </w:t>
      </w:r>
      <w:r>
        <w:rPr>
          <w:spacing w:val="-2"/>
        </w:rPr>
        <w:t>台改变了行业一贯的交付方式，可快速适配客户千变万化的应用需求，大幅减少产品交付周期，加速公司项目实施过程，加</w:t>
      </w:r>
      <w:r>
        <w:rPr>
          <w:spacing w:val="-40"/>
        </w:rPr>
        <w:t> </w:t>
      </w:r>
      <w:r>
        <w:rPr>
          <w:spacing w:val="-40"/>
        </w:rPr>
      </w:r>
      <w:r>
        <w:rPr>
          <w:spacing w:val="-2"/>
        </w:rPr>
        <w:t>大与竞争对手的差距。新一代平台同时极大强化公司开拓新业务领域能力，成为公司业务开展的核心要素。研发中心持续强</w:t>
      </w:r>
      <w:r>
        <w:rPr>
          <w:spacing w:val="-75"/>
        </w:rPr>
        <w:t> </w:t>
      </w:r>
      <w:r>
        <w:rPr>
          <w:spacing w:val="-75"/>
        </w:rPr>
      </w:r>
      <w:r>
        <w:rPr>
          <w:spacing w:val="-2"/>
        </w:rPr>
        <w:t>化现有产品体系，大力拓展物联网安全技术，智慧安全用电技术，区块链技术，为客户提供全方面的安全产品体系。研发中</w:t>
      </w:r>
      <w:r>
        <w:rPr>
          <w:spacing w:val="-57"/>
        </w:rPr>
        <w:t> </w:t>
      </w:r>
      <w:r>
        <w:rPr>
          <w:spacing w:val="-57"/>
        </w:rPr>
      </w:r>
      <w:r>
        <w:rPr/>
        <w:t>心继续巩固公司知识产权护城河，申请专利</w:t>
      </w:r>
      <w:r>
        <w:rPr>
          <w:rFonts w:ascii="Times New Roman" w:hAnsi="Times New Roman" w:cs="Times New Roman" w:eastAsia="Times New Roman" w:hint="default"/>
        </w:rPr>
        <w:t>51</w:t>
      </w:r>
      <w:r>
        <w:rPr/>
        <w:t>件。研发中心管理水平持续提高，引入</w:t>
      </w:r>
      <w:r>
        <w:rPr>
          <w:rFonts w:ascii="Times New Roman" w:hAnsi="Times New Roman" w:cs="Times New Roman" w:eastAsia="Times New Roman" w:hint="default"/>
        </w:rPr>
        <w:t>CMMI5</w:t>
      </w:r>
      <w:r>
        <w:rPr/>
        <w:t>管理规范，使研发计划可确保</w:t>
      </w:r>
      <w:r>
        <w:rPr>
          <w:spacing w:val="-61"/>
        </w:rPr>
        <w:t> </w:t>
      </w:r>
      <w:r>
        <w:rPr/>
        <w:t>公司战略按时按质交付。</w:t>
      </w:r>
    </w:p>
    <w:p>
      <w:pPr>
        <w:pStyle w:val="BodyText"/>
        <w:spacing w:line="240" w:lineRule="auto" w:before="89"/>
        <w:ind w:right="0"/>
        <w:jc w:val="left"/>
      </w:pPr>
      <w:r>
        <w:rPr/>
        <w:t>近三年公司研发投入金额及占营业收入的比例</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20.07%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19.42%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17.24%</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69,104,556.73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48,386,659.16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47,098,182.32</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6.32%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8.27%</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22,793,498.80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5,530,382.01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32.98%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11.43%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13.08%</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3.50%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研发投入总额占营业收入的比重较上年发生显著变化的原因</w:t>
      </w:r>
    </w:p>
    <w:p>
      <w:pPr>
        <w:spacing w:line="240" w:lineRule="auto" w:before="11"/>
        <w:rPr>
          <w:rFonts w:ascii="宋体" w:hAnsi="宋体" w:cs="宋体" w:eastAsia="宋体" w:hint="default"/>
          <w:sz w:val="19"/>
          <w:szCs w:val="19"/>
        </w:rPr>
      </w:pPr>
    </w:p>
    <w:p>
      <w:pPr>
        <w:pStyle w:val="BodyText"/>
        <w:spacing w:line="491"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506" w:lineRule="auto" w:before="86"/>
        <w:ind w:right="108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3"/>
          <w:w w:val="99"/>
        </w:rPr>
        <w:t>报告期公司增加了对研发项目软件定义物联网应用平台开发阶段的支出，并新增了对研发项目物联网智慧管理平台（</w:t>
      </w:r>
      <w:r>
        <w:rPr>
          <w:rFonts w:ascii="Times New Roman" w:hAnsi="Times New Roman" w:cs="Times New Roman" w:eastAsia="Times New Roman" w:hint="default"/>
          <w:spacing w:val="-3"/>
          <w:w w:val="99"/>
        </w:rPr>
        <w:t>IOTM</w:t>
      </w:r>
      <w:r>
        <w:rPr>
          <w:rFonts w:ascii="Times New Roman" w:hAnsi="Times New Roman" w:cs="Times New Roman" w:eastAsia="Times New Roman" w:hint="default"/>
          <w:spacing w:val="-17"/>
          <w:w w:val="99"/>
        </w:rPr>
        <w:t> </w:t>
      </w:r>
      <w:r>
        <w:rPr>
          <w:rFonts w:ascii="Times New Roman" w:hAnsi="Times New Roman" w:cs="Times New Roman" w:eastAsia="Times New Roman" w:hint="default"/>
          <w:spacing w:val="2"/>
          <w:w w:val="99"/>
        </w:rPr>
        <w:t>P)</w:t>
      </w:r>
      <w:r>
        <w:rPr>
          <w:rFonts w:ascii="Times New Roman" w:hAnsi="Times New Roman" w:cs="Times New Roman" w:eastAsia="Times New Roman" w:hint="default"/>
          <w:spacing w:val="2"/>
        </w:rPr>
      </w:r>
    </w:p>
    <w:p>
      <w:pPr>
        <w:pStyle w:val="BodyText"/>
        <w:spacing w:line="244" w:lineRule="exact"/>
        <w:ind w:right="0"/>
        <w:jc w:val="left"/>
      </w:pPr>
      <w:r>
        <w:rPr/>
        <w:t>及</w:t>
      </w:r>
      <w:r>
        <w:rPr>
          <w:rFonts w:ascii="Times New Roman" w:hAnsi="Times New Roman" w:cs="Times New Roman" w:eastAsia="Times New Roman" w:hint="default"/>
        </w:rPr>
        <w:t>IOTMP</w:t>
      </w:r>
      <w:r>
        <w:rPr/>
        <w:t>移动端开发阶段的支出。</w:t>
      </w:r>
    </w:p>
    <w:p>
      <w:pPr>
        <w:spacing w:line="240" w:lineRule="auto" w:before="11"/>
        <w:rPr>
          <w:rFonts w:ascii="宋体" w:hAnsi="宋体" w:cs="宋体" w:eastAsia="宋体" w:hint="default"/>
          <w:sz w:val="18"/>
          <w:szCs w:val="18"/>
        </w:rPr>
      </w:pPr>
    </w:p>
    <w:p>
      <w:pPr>
        <w:pStyle w:val="BodyText"/>
        <w:spacing w:line="240" w:lineRule="auto"/>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19"/>
          <w:szCs w:val="19"/>
        </w:rPr>
      </w:pPr>
    </w:p>
    <w:p>
      <w:pPr>
        <w:pStyle w:val="BodyText"/>
        <w:spacing w:line="240" w:lineRule="auto"/>
        <w:ind w:left="0" w:right="1110"/>
        <w:jc w:val="right"/>
      </w:pPr>
      <w:r>
        <w:rPr/>
        <w:t>单位：元</w:t>
      </w:r>
    </w:p>
    <w:p>
      <w:pPr>
        <w:spacing w:after="0" w:line="240" w:lineRule="auto"/>
        <w:jc w:val="right"/>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828"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软件定义物联网应用平台</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4"/>
              <w:jc w:val="right"/>
              <w:rPr>
                <w:rFonts w:ascii="Times New Roman" w:hAnsi="Times New Roman" w:cs="Times New Roman" w:eastAsia="Times New Roman" w:hint="default"/>
                <w:sz w:val="18"/>
                <w:szCs w:val="18"/>
              </w:rPr>
            </w:pPr>
            <w:r>
              <w:rPr>
                <w:rFonts w:ascii="Times New Roman"/>
                <w:sz w:val="18"/>
              </w:rPr>
              <w:t>15,830,939.29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15" w:right="15"/>
              <w:jc w:val="left"/>
              <w:rPr>
                <w:rFonts w:ascii="宋体" w:hAnsi="宋体" w:cs="宋体" w:eastAsia="宋体" w:hint="default"/>
                <w:sz w:val="18"/>
                <w:szCs w:val="18"/>
              </w:rPr>
            </w:pPr>
            <w:r>
              <w:rPr>
                <w:rFonts w:ascii="宋体" w:hAnsi="宋体" w:cs="宋体" w:eastAsia="宋体" w:hint="default"/>
                <w:sz w:val="18"/>
                <w:szCs w:val="18"/>
              </w:rPr>
              <w:t>软件定义物联网应用平台所 研发的产品将是一个融入了 物联网基因的应用配置平台， 可以零代码（或少量定制代 码）配置业务应用。支撑公司 在金融安防和智慧司法等领 域的信息管理应用和物联网 集成应用项目的落地。因此能 应用于公司所负责的金融安 防和智慧司法等项目中，在使 用上具有可行性。</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30" w:right="13"/>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月完成研究 阶段工作，包括技术方案、实 施计划，自定义工具竞品分 析、产品可行性分析、技术资 料收集、需求调研、页面原型</w:t>
            </w:r>
          </w:p>
          <w:p>
            <w:pPr>
              <w:pStyle w:val="TableParagraph"/>
              <w:spacing w:line="304" w:lineRule="auto" w:before="42"/>
              <w:ind w:left="30" w:right="1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制作等工作。</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月项目 </w:t>
            </w:r>
            <w:r>
              <w:rPr>
                <w:rFonts w:ascii="宋体" w:hAnsi="宋体" w:cs="宋体" w:eastAsia="宋体" w:hint="default"/>
                <w:spacing w:val="-5"/>
                <w:sz w:val="18"/>
                <w:szCs w:val="18"/>
              </w:rPr>
              <w:t>正式进入开发阶段，截至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p>
          <w:p>
            <w:pPr>
              <w:pStyle w:val="TableParagraph"/>
              <w:spacing w:line="309" w:lineRule="auto" w:before="12"/>
              <w:ind w:left="30" w:right="1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日，已完成软件架 构的设计、软件详细的设计、 开发框架搭建、需求细化及原 型制作、关键技术问题攻关、 软件的编码开发等工作。</w:t>
            </w:r>
          </w:p>
        </w:tc>
      </w:tr>
      <w:tr>
        <w:trPr>
          <w:trHeight w:val="50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物联网智慧管理平</w:t>
            </w:r>
            <w:r>
              <w:rPr>
                <w:rFonts w:ascii="宋体" w:hAnsi="宋体" w:cs="宋体" w:eastAsia="宋体" w:hint="default"/>
                <w:spacing w:val="-90"/>
                <w:sz w:val="18"/>
                <w:szCs w:val="18"/>
              </w:rPr>
              <w:t>台</w:t>
            </w:r>
            <w:r>
              <w:rPr>
                <w:rFonts w:ascii="宋体" w:hAnsi="宋体" w:cs="宋体" w:eastAsia="宋体" w:hint="default"/>
                <w:spacing w:val="2"/>
                <w:sz w:val="18"/>
                <w:szCs w:val="18"/>
              </w:rPr>
              <w:t>（</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4"/>
                <w:w w:val="99"/>
                <w:sz w:val="18"/>
                <w:szCs w:val="18"/>
              </w:rPr>
              <w:t>O</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4"/>
                <w:w w:val="99"/>
                <w:sz w:val="18"/>
                <w:szCs w:val="18"/>
              </w:rPr>
              <w:t>P</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4,226,909.52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5"/>
              <w:jc w:val="left"/>
              <w:rPr>
                <w:rFonts w:ascii="宋体" w:hAnsi="宋体" w:cs="宋体" w:eastAsia="宋体" w:hint="default"/>
                <w:sz w:val="18"/>
                <w:szCs w:val="18"/>
              </w:rPr>
            </w:pPr>
            <w:r>
              <w:rPr>
                <w:rFonts w:ascii="宋体" w:hAnsi="宋体" w:cs="宋体" w:eastAsia="宋体" w:hint="default"/>
                <w:sz w:val="18"/>
                <w:szCs w:val="18"/>
              </w:rPr>
              <w:t>物联网智慧平台作为物联网 综合管理平台，面向多类垂直 行业 用户，提供多源异构物 联接入、综合管控、业务联通 和运维服务。平台为用户提供 企业级物联接入能力和管控 能力，亮点在于联通物联数据 和管理数据，使之融汇贯通， 形成统一性数据平台。参照工</w:t>
            </w:r>
          </w:p>
          <w:p>
            <w:pPr>
              <w:pStyle w:val="TableParagraph"/>
              <w:spacing w:line="314" w:lineRule="auto" w:before="37"/>
              <w:ind w:left="15" w:right="15"/>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大规模、个性化定制的 总体思路，采用软件定义的方 式，实现按需定制、功能柔性 重组的自 定义平台，为多行 业、多类别、多层次用户提供 快速化、 模板化、定制化的 智慧物联解决方案。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97" w:lineRule="auto"/>
              <w:ind w:left="30" w:right="13"/>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月完成研究 阶段工作，包括项目需求分 析、可行性分析、技术资料收</w:t>
            </w:r>
          </w:p>
          <w:p>
            <w:pPr>
              <w:pStyle w:val="TableParagraph"/>
              <w:spacing w:line="304" w:lineRule="auto" w:before="51"/>
              <w:ind w:left="30" w:right="1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集等工作。</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月项目正 式进入开发阶段，截至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97" w:lineRule="auto" w:before="12"/>
              <w:ind w:left="30"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日，已完成软件的 系统架构设计、开发框架搭 建、系统设计测试验证、测试</w:t>
            </w:r>
          </w:p>
          <w:p>
            <w:pPr>
              <w:pStyle w:val="TableParagraph"/>
              <w:spacing w:line="304" w:lineRule="auto" w:before="51"/>
              <w:ind w:left="30" w:right="17"/>
              <w:jc w:val="left"/>
              <w:rPr>
                <w:rFonts w:ascii="宋体" w:hAnsi="宋体" w:cs="宋体" w:eastAsia="宋体" w:hint="default"/>
                <w:sz w:val="18"/>
                <w:szCs w:val="18"/>
              </w:rPr>
            </w:pPr>
            <w:r>
              <w:rPr>
                <w:rFonts w:ascii="宋体" w:hAnsi="宋体" w:cs="宋体" w:eastAsia="宋体" w:hint="default"/>
                <w:sz w:val="18"/>
                <w:szCs w:val="18"/>
              </w:rPr>
              <w:t>缺陷分析</w:t>
            </w:r>
            <w:r>
              <w:rPr>
                <w:rFonts w:ascii="Times New Roman" w:hAnsi="Times New Roman" w:cs="Times New Roman" w:eastAsia="Times New Roman" w:hint="default"/>
                <w:sz w:val="18"/>
                <w:szCs w:val="18"/>
              </w:rPr>
              <w:t>/</w:t>
            </w:r>
            <w:r>
              <w:rPr>
                <w:rFonts w:ascii="宋体" w:hAnsi="宋体" w:cs="宋体" w:eastAsia="宋体" w:hint="default"/>
                <w:sz w:val="18"/>
                <w:szCs w:val="18"/>
              </w:rPr>
              <w:t>修复及系统集成测 试验证，关键技术问题攻关、 软件的编码开发等工作。</w:t>
            </w:r>
          </w:p>
        </w:tc>
      </w:tr>
    </w:tbl>
    <w:p>
      <w:pPr>
        <w:spacing w:after="0" w:line="304"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5389"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移动端</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26" w:right="0"/>
              <w:jc w:val="left"/>
              <w:rPr>
                <w:rFonts w:ascii="Times New Roman" w:hAnsi="Times New Roman" w:cs="Times New Roman" w:eastAsia="Times New Roman" w:hint="default"/>
                <w:sz w:val="18"/>
                <w:szCs w:val="18"/>
              </w:rPr>
            </w:pPr>
            <w:r>
              <w:rPr>
                <w:rFonts w:ascii="Times New Roman"/>
                <w:sz w:val="18"/>
              </w:rPr>
              <w:t>2,735,649.99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移动端是</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OA+IOT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一</w:t>
            </w:r>
            <w:r>
              <w:rPr>
                <w:rFonts w:ascii="宋体" w:hAnsi="宋体" w:cs="宋体" w:eastAsia="宋体" w:hint="default"/>
                <w:spacing w:val="-88"/>
                <w:sz w:val="18"/>
                <w:szCs w:val="18"/>
              </w:rPr>
              <w:t> </w:t>
            </w:r>
            <w:r>
              <w:rPr>
                <w:rFonts w:ascii="宋体" w:hAnsi="宋体" w:cs="宋体" w:eastAsia="宋体" w:hint="default"/>
                <w:sz w:val="18"/>
                <w:szCs w:val="18"/>
              </w:rPr>
              <w:t>体化移动办公应用平台，变革 传统移动办公思路，遵循工业</w:t>
            </w:r>
          </w:p>
          <w:p>
            <w:pPr>
              <w:pStyle w:val="TableParagraph"/>
              <w:spacing w:line="316" w:lineRule="auto" w:before="36"/>
              <w:ind w:left="15" w:right="15"/>
              <w:jc w:val="left"/>
              <w:rPr>
                <w:rFonts w:ascii="宋体" w:hAnsi="宋体" w:cs="宋体" w:eastAsia="宋体" w:hint="default"/>
                <w:sz w:val="18"/>
                <w:szCs w:val="18"/>
              </w:rPr>
            </w:pPr>
            <w:r>
              <w:rPr>
                <w:rFonts w:ascii="宋体" w:hAnsi="宋体" w:cs="宋体" w:eastAsia="宋体" w:hint="default"/>
                <w:sz w:val="18"/>
                <w:szCs w:val="18"/>
              </w:rPr>
              <w:t>物联网操控技术和信息技术 深度融合的理念，打通移动办 公和物联操控的流程接口，深 度对接企业内部人、物、智等 综合资源，使能人员在线、物 资在线和智慧在线三线一体 的能力，以物联化的形式将企 业内的人和物通过网络互联</w:t>
            </w:r>
          </w:p>
          <w:p>
            <w:pPr>
              <w:pStyle w:val="TableParagraph"/>
              <w:spacing w:line="312" w:lineRule="auto" w:before="37"/>
              <w:ind w:left="15" w:right="15"/>
              <w:jc w:val="left"/>
              <w:rPr>
                <w:rFonts w:ascii="宋体" w:hAnsi="宋体" w:cs="宋体" w:eastAsia="宋体" w:hint="default"/>
                <w:sz w:val="18"/>
                <w:szCs w:val="18"/>
              </w:rPr>
            </w:pPr>
            <w:r>
              <w:rPr>
                <w:rFonts w:ascii="宋体" w:hAnsi="宋体" w:cs="宋体" w:eastAsia="宋体" w:hint="default"/>
                <w:sz w:val="18"/>
                <w:szCs w:val="18"/>
              </w:rPr>
              <w:t>互通</w:t>
            </w:r>
            <w:r>
              <w:rPr>
                <w:rFonts w:ascii="Times New Roman" w:hAnsi="Times New Roman" w:cs="Times New Roman" w:eastAsia="Times New Roman" w:hint="default"/>
                <w:sz w:val="18"/>
                <w:szCs w:val="18"/>
              </w:rPr>
              <w:t>,</w:t>
            </w:r>
            <w:r>
              <w:rPr>
                <w:rFonts w:ascii="宋体" w:hAnsi="宋体" w:cs="宋体" w:eastAsia="宋体" w:hint="default"/>
                <w:sz w:val="18"/>
                <w:szCs w:val="18"/>
              </w:rPr>
              <w:t>将无线传感网、</w:t>
            </w:r>
            <w:r>
              <w:rPr>
                <w:rFonts w:ascii="Times New Roman" w:hAnsi="Times New Roman" w:cs="Times New Roman" w:eastAsia="Times New Roman" w:hint="default"/>
                <w:sz w:val="18"/>
                <w:szCs w:val="18"/>
              </w:rPr>
              <w:t>RFID</w:t>
            </w: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视频识别等技术应用于安全 防范、能源管理、人员服务、 智能办公等诸多方面，形成现 代化、网络化、信息化和智能 化的新型运行模式。</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05"/>
              <w:ind w:left="30" w:right="13"/>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月完成研究 阶段工作，包括项目需求分 析、可行性分析、技术资料收</w:t>
            </w:r>
          </w:p>
          <w:p>
            <w:pPr>
              <w:pStyle w:val="TableParagraph"/>
              <w:spacing w:line="288" w:lineRule="auto" w:before="46"/>
              <w:ind w:left="30" w:right="1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集等工作。</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月项目正 式进入开发阶段，截至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309" w:lineRule="auto" w:before="26"/>
              <w:ind w:left="30" w:right="1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日，已完成软件的 系统架构设计、开发框架搭 建、系统设计测试验证、关键 技术问题攻关、软件的编码开 发等工作。</w:t>
            </w:r>
          </w:p>
        </w:tc>
      </w:tr>
    </w:tbl>
    <w:p>
      <w:pPr>
        <w:spacing w:line="240" w:lineRule="auto" w:before="2"/>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797,959,894.58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757,850,201.04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5.29%</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679,250,729.27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619,340,931.95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9.67%</w:t>
            </w:r>
            <w:r>
              <w:rPr>
                <w:rFonts w:ascii="Times New Roman"/>
                <w:sz w:val="18"/>
              </w:rPr>
            </w:r>
          </w:p>
        </w:tc>
      </w:tr>
      <w:tr>
        <w:trPr>
          <w:trHeight w:val="7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118,709,165.31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138,509,269.09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-14.30%</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121,619,564.13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468,896,203.56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-74.06%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79,503,729.03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605,228,502.14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-86.86%</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42,115,835.10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-136,332,298.58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130.89%</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79,049,812.00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132,258,756.55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-40.23%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79,523,772.73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78,619,728.99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-473,960.73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53,639,027.56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-100.88%</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160,351,039.68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55,815,998.07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187.29%</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相关数据同比发生重大变动的主要影响因素说明</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1</w:t>
      </w:r>
      <w:r>
        <w:rPr/>
        <w:t>、投资活动现金流入较上年同期下降</w:t>
      </w:r>
      <w:r>
        <w:rPr>
          <w:rFonts w:ascii="Times New Roman" w:hAnsi="Times New Roman" w:cs="Times New Roman" w:eastAsia="Times New Roman" w:hint="default"/>
        </w:rPr>
        <w:t>74.06%</w:t>
      </w:r>
      <w:r>
        <w:rPr/>
        <w:t>，主要原因系上年同期公司投资购买银行理财产品到期收回投资成本及收益而</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本期购买银行理财产品较少所致；</w:t>
      </w: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w:t>
      </w:r>
      <w:r>
        <w:rPr/>
        <w:t>、投资活动现金流出较上年同期下降</w:t>
      </w:r>
      <w:r>
        <w:rPr>
          <w:rFonts w:ascii="Times New Roman" w:hAnsi="Times New Roman" w:cs="Times New Roman" w:eastAsia="Times New Roman" w:hint="default"/>
        </w:rPr>
        <w:t>86.86%</w:t>
      </w:r>
      <w:r>
        <w:rPr/>
        <w:t>，主要原因系上年同期公司购买银行理财产品较多而本期较少所致；</w:t>
      </w:r>
    </w:p>
    <w:p>
      <w:pPr>
        <w:spacing w:line="240" w:lineRule="auto" w:before="7"/>
        <w:rPr>
          <w:rFonts w:ascii="宋体" w:hAnsi="宋体" w:cs="宋体" w:eastAsia="宋体" w:hint="default"/>
          <w:sz w:val="16"/>
          <w:szCs w:val="16"/>
        </w:rPr>
      </w:pPr>
    </w:p>
    <w:p>
      <w:pPr>
        <w:pStyle w:val="BodyText"/>
        <w:spacing w:line="491" w:lineRule="auto"/>
        <w:ind w:right="1824"/>
        <w:jc w:val="left"/>
      </w:pPr>
      <w:r>
        <w:rPr>
          <w:rFonts w:ascii="Times New Roman" w:hAnsi="Times New Roman" w:cs="Times New Roman" w:eastAsia="Times New Roman" w:hint="default"/>
        </w:rPr>
        <w:t>3</w:t>
      </w:r>
      <w:r>
        <w:rPr/>
        <w:t>、筹资活动现金流入较上年同期下降</w:t>
      </w:r>
      <w:r>
        <w:rPr>
          <w:rFonts w:ascii="Times New Roman" w:hAnsi="Times New Roman" w:cs="Times New Roman" w:eastAsia="Times New Roman" w:hint="default"/>
        </w:rPr>
        <w:t>40.23%</w:t>
      </w:r>
      <w:r>
        <w:rPr/>
        <w:t>，主要原因系上年同期公司授予员工限制性股票收到募集资金所致。</w:t>
      </w:r>
      <w:r>
        <w:rPr>
          <w:spacing w:val="-83"/>
        </w:rPr>
        <w:t> </w:t>
      </w:r>
      <w:r>
        <w:rPr>
          <w:spacing w:val="-83"/>
        </w:rPr>
      </w:r>
      <w:r>
        <w:rPr/>
        <w:t>报告期内公司经营活动产生的现金净流量与本年度净利润存在重大差异的原因说明</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32"/>
        <w:gridCol w:w="1907"/>
        <w:gridCol w:w="1622"/>
        <w:gridCol w:w="2178"/>
        <w:gridCol w:w="2343"/>
      </w:tblGrid>
      <w:tr>
        <w:trPr>
          <w:trHeight w:val="4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z w:val="18"/>
              </w:rPr>
              <w:t>790,713.17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05" w:right="150"/>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w w:val="95"/>
                <w:sz w:val="18"/>
              </w:rPr>
              <w:t>-2,812,587.34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sz w:val="18"/>
              </w:rPr>
              <w:t>-1.44%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计提的存货跌价准备</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976,031.35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05" w:right="255"/>
              <w:jc w:val="left"/>
              <w:rPr>
                <w:rFonts w:ascii="宋体" w:hAnsi="宋体" w:cs="宋体" w:eastAsia="宋体" w:hint="default"/>
                <w:sz w:val="18"/>
                <w:szCs w:val="18"/>
              </w:rPr>
            </w:pPr>
            <w:r>
              <w:rPr>
                <w:rFonts w:ascii="宋体" w:hAnsi="宋体" w:cs="宋体" w:eastAsia="宋体" w:hint="default"/>
                <w:sz w:val="18"/>
                <w:szCs w:val="18"/>
              </w:rPr>
              <w:t>与公司日常经营活动无 关的政府补助</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138,253.60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8"/>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14,758,044.66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w w:val="95"/>
                <w:sz w:val="18"/>
              </w:rPr>
              <w:t>7.58%</w:t>
            </w:r>
            <w:r>
              <w:rPr>
                <w:rFonts w:ascii="Times New Roman"/>
                <w:sz w:val="18"/>
              </w:rPr>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105" w:right="255"/>
              <w:jc w:val="left"/>
              <w:rPr>
                <w:rFonts w:ascii="宋体" w:hAnsi="宋体" w:cs="宋体" w:eastAsia="宋体" w:hint="default"/>
                <w:sz w:val="18"/>
                <w:szCs w:val="18"/>
              </w:rPr>
            </w:pPr>
            <w:r>
              <w:rPr>
                <w:rFonts w:ascii="宋体" w:hAnsi="宋体" w:cs="宋体" w:eastAsia="宋体" w:hint="default"/>
                <w:sz w:val="18"/>
                <w:szCs w:val="18"/>
              </w:rPr>
              <w:t>与公司日常经营活动相 关的政府补助</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05" w:right="91"/>
              <w:jc w:val="left"/>
              <w:rPr>
                <w:rFonts w:ascii="宋体" w:hAnsi="宋体" w:cs="宋体" w:eastAsia="宋体" w:hint="default"/>
                <w:sz w:val="18"/>
                <w:szCs w:val="18"/>
              </w:rPr>
            </w:pPr>
            <w:r>
              <w:rPr>
                <w:rFonts w:ascii="宋体" w:hAnsi="宋体" w:cs="宋体" w:eastAsia="宋体" w:hint="default"/>
                <w:sz w:val="18"/>
                <w:szCs w:val="18"/>
              </w:rPr>
              <w:t>属于增值税即征即退部分 </w:t>
            </w:r>
            <w:r>
              <w:rPr>
                <w:rFonts w:ascii="宋体" w:hAnsi="宋体" w:cs="宋体" w:eastAsia="宋体" w:hint="default"/>
                <w:spacing w:val="-3"/>
                <w:sz w:val="18"/>
                <w:szCs w:val="18"/>
              </w:rPr>
              <w:t>具有可持续性，其余部分不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具有可持续性。</w:t>
            </w:r>
          </w:p>
        </w:tc>
      </w:tr>
      <w:tr>
        <w:trPr>
          <w:trHeight w:val="705"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-7,975,185.96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-4.09%</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05" w:right="255"/>
              <w:jc w:val="left"/>
              <w:rPr>
                <w:rFonts w:ascii="宋体" w:hAnsi="宋体" w:cs="宋体" w:eastAsia="宋体" w:hint="default"/>
                <w:sz w:val="18"/>
                <w:szCs w:val="18"/>
              </w:rPr>
            </w:pPr>
            <w:r>
              <w:rPr>
                <w:rFonts w:ascii="宋体" w:hAnsi="宋体" w:cs="宋体" w:eastAsia="宋体" w:hint="default"/>
                <w:sz w:val="18"/>
                <w:szCs w:val="18"/>
              </w:rPr>
              <w:t>计提的应收账款及其他 应收款坏账准备</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24"/>
          <w:szCs w:val="24"/>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8"/>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2238"/>
        <w:gridCol w:w="2253"/>
        <w:gridCol w:w="796"/>
        <w:gridCol w:w="2929"/>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2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157"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2929" w:type="dxa"/>
            <w:vMerge w:val="restart"/>
            <w:tcBorders>
              <w:top w:val="single" w:sz="6" w:space="0" w:color="000000"/>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2"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633,644,562.5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474,556,354.49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5.52%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主要原因系报告期销售回款较上年 增长所致。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393,767,716.9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21.75%</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320,263,778.44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19.89%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1.86%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197,416,432.4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151,342,880.49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9.40%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73,859,459.36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75,220,907.64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-0.59%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236,548,483.2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257,252,488.54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15.98%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1,091,987.07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1,236,854.70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31,200,000.00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0.85%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19,239,000.00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115,695,725.48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7.19%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-7.19%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
              <w:jc w:val="left"/>
              <w:rPr>
                <w:rFonts w:ascii="宋体" w:hAnsi="宋体" w:cs="宋体" w:eastAsia="宋体" w:hint="default"/>
                <w:sz w:val="18"/>
                <w:szCs w:val="18"/>
              </w:rPr>
            </w:pPr>
            <w:r>
              <w:rPr>
                <w:rFonts w:ascii="宋体" w:hAnsi="宋体" w:cs="宋体" w:eastAsia="宋体" w:hint="default"/>
                <w:sz w:val="18"/>
                <w:szCs w:val="18"/>
              </w:rPr>
              <w:t>主要原因系报告期公司收回年初到 期的银行理财产品本金及利息所致。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34,320,874.34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25,980,229.64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1.61%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主要原因系报告期公司购买软件所 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主要原因系报告期应收银行承兑汇 票到期承兑所致。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12,352,085.91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18,396,913.50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主要原因系应收押金保证金减少所 致。</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26,570,000.00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主要原因系子公司西藏浩云投资宁 波清科嘉豪和嘉投资管理合伙企业</w:t>
            </w:r>
          </w:p>
          <w:p>
            <w:pPr>
              <w:pStyle w:val="TableParagraph"/>
              <w:spacing w:line="240" w:lineRule="auto" w:before="18"/>
              <w:ind w:left="30"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196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28,323,880.81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5,530,382.01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6"/>
              <w:jc w:val="left"/>
              <w:rPr>
                <w:rFonts w:ascii="宋体" w:hAnsi="宋体" w:cs="宋体" w:eastAsia="宋体" w:hint="default"/>
                <w:sz w:val="18"/>
                <w:szCs w:val="18"/>
              </w:rPr>
            </w:pPr>
            <w:r>
              <w:rPr>
                <w:rFonts w:ascii="宋体" w:hAnsi="宋体" w:cs="宋体" w:eastAsia="宋体" w:hint="default"/>
                <w:spacing w:val="-1"/>
                <w:sz w:val="18"/>
                <w:szCs w:val="18"/>
              </w:rPr>
              <w:t>主要原因系与年初相比，报告期公司</w:t>
            </w:r>
            <w:r>
              <w:rPr>
                <w:rFonts w:ascii="宋体" w:hAnsi="宋体" w:cs="宋体" w:eastAsia="宋体" w:hint="default"/>
                <w:sz w:val="18"/>
                <w:szCs w:val="18"/>
              </w:rPr>
              <w:t> 增加了对研发项目软件定义物联网 </w:t>
            </w:r>
            <w:r>
              <w:rPr>
                <w:rFonts w:ascii="宋体" w:hAnsi="宋体" w:cs="宋体" w:eastAsia="宋体" w:hint="default"/>
                <w:spacing w:val="-1"/>
                <w:sz w:val="18"/>
                <w:szCs w:val="18"/>
              </w:rPr>
              <w:t>应用平台开发阶段的支出，并新增了</w:t>
            </w:r>
            <w:r>
              <w:rPr>
                <w:rFonts w:ascii="宋体" w:hAnsi="宋体" w:cs="宋体" w:eastAsia="宋体" w:hint="default"/>
                <w:sz w:val="18"/>
                <w:szCs w:val="18"/>
              </w:rPr>
              <w:t> 对研发项目物联网智慧管理平台</w:t>
            </w:r>
          </w:p>
          <w:p>
            <w:pPr>
              <w:pStyle w:val="TableParagraph"/>
              <w:spacing w:line="288" w:lineRule="auto" w:before="18"/>
              <w:ind w:left="30"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IOTMP)</w:t>
            </w:r>
            <w:r>
              <w:rPr>
                <w:rFonts w:ascii="宋体" w:hAnsi="宋体" w:cs="宋体" w:eastAsia="宋体" w:hint="default"/>
                <w:sz w:val="18"/>
                <w:szCs w:val="18"/>
              </w:rPr>
              <w:t>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移动端开发阶段</w:t>
            </w:r>
            <w:r>
              <w:rPr>
                <w:rFonts w:ascii="宋体" w:hAnsi="宋体" w:cs="宋体" w:eastAsia="宋体" w:hint="default"/>
                <w:spacing w:val="-88"/>
                <w:sz w:val="18"/>
                <w:szCs w:val="18"/>
              </w:rPr>
              <w:t> </w:t>
            </w:r>
            <w:r>
              <w:rPr>
                <w:rFonts w:ascii="宋体" w:hAnsi="宋体" w:cs="宋体" w:eastAsia="宋体" w:hint="default"/>
                <w:sz w:val="18"/>
                <w:szCs w:val="18"/>
              </w:rPr>
              <w:t>的支出。</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3,398,337.90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2,170,623.63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both"/>
              <w:rPr>
                <w:rFonts w:ascii="宋体" w:hAnsi="宋体" w:cs="宋体" w:eastAsia="宋体" w:hint="default"/>
                <w:sz w:val="18"/>
                <w:szCs w:val="18"/>
              </w:rPr>
            </w:pPr>
            <w:r>
              <w:rPr>
                <w:rFonts w:ascii="宋体" w:hAnsi="宋体" w:cs="宋体" w:eastAsia="宋体" w:hint="default"/>
                <w:sz w:val="18"/>
                <w:szCs w:val="18"/>
              </w:rPr>
              <w:t>主要原因系报告期子公司深圳市润 安科技发展有限公司装修新办公室 所致。</w:t>
            </w:r>
          </w:p>
        </w:tc>
      </w:tr>
    </w:tbl>
    <w:p>
      <w:pPr>
        <w:spacing w:after="0" w:line="321" w:lineRule="auto"/>
        <w:jc w:val="both"/>
        <w:rPr>
          <w:rFonts w:ascii="宋体" w:hAnsi="宋体" w:cs="宋体" w:eastAsia="宋体"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20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20,559,706.97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8,842,742.36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31"/>
              <w:jc w:val="left"/>
              <w:rPr>
                <w:rFonts w:ascii="宋体" w:hAnsi="宋体" w:cs="宋体" w:eastAsia="宋体" w:hint="default"/>
                <w:sz w:val="18"/>
                <w:szCs w:val="18"/>
              </w:rPr>
            </w:pPr>
            <w:r>
              <w:rPr>
                <w:rFonts w:ascii="宋体" w:hAnsi="宋体" w:cs="宋体" w:eastAsia="宋体" w:hint="default"/>
                <w:sz w:val="18"/>
                <w:szCs w:val="18"/>
              </w:rPr>
              <w:t>主要原因系报告期应收账款坏账准 </w:t>
            </w:r>
            <w:r>
              <w:rPr>
                <w:rFonts w:ascii="宋体" w:hAnsi="宋体" w:cs="宋体" w:eastAsia="宋体" w:hint="default"/>
                <w:spacing w:val="-2"/>
                <w:sz w:val="18"/>
                <w:szCs w:val="18"/>
              </w:rPr>
              <w:t>备增加，存货跌价准备增加，股权激</w:t>
            </w:r>
            <w:r>
              <w:rPr>
                <w:rFonts w:ascii="宋体" w:hAnsi="宋体" w:cs="宋体" w:eastAsia="宋体" w:hint="default"/>
                <w:sz w:val="18"/>
                <w:szCs w:val="18"/>
              </w:rPr>
              <w:t> 励费用增加所形成的递延所得税资 产相应增加以及内部销售未实现损 益确认递延所得税资产所致。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1,096,100.43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主要原因系公司预付的购买软件款 项所致。</w:t>
            </w:r>
          </w:p>
        </w:tc>
      </w:tr>
    </w:tbl>
    <w:p>
      <w:pPr>
        <w:spacing w:line="240" w:lineRule="auto" w:before="2"/>
        <w:rPr>
          <w:rFonts w:ascii="Times New Roman" w:hAnsi="Times New Roman" w:cs="Times New Roman" w:eastAsia="Times New Roman" w:hint="default"/>
          <w:sz w:val="29"/>
          <w:szCs w:val="29"/>
        </w:rPr>
      </w:pPr>
    </w:p>
    <w:p>
      <w:pPr>
        <w:pStyle w:val="Heading3"/>
        <w:spacing w:line="240" w:lineRule="auto" w:before="35"/>
        <w:ind w:left="221" w:right="1108"/>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221" w:right="1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8"/>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976"/>
        <w:gridCol w:w="1157"/>
        <w:gridCol w:w="931"/>
        <w:gridCol w:w="1202"/>
        <w:gridCol w:w="931"/>
        <w:gridCol w:w="1187"/>
        <w:gridCol w:w="1066"/>
        <w:gridCol w:w="917"/>
        <w:gridCol w:w="1216"/>
      </w:tblGrid>
      <w:tr>
        <w:trPr>
          <w:trHeight w:val="1036" w:hRule="exact"/>
        </w:trPr>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8"/>
              <w:jc w:val="right"/>
              <w:rPr>
                <w:rFonts w:ascii="宋体" w:hAnsi="宋体" w:cs="宋体" w:eastAsia="宋体" w:hint="default"/>
                <w:sz w:val="18"/>
                <w:szCs w:val="18"/>
              </w:rPr>
            </w:pPr>
            <w:r>
              <w:rPr>
                <w:rFonts w:ascii="宋体" w:hAnsi="宋体" w:cs="宋体" w:eastAsia="宋体" w:hint="default"/>
                <w:sz w:val="18"/>
                <w:szCs w:val="18"/>
              </w:rPr>
              <w:t>项目</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0" w:right="105"/>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44"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79" w:right="105"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4"/>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1"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20" w:hRule="exact"/>
        </w:trPr>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43"/>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18,000,000.00</w:t>
            </w:r>
          </w:p>
        </w:tc>
        <w:tc>
          <w:tcPr>
            <w:tcW w:w="93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8,190,000.00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380,000.00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26,570,000.00</w:t>
            </w:r>
          </w:p>
        </w:tc>
      </w:tr>
      <w:tr>
        <w:trPr>
          <w:trHeight w:val="405" w:hRule="exact"/>
        </w:trPr>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18,000,000.00</w:t>
            </w:r>
          </w:p>
        </w:tc>
        <w:tc>
          <w:tcPr>
            <w:tcW w:w="93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8,190,000.00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380,000.00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26,570,000.00</w:t>
            </w:r>
          </w:p>
        </w:tc>
      </w:tr>
      <w:tr>
        <w:trPr>
          <w:trHeight w:val="391" w:hRule="exact"/>
        </w:trPr>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5"/>
          <w:szCs w:val="5"/>
        </w:rPr>
      </w:pPr>
    </w:p>
    <w:p>
      <w:pPr>
        <w:pStyle w:val="BodyText"/>
        <w:spacing w:line="240" w:lineRule="auto" w:before="44"/>
        <w:ind w:left="221" w:right="0"/>
        <w:jc w:val="both"/>
      </w:pPr>
      <w:r>
        <w:rPr/>
        <w:t>其他变动的内容</w:t>
      </w:r>
    </w:p>
    <w:p>
      <w:pPr>
        <w:spacing w:line="240" w:lineRule="auto" w:before="2"/>
        <w:rPr>
          <w:rFonts w:ascii="宋体" w:hAnsi="宋体" w:cs="宋体" w:eastAsia="宋体" w:hint="default"/>
          <w:sz w:val="22"/>
          <w:szCs w:val="22"/>
        </w:rPr>
      </w:pPr>
    </w:p>
    <w:p>
      <w:pPr>
        <w:pStyle w:val="BodyText"/>
        <w:spacing w:line="448" w:lineRule="auto"/>
        <w:ind w:left="221" w:right="1155"/>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日，公司处置湖北浩威保安服务有限公司（原名：武汉浩立威保安服务有限公司）</w:t>
      </w:r>
      <w:r>
        <w:rPr>
          <w:rFonts w:ascii="Times New Roman" w:hAnsi="Times New Roman" w:cs="Times New Roman" w:eastAsia="Times New Roman" w:hint="default"/>
        </w:rPr>
        <w:t>81%</w:t>
      </w:r>
      <w:r>
        <w:rPr/>
        <w:t>的股权，丧失对湖北浩</w:t>
      </w:r>
      <w:r>
        <w:rPr>
          <w:spacing w:val="-83"/>
        </w:rPr>
        <w:t> </w:t>
      </w:r>
      <w:r>
        <w:rPr/>
        <w:t>威保安服务有限公司（原名：武汉浩立威保安服务有限公司）的控制权，对其剩余</w:t>
      </w:r>
      <w:r>
        <w:rPr>
          <w:rFonts w:ascii="Times New Roman" w:hAnsi="Times New Roman" w:cs="Times New Roman" w:eastAsia="Times New Roman" w:hint="default"/>
        </w:rPr>
        <w:t>19%</w:t>
      </w:r>
      <w:r>
        <w:rPr/>
        <w:t>股权的账面价值</w:t>
      </w:r>
      <w:r>
        <w:rPr>
          <w:rFonts w:ascii="Times New Roman" w:hAnsi="Times New Roman" w:cs="Times New Roman" w:eastAsia="Times New Roman" w:hint="default"/>
        </w:rPr>
        <w:t>380,000.00</w:t>
      </w:r>
      <w:r>
        <w:rPr/>
        <w:t>元由长期</w:t>
      </w:r>
      <w:r>
        <w:rPr>
          <w:spacing w:val="-80"/>
        </w:rPr>
        <w:t> </w:t>
      </w:r>
      <w:r>
        <w:rPr/>
        <w:t>股权投资转入其他非流动金融资产科目列示。</w:t>
      </w:r>
    </w:p>
    <w:p>
      <w:pPr>
        <w:pStyle w:val="BodyText"/>
        <w:spacing w:line="240" w:lineRule="auto" w:before="103"/>
        <w:ind w:left="221" w:right="0"/>
        <w:jc w:val="both"/>
      </w:pPr>
      <w:r>
        <w:rPr/>
        <w:t>报告期内公司主要资产计量属性是否发生重大变化</w:t>
      </w:r>
    </w:p>
    <w:p>
      <w:pPr>
        <w:spacing w:line="240" w:lineRule="auto" w:before="0"/>
        <w:rPr>
          <w:rFonts w:ascii="宋体" w:hAnsi="宋体" w:cs="宋体" w:eastAsia="宋体" w:hint="default"/>
          <w:sz w:val="21"/>
          <w:szCs w:val="21"/>
        </w:rPr>
      </w:pPr>
    </w:p>
    <w:p>
      <w:pPr>
        <w:pStyle w:val="BodyText"/>
        <w:spacing w:line="240" w:lineRule="auto"/>
        <w:ind w:left="221"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left="221" w:right="0"/>
        <w:jc w:val="both"/>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221" w:right="0"/>
        <w:jc w:val="both"/>
      </w:pPr>
      <w:r>
        <w:rPr/>
        <w:t>（</w:t>
      </w:r>
      <w:r>
        <w:rPr>
          <w:rFonts w:ascii="Times New Roman" w:hAnsi="Times New Roman" w:cs="Times New Roman" w:eastAsia="Times New Roman" w:hint="default"/>
        </w:rPr>
        <w:t>1</w:t>
      </w:r>
      <w:r>
        <w:rPr/>
        <w:t>）明细情况</w:t>
      </w:r>
    </w:p>
    <w:p>
      <w:pPr>
        <w:spacing w:line="240" w:lineRule="auto" w:before="9"/>
        <w:rPr>
          <w:rFonts w:ascii="宋体" w:hAnsi="宋体" w:cs="宋体" w:eastAsia="宋体" w:hint="default"/>
          <w:sz w:val="17"/>
          <w:szCs w:val="17"/>
        </w:rPr>
      </w:pPr>
    </w:p>
    <w:p>
      <w:pPr>
        <w:pStyle w:val="BodyText"/>
        <w:spacing w:line="240" w:lineRule="auto"/>
        <w:ind w:left="0" w:right="1110"/>
        <w:jc w:val="right"/>
      </w:pPr>
      <w:r>
        <w:rPr/>
        <w:t>单位</w:t>
      </w:r>
      <w:r>
        <w:rPr>
          <w:spacing w:val="-76"/>
        </w:rPr>
        <w:t>：</w:t>
      </w:r>
      <w:r>
        <w:rPr/>
        <w:t>元</w:t>
      </w: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598"/>
        <w:gridCol w:w="3334"/>
        <w:gridCol w:w="3935"/>
      </w:tblGrid>
      <w:tr>
        <w:trPr>
          <w:trHeight w:val="405" w:hRule="exact"/>
        </w:trPr>
        <w:tc>
          <w:tcPr>
            <w:tcW w:w="25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7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9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1"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0"/>
              <w:jc w:val="right"/>
              <w:rPr>
                <w:rFonts w:ascii="Times New Roman" w:hAnsi="Times New Roman" w:cs="Times New Roman" w:eastAsia="Times New Roman" w:hint="default"/>
                <w:sz w:val="18"/>
                <w:szCs w:val="18"/>
              </w:rPr>
            </w:pPr>
            <w:r>
              <w:rPr>
                <w:rFonts w:ascii="Times New Roman"/>
                <w:sz w:val="18"/>
              </w:rPr>
              <w:t>11,076,104.02</w:t>
            </w:r>
          </w:p>
        </w:tc>
        <w:tc>
          <w:tcPr>
            <w:tcW w:w="3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center"/>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405"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
              <w:jc w:val="right"/>
              <w:rPr>
                <w:rFonts w:ascii="Times New Roman" w:hAnsi="Times New Roman" w:cs="Times New Roman" w:eastAsia="Times New Roman" w:hint="default"/>
                <w:sz w:val="18"/>
                <w:szCs w:val="18"/>
              </w:rPr>
            </w:pPr>
            <w:r>
              <w:rPr>
                <w:rFonts w:ascii="Times New Roman"/>
                <w:sz w:val="18"/>
              </w:rPr>
              <w:t>58,300,000.00</w:t>
            </w:r>
          </w:p>
        </w:tc>
        <w:tc>
          <w:tcPr>
            <w:tcW w:w="3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长期借款质押</w:t>
            </w:r>
          </w:p>
        </w:tc>
      </w:tr>
    </w:tbl>
    <w:p>
      <w:pPr>
        <w:spacing w:after="0" w:line="240" w:lineRule="auto"/>
        <w:jc w:val="center"/>
        <w:rPr>
          <w:rFonts w:ascii="宋体" w:hAnsi="宋体" w:cs="宋体" w:eastAsia="宋体" w:hint="default"/>
          <w:sz w:val="18"/>
          <w:szCs w:val="18"/>
        </w:rPr>
        <w:sectPr>
          <w:pgSz w:w="11910" w:h="16850"/>
          <w:pgMar w:header="776" w:footer="1026" w:top="1100" w:bottom="1220" w:left="920" w:right="0"/>
        </w:sectPr>
      </w:pPr>
    </w:p>
    <w:p>
      <w:pPr>
        <w:spacing w:line="240" w:lineRule="auto" w:before="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598"/>
        <w:gridCol w:w="3334"/>
        <w:gridCol w:w="3935"/>
      </w:tblGrid>
      <w:tr>
        <w:trPr>
          <w:trHeight w:val="390" w:hRule="exact"/>
        </w:trPr>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7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93" w:right="0"/>
              <w:jc w:val="left"/>
              <w:rPr>
                <w:rFonts w:ascii="Times New Roman" w:hAnsi="Times New Roman" w:cs="Times New Roman" w:eastAsia="Times New Roman" w:hint="default"/>
                <w:sz w:val="18"/>
                <w:szCs w:val="18"/>
              </w:rPr>
            </w:pPr>
            <w:r>
              <w:rPr>
                <w:rFonts w:ascii="Times New Roman"/>
                <w:sz w:val="18"/>
              </w:rPr>
              <w:t>69,376,104.02</w:t>
            </w:r>
          </w:p>
        </w:tc>
        <w:tc>
          <w:tcPr>
            <w:tcW w:w="393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90"/>
        <w:ind w:left="221" w:right="1108"/>
        <w:jc w:val="left"/>
      </w:pPr>
      <w:r>
        <w:rPr/>
        <w:t>（</w:t>
      </w:r>
      <w:r>
        <w:rPr>
          <w:rFonts w:ascii="Times New Roman" w:hAnsi="Times New Roman" w:cs="Times New Roman" w:eastAsia="Times New Roman" w:hint="default"/>
        </w:rPr>
        <w:t>2</w:t>
      </w:r>
      <w:r>
        <w:rPr/>
        <w:t>）其他说明</w:t>
      </w:r>
    </w:p>
    <w:p>
      <w:pPr>
        <w:spacing w:line="240" w:lineRule="auto" w:before="9"/>
        <w:rPr>
          <w:rFonts w:ascii="宋体" w:hAnsi="宋体" w:cs="宋体" w:eastAsia="宋体" w:hint="default"/>
          <w:sz w:val="17"/>
          <w:szCs w:val="17"/>
        </w:rPr>
      </w:pPr>
    </w:p>
    <w:p>
      <w:pPr>
        <w:pStyle w:val="BodyText"/>
        <w:spacing w:line="448" w:lineRule="auto"/>
        <w:ind w:left="221" w:right="1108"/>
        <w:jc w:val="left"/>
      </w:pPr>
      <w:r>
        <w:rPr/>
        <w:t>公司与招商银行股份有限公司广州分行签订编号为</w:t>
      </w:r>
      <w:r>
        <w:rPr>
          <w:rFonts w:ascii="Times New Roman" w:hAnsi="Times New Roman" w:cs="Times New Roman" w:eastAsia="Times New Roman" w:hint="default"/>
        </w:rPr>
        <w:t>120563HT2018102401-1</w:t>
      </w:r>
      <w:r>
        <w:rPr/>
        <w:t>的质押合同，以广东冠网信息科技有限公司</w:t>
      </w:r>
      <w:r>
        <w:rPr>
          <w:rFonts w:ascii="Times New Roman" w:hAnsi="Times New Roman" w:cs="Times New Roman" w:eastAsia="Times New Roman" w:hint="default"/>
        </w:rPr>
        <w:t>53%</w:t>
      </w:r>
      <w:r>
        <w:rPr>
          <w:rFonts w:ascii="Times New Roman" w:hAnsi="Times New Roman" w:cs="Times New Roman" w:eastAsia="Times New Roman" w:hint="default"/>
          <w:spacing w:val="-22"/>
        </w:rPr>
        <w:t> </w:t>
      </w:r>
      <w:r>
        <w:rPr/>
        <w:t>的股权作为质押物进行借款质押。</w:t>
      </w:r>
    </w:p>
    <w:p>
      <w:pPr>
        <w:spacing w:line="240" w:lineRule="auto" w:before="7"/>
        <w:rPr>
          <w:rFonts w:ascii="宋体" w:hAnsi="宋体" w:cs="宋体" w:eastAsia="宋体" w:hint="default"/>
          <w:sz w:val="25"/>
          <w:szCs w:val="25"/>
        </w:rPr>
      </w:pPr>
    </w:p>
    <w:p>
      <w:pPr>
        <w:pStyle w:val="Heading2"/>
        <w:spacing w:line="240" w:lineRule="auto"/>
        <w:ind w:left="221" w:right="1108"/>
        <w:jc w:val="left"/>
        <w:rPr>
          <w:b w:val="0"/>
          <w:bCs w:val="0"/>
        </w:rPr>
      </w:pPr>
      <w:bookmarkStart w:name="五、投资状况分析" w:id="44"/>
      <w:bookmarkEnd w:id="44"/>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left="221" w:right="1108"/>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221" w:right="1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14"/>
          <w:szCs w:val="14"/>
        </w:rPr>
      </w:pPr>
    </w:p>
    <w:tbl>
      <w:tblPr>
        <w:tblW w:w="0" w:type="auto"/>
        <w:jc w:val="left"/>
        <w:tblInd w:w="20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17" w:right="0"/>
              <w:jc w:val="left"/>
              <w:rPr>
                <w:rFonts w:ascii="Times New Roman" w:hAnsi="Times New Roman" w:cs="Times New Roman" w:eastAsia="Times New Roman" w:hint="default"/>
                <w:sz w:val="18"/>
                <w:szCs w:val="18"/>
              </w:rPr>
            </w:pPr>
            <w:r>
              <w:rPr>
                <w:rFonts w:ascii="Times New Roman"/>
                <w:sz w:val="18"/>
              </w:rPr>
              <w:t>20,790,000.00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66,300,000.00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-68.64%</w:t>
            </w:r>
          </w:p>
        </w:tc>
      </w:tr>
    </w:tbl>
    <w:p>
      <w:pPr>
        <w:spacing w:line="240" w:lineRule="auto" w:before="8"/>
        <w:rPr>
          <w:rFonts w:ascii="宋体" w:hAnsi="宋体" w:cs="宋体" w:eastAsia="宋体" w:hint="default"/>
          <w:sz w:val="25"/>
          <w:szCs w:val="25"/>
        </w:rPr>
      </w:pPr>
    </w:p>
    <w:p>
      <w:pPr>
        <w:pStyle w:val="Heading3"/>
        <w:spacing w:line="240" w:lineRule="auto" w:before="35"/>
        <w:ind w:left="221" w:right="1108"/>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221" w:right="1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7"/>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691"/>
        <w:gridCol w:w="691"/>
        <w:gridCol w:w="676"/>
        <w:gridCol w:w="661"/>
        <w:gridCol w:w="661"/>
        <w:gridCol w:w="661"/>
        <w:gridCol w:w="661"/>
        <w:gridCol w:w="660"/>
        <w:gridCol w:w="646"/>
        <w:gridCol w:w="631"/>
        <w:gridCol w:w="751"/>
        <w:gridCol w:w="736"/>
        <w:gridCol w:w="721"/>
        <w:gridCol w:w="736"/>
      </w:tblGrid>
      <w:tr>
        <w:trPr>
          <w:trHeight w:val="1021"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60" w:right="7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4" w:right="5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60" w:hanging="181"/>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60"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9"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5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2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05" w:right="8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75"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90" w:right="8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97"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15" w:right="14"/>
              <w:jc w:val="left"/>
              <w:rPr>
                <w:rFonts w:ascii="宋体" w:hAnsi="宋体" w:cs="宋体" w:eastAsia="宋体" w:hint="default"/>
                <w:sz w:val="18"/>
                <w:szCs w:val="18"/>
              </w:rPr>
            </w:pPr>
            <w:r>
              <w:rPr>
                <w:rFonts w:ascii="宋体" w:hAnsi="宋体" w:cs="宋体" w:eastAsia="宋体" w:hint="default"/>
                <w:sz w:val="18"/>
                <w:szCs w:val="18"/>
              </w:rPr>
              <w:t>宁波清 科嘉豪 和嘉投 资管理 合伙企 </w:t>
            </w:r>
            <w:r>
              <w:rPr>
                <w:rFonts w:ascii="宋体" w:hAnsi="宋体" w:cs="宋体" w:eastAsia="宋体" w:hint="default"/>
                <w:spacing w:val="-19"/>
                <w:sz w:val="18"/>
                <w:szCs w:val="18"/>
              </w:rPr>
              <w:t>业（有限</w:t>
            </w:r>
            <w:r>
              <w:rPr>
                <w:rFonts w:ascii="宋体" w:hAnsi="宋体" w:cs="宋体" w:eastAsia="宋体" w:hint="default"/>
                <w:sz w:val="18"/>
                <w:szCs w:val="18"/>
              </w:rPr>
              <w:t> 合伙）</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4" w:lineRule="auto"/>
              <w:ind w:left="30" w:right="13"/>
              <w:jc w:val="left"/>
              <w:rPr>
                <w:rFonts w:ascii="宋体" w:hAnsi="宋体" w:cs="宋体" w:eastAsia="宋体" w:hint="default"/>
                <w:sz w:val="18"/>
                <w:szCs w:val="18"/>
              </w:rPr>
            </w:pPr>
            <w:r>
              <w:rPr>
                <w:rFonts w:ascii="宋体" w:hAnsi="宋体" w:cs="宋体" w:eastAsia="宋体" w:hint="default"/>
                <w:sz w:val="18"/>
                <w:szCs w:val="18"/>
              </w:rPr>
              <w:t>投资管 </w:t>
            </w:r>
            <w:r>
              <w:rPr>
                <w:rFonts w:ascii="宋体" w:hAnsi="宋体" w:cs="宋体" w:eastAsia="宋体" w:hint="default"/>
                <w:spacing w:val="-23"/>
                <w:sz w:val="18"/>
                <w:szCs w:val="18"/>
              </w:rPr>
              <w:t>理；资产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其他</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21" w:lineRule="auto"/>
              <w:ind w:left="14"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杭州清 科投资 管理有 限公 司，嘉 豪（北 京）投 资有限 公司</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21" w:lineRule="auto"/>
              <w:ind w:left="15" w:right="7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132,966.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4"/>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7" w:lineRule="auto" w:before="86"/>
              <w:ind w:left="30" w:right="28"/>
              <w:jc w:val="left"/>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spacing w:val="-43"/>
                <w:sz w:val="18"/>
              </w:rPr>
              <w:t> </w:t>
            </w:r>
            <w:r>
              <w:rPr>
                <w:rFonts w:ascii="Times New Roman"/>
                <w:spacing w:val="-43"/>
                <w:sz w:val="18"/>
              </w:rPr>
            </w:r>
            <w:r>
              <w:rPr>
                <w:rFonts w:ascii="Times New Roman"/>
                <w:spacing w:val="-2"/>
                <w:sz w:val="18"/>
              </w:rPr>
              <w:t>ww.cninf</w:t>
            </w:r>
            <w:r>
              <w:rPr>
                <w:rFonts w:ascii="Times New Roman"/>
                <w:sz w:val="18"/>
              </w:rPr>
              <w:t> o.com.cn</w:t>
            </w:r>
          </w:p>
          <w:p>
            <w:pPr>
              <w:pStyle w:val="TableParagraph"/>
              <w:spacing w:line="189" w:lineRule="exact"/>
              <w:ind w:left="30" w:right="0"/>
              <w:jc w:val="left"/>
              <w:rPr>
                <w:rFonts w:ascii="宋体" w:hAnsi="宋体" w:cs="宋体" w:eastAsia="宋体" w:hint="default"/>
                <w:sz w:val="18"/>
                <w:szCs w:val="18"/>
              </w:rPr>
            </w:pPr>
            <w:r>
              <w:rPr>
                <w:rFonts w:ascii="宋体" w:hAnsi="宋体" w:cs="宋体" w:eastAsia="宋体" w:hint="default"/>
                <w:spacing w:val="-15"/>
                <w:sz w:val="18"/>
                <w:szCs w:val="18"/>
              </w:rPr>
              <w:t>，公告编</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36"/>
              <w:ind w:left="30" w:right="0"/>
              <w:jc w:val="left"/>
              <w:rPr>
                <w:rFonts w:ascii="Times New Roman" w:hAnsi="Times New Roman" w:cs="Times New Roman" w:eastAsia="Times New Roman" w:hint="default"/>
                <w:sz w:val="18"/>
                <w:szCs w:val="18"/>
              </w:rPr>
            </w:pPr>
            <w:r>
              <w:rPr>
                <w:rFonts w:ascii="Times New Roman"/>
                <w:sz w:val="18"/>
              </w:rPr>
              <w:t>2018-01</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1651"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5" w:right="120"/>
              <w:jc w:val="both"/>
              <w:rPr>
                <w:rFonts w:ascii="宋体" w:hAnsi="宋体" w:cs="宋体" w:eastAsia="宋体" w:hint="default"/>
                <w:sz w:val="18"/>
                <w:szCs w:val="18"/>
              </w:rPr>
            </w:pPr>
            <w:r>
              <w:rPr>
                <w:rFonts w:ascii="宋体" w:hAnsi="宋体" w:cs="宋体" w:eastAsia="宋体" w:hint="default"/>
                <w:sz w:val="18"/>
                <w:szCs w:val="18"/>
              </w:rPr>
              <w:t>甲壳云 计算有 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103"/>
              <w:jc w:val="both"/>
              <w:rPr>
                <w:rFonts w:ascii="宋体" w:hAnsi="宋体" w:cs="宋体" w:eastAsia="宋体" w:hint="default"/>
                <w:sz w:val="18"/>
                <w:szCs w:val="18"/>
              </w:rPr>
            </w:pPr>
            <w:r>
              <w:rPr>
                <w:rFonts w:ascii="宋体" w:hAnsi="宋体" w:cs="宋体" w:eastAsia="宋体" w:hint="default"/>
                <w:sz w:val="18"/>
                <w:szCs w:val="18"/>
              </w:rPr>
              <w:t>物联网 技术开 发与应 用</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0"/>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7" w:lineRule="auto"/>
              <w:ind w:left="14" w:right="89"/>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钟英华</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长期</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7" w:lineRule="auto"/>
              <w:ind w:left="15" w:right="75"/>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1,203,33</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8.11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4"/>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64" w:lineRule="auto" w:before="86"/>
              <w:ind w:left="30" w:right="28"/>
              <w:jc w:val="left"/>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spacing w:val="-43"/>
                <w:sz w:val="18"/>
              </w:rPr>
              <w:t> </w:t>
            </w:r>
            <w:r>
              <w:rPr>
                <w:rFonts w:ascii="Times New Roman"/>
                <w:spacing w:val="-43"/>
                <w:sz w:val="18"/>
              </w:rPr>
            </w:r>
            <w:r>
              <w:rPr>
                <w:rFonts w:ascii="Times New Roman"/>
                <w:spacing w:val="-2"/>
                <w:sz w:val="18"/>
              </w:rPr>
              <w:t>ww.cninf</w:t>
            </w:r>
            <w:r>
              <w:rPr>
                <w:rFonts w:ascii="Times New Roman"/>
                <w:sz w:val="18"/>
              </w:rPr>
              <w:t> o.com.cn</w:t>
            </w:r>
          </w:p>
        </w:tc>
      </w:tr>
      <w:tr>
        <w:trPr>
          <w:trHeight w:val="706"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19,500,</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1,336,30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4.98</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76" w:footer="1026" w:top="1100" w:bottom="1220" w:left="92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15"/>
          <w:szCs w:val="15"/>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82"/>
        <w:gridCol w:w="902"/>
        <w:gridCol w:w="1096"/>
        <w:gridCol w:w="1171"/>
        <w:gridCol w:w="1202"/>
        <w:gridCol w:w="961"/>
        <w:gridCol w:w="946"/>
        <w:gridCol w:w="961"/>
        <w:gridCol w:w="961"/>
      </w:tblGrid>
      <w:tr>
        <w:trPr>
          <w:trHeight w:val="1036"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70" w:right="75"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29" w:hanging="181"/>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75" w:right="15"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0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8,190,000.00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132,966.87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26,570,000.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21" w:hRule="exact"/>
        </w:trPr>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8,190,000.00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132,966.87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26,570,000.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7"/>
        <w:rPr>
          <w:rFonts w:ascii="宋体" w:hAnsi="宋体" w:cs="宋体" w:eastAsia="宋体" w:hint="default"/>
          <w:sz w:val="16"/>
          <w:szCs w:val="16"/>
        </w:rPr>
      </w:pPr>
    </w:p>
    <w:p>
      <w:pPr>
        <w:pStyle w:val="BodyText"/>
        <w:spacing w:line="240" w:lineRule="auto" w:before="44"/>
        <w:ind w:left="0" w:right="1110"/>
        <w:jc w:val="right"/>
      </w:pPr>
      <w:r>
        <w:rPr/>
        <w:t>单位：万元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3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119"/>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34,457.4</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29,825.37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4,892.82</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19"/>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34,457.4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29,825.37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4,892.82</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50"/>
          <w:pgMar w:header="776" w:footer="1026" w:top="1100" w:bottom="1220" w:left="1000" w:right="0"/>
        </w:sectPr>
      </w:pPr>
    </w:p>
    <w:p>
      <w:pPr>
        <w:spacing w:line="240" w:lineRule="auto" w:before="8"/>
        <w:rPr>
          <w:rFonts w:ascii="宋体" w:hAnsi="宋体" w:cs="宋体" w:eastAsia="宋体" w:hint="default"/>
          <w:sz w:val="26"/>
          <w:szCs w:val="26"/>
        </w:rPr>
      </w:pPr>
    </w:p>
    <w:p>
      <w:pPr>
        <w:spacing w:line="3677" w:lineRule="exact"/>
        <w:ind w:left="134" w:right="0" w:firstLine="0"/>
        <w:rPr>
          <w:rFonts w:ascii="宋体" w:hAnsi="宋体" w:cs="宋体" w:eastAsia="宋体" w:hint="default"/>
          <w:sz w:val="20"/>
          <w:szCs w:val="20"/>
        </w:rPr>
      </w:pPr>
      <w:r>
        <w:rPr>
          <w:rFonts w:ascii="宋体" w:hAnsi="宋体" w:cs="宋体" w:eastAsia="宋体" w:hint="default"/>
          <w:position w:val="-73"/>
          <w:sz w:val="20"/>
          <w:szCs w:val="20"/>
        </w:rPr>
        <w:pict>
          <v:shape style="width:479.1pt;height:183.9pt;mso-position-horizontal-relative:char;mso-position-vertical-relative:line" type="#_x0000_t202" filled="false" stroked="true" strokeweight=".75pt" strokecolor="#000000">
            <w10:anchorlock/>
            <v:textbox inset="0,0,0,0">
              <w:txbxContent>
                <w:p>
                  <w:pPr>
                    <w:pStyle w:val="BodyText"/>
                    <w:spacing w:line="240" w:lineRule="auto" w:before="59"/>
                    <w:ind w:left="375" w:right="0"/>
                    <w:jc w:val="left"/>
                  </w:pPr>
                  <w:r>
                    <w:rPr/>
                    <w:t>公司经中国证券监督管理委员会证监许可</w:t>
                  </w:r>
                  <w:r>
                    <w:rPr>
                      <w:rFonts w:ascii="Times New Roman" w:hAnsi="Times New Roman" w:cs="Times New Roman" w:eastAsia="Times New Roman" w:hint="default"/>
                    </w:rPr>
                    <w:t>[2017] 560  </w:t>
                  </w:r>
                  <w:r>
                    <w:rPr/>
                    <w:t>号文核准，非公开发行人民币普通股 </w:t>
                  </w:r>
                  <w:r>
                    <w:rPr>
                      <w:rFonts w:ascii="Times New Roman" w:hAnsi="Times New Roman" w:cs="Times New Roman" w:eastAsia="Times New Roman" w:hint="default"/>
                    </w:rPr>
                    <w:t>15,945,368</w:t>
                  </w:r>
                  <w:r>
                    <w:rPr>
                      <w:rFonts w:ascii="Times New Roman" w:hAnsi="Times New Roman" w:cs="Times New Roman" w:eastAsia="Times New Roman" w:hint="default"/>
                      <w:spacing w:val="-20"/>
                    </w:rPr>
                    <w:t> </w:t>
                  </w:r>
                  <w:r>
                    <w:rPr>
                      <w:spacing w:val="-5"/>
                    </w:rPr>
                    <w:t>股，每股发行价</w:t>
                  </w:r>
                </w:p>
                <w:p>
                  <w:pPr>
                    <w:pStyle w:val="BodyText"/>
                    <w:spacing w:line="240" w:lineRule="auto" w:before="51"/>
                    <w:ind w:left="15" w:right="0"/>
                    <w:jc w:val="left"/>
                  </w:pPr>
                  <w:r>
                    <w:rPr/>
                    <w:t>格为人民币</w:t>
                  </w:r>
                  <w:r>
                    <w:rPr>
                      <w:spacing w:val="-56"/>
                    </w:rPr>
                    <w:t> </w:t>
                  </w:r>
                  <w:r>
                    <w:rPr>
                      <w:rFonts w:ascii="Times New Roman" w:hAnsi="Times New Roman" w:cs="Times New Roman" w:eastAsia="Times New Roman" w:hint="default"/>
                    </w:rPr>
                    <w:t>21.98</w:t>
                  </w:r>
                  <w:r>
                    <w:rPr>
                      <w:rFonts w:ascii="Times New Roman" w:hAnsi="Times New Roman" w:cs="Times New Roman" w:eastAsia="Times New Roman" w:hint="default"/>
                      <w:spacing w:val="-11"/>
                    </w:rPr>
                    <w:t> </w:t>
                  </w:r>
                  <w:r>
                    <w:rPr>
                      <w:spacing w:val="-4"/>
                    </w:rPr>
                    <w:t>元，募集资金总额为人民币</w:t>
                  </w:r>
                  <w:r>
                    <w:rPr>
                      <w:spacing w:val="-53"/>
                    </w:rPr>
                    <w:t> </w:t>
                  </w:r>
                  <w:r>
                    <w:rPr>
                      <w:rFonts w:ascii="Times New Roman" w:hAnsi="Times New Roman" w:cs="Times New Roman" w:eastAsia="Times New Roman" w:hint="default"/>
                    </w:rPr>
                    <w:t>35,047.92</w:t>
                  </w:r>
                  <w:r>
                    <w:rPr>
                      <w:rFonts w:ascii="Times New Roman" w:hAnsi="Times New Roman" w:cs="Times New Roman" w:eastAsia="Times New Roman" w:hint="default"/>
                      <w:spacing w:val="-10"/>
                    </w:rPr>
                    <w:t> </w:t>
                  </w:r>
                  <w:r>
                    <w:rPr/>
                    <w:t>万元，扣除发行费用及考虑发行费用相关的进项税后募集资金净额</w:t>
                  </w:r>
                </w:p>
                <w:p>
                  <w:pPr>
                    <w:pStyle w:val="BodyText"/>
                    <w:spacing w:line="304" w:lineRule="auto" w:before="66"/>
                    <w:ind w:left="15" w:right="46"/>
                    <w:jc w:val="left"/>
                  </w:pPr>
                  <w:r>
                    <w:rPr/>
                    <w:t>为人民币</w:t>
                  </w:r>
                  <w:r>
                    <w:rPr>
                      <w:spacing w:val="-44"/>
                    </w:rPr>
                    <w:t> </w:t>
                  </w:r>
                  <w:r>
                    <w:rPr>
                      <w:rFonts w:ascii="Times New Roman" w:hAnsi="Times New Roman" w:cs="Times New Roman" w:eastAsia="Times New Roman" w:hint="default"/>
                    </w:rPr>
                    <w:t>34,457.40</w:t>
                  </w:r>
                  <w:r>
                    <w:rPr>
                      <w:rFonts w:ascii="Times New Roman" w:hAnsi="Times New Roman" w:cs="Times New Roman" w:eastAsia="Times New Roman" w:hint="default"/>
                      <w:spacing w:val="1"/>
                    </w:rPr>
                    <w:t> </w:t>
                  </w:r>
                  <w:r>
                    <w:rPr/>
                    <w:t>万元。天健会计师事务所（特殊普通合伙）已于</w:t>
                  </w:r>
                  <w:r>
                    <w:rPr>
                      <w:spacing w:val="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19 </w:t>
                  </w:r>
                  <w:r>
                    <w:rPr/>
                    <w:t>日对公司非公开发行股票的募集资金 到位情况进行了审验，并出具</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7-54</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验资报告。</w:t>
                  </w:r>
                </w:p>
                <w:p>
                  <w:pPr>
                    <w:pStyle w:val="BodyText"/>
                    <w:spacing w:line="240" w:lineRule="auto" w:before="42"/>
                    <w:ind w:left="375" w:right="0"/>
                    <w:jc w:val="left"/>
                  </w:pPr>
                  <w:r>
                    <w:rPr/>
                    <w:t>本公司以前年度已使用募集资金</w:t>
                  </w:r>
                  <w:r>
                    <w:rPr>
                      <w:spacing w:val="-42"/>
                    </w:rPr>
                    <w:t> </w:t>
                  </w:r>
                  <w:r>
                    <w:rPr>
                      <w:rFonts w:ascii="Times New Roman" w:hAnsi="Times New Roman" w:cs="Times New Roman" w:eastAsia="Times New Roman" w:hint="default"/>
                    </w:rPr>
                    <w:t>29,825.37</w:t>
                  </w:r>
                  <w:r>
                    <w:rPr>
                      <w:rFonts w:ascii="Times New Roman" w:hAnsi="Times New Roman" w:cs="Times New Roman" w:eastAsia="Times New Roman" w:hint="default"/>
                      <w:spacing w:val="1"/>
                    </w:rPr>
                    <w:t> </w:t>
                  </w:r>
                  <w:r>
                    <w:rPr/>
                    <w:t>万元，以前年度收到的银行存款利息扣除银行手续费等的净额为</w:t>
                  </w:r>
                  <w:r>
                    <w:rPr>
                      <w:spacing w:val="-39"/>
                    </w:rPr>
                    <w:t> </w:t>
                  </w:r>
                  <w:r>
                    <w:rPr>
                      <w:rFonts w:ascii="Times New Roman" w:hAnsi="Times New Roman" w:cs="Times New Roman" w:eastAsia="Times New Roman" w:hint="default"/>
                    </w:rPr>
                    <w:t>205.50 </w:t>
                  </w:r>
                  <w:r>
                    <w:rPr/>
                    <w:t>万</w:t>
                  </w:r>
                </w:p>
                <w:p>
                  <w:pPr>
                    <w:pStyle w:val="BodyText"/>
                    <w:spacing w:line="240" w:lineRule="auto" w:before="51"/>
                    <w:ind w:left="15" w:right="0"/>
                    <w:jc w:val="left"/>
                  </w:pPr>
                  <w:r>
                    <w:rPr/>
                    <w:t>元。</w:t>
                  </w:r>
                </w:p>
                <w:p>
                  <w:pPr>
                    <w:pStyle w:val="BodyText"/>
                    <w:spacing w:line="240" w:lineRule="auto" w:before="124"/>
                    <w:ind w:left="375" w:right="0"/>
                    <w:jc w:val="left"/>
                  </w:pPr>
                  <w:r>
                    <w:rPr>
                      <w:rFonts w:ascii="Times New Roman" w:hAnsi="Times New Roman" w:cs="Times New Roman" w:eastAsia="Times New Roman" w:hint="default"/>
                    </w:rPr>
                    <w:t>2019 </w:t>
                  </w:r>
                  <w:r>
                    <w:rPr/>
                    <w:t>年度未实际使用募集资金，</w:t>
                  </w:r>
                  <w:r>
                    <w:rPr>
                      <w:rFonts w:ascii="Times New Roman" w:hAnsi="Times New Roman" w:cs="Times New Roman" w:eastAsia="Times New Roman" w:hint="default"/>
                    </w:rPr>
                    <w:t>2019 </w:t>
                  </w:r>
                  <w:r>
                    <w:rPr/>
                    <w:t>年度收到的银行存款利息扣除银行手续费等的净额为</w:t>
                  </w:r>
                  <w:r>
                    <w:rPr>
                      <w:spacing w:val="-40"/>
                    </w:rPr>
                    <w:t> </w:t>
                  </w:r>
                  <w:r>
                    <w:rPr>
                      <w:rFonts w:ascii="Times New Roman" w:hAnsi="Times New Roman" w:cs="Times New Roman" w:eastAsia="Times New Roman" w:hint="default"/>
                    </w:rPr>
                    <w:t>55.29 </w:t>
                  </w:r>
                  <w:r>
                    <w:rPr/>
                    <w:t>万元。</w:t>
                  </w:r>
                </w:p>
                <w:p>
                  <w:pPr>
                    <w:pStyle w:val="BodyText"/>
                    <w:spacing w:line="240" w:lineRule="auto" w:before="111"/>
                    <w:ind w:left="375" w:right="0"/>
                    <w:jc w:val="left"/>
                  </w:pPr>
                  <w:r>
                    <w:rPr/>
                    <w:t>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日，累计已使用募集资金</w:t>
                  </w:r>
                  <w:r>
                    <w:rPr>
                      <w:spacing w:val="-47"/>
                    </w:rPr>
                    <w:t> </w:t>
                  </w:r>
                  <w:r>
                    <w:rPr>
                      <w:rFonts w:ascii="Times New Roman" w:hAnsi="Times New Roman" w:cs="Times New Roman" w:eastAsia="Times New Roman" w:hint="default"/>
                    </w:rPr>
                    <w:t>29,825.37</w:t>
                  </w:r>
                  <w:r>
                    <w:rPr>
                      <w:rFonts w:ascii="Times New Roman" w:hAnsi="Times New Roman" w:cs="Times New Roman" w:eastAsia="Times New Roman" w:hint="default"/>
                      <w:spacing w:val="-3"/>
                    </w:rPr>
                    <w:t> </w:t>
                  </w:r>
                  <w:r>
                    <w:rPr/>
                    <w:t>万元，累计收到的银行存款利息扣除银行手续费等的净额为</w:t>
                  </w:r>
                </w:p>
                <w:p>
                  <w:pPr>
                    <w:pStyle w:val="BodyText"/>
                    <w:spacing w:line="240" w:lineRule="auto" w:before="66"/>
                    <w:ind w:left="15" w:right="0"/>
                    <w:jc w:val="left"/>
                  </w:pPr>
                  <w:r>
                    <w:rPr>
                      <w:rFonts w:ascii="Times New Roman" w:hAnsi="Times New Roman" w:cs="Times New Roman" w:eastAsia="Times New Roman" w:hint="default"/>
                    </w:rPr>
                    <w:t>260.79 </w:t>
                  </w:r>
                  <w:r>
                    <w:rPr/>
                    <w:t>万元。</w:t>
                  </w:r>
                </w:p>
                <w:p>
                  <w:pPr>
                    <w:pStyle w:val="BodyText"/>
                    <w:spacing w:line="290" w:lineRule="auto" w:before="96"/>
                    <w:ind w:left="15" w:right="93" w:firstLine="360"/>
                    <w:jc w:val="left"/>
                  </w:pPr>
                  <w:r>
                    <w:rPr/>
                    <w:t>截至</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日，募集资金余额为人民币</w:t>
                  </w:r>
                  <w:r>
                    <w:rPr>
                      <w:spacing w:val="-42"/>
                    </w:rPr>
                    <w:t> </w:t>
                  </w:r>
                  <w:r>
                    <w:rPr>
                      <w:rFonts w:ascii="Times New Roman" w:hAnsi="Times New Roman" w:cs="Times New Roman" w:eastAsia="Times New Roman" w:hint="default"/>
                    </w:rPr>
                    <w:t>4,892.82 </w:t>
                  </w:r>
                  <w:r>
                    <w:rPr/>
                    <w:t>万元（包括累计收到的银行存款利息扣除银行手续费等的 </w:t>
                  </w:r>
                  <w:r>
                    <w:rPr>
                      <w:spacing w:val="-23"/>
                    </w:rPr>
                    <w:t>净额）。</w:t>
                  </w:r>
                </w:p>
              </w:txbxContent>
            </v:textbox>
          </v:shape>
        </w:pict>
      </w:r>
      <w:r>
        <w:rPr>
          <w:rFonts w:ascii="宋体" w:hAnsi="宋体" w:cs="宋体" w:eastAsia="宋体" w:hint="default"/>
          <w:position w:val="-73"/>
          <w:sz w:val="20"/>
          <w:szCs w:val="20"/>
        </w:rPr>
      </w:r>
    </w:p>
    <w:p>
      <w:pPr>
        <w:spacing w:line="240" w:lineRule="auto" w:before="7"/>
        <w:rPr>
          <w:rFonts w:ascii="宋体" w:hAnsi="宋体" w:cs="宋体" w:eastAsia="宋体" w:hint="default"/>
          <w:sz w:val="20"/>
          <w:szCs w:val="20"/>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21"/>
        <w:gridCol w:w="736"/>
        <w:gridCol w:w="887"/>
        <w:gridCol w:w="901"/>
        <w:gridCol w:w="721"/>
        <w:gridCol w:w="901"/>
        <w:gridCol w:w="901"/>
        <w:gridCol w:w="736"/>
        <w:gridCol w:w="721"/>
        <w:gridCol w:w="901"/>
        <w:gridCol w:w="721"/>
        <w:gridCol w:w="736"/>
      </w:tblGrid>
      <w:tr>
        <w:trPr>
          <w:trHeight w:val="1651"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5" w:right="90"/>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5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7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75" w:right="58"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4" w:right="8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8" w:lineRule="auto"/>
              <w:ind w:left="89"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90" w:right="7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89" w:right="8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8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0" w:right="74"/>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9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90" w:right="8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2898"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50"/>
              <w:jc w:val="both"/>
              <w:rPr>
                <w:rFonts w:ascii="宋体" w:hAnsi="宋体" w:cs="宋体" w:eastAsia="宋体" w:hint="default"/>
                <w:sz w:val="18"/>
                <w:szCs w:val="18"/>
              </w:rPr>
            </w:pPr>
            <w:r>
              <w:rPr>
                <w:rFonts w:ascii="宋体" w:hAnsi="宋体" w:cs="宋体" w:eastAsia="宋体" w:hint="default"/>
                <w:sz w:val="18"/>
                <w:szCs w:val="18"/>
              </w:rPr>
              <w:t>视频图 像信息 大数据 及深度 智能分 析系统 产业化 技术改 造项目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11,391.77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11,391.77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7,486.69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65.72%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2,880.89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5,146.63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2" w:hRule="exact"/>
        </w:trPr>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综合安 保社会 化运营 平台及 公共安 全智能 终端产 业化技 术改造 项目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11,484.3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11,484.3</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11,440.66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99.62%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2,163.87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4,682.8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29"/>
        <w:gridCol w:w="728"/>
        <w:gridCol w:w="887"/>
        <w:gridCol w:w="901"/>
        <w:gridCol w:w="721"/>
        <w:gridCol w:w="901"/>
        <w:gridCol w:w="901"/>
        <w:gridCol w:w="736"/>
        <w:gridCol w:w="721"/>
        <w:gridCol w:w="901"/>
        <w:gridCol w:w="721"/>
        <w:gridCol w:w="736"/>
      </w:tblGrid>
      <w:tr>
        <w:trPr>
          <w:trHeight w:val="2282"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56"/>
              <w:jc w:val="both"/>
              <w:rPr>
                <w:rFonts w:ascii="宋体" w:hAnsi="宋体" w:cs="宋体" w:eastAsia="宋体" w:hint="default"/>
                <w:sz w:val="18"/>
                <w:szCs w:val="18"/>
              </w:rPr>
            </w:pPr>
            <w:r>
              <w:rPr>
                <w:rFonts w:ascii="宋体" w:hAnsi="宋体" w:cs="宋体" w:eastAsia="宋体" w:hint="default"/>
                <w:sz w:val="18"/>
                <w:szCs w:val="18"/>
              </w:rPr>
              <w:t>监狱大 数据信 息综合 管理平 台技术 改造项 目</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1,671.85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1,671.85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984.05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58.86%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91.24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91.24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6"/>
              <w:jc w:val="left"/>
              <w:rPr>
                <w:rFonts w:ascii="宋体" w:hAnsi="宋体" w:cs="宋体" w:eastAsia="宋体" w:hint="default"/>
                <w:sz w:val="18"/>
                <w:szCs w:val="18"/>
              </w:rPr>
            </w:pPr>
            <w:r>
              <w:rPr>
                <w:rFonts w:ascii="宋体" w:hAnsi="宋体" w:cs="宋体" w:eastAsia="宋体" w:hint="default"/>
                <w:sz w:val="18"/>
                <w:szCs w:val="18"/>
              </w:rPr>
              <w:t>补充流 动资金</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10,500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9,909.48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9,913.97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100.05%</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29"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5" w:right="156"/>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8" w:type="dxa"/>
            <w:tcBorders>
              <w:top w:val="single" w:sz="6" w:space="0" w:color="000000"/>
              <w:left w:val="single" w:sz="6" w:space="0" w:color="000000"/>
              <w:bottom w:val="nil" w:sz="6" w:space="0" w:color="auto"/>
              <w:right w:val="single" w:sz="6" w:space="0" w:color="000000"/>
            </w:tcBorders>
            <w:shd w:val="clear" w:color="auto" w:fill="D2D2D2"/>
          </w:tcPr>
          <w:p>
            <w:pPr/>
          </w:p>
        </w:tc>
        <w:tc>
          <w:tcPr>
            <w:tcW w:w="887"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35,047.92</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34,457.4</w:t>
            </w:r>
          </w:p>
        </w:tc>
        <w:tc>
          <w:tcPr>
            <w:tcW w:w="7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01"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29,825.37</w:t>
            </w:r>
          </w:p>
        </w:tc>
        <w:tc>
          <w:tcPr>
            <w:tcW w:w="90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5,136</w:t>
            </w:r>
          </w:p>
        </w:tc>
        <w:tc>
          <w:tcPr>
            <w:tcW w:w="9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9,920.67</w:t>
            </w: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c>
          <w:tcPr>
            <w:tcW w:w="73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729" w:type="dxa"/>
            <w:vMerge/>
            <w:tcBorders>
              <w:left w:val="single" w:sz="6" w:space="0" w:color="000000"/>
              <w:right w:val="single" w:sz="6" w:space="0" w:color="000000"/>
            </w:tcBorders>
            <w:shd w:val="clear" w:color="auto" w:fill="D2D2D2"/>
          </w:tcPr>
          <w:p>
            <w:pPr/>
          </w:p>
        </w:tc>
        <w:tc>
          <w:tcPr>
            <w:tcW w:w="72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vMerge/>
            <w:tcBorders>
              <w:left w:val="single" w:sz="6" w:space="0" w:color="000000"/>
              <w:right w:val="single" w:sz="6" w:space="0" w:color="000000"/>
            </w:tcBorders>
          </w:tcPr>
          <w:p>
            <w:pPr/>
          </w:p>
        </w:tc>
        <w:tc>
          <w:tcPr>
            <w:tcW w:w="901" w:type="dxa"/>
            <w:vMerge/>
            <w:tcBorders>
              <w:left w:val="single" w:sz="6" w:space="0" w:color="000000"/>
              <w:right w:val="single" w:sz="12" w:space="0" w:color="D2D2D2"/>
            </w:tcBorders>
          </w:tcPr>
          <w:p>
            <w:pPr/>
          </w:p>
        </w:tc>
        <w:tc>
          <w:tcPr>
            <w:tcW w:w="9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12" w:space="0" w:color="D2D2D2"/>
              <w:right w:val="single" w:sz="6" w:space="0" w:color="000000"/>
            </w:tcBorders>
          </w:tcPr>
          <w:p>
            <w:pPr/>
          </w:p>
        </w:tc>
        <w:tc>
          <w:tcPr>
            <w:tcW w:w="901" w:type="dxa"/>
            <w:vMerge/>
            <w:tcBorders>
              <w:left w:val="single" w:sz="6" w:space="0" w:color="000000"/>
              <w:right w:val="single" w:sz="6" w:space="0" w:color="000000"/>
            </w:tcBorders>
          </w:tcPr>
          <w:p>
            <w:pPr/>
          </w:p>
        </w:tc>
        <w:tc>
          <w:tcPr>
            <w:tcW w:w="72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729" w:type="dxa"/>
            <w:vMerge/>
            <w:tcBorders>
              <w:left w:val="single" w:sz="6" w:space="0" w:color="000000"/>
              <w:bottom w:val="single" w:sz="6" w:space="0" w:color="000000"/>
              <w:right w:val="single" w:sz="6" w:space="0" w:color="000000"/>
            </w:tcBorders>
            <w:shd w:val="clear" w:color="auto" w:fill="D2D2D2"/>
          </w:tcPr>
          <w:p>
            <w:pPr/>
          </w:p>
        </w:tc>
        <w:tc>
          <w:tcPr>
            <w:tcW w:w="728" w:type="dxa"/>
            <w:tcBorders>
              <w:top w:val="nil" w:sz="6" w:space="0" w:color="auto"/>
              <w:left w:val="single" w:sz="6" w:space="0" w:color="000000"/>
              <w:bottom w:val="single" w:sz="6" w:space="0" w:color="000000"/>
              <w:right w:val="single" w:sz="6" w:space="0" w:color="000000"/>
            </w:tcBorders>
            <w:shd w:val="clear" w:color="auto" w:fill="D2D2D2"/>
          </w:tcPr>
          <w:p>
            <w:pPr/>
          </w:p>
        </w:tc>
        <w:tc>
          <w:tcPr>
            <w:tcW w:w="887"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vMerge/>
            <w:tcBorders>
              <w:left w:val="single" w:sz="6" w:space="0" w:color="000000"/>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12" w:space="0" w:color="D2D2D2"/>
            </w:tcBorders>
          </w:tcPr>
          <w:p>
            <w:pPr/>
          </w:p>
        </w:tc>
        <w:tc>
          <w:tcPr>
            <w:tcW w:w="90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vMerge/>
            <w:tcBorders>
              <w:left w:val="single" w:sz="12" w:space="0" w:color="D2D2D2"/>
              <w:bottom w:val="single" w:sz="6" w:space="0" w:color="000000"/>
              <w:right w:val="single" w:sz="6" w:space="0" w:color="000000"/>
            </w:tcBorders>
          </w:tcPr>
          <w:p>
            <w:pPr/>
          </w:p>
        </w:tc>
        <w:tc>
          <w:tcPr>
            <w:tcW w:w="901" w:type="dxa"/>
            <w:vMerge/>
            <w:tcBorders>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c>
          <w:tcPr>
            <w:tcW w:w="73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8" w:type="dxa"/>
            <w:tcBorders>
              <w:top w:val="single" w:sz="6" w:space="0" w:color="000000"/>
              <w:left w:val="single" w:sz="6" w:space="0" w:color="000000"/>
              <w:bottom w:val="single" w:sz="6" w:space="0" w:color="000000"/>
              <w:right w:val="single" w:sz="6" w:space="0" w:color="000000"/>
            </w:tcBorders>
          </w:tcPr>
          <w:p>
            <w:pPr/>
          </w:p>
        </w:tc>
        <w:tc>
          <w:tcPr>
            <w:tcW w:w="887"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35,047.92</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34,457.4</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29,825.37</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5,136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9,920.67</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8"/>
              <w:jc w:val="right"/>
              <w:rPr>
                <w:rFonts w:ascii="Times New Roman" w:hAnsi="Times New Roman" w:cs="Times New Roman" w:eastAsia="Times New Roman" w:hint="default"/>
                <w:sz w:val="18"/>
                <w:szCs w:val="18"/>
              </w:rPr>
            </w:pPr>
            <w:r>
              <w:rPr>
                <w:rFonts w:ascii="Times New Roman"/>
                <w:sz w:val="18"/>
              </w:rPr>
              <w:t>--</w:t>
            </w:r>
          </w:p>
        </w:tc>
      </w:tr>
      <w:tr>
        <w:trPr>
          <w:trHeight w:val="7386" w:hRule="exact"/>
        </w:trPr>
        <w:tc>
          <w:tcPr>
            <w:tcW w:w="729"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4" w:lineRule="auto"/>
              <w:ind w:left="15" w:right="141"/>
              <w:jc w:val="both"/>
              <w:rPr>
                <w:rFonts w:ascii="宋体" w:hAnsi="宋体" w:cs="宋体" w:eastAsia="宋体" w:hint="default"/>
                <w:sz w:val="18"/>
                <w:szCs w:val="18"/>
              </w:rPr>
            </w:pPr>
            <w:r>
              <w:rPr>
                <w:rFonts w:ascii="宋体" w:hAnsi="宋体" w:cs="宋体" w:eastAsia="宋体" w:hint="default"/>
                <w:sz w:val="18"/>
                <w:szCs w:val="18"/>
              </w:rPr>
              <w:t>未达到 计划进 度或预 计收益 的情况 和原因</w:t>
            </w:r>
          </w:p>
          <w:p>
            <w:pPr>
              <w:pStyle w:val="TableParagraph"/>
              <w:spacing w:line="321" w:lineRule="auto" w:before="24"/>
              <w:ind w:left="15" w:right="-37"/>
              <w:jc w:val="left"/>
              <w:rPr>
                <w:rFonts w:ascii="宋体" w:hAnsi="宋体" w:cs="宋体" w:eastAsia="宋体" w:hint="default"/>
                <w:sz w:val="18"/>
                <w:szCs w:val="18"/>
              </w:rPr>
            </w:pPr>
            <w:r>
              <w:rPr>
                <w:rFonts w:ascii="宋体" w:hAnsi="宋体" w:cs="宋体" w:eastAsia="宋体" w:hint="default"/>
                <w:sz w:val="18"/>
                <w:szCs w:val="18"/>
              </w:rPr>
              <w:t>（分具 体项目）</w:t>
            </w:r>
          </w:p>
        </w:tc>
        <w:tc>
          <w:tcPr>
            <w:tcW w:w="8853" w:type="dxa"/>
            <w:gridSpan w:val="11"/>
            <w:tcBorders>
              <w:top w:val="single" w:sz="6" w:space="0" w:color="000000"/>
              <w:left w:val="single" w:sz="18" w:space="0" w:color="FFFFFF"/>
              <w:bottom w:val="single" w:sz="6" w:space="0" w:color="000000"/>
              <w:right w:val="single" w:sz="6" w:space="0" w:color="000000"/>
            </w:tcBorders>
          </w:tcPr>
          <w:p>
            <w:pPr>
              <w:pStyle w:val="TableParagraph"/>
              <w:spacing w:line="240" w:lineRule="auto" w:before="59"/>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、视频图像信息大数据及深度智能分析系统产业化技术改造项目原预计于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日达到预定可使用状</w:t>
            </w:r>
          </w:p>
          <w:p>
            <w:pPr>
              <w:pStyle w:val="TableParagraph"/>
              <w:spacing w:line="309" w:lineRule="auto" w:before="51"/>
              <w:ind w:left="7" w:right="8"/>
              <w:jc w:val="both"/>
              <w:rPr>
                <w:rFonts w:ascii="宋体" w:hAnsi="宋体" w:cs="宋体" w:eastAsia="宋体" w:hint="default"/>
                <w:sz w:val="18"/>
                <w:szCs w:val="18"/>
              </w:rPr>
            </w:pPr>
            <w:r>
              <w:rPr>
                <w:rFonts w:ascii="宋体" w:hAnsi="宋体" w:cs="宋体" w:eastAsia="宋体" w:hint="default"/>
                <w:spacing w:val="-4"/>
                <w:sz w:val="18"/>
                <w:szCs w:val="18"/>
              </w:rPr>
              <w:t>态，公司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年进行募投项目改造建设预计时，主要是根据当时市场情况、客户需求并结合公司的研究技术等 </w:t>
            </w:r>
            <w:r>
              <w:rPr>
                <w:rFonts w:ascii="宋体" w:hAnsi="宋体" w:cs="宋体" w:eastAsia="宋体" w:hint="default"/>
                <w:spacing w:val="-3"/>
                <w:w w:val="99"/>
                <w:sz w:val="18"/>
                <w:szCs w:val="18"/>
              </w:rPr>
              <w:t>实际情况做的建设规划。现根据《人工智能标准化白皮书》、</w:t>
            </w:r>
            <w:r>
              <w:rPr>
                <w:rFonts w:ascii="Times New Roman" w:hAnsi="Times New Roman" w:cs="Times New Roman" w:eastAsia="Times New Roman" w:hint="default"/>
                <w:spacing w:val="-3"/>
                <w:w w:val="99"/>
                <w:sz w:val="18"/>
                <w:szCs w:val="18"/>
              </w:rPr>
              <w:t>G20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峰会和中共中央政治局就人工智能发展现状和</w:t>
            </w:r>
            <w:r>
              <w:rPr>
                <w:rFonts w:ascii="宋体" w:hAnsi="宋体" w:cs="宋体" w:eastAsia="宋体" w:hint="default"/>
                <w:spacing w:val="-82"/>
                <w:sz w:val="18"/>
                <w:szCs w:val="18"/>
              </w:rPr>
              <w:t> </w:t>
            </w:r>
            <w:r>
              <w:rPr>
                <w:rFonts w:ascii="宋体" w:hAnsi="宋体" w:cs="宋体" w:eastAsia="宋体" w:hint="default"/>
                <w:sz w:val="18"/>
                <w:szCs w:val="18"/>
              </w:rPr>
              <w:t>趋势举行第九次集体学习等多次工作会议，均提出了促进人工智能与业务场景融合应用的发展趋势，为了更好地</w:t>
            </w:r>
            <w:r>
              <w:rPr>
                <w:rFonts w:ascii="宋体" w:hAnsi="宋体" w:cs="宋体" w:eastAsia="宋体" w:hint="default"/>
                <w:sz w:val="18"/>
                <w:szCs w:val="18"/>
              </w:rPr>
              <w:t> </w:t>
            </w:r>
            <w:r>
              <w:rPr>
                <w:rFonts w:ascii="宋体" w:hAnsi="宋体" w:cs="宋体" w:eastAsia="宋体" w:hint="default"/>
                <w:spacing w:val="-1"/>
                <w:sz w:val="18"/>
                <w:szCs w:val="18"/>
              </w:rPr>
              <w:t>响应政策将边缘计算、云计算、深度学习等工人智能技术结合应用到项目上，实现产品在多行业领域进行海量视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频图像的快速检索、从大范围的大数据监视系统到特定场景的智能分析，公司在推进募投项目建设时，为控制项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目投入风险，提高了建设项目的设计、投入和验证标准，采取逐步投入的方式，导致投入周期较原计划延长。因</w:t>
            </w:r>
            <w:r>
              <w:rPr>
                <w:rFonts w:ascii="宋体" w:hAnsi="宋体" w:cs="宋体" w:eastAsia="宋体" w:hint="default"/>
                <w:sz w:val="18"/>
                <w:szCs w:val="18"/>
              </w:rPr>
              <w:t> </w:t>
            </w:r>
            <w:r>
              <w:rPr>
                <w:rFonts w:ascii="宋体" w:hAnsi="宋体" w:cs="宋体" w:eastAsia="宋体" w:hint="default"/>
                <w:spacing w:val="-2"/>
                <w:sz w:val="18"/>
                <w:szCs w:val="18"/>
              </w:rPr>
              <w:t>此，公司第三届董事会第二十四次会议，通过了《关于部分募集资金投资项目延期的议案》，同意该投资项目的</w:t>
            </w:r>
          </w:p>
          <w:p>
            <w:pPr>
              <w:pStyle w:val="TableParagraph"/>
              <w:spacing w:line="240" w:lineRule="auto" w:before="42"/>
              <w:ind w:left="7" w:right="0"/>
              <w:jc w:val="both"/>
              <w:rPr>
                <w:rFonts w:ascii="宋体" w:hAnsi="宋体" w:cs="宋体" w:eastAsia="宋体" w:hint="default"/>
                <w:sz w:val="18"/>
                <w:szCs w:val="18"/>
              </w:rPr>
            </w:pPr>
            <w:r>
              <w:rPr>
                <w:rFonts w:ascii="宋体" w:hAnsi="宋体" w:cs="宋体" w:eastAsia="宋体" w:hint="default"/>
                <w:sz w:val="18"/>
                <w:szCs w:val="18"/>
              </w:rPr>
              <w:t>达到预定可使用状态日期延期至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日，视频图像信息大数据及深度智能</w:t>
            </w:r>
          </w:p>
          <w:p>
            <w:pPr>
              <w:pStyle w:val="TableParagraph"/>
              <w:spacing w:line="276" w:lineRule="auto" w:before="66"/>
              <w:ind w:left="7" w:right="74"/>
              <w:jc w:val="both"/>
              <w:rPr>
                <w:rFonts w:ascii="宋体" w:hAnsi="宋体" w:cs="宋体" w:eastAsia="宋体" w:hint="default"/>
                <w:sz w:val="18"/>
                <w:szCs w:val="18"/>
              </w:rPr>
            </w:pPr>
            <w:r>
              <w:rPr>
                <w:rFonts w:ascii="宋体" w:hAnsi="宋体" w:cs="宋体" w:eastAsia="宋体" w:hint="default"/>
                <w:sz w:val="18"/>
                <w:szCs w:val="18"/>
              </w:rPr>
              <w:t>分析系统产业化技术改造项目未完全达到预定可使用状态，相关项目</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年实现效益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2,880.89 </w:t>
            </w:r>
            <w:r>
              <w:rPr>
                <w:rFonts w:ascii="宋体" w:hAnsi="宋体" w:cs="宋体" w:eastAsia="宋体" w:hint="default"/>
                <w:sz w:val="18"/>
                <w:szCs w:val="18"/>
              </w:rPr>
              <w:t>万元，未达到预 计收益。</w:t>
            </w:r>
          </w:p>
          <w:p>
            <w:pPr>
              <w:pStyle w:val="TableParagraph"/>
              <w:spacing w:line="240" w:lineRule="auto" w:before="112"/>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、综合安保社会化运营平台及公共安全智能终端产业化技术改造项目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年度实现效益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2,163.87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万元，由于该</w:t>
            </w:r>
          </w:p>
          <w:p>
            <w:pPr>
              <w:pStyle w:val="TableParagraph"/>
              <w:spacing w:line="240" w:lineRule="auto" w:before="66"/>
              <w:ind w:left="7" w:right="0"/>
              <w:jc w:val="both"/>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日达到可使用状态，相关产品和市场尚处于推广拓展阶段，因此未达到预期收益。</w:t>
            </w:r>
          </w:p>
          <w:p>
            <w:pPr>
              <w:pStyle w:val="TableParagraph"/>
              <w:spacing w:line="290" w:lineRule="auto" w:before="96"/>
              <w:ind w:left="7"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、监狱大数据信息综合管理平台技术改造项目原预计于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日达到预定可使用状态，公司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年进 </w:t>
            </w:r>
            <w:r>
              <w:rPr>
                <w:rFonts w:ascii="宋体" w:hAnsi="宋体" w:cs="宋体" w:eastAsia="宋体" w:hint="default"/>
                <w:spacing w:val="-1"/>
                <w:sz w:val="18"/>
                <w:szCs w:val="18"/>
              </w:rPr>
              <w:t>行募投项目改造建设预计时，主要是根据当时市场情况、客户需求并结合公司的研究技术等实际情况做的建设规</w:t>
            </w:r>
          </w:p>
          <w:p>
            <w:pPr>
              <w:pStyle w:val="TableParagraph"/>
              <w:spacing w:line="297" w:lineRule="auto" w:before="57"/>
              <w:ind w:left="7" w:right="4"/>
              <w:jc w:val="both"/>
              <w:rPr>
                <w:rFonts w:ascii="宋体" w:hAnsi="宋体" w:cs="宋体" w:eastAsia="宋体" w:hint="default"/>
                <w:sz w:val="18"/>
                <w:szCs w:val="18"/>
              </w:rPr>
            </w:pPr>
            <w:r>
              <w:rPr>
                <w:rFonts w:ascii="宋体" w:hAnsi="宋体" w:cs="宋体" w:eastAsia="宋体" w:hint="default"/>
                <w:spacing w:val="-4"/>
                <w:w w:val="100"/>
                <w:sz w:val="18"/>
                <w:szCs w:val="18"/>
              </w:rPr>
              <w:t>划。现根据《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十三五</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国家信息化规划》、《</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十三五</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全国司法行政信息化发展规划》等立法推进以及司法部多次</w:t>
            </w:r>
            <w:r>
              <w:rPr>
                <w:rFonts w:ascii="宋体" w:hAnsi="宋体" w:cs="宋体" w:eastAsia="宋体" w:hint="default"/>
                <w:spacing w:val="-49"/>
                <w:w w:val="100"/>
                <w:sz w:val="18"/>
                <w:szCs w:val="18"/>
              </w:rPr>
              <w:t> </w:t>
            </w:r>
            <w:r>
              <w:rPr>
                <w:rFonts w:ascii="宋体" w:hAnsi="宋体" w:cs="宋体" w:eastAsia="宋体" w:hint="default"/>
                <w:spacing w:val="-1"/>
                <w:sz w:val="18"/>
                <w:szCs w:val="18"/>
              </w:rPr>
              <w:t>工作会议，均对监狱的信息化要求、智能化建设提出了更明确的要求，为了更好地响应政策和提供适应市场需求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的产品，公司在推进募投项目建设时，为控制项目投入风险，提高了建设项目的设计、投入和验证标准，采取逐</w:t>
            </w:r>
          </w:p>
          <w:p>
            <w:pPr>
              <w:pStyle w:val="TableParagraph"/>
              <w:spacing w:line="336" w:lineRule="auto" w:before="36"/>
              <w:ind w:left="7" w:right="4"/>
              <w:jc w:val="both"/>
              <w:rPr>
                <w:rFonts w:ascii="宋体" w:hAnsi="宋体" w:cs="宋体" w:eastAsia="宋体" w:hint="default"/>
                <w:sz w:val="18"/>
                <w:szCs w:val="18"/>
              </w:rPr>
            </w:pPr>
            <w:r>
              <w:rPr>
                <w:rFonts w:ascii="宋体" w:hAnsi="宋体" w:cs="宋体" w:eastAsia="宋体" w:hint="default"/>
                <w:sz w:val="18"/>
                <w:szCs w:val="18"/>
              </w:rPr>
              <w:t>步投入的方式，导致投入周期较原计划延长。因此，公司第三届董事会第十八次会议，通过了《关于部分募集资 </w:t>
            </w:r>
            <w:r>
              <w:rPr>
                <w:rFonts w:ascii="宋体" w:hAnsi="宋体" w:cs="宋体" w:eastAsia="宋体" w:hint="default"/>
                <w:spacing w:val="-3"/>
                <w:sz w:val="18"/>
                <w:szCs w:val="18"/>
              </w:rPr>
              <w:t>金投资项目延期的议案》，同意该投资项目的达到预定可使用状态日期延期至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5" w:lineRule="exact"/>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日，监狱大数据信息综合管理平台技术改造项目未达到预定可使用状态，相关项目</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年度实现效益</w:t>
            </w:r>
          </w:p>
          <w:p>
            <w:pPr>
              <w:pStyle w:val="TableParagraph"/>
              <w:spacing w:line="240" w:lineRule="auto" w:before="51"/>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91.24 </w:t>
            </w:r>
            <w:r>
              <w:rPr>
                <w:rFonts w:ascii="宋体" w:hAnsi="宋体" w:cs="宋体" w:eastAsia="宋体" w:hint="default"/>
                <w:sz w:val="18"/>
                <w:szCs w:val="18"/>
              </w:rPr>
              <w:t>万元，未达到预计收益。</w:t>
            </w:r>
          </w:p>
          <w:p>
            <w:pPr>
              <w:pStyle w:val="TableParagraph"/>
              <w:spacing w:line="240" w:lineRule="auto" w:before="111"/>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、补充流动资金的投入不直接产生效益。累计投入金额大于调整后承诺投资金额为利息减手续费净额。</w:t>
            </w:r>
          </w:p>
        </w:tc>
      </w:tr>
    </w:tbl>
    <w:p>
      <w:pPr>
        <w:spacing w:after="0" w:line="240" w:lineRule="auto"/>
        <w:jc w:val="both"/>
        <w:rPr>
          <w:rFonts w:ascii="宋体" w:hAnsi="宋体" w:cs="宋体" w:eastAsia="宋体"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21"/>
        <w:gridCol w:w="8861"/>
      </w:tblGrid>
      <w:tr>
        <w:trPr>
          <w:trHeight w:val="1966"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项目可 行性发 生重大 变化的 情况说 明</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超募资 金的金 </w:t>
            </w:r>
            <w:r>
              <w:rPr>
                <w:rFonts w:ascii="宋体" w:hAnsi="宋体" w:cs="宋体" w:eastAsia="宋体" w:hint="default"/>
                <w:spacing w:val="-15"/>
                <w:sz w:val="18"/>
                <w:szCs w:val="18"/>
              </w:rPr>
              <w:t>额、用途</w:t>
            </w:r>
            <w:r>
              <w:rPr>
                <w:rFonts w:ascii="宋体" w:hAnsi="宋体" w:cs="宋体" w:eastAsia="宋体" w:hint="default"/>
                <w:sz w:val="18"/>
                <w:szCs w:val="18"/>
              </w:rPr>
              <w:t> 及使用 进展情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30"/>
              <w:ind w:left="15" w:right="148"/>
              <w:jc w:val="both"/>
              <w:rPr>
                <w:rFonts w:ascii="宋体" w:hAnsi="宋体" w:cs="宋体" w:eastAsia="宋体" w:hint="default"/>
                <w:sz w:val="18"/>
                <w:szCs w:val="18"/>
              </w:rPr>
            </w:pPr>
            <w:r>
              <w:rPr>
                <w:rFonts w:ascii="宋体" w:hAnsi="宋体" w:cs="宋体" w:eastAsia="宋体" w:hint="default"/>
                <w:sz w:val="18"/>
                <w:szCs w:val="18"/>
              </w:rPr>
              <w:t>募集资 金投资 项目实 施地点 变更情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6" w:hRule="exact"/>
        </w:trPr>
        <w:tc>
          <w:tcPr>
            <w:tcW w:w="721" w:type="dxa"/>
            <w:vMerge/>
            <w:tcBorders>
              <w:left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156"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19"/>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日，公司第二届董事会第三十六次会议和第二届监事会第三十次会议审议通过了《关于部分募集资 </w:t>
            </w:r>
            <w:r>
              <w:rPr>
                <w:rFonts w:ascii="宋体" w:hAnsi="宋体" w:cs="宋体" w:eastAsia="宋体" w:hint="default"/>
                <w:spacing w:val="-2"/>
                <w:sz w:val="18"/>
                <w:szCs w:val="18"/>
              </w:rPr>
              <w:t>金投资项目增加实施主体的议案》，同意公司将全资子公司重庆浩云公共安全物联网技术有限公司增加为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综合安</w:t>
            </w:r>
            <w:r>
              <w:rPr>
                <w:rFonts w:ascii="宋体" w:hAnsi="宋体" w:cs="宋体" w:eastAsia="宋体" w:hint="default"/>
                <w:spacing w:val="-76"/>
                <w:sz w:val="18"/>
                <w:szCs w:val="18"/>
              </w:rPr>
              <w:t> </w:t>
            </w:r>
            <w:r>
              <w:rPr>
                <w:rFonts w:ascii="宋体" w:hAnsi="宋体" w:cs="宋体" w:eastAsia="宋体" w:hint="default"/>
                <w:sz w:val="18"/>
                <w:szCs w:val="18"/>
              </w:rPr>
              <w:t>保社会化运营平台及公共安全智能终端产业化技术改造项目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的实施主体，实施地点为重庆市。</w:t>
            </w: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募集资 金投资 项目实 施方式 调整情 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721" w:type="dxa"/>
            <w:vMerge/>
            <w:tcBorders>
              <w:left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1156"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日，公司第二届董事会第三十六次会议及第二届监事会第三十次会议审议通过，同意公司以募集资</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17,339.23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万元置换预先投入募投项目的自筹资金。公司于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日完成了置换。</w:t>
            </w:r>
          </w:p>
        </w:tc>
      </w:tr>
      <w:tr>
        <w:trPr>
          <w:trHeight w:val="406"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30"/>
              <w:ind w:left="15" w:right="150"/>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47" w:hRule="exact"/>
        </w:trPr>
        <w:tc>
          <w:tcPr>
            <w:tcW w:w="721" w:type="dxa"/>
            <w:vMerge/>
            <w:tcBorders>
              <w:left w:val="single" w:sz="6" w:space="0" w:color="000000"/>
              <w:bottom w:val="single" w:sz="6" w:space="0" w:color="000000"/>
              <w:right w:val="single" w:sz="6" w:space="0" w:color="000000"/>
            </w:tcBorders>
            <w:shd w:val="clear" w:color="auto" w:fill="D2D2D2"/>
          </w:tcPr>
          <w:p>
            <w:pPr/>
          </w:p>
        </w:tc>
        <w:tc>
          <w:tcPr>
            <w:tcW w:w="88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21"/>
        <w:gridCol w:w="8861"/>
      </w:tblGrid>
      <w:tr>
        <w:trPr>
          <w:trHeight w:val="1651"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50"/>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w:t>
            </w:r>
          </w:p>
        </w:tc>
      </w:tr>
      <w:tr>
        <w:trPr>
          <w:trHeight w:val="2267" w:hRule="exact"/>
        </w:trPr>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50"/>
              <w:jc w:val="both"/>
              <w:rPr>
                <w:rFonts w:ascii="宋体" w:hAnsi="宋体" w:cs="宋体" w:eastAsia="宋体" w:hint="default"/>
                <w:sz w:val="18"/>
                <w:szCs w:val="18"/>
              </w:rPr>
            </w:pPr>
            <w:r>
              <w:rPr>
                <w:rFonts w:ascii="宋体" w:hAnsi="宋体" w:cs="宋体" w:eastAsia="宋体" w:hint="default"/>
                <w:sz w:val="18"/>
                <w:szCs w:val="18"/>
              </w:rPr>
              <w:t>募集资 金使用 及披露 中存在 的问题 或其他 情况</w:t>
            </w:r>
          </w:p>
        </w:tc>
        <w:tc>
          <w:tcPr>
            <w:tcW w:w="8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公司报告期不存在募集资金变更项目情况。</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3"/>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1"/>
        <w:rPr>
          <w:rFonts w:ascii="宋体" w:hAnsi="宋体" w:cs="宋体" w:eastAsia="宋体" w:hint="default"/>
          <w:sz w:val="18"/>
          <w:szCs w:val="18"/>
        </w:rPr>
      </w:pPr>
    </w:p>
    <w:p>
      <w:pPr>
        <w:pStyle w:val="BodyText"/>
        <w:spacing w:line="240" w:lineRule="auto"/>
        <w:ind w:right="0"/>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7"/>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37"/>
        <w:gridCol w:w="1051"/>
        <w:gridCol w:w="1051"/>
        <w:gridCol w:w="1037"/>
        <w:gridCol w:w="1051"/>
        <w:gridCol w:w="1051"/>
        <w:gridCol w:w="1051"/>
      </w:tblGrid>
      <w:tr>
        <w:trPr>
          <w:trHeight w:val="4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13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18"/>
              <w:jc w:val="both"/>
              <w:rPr>
                <w:rFonts w:ascii="宋体" w:hAnsi="宋体" w:cs="宋体" w:eastAsia="宋体" w:hint="default"/>
                <w:sz w:val="18"/>
                <w:szCs w:val="18"/>
              </w:rPr>
            </w:pPr>
            <w:r>
              <w:rPr>
                <w:rFonts w:ascii="宋体" w:hAnsi="宋体" w:cs="宋体" w:eastAsia="宋体" w:hint="default"/>
                <w:sz w:val="18"/>
                <w:szCs w:val="18"/>
              </w:rPr>
              <w:t>广州市苏瑞 计算机科技 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主要从事联 网平台基础 软件的开发 及销售等</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112,669,369.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108,912,348.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27,249,007.4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20,109,586.8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17,605,572.9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8"/>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主要从事信 息系统集成 服务等</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57,088,889.0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222,962,256.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12</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137,921,303.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121,128,159.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29,188,992.1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25,538,970.8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18"/>
              <w:jc w:val="both"/>
              <w:rPr>
                <w:rFonts w:ascii="宋体" w:hAnsi="宋体" w:cs="宋体" w:eastAsia="宋体" w:hint="default"/>
                <w:sz w:val="18"/>
                <w:szCs w:val="18"/>
              </w:rPr>
            </w:pPr>
            <w:r>
              <w:rPr>
                <w:rFonts w:ascii="宋体" w:hAnsi="宋体" w:cs="宋体" w:eastAsia="宋体" w:hint="default"/>
                <w:sz w:val="18"/>
                <w:szCs w:val="18"/>
              </w:rPr>
              <w:t>重庆浩云公 共安全物联 网技术有限 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20"/>
              <w:jc w:val="both"/>
              <w:rPr>
                <w:rFonts w:ascii="宋体" w:hAnsi="宋体" w:cs="宋体" w:eastAsia="宋体" w:hint="default"/>
                <w:sz w:val="18"/>
                <w:szCs w:val="18"/>
              </w:rPr>
            </w:pPr>
            <w:r>
              <w:rPr>
                <w:rFonts w:ascii="宋体" w:hAnsi="宋体" w:cs="宋体" w:eastAsia="宋体" w:hint="default"/>
                <w:sz w:val="18"/>
                <w:szCs w:val="18"/>
              </w:rPr>
              <w:t>主要从事公 共安全大数 据的处理服 务等</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103,000,000.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162,432,124.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13</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146,776,036.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51,246,100.2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17,354,189.1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15,217,633.0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18"/>
              <w:jc w:val="both"/>
              <w:rPr>
                <w:rFonts w:ascii="宋体" w:hAnsi="宋体" w:cs="宋体" w:eastAsia="宋体" w:hint="default"/>
                <w:sz w:val="18"/>
                <w:szCs w:val="18"/>
              </w:rPr>
            </w:pPr>
            <w:r>
              <w:rPr>
                <w:rFonts w:ascii="宋体" w:hAnsi="宋体" w:cs="宋体" w:eastAsia="宋体" w:hint="default"/>
                <w:sz w:val="18"/>
                <w:szCs w:val="18"/>
              </w:rPr>
              <w:t>广东冠网信 息科技有限 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主要从事软 件开发，信 息系统集成 服务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10,010,000.0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32,785,788.4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23,163,525.6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29,309,202.8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12,404,074.5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10,913,931.3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18"/>
              <w:jc w:val="left"/>
              <w:rPr>
                <w:rFonts w:ascii="宋体" w:hAnsi="宋体" w:cs="宋体" w:eastAsia="宋体" w:hint="default"/>
                <w:sz w:val="18"/>
                <w:szCs w:val="18"/>
              </w:rPr>
            </w:pPr>
            <w:r>
              <w:rPr>
                <w:rFonts w:ascii="宋体" w:hAnsi="宋体" w:cs="宋体" w:eastAsia="宋体" w:hint="default"/>
                <w:sz w:val="18"/>
                <w:szCs w:val="18"/>
              </w:rPr>
              <w:t>甲壳云计算 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主要从事物 联网技术开 发与应用</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15,393,410.7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14,839,486.4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9,271,395.08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2,615,929.66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2,359,486.49</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17"/>
              <w:jc w:val="both"/>
              <w:rPr>
                <w:rFonts w:ascii="宋体" w:hAnsi="宋体" w:cs="宋体" w:eastAsia="宋体" w:hint="default"/>
                <w:sz w:val="18"/>
                <w:szCs w:val="18"/>
              </w:rPr>
            </w:pPr>
            <w:r>
              <w:rPr>
                <w:rFonts w:ascii="宋体" w:hAnsi="宋体" w:cs="宋体" w:eastAsia="宋体" w:hint="default"/>
                <w:sz w:val="18"/>
                <w:szCs w:val="18"/>
              </w:rPr>
              <w:t>辛集市浩云 智慧城市科 技有限公司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主要从事智 慧城市规划 设计</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9,481,860.78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3,194,747.14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6,061,635.24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2,749,133.37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2,524,210.28</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报告期内取得和处置子公司的情况</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甲壳云计算有限公司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年度归属于母公司的净利润：</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1,203,338.11 </w:t>
            </w:r>
            <w:r>
              <w:rPr>
                <w:rFonts w:ascii="宋体" w:hAnsi="宋体" w:cs="宋体" w:eastAsia="宋体" w:hint="default"/>
                <w:sz w:val="18"/>
                <w:szCs w:val="18"/>
              </w:rPr>
              <w:t>元</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湖北浩威保安服务有限公司（原名：武 汉浩立威保安服务有限公司）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w:t>
            </w:r>
            <w:r>
              <w:rPr>
                <w:rFonts w:ascii="宋体" w:hAnsi="宋体" w:cs="宋体" w:eastAsia="宋体" w:hint="default"/>
                <w:sz w:val="18"/>
                <w:szCs w:val="18"/>
              </w:rPr>
              <w:t>股权</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年度归属母公司的净利润：</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-36,538.28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信泽云</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计算机软件有限公司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年度归属于母公司的净利润：</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-344,391.12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11"/>
        <w:rPr>
          <w:rFonts w:ascii="宋体" w:hAnsi="宋体" w:cs="宋体" w:eastAsia="宋体" w:hint="default"/>
          <w:sz w:val="24"/>
          <w:szCs w:val="24"/>
        </w:rPr>
      </w:pPr>
    </w:p>
    <w:p>
      <w:pPr>
        <w:pStyle w:val="Heading2"/>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3"/>
        <w:ind w:right="0"/>
        <w:jc w:val="left"/>
        <w:rPr>
          <w:b w:val="0"/>
          <w:bCs w:val="0"/>
        </w:rPr>
      </w:pPr>
      <w:r>
        <w:rPr>
          <w:rFonts w:ascii="Times New Roman" w:hAnsi="Times New Roman" w:cs="Times New Roman" w:eastAsia="Times New Roman" w:hint="default"/>
        </w:rPr>
        <w:t>1</w:t>
      </w:r>
      <w:r>
        <w:rPr/>
        <w:t>、公司所处行业的发展情况</w:t>
      </w:r>
      <w:r>
        <w:rPr>
          <w:b w:val="0"/>
          <w:bCs w:val="0"/>
        </w:rPr>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b/>
          <w:bCs/>
          <w:sz w:val="29"/>
          <w:szCs w:val="29"/>
        </w:rPr>
      </w:pPr>
    </w:p>
    <w:p>
      <w:pPr>
        <w:pStyle w:val="BodyText"/>
        <w:spacing w:line="475" w:lineRule="auto" w:before="44"/>
        <w:ind w:left="501" w:right="1119" w:hanging="361"/>
        <w:jc w:val="left"/>
      </w:pPr>
      <w:r>
        <w:rPr/>
        <w:t>（</w:t>
      </w:r>
      <w:r>
        <w:rPr>
          <w:rFonts w:ascii="宋体" w:hAnsi="宋体" w:cs="宋体" w:eastAsia="宋体" w:hint="default"/>
        </w:rPr>
        <w:t>1</w:t>
      </w:r>
      <w:r>
        <w:rPr/>
        <w:t>）低代码、人工智能与物联网结合具有广阔前景 人工智能和物联网属于国家战略新兴产业，</w:t>
      </w:r>
      <w:r>
        <w:rPr>
          <w:rFonts w:ascii="宋体" w:hAnsi="宋体" w:cs="宋体" w:eastAsia="宋体" w:hint="default"/>
        </w:rPr>
        <w:t>2017</w:t>
      </w:r>
      <w:r>
        <w:rPr/>
        <w:t>年，国务院印发《新一代人工智能发展规划》，</w:t>
      </w:r>
      <w:r>
        <w:rPr>
          <w:rFonts w:ascii="宋体" w:hAnsi="宋体" w:cs="宋体" w:eastAsia="宋体" w:hint="default"/>
        </w:rPr>
        <w:t>2018</w:t>
      </w:r>
      <w:r>
        <w:rPr/>
        <w:t>年</w:t>
      </w:r>
      <w:r>
        <w:rPr>
          <w:rFonts w:ascii="宋体" w:hAnsi="宋体" w:cs="宋体" w:eastAsia="宋体" w:hint="default"/>
        </w:rPr>
        <w:t>1</w:t>
      </w:r>
      <w:r>
        <w:rPr/>
        <w:t>月，《人工智</w:t>
      </w:r>
    </w:p>
    <w:p>
      <w:pPr>
        <w:pStyle w:val="BodyText"/>
        <w:spacing w:line="482" w:lineRule="auto" w:before="53"/>
        <w:ind w:right="1095"/>
        <w:jc w:val="both"/>
      </w:pPr>
      <w:r>
        <w:rPr>
          <w:spacing w:val="-1"/>
        </w:rPr>
        <w:t>能标准化白皮书》发布，</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31</w:t>
      </w:r>
      <w:r>
        <w:rPr>
          <w:spacing w:val="-1"/>
        </w:rPr>
        <w:t>日中共中央政治局就人工智能发展现状和趋势举行第九次集体学习，</w:t>
      </w:r>
      <w:r>
        <w:rPr>
          <w:rFonts w:ascii="宋体" w:hAnsi="宋体" w:cs="宋体" w:eastAsia="宋体" w:hint="default"/>
          <w:spacing w:val="-1"/>
        </w:rPr>
        <w:t>2019</w:t>
      </w:r>
      <w:r>
        <w:rPr>
          <w:spacing w:val="-1"/>
        </w:rPr>
        <w:t>年，中央全</w:t>
      </w:r>
      <w:r>
        <w:rPr>
          <w:spacing w:val="-81"/>
        </w:rPr>
        <w:t> </w:t>
      </w:r>
      <w:r>
        <w:rPr>
          <w:spacing w:val="-81"/>
        </w:rPr>
      </w:r>
      <w:r>
        <w:rPr>
          <w:spacing w:val="-2"/>
        </w:rPr>
        <w:t>面深化改革委员会第七次会议审议通过了《关于促进人工智能和实体经济深度融合的指导意见》，国家持续促进产业快速发</w:t>
      </w:r>
      <w:r>
        <w:rPr>
          <w:spacing w:val="-75"/>
        </w:rPr>
        <w:t> </w:t>
      </w:r>
      <w:r>
        <w:rPr>
          <w:spacing w:val="-75"/>
        </w:rPr>
      </w:r>
      <w:r>
        <w:rPr/>
        <w:t>展。</w:t>
      </w:r>
    </w:p>
    <w:p>
      <w:pPr>
        <w:pStyle w:val="BodyText"/>
        <w:spacing w:line="475" w:lineRule="auto" w:before="48"/>
        <w:ind w:right="1103" w:firstLine="360"/>
        <w:jc w:val="both"/>
      </w:pPr>
      <w:r>
        <w:rPr>
          <w:spacing w:val="-2"/>
        </w:rPr>
        <w:t>中国软件协会发布的《</w:t>
      </w:r>
      <w:r>
        <w:rPr>
          <w:rFonts w:ascii="宋体" w:hAnsi="宋体" w:cs="宋体" w:eastAsia="宋体" w:hint="default"/>
          <w:spacing w:val="-2"/>
        </w:rPr>
        <w:t>2020</w:t>
      </w:r>
      <w:r>
        <w:rPr>
          <w:spacing w:val="-2"/>
        </w:rPr>
        <w:t>中国低代码平台趋势发展报告》指出，低代码与物联网的结合是未来的发展趋势，将帮助更</w:t>
      </w:r>
      <w:r>
        <w:rPr/>
        <w:t> 多的物联网应用快速落地；低代码、人工智能与物联网低结合，将更多地协同增效，服务各行各业。</w:t>
      </w:r>
    </w:p>
    <w:p>
      <w:pPr>
        <w:pStyle w:val="BodyText"/>
        <w:spacing w:line="477" w:lineRule="auto" w:before="53"/>
        <w:ind w:right="1099" w:firstLine="360"/>
        <w:jc w:val="both"/>
      </w:pPr>
      <w:r>
        <w:rPr>
          <w:rFonts w:ascii="宋体" w:hAnsi="宋体" w:cs="宋体" w:eastAsia="宋体" w:hint="default"/>
        </w:rPr>
        <w:t>2020</w:t>
      </w:r>
      <w:r>
        <w:rPr/>
        <w:t>年</w:t>
      </w:r>
      <w:r>
        <w:rPr>
          <w:rFonts w:ascii="宋体" w:hAnsi="宋体" w:cs="宋体" w:eastAsia="宋体" w:hint="default"/>
        </w:rPr>
        <w:t>3</w:t>
      </w:r>
      <w:r>
        <w:rPr/>
        <w:t>月，工业和信息化部办公厅印发《中小企业数字化赋能专项行动方案》，方案“以新一代信息技术与应用为支 </w:t>
      </w:r>
      <w:r>
        <w:rPr>
          <w:spacing w:val="-1"/>
        </w:rPr>
        <w:t>撑，以提升中小企业应对危机能力、夯实可持续发展基础为目标，集聚一批面向中小企业的数字化服务商，培育推广一批符</w:t>
      </w:r>
      <w:r>
        <w:rPr/>
        <w:t> </w:t>
      </w:r>
      <w:r>
        <w:rPr>
          <w:spacing w:val="-2"/>
        </w:rPr>
        <w:t>合中小企业需求的数字化平台、系统解决方案、产品和服务，助推中小企业通过数字化网络化智能化赋能实现复工复产，增</w:t>
      </w:r>
      <w:r>
        <w:rPr>
          <w:spacing w:val="-42"/>
        </w:rPr>
        <w:t> </w:t>
      </w:r>
      <w:r>
        <w:rPr>
          <w:spacing w:val="-42"/>
        </w:rPr>
      </w:r>
      <w:r>
        <w:rPr>
          <w:spacing w:val="-2"/>
        </w:rPr>
        <w:t>添发展后劲，提高发展质量”，低代码、人工智能与物联网的结合应用是大部分中小企业数字化赋能必经的途径之一，该方</w:t>
      </w:r>
      <w:r>
        <w:rPr>
          <w:spacing w:val="-57"/>
        </w:rPr>
        <w:t> </w:t>
      </w:r>
      <w:r>
        <w:rPr>
          <w:spacing w:val="-57"/>
        </w:rPr>
      </w:r>
      <w:r>
        <w:rPr/>
        <w:t>案的印发为低代码、人工智能与物联网的结合应用带来进一步的发展机遇。</w:t>
      </w:r>
    </w:p>
    <w:p>
      <w:pPr>
        <w:pStyle w:val="BodyText"/>
        <w:spacing w:line="240" w:lineRule="auto" w:before="52"/>
        <w:ind w:left="501" w:right="0"/>
        <w:jc w:val="left"/>
      </w:pPr>
      <w:r>
        <w:rPr/>
        <w:t>产业政策与技术趋势双重驱动，结合低代码、人工智能应用的物联网管理具有广阔前景。</w:t>
      </w:r>
    </w:p>
    <w:p>
      <w:pPr>
        <w:spacing w:line="240" w:lineRule="auto" w:before="9"/>
        <w:rPr>
          <w:rFonts w:ascii="宋体" w:hAnsi="宋体" w:cs="宋体" w:eastAsia="宋体" w:hint="default"/>
          <w:sz w:val="18"/>
          <w:szCs w:val="18"/>
        </w:rPr>
      </w:pPr>
    </w:p>
    <w:p>
      <w:pPr>
        <w:pStyle w:val="BodyText"/>
        <w:spacing w:line="240" w:lineRule="auto"/>
        <w:ind w:right="0"/>
        <w:jc w:val="both"/>
      </w:pPr>
      <w:r>
        <w:rPr/>
        <w:t>（</w:t>
      </w:r>
      <w:r>
        <w:rPr>
          <w:rFonts w:ascii="宋体" w:hAnsi="宋体" w:cs="宋体" w:eastAsia="宋体" w:hint="default"/>
        </w:rPr>
        <w:t>2</w:t>
      </w:r>
      <w:r>
        <w:rPr/>
        <w:t>）</w:t>
      </w:r>
      <w:r>
        <w:rPr>
          <w:rFonts w:ascii="宋体" w:hAnsi="宋体" w:cs="宋体" w:eastAsia="宋体" w:hint="default"/>
        </w:rPr>
        <w:t>UWB</w:t>
      </w:r>
      <w:r>
        <w:rPr/>
        <w:t>行业迎来大规模应用机遇期</w:t>
      </w:r>
    </w:p>
    <w:p>
      <w:pPr>
        <w:spacing w:line="240" w:lineRule="auto" w:before="7"/>
        <w:rPr>
          <w:rFonts w:ascii="宋体" w:hAnsi="宋体" w:cs="宋体" w:eastAsia="宋体" w:hint="default"/>
          <w:sz w:val="17"/>
          <w:szCs w:val="17"/>
        </w:rPr>
      </w:pPr>
    </w:p>
    <w:p>
      <w:pPr>
        <w:pStyle w:val="BodyText"/>
        <w:spacing w:line="475" w:lineRule="auto"/>
        <w:ind w:right="1125" w:firstLine="360"/>
        <w:jc w:val="both"/>
      </w:pPr>
      <w:r>
        <w:rPr>
          <w:rFonts w:ascii="宋体" w:hAnsi="宋体" w:cs="宋体" w:eastAsia="宋体" w:hint="default"/>
        </w:rPr>
        <w:t>2019</w:t>
      </w:r>
      <w:r>
        <w:rPr/>
        <w:t>年，三星、索尼、博世、恩智浦、</w:t>
      </w:r>
      <w:r>
        <w:rPr>
          <w:rFonts w:ascii="宋体" w:hAnsi="宋体" w:cs="宋体" w:eastAsia="宋体" w:hint="default"/>
        </w:rPr>
        <w:t>ASSA</w:t>
      </w:r>
      <w:r>
        <w:rPr>
          <w:rFonts w:ascii="宋体" w:hAnsi="宋体" w:cs="宋体" w:eastAsia="宋体" w:hint="default"/>
          <w:spacing w:val="4"/>
        </w:rPr>
        <w:t> </w:t>
      </w:r>
      <w:r>
        <w:rPr>
          <w:rFonts w:ascii="宋体" w:hAnsi="宋体" w:cs="宋体" w:eastAsia="宋体" w:hint="default"/>
        </w:rPr>
        <w:t>ABLOY</w:t>
      </w:r>
      <w:r>
        <w:rPr/>
        <w:t>等巨头组建</w:t>
      </w:r>
      <w:r>
        <w:rPr>
          <w:rFonts w:ascii="宋体" w:hAnsi="宋体" w:cs="宋体" w:eastAsia="宋体" w:hint="default"/>
        </w:rPr>
        <w:t>FiRa</w:t>
      </w:r>
      <w:r>
        <w:rPr/>
        <w:t>联盟。</w:t>
      </w:r>
      <w:r>
        <w:rPr>
          <w:rFonts w:ascii="宋体" w:hAnsi="宋体" w:cs="宋体" w:eastAsia="宋体" w:hint="default"/>
        </w:rPr>
        <w:t>FiRa</w:t>
      </w:r>
      <w:r>
        <w:rPr/>
        <w:t>联盟正在积极制定规范的</w:t>
      </w:r>
      <w:r>
        <w:rPr>
          <w:rFonts w:ascii="宋体" w:hAnsi="宋体" w:cs="宋体" w:eastAsia="宋体" w:hint="default"/>
        </w:rPr>
        <w:t>UWB</w:t>
      </w:r>
      <w:r>
        <w:rPr/>
        <w:t>行业标准和 认证，建立跨芯片组、设备和基础设施服务的</w:t>
      </w:r>
      <w:r>
        <w:rPr>
          <w:rFonts w:ascii="宋体" w:hAnsi="宋体" w:cs="宋体" w:eastAsia="宋体" w:hint="default"/>
        </w:rPr>
        <w:t>UWB</w:t>
      </w:r>
      <w:r>
        <w:rPr/>
        <w:t>生态系统，推动汽车、移动通讯、安防和其他行业参与者合作开发和定义</w:t>
      </w:r>
      <w:r>
        <w:rPr>
          <w:spacing w:val="-86"/>
        </w:rPr>
        <w:t> </w:t>
      </w:r>
      <w:r>
        <w:rPr/>
        <w:t>技术。全球主要技术公司积极加入</w:t>
      </w:r>
      <w:r>
        <w:rPr>
          <w:rFonts w:ascii="宋体" w:hAnsi="宋体" w:cs="宋体" w:eastAsia="宋体" w:hint="default"/>
        </w:rPr>
        <w:t>UWB</w:t>
      </w:r>
      <w:r>
        <w:rPr/>
        <w:t>技术研发与应用是一大趋势。</w:t>
      </w:r>
    </w:p>
    <w:p>
      <w:pPr>
        <w:pStyle w:val="BodyText"/>
        <w:spacing w:line="489" w:lineRule="auto" w:before="53"/>
        <w:ind w:right="1128" w:firstLine="360"/>
        <w:jc w:val="both"/>
      </w:pPr>
      <w:r>
        <w:rPr>
          <w:rFonts w:ascii="宋体" w:hAnsi="宋体" w:cs="宋体" w:eastAsia="宋体" w:hint="default"/>
        </w:rPr>
        <w:t>2019</w:t>
      </w:r>
      <w:r>
        <w:rPr/>
        <w:t>年，全球车联联盟（</w:t>
      </w:r>
      <w:r>
        <w:rPr>
          <w:rFonts w:ascii="宋体" w:hAnsi="宋体" w:cs="宋体" w:eastAsia="宋体" w:hint="default"/>
        </w:rPr>
        <w:t>Connected Car Consortium</w:t>
      </w:r>
      <w:r>
        <w:rPr/>
        <w:t>，简称 </w:t>
      </w:r>
      <w:r>
        <w:rPr>
          <w:rFonts w:ascii="宋体" w:hAnsi="宋体" w:cs="宋体" w:eastAsia="宋体" w:hint="default"/>
        </w:rPr>
        <w:t>CCC</w:t>
      </w:r>
      <w:r>
        <w:rPr/>
        <w:t>）选择 </w:t>
      </w:r>
      <w:r>
        <w:rPr>
          <w:rFonts w:ascii="宋体" w:hAnsi="宋体" w:cs="宋体" w:eastAsia="宋体" w:hint="default"/>
        </w:rPr>
        <w:t>UWB</w:t>
      </w:r>
      <w:r>
        <w:rPr>
          <w:rFonts w:ascii="宋体" w:hAnsi="宋体" w:cs="宋体" w:eastAsia="宋体" w:hint="default"/>
          <w:spacing w:val="5"/>
        </w:rPr>
        <w:t> </w:t>
      </w:r>
      <w:r>
        <w:rPr/>
        <w:t>作为其下一代车辆安全访问技术，使得汽 车车身、遥控设备等将大量内嵌</w:t>
      </w:r>
      <w:r>
        <w:rPr>
          <w:rFonts w:ascii="宋体" w:hAnsi="宋体" w:cs="宋体" w:eastAsia="宋体" w:hint="default"/>
        </w:rPr>
        <w:t>UWB</w:t>
      </w:r>
      <w:r>
        <w:rPr/>
        <w:t>技术，</w:t>
      </w:r>
      <w:r>
        <w:rPr>
          <w:rFonts w:ascii="宋体" w:hAnsi="宋体" w:cs="宋体" w:eastAsia="宋体" w:hint="default"/>
        </w:rPr>
        <w:t>UWB</w:t>
      </w:r>
      <w:r>
        <w:rPr/>
        <w:t>预期将大批量在移动设备中得以应用。</w:t>
      </w:r>
    </w:p>
    <w:p>
      <w:pPr>
        <w:pStyle w:val="BodyText"/>
        <w:spacing w:line="475" w:lineRule="auto" w:before="42"/>
        <w:ind w:right="1126" w:firstLine="360"/>
        <w:jc w:val="both"/>
      </w:pPr>
      <w:r>
        <w:rPr>
          <w:rFonts w:ascii="宋体" w:hAnsi="宋体" w:cs="宋体" w:eastAsia="宋体" w:hint="default"/>
          <w:spacing w:val="-4"/>
        </w:rPr>
        <w:t>2019</w:t>
      </w:r>
      <w:r>
        <w:rPr>
          <w:spacing w:val="-4"/>
        </w:rPr>
        <w:t>年下半年，苹果推出</w:t>
      </w:r>
      <w:r>
        <w:rPr>
          <w:rFonts w:ascii="宋体" w:hAnsi="宋体" w:cs="宋体" w:eastAsia="宋体" w:hint="default"/>
          <w:spacing w:val="-4"/>
        </w:rPr>
        <w:t>iPhone11</w:t>
      </w:r>
      <w:r>
        <w:rPr>
          <w:spacing w:val="-4"/>
        </w:rPr>
        <w:t>，搭载</w:t>
      </w:r>
      <w:r>
        <w:rPr>
          <w:rFonts w:ascii="宋体" w:hAnsi="宋体" w:cs="宋体" w:eastAsia="宋体" w:hint="default"/>
          <w:spacing w:val="-4"/>
        </w:rPr>
        <w:t>UWB</w:t>
      </w:r>
      <w:r>
        <w:rPr>
          <w:spacing w:val="-4"/>
        </w:rPr>
        <w:t>芯片，成为其年度关键创新技术，受到业界多方关注，利用</w:t>
      </w:r>
      <w:r>
        <w:rPr>
          <w:rFonts w:ascii="宋体" w:hAnsi="宋体" w:cs="宋体" w:eastAsia="宋体" w:hint="default"/>
          <w:spacing w:val="-4"/>
        </w:rPr>
        <w:t>UWB</w:t>
      </w:r>
      <w:r>
        <w:rPr>
          <w:spacing w:val="-4"/>
        </w:rPr>
        <w:t>技术，</w:t>
      </w:r>
      <w:r>
        <w:rPr>
          <w:rFonts w:ascii="宋体" w:hAnsi="宋体" w:cs="宋体" w:eastAsia="宋体" w:hint="default"/>
          <w:spacing w:val="-4"/>
        </w:rPr>
        <w:t>iPhone</w:t>
      </w:r>
      <w:r>
        <w:rPr>
          <w:rFonts w:ascii="宋体" w:hAnsi="宋体" w:cs="宋体" w:eastAsia="宋体" w:hint="default"/>
        </w:rPr>
        <w:t> </w:t>
      </w:r>
      <w:r>
        <w:rPr/>
        <w:t>将能够作为一个控制中心，实现多种创新应用。作为技术风向标的苹果公司高度参与</w:t>
      </w:r>
      <w:r>
        <w:rPr>
          <w:rFonts w:ascii="宋体" w:hAnsi="宋体" w:cs="宋体" w:eastAsia="宋体" w:hint="default"/>
        </w:rPr>
        <w:t>UWB</w:t>
      </w:r>
      <w:r>
        <w:rPr/>
        <w:t>技术应用，为市场带来潜在发展空</w:t>
      </w:r>
      <w:r>
        <w:rPr>
          <w:spacing w:val="-82"/>
        </w:rPr>
        <w:t> </w:t>
      </w:r>
      <w:r>
        <w:rPr/>
        <w:t>间。</w:t>
      </w:r>
    </w:p>
    <w:p>
      <w:pPr>
        <w:pStyle w:val="BodyText"/>
        <w:spacing w:line="482" w:lineRule="auto" w:before="53"/>
        <w:ind w:right="0" w:firstLine="360"/>
        <w:jc w:val="left"/>
      </w:pPr>
      <w:r>
        <w:rPr>
          <w:rFonts w:ascii="宋体" w:hAnsi="宋体" w:cs="宋体" w:eastAsia="宋体" w:hint="default"/>
          <w:spacing w:val="-2"/>
        </w:rPr>
        <w:t>UWB</w:t>
      </w:r>
      <w:r>
        <w:rPr>
          <w:spacing w:val="-2"/>
        </w:rPr>
        <w:t>技术以其特有的精准定位、通信安全等优势，适用于为数众多的商业应用场景和用户场景，具有大规模应用的特性。</w:t>
      </w:r>
      <w:r>
        <w:rPr/>
        <w:t> 根据</w:t>
      </w:r>
      <w:r>
        <w:rPr>
          <w:rFonts w:ascii="宋体" w:hAnsi="宋体" w:cs="宋体" w:eastAsia="宋体" w:hint="default"/>
        </w:rPr>
        <w:t>market&amp;market</w:t>
      </w:r>
      <w:r>
        <w:rPr/>
        <w:t>的市场调查，未来三年全球室内定位市场将保持较高的复合增长率，另据物联传媒</w:t>
      </w:r>
      <w:r>
        <w:rPr>
          <w:rFonts w:ascii="宋体" w:hAnsi="宋体" w:cs="宋体" w:eastAsia="宋体" w:hint="default"/>
        </w:rPr>
        <w:t>2019</w:t>
      </w:r>
      <w:r>
        <w:rPr/>
        <w:t>年调研指出，国</w:t>
      </w:r>
      <w:r>
        <w:rPr>
          <w:spacing w:val="-81"/>
        </w:rPr>
        <w:t> </w:t>
      </w:r>
      <w:r>
        <w:rPr/>
        <w:t>内</w:t>
      </w:r>
      <w:r>
        <w:rPr>
          <w:rFonts w:ascii="宋体" w:hAnsi="宋体" w:cs="宋体" w:eastAsia="宋体" w:hint="default"/>
        </w:rPr>
        <w:t>UWB</w:t>
      </w:r>
      <w:r>
        <w:rPr/>
        <w:t>定位产业自</w:t>
      </w:r>
      <w:r>
        <w:rPr>
          <w:rFonts w:ascii="宋体" w:hAnsi="宋体" w:cs="宋体" w:eastAsia="宋体" w:hint="default"/>
        </w:rPr>
        <w:t>2018</w:t>
      </w:r>
      <w:r>
        <w:rPr/>
        <w:t>年迎来了爆发期，整个行业在未来数年将维持快速增长。</w:t>
      </w:r>
    </w:p>
    <w:p>
      <w:pPr>
        <w:pStyle w:val="BodyText"/>
        <w:spacing w:line="240" w:lineRule="auto" w:before="48"/>
        <w:ind w:right="0"/>
        <w:jc w:val="both"/>
      </w:pPr>
      <w:r>
        <w:rPr/>
        <w:t>（</w:t>
      </w:r>
      <w:r>
        <w:rPr>
          <w:rFonts w:ascii="宋体" w:hAnsi="宋体" w:cs="宋体" w:eastAsia="宋体" w:hint="default"/>
        </w:rPr>
        <w:t>3</w:t>
      </w:r>
      <w:r>
        <w:rPr/>
        <w:t>）区块链赋能物联网行业应用，发展空间巨大</w:t>
      </w:r>
    </w:p>
    <w:p>
      <w:pPr>
        <w:spacing w:line="240" w:lineRule="auto" w:before="7"/>
        <w:rPr>
          <w:rFonts w:ascii="宋体" w:hAnsi="宋体" w:cs="宋体" w:eastAsia="宋体" w:hint="default"/>
          <w:sz w:val="17"/>
          <w:szCs w:val="17"/>
        </w:rPr>
      </w:pPr>
    </w:p>
    <w:p>
      <w:pPr>
        <w:pStyle w:val="BodyText"/>
        <w:spacing w:line="480" w:lineRule="auto"/>
        <w:ind w:right="1029" w:firstLine="360"/>
        <w:jc w:val="left"/>
      </w:pPr>
      <w:r>
        <w:rPr/>
        <w:t>《“十三五”国家信息化规划》中把区块链作为一项重点前沿技术，明确提出需加强相关新技术的创新、试验和应用， 力求抢占先机，掌握新一代信息技术主导权。</w:t>
      </w:r>
      <w:r>
        <w:rPr>
          <w:rFonts w:ascii="宋体" w:hAnsi="宋体" w:cs="宋体" w:eastAsia="宋体" w:hint="default"/>
        </w:rPr>
        <w:t>2019</w:t>
      </w:r>
      <w:r>
        <w:rPr/>
        <w:t>年</w:t>
      </w:r>
      <w:r>
        <w:rPr>
          <w:rFonts w:ascii="宋体" w:hAnsi="宋体" w:cs="宋体" w:eastAsia="宋体" w:hint="default"/>
        </w:rPr>
        <w:t>1</w:t>
      </w:r>
      <w:r>
        <w:rPr/>
        <w:t>月，国家互联网信息办公室发布《区块链信息服务管理规定》促进区</w:t>
      </w:r>
      <w:r>
        <w:rPr>
          <w:spacing w:val="-86"/>
        </w:rPr>
        <w:t> </w:t>
      </w:r>
      <w:r>
        <w:rPr>
          <w:spacing w:val="-2"/>
        </w:rPr>
        <w:t>块链健康有序发展，</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日中共中央政治局第十八次集体学习会上，习近平总书记强调：把区块链作为核心技术自</w:t>
      </w:r>
      <w:r>
        <w:rPr>
          <w:spacing w:val="-64"/>
        </w:rPr>
        <w:t> </w:t>
      </w:r>
      <w:r>
        <w:rPr>
          <w:spacing w:val="-64"/>
        </w:rPr>
      </w:r>
      <w:r>
        <w:rPr/>
        <w:t>主创新重要突破口，加快推动区块链技术和产业创新发展。</w:t>
      </w:r>
    </w:p>
    <w:p>
      <w:pPr>
        <w:spacing w:after="0" w:line="48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1119" w:firstLine="360"/>
        <w:jc w:val="left"/>
      </w:pPr>
      <w:r>
        <w:rPr/>
        <w:t>据有关国际研究机构预测，</w:t>
      </w:r>
      <w:r>
        <w:rPr>
          <w:rFonts w:ascii="宋体" w:hAnsi="宋体" w:cs="宋体" w:eastAsia="宋体" w:hint="default"/>
        </w:rPr>
        <w:t>2020</w:t>
      </w:r>
      <w:r>
        <w:rPr/>
        <w:t>年全球区块链市场规模将达到</w:t>
      </w:r>
      <w:r>
        <w:rPr>
          <w:rFonts w:ascii="宋体" w:hAnsi="宋体" w:cs="宋体" w:eastAsia="宋体" w:hint="default"/>
        </w:rPr>
        <w:t>139.6</w:t>
      </w:r>
      <w:r>
        <w:rPr/>
        <w:t>亿美元</w:t>
      </w:r>
      <w:r>
        <w:rPr>
          <w:rFonts w:ascii="宋体" w:hAnsi="宋体" w:cs="宋体" w:eastAsia="宋体" w:hint="default"/>
        </w:rPr>
        <w:t>(</w:t>
      </w:r>
      <w:r>
        <w:rPr/>
        <w:t>约合</w:t>
      </w:r>
      <w:r>
        <w:rPr>
          <w:rFonts w:ascii="宋体" w:hAnsi="宋体" w:cs="宋体" w:eastAsia="宋体" w:hint="default"/>
        </w:rPr>
        <w:t>986.23</w:t>
      </w:r>
      <w:r>
        <w:rPr/>
        <w:t>亿元人民币</w:t>
      </w:r>
      <w:r>
        <w:rPr>
          <w:rFonts w:ascii="宋体" w:hAnsi="宋体" w:cs="宋体" w:eastAsia="宋体" w:hint="default"/>
        </w:rPr>
        <w:t>)</w:t>
      </w:r>
      <w:r>
        <w:rPr/>
        <w:t>，</w:t>
      </w:r>
      <w:r>
        <w:rPr>
          <w:rFonts w:ascii="宋体" w:hAnsi="宋体" w:cs="宋体" w:eastAsia="宋体" w:hint="default"/>
        </w:rPr>
        <w:t>2017</w:t>
      </w:r>
      <w:r>
        <w:rPr/>
        <w:t>～</w:t>
      </w:r>
      <w:r>
        <w:rPr>
          <w:rFonts w:ascii="宋体" w:hAnsi="宋体" w:cs="宋体" w:eastAsia="宋体" w:hint="default"/>
        </w:rPr>
        <w:t>2022</w:t>
      </w:r>
      <w:r>
        <w:rPr/>
        <w:t>年间 区块链的年复合增长率将高达</w:t>
      </w:r>
      <w:r>
        <w:rPr>
          <w:rFonts w:ascii="宋体" w:hAnsi="宋体" w:cs="宋体" w:eastAsia="宋体" w:hint="default"/>
        </w:rPr>
        <w:t>42.8%</w:t>
      </w:r>
      <w:r>
        <w:rPr/>
        <w:t>。</w:t>
      </w:r>
    </w:p>
    <w:p>
      <w:pPr>
        <w:pStyle w:val="BodyText"/>
        <w:spacing w:line="480" w:lineRule="auto" w:before="53"/>
        <w:ind w:right="1106" w:firstLine="360"/>
        <w:jc w:val="both"/>
      </w:pPr>
      <w:r>
        <w:rPr>
          <w:rFonts w:ascii="宋体" w:hAnsi="宋体" w:cs="宋体" w:eastAsia="宋体" w:hint="default"/>
        </w:rPr>
        <w:t>2019</w:t>
      </w:r>
      <w:r>
        <w:rPr/>
        <w:t>年</w:t>
      </w:r>
      <w:r>
        <w:rPr>
          <w:rFonts w:ascii="宋体" w:hAnsi="宋体" w:cs="宋体" w:eastAsia="宋体" w:hint="default"/>
        </w:rPr>
        <w:t>11</w:t>
      </w:r>
      <w:r>
        <w:rPr/>
        <w:t>月，中国通信标准化协会发布《“物联网</w:t>
      </w:r>
      <w:r>
        <w:rPr>
          <w:rFonts w:ascii="宋体" w:hAnsi="宋体" w:cs="宋体" w:eastAsia="宋体" w:hint="default"/>
        </w:rPr>
        <w:t>+</w:t>
      </w:r>
      <w:r>
        <w:rPr/>
        <w:t>区块链”应用与发展白皮书》。白皮书指出，区块链技术支持物联 </w:t>
      </w:r>
      <w:r>
        <w:rPr>
          <w:spacing w:val="-2"/>
        </w:rPr>
        <w:t>网海量设备扩展，可用于构建高效、安全的分布式物联网网络，以及部署海量设备网络中运行的数据密集型应用。区块链可</w:t>
      </w:r>
      <w:r>
        <w:rPr>
          <w:spacing w:val="-42"/>
        </w:rPr>
        <w:t> </w:t>
      </w:r>
      <w:r>
        <w:rPr>
          <w:spacing w:val="-42"/>
        </w:rPr>
      </w:r>
      <w:r>
        <w:rPr>
          <w:spacing w:val="-2"/>
        </w:rPr>
        <w:t>为物联网提供信任机制，保证所有权、交易等记录的可信性、可靠性及透明性，同时，还可为用户隐私提供保障机制，从而</w:t>
      </w:r>
      <w:r>
        <w:rPr>
          <w:spacing w:val="-72"/>
        </w:rPr>
        <w:t> </w:t>
      </w:r>
      <w:r>
        <w:rPr>
          <w:spacing w:val="-72"/>
        </w:rPr>
      </w:r>
      <w:r>
        <w:rPr/>
        <w:t>有效解决物联网发展面临的大数据管理、信任、安全和隐私等问题，推进物联网向更加灵活化、智能化的高级形态演进。</w:t>
      </w:r>
    </w:p>
    <w:p>
      <w:pPr>
        <w:pStyle w:val="BodyText"/>
        <w:spacing w:line="240" w:lineRule="auto" w:before="50"/>
        <w:ind w:left="501" w:right="0"/>
        <w:jc w:val="left"/>
      </w:pPr>
      <w:r>
        <w:rPr/>
        <w:t>区块链与物联网的融合应用，具有极大的发展空间。</w:t>
      </w: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、公司发展战略</w:t>
      </w:r>
      <w:r>
        <w:rPr>
          <w:b w:val="0"/>
          <w:bCs w:val="0"/>
        </w:rPr>
      </w:r>
    </w:p>
    <w:p>
      <w:pPr>
        <w:spacing w:line="240" w:lineRule="auto" w:before="1"/>
        <w:rPr>
          <w:rFonts w:ascii="宋体" w:hAnsi="宋体" w:cs="宋体" w:eastAsia="宋体" w:hint="default"/>
          <w:b/>
          <w:bCs/>
          <w:sz w:val="16"/>
          <w:szCs w:val="16"/>
        </w:rPr>
      </w:pPr>
    </w:p>
    <w:p>
      <w:pPr>
        <w:pStyle w:val="BodyText"/>
        <w:spacing w:line="475" w:lineRule="auto"/>
        <w:ind w:right="1096" w:firstLine="360"/>
        <w:jc w:val="both"/>
      </w:pPr>
      <w:r>
        <w:rPr>
          <w:rFonts w:ascii="宋体" w:hAnsi="宋体" w:cs="宋体" w:eastAsia="宋体" w:hint="default"/>
          <w:spacing w:val="-2"/>
        </w:rPr>
        <w:t>2020</w:t>
      </w:r>
      <w:r>
        <w:rPr>
          <w:spacing w:val="-2"/>
        </w:rPr>
        <w:t>年公司将通过组织与技术双驱动，以更优化的组织，更扎实的技术，打造物联与业务管理工具，实施“一核一点多</w:t>
      </w:r>
      <w:r>
        <w:rPr/>
        <w:t> 线”战略。以基于业务生成引擎的智慧物联网数据平台作为核心，以</w:t>
      </w:r>
      <w:r>
        <w:rPr>
          <w:rFonts w:ascii="宋体" w:hAnsi="宋体" w:cs="宋体" w:eastAsia="宋体" w:hint="default"/>
        </w:rPr>
        <w:t>UWB</w:t>
      </w:r>
      <w:r>
        <w:rPr/>
        <w:t>技术应用（精确位置感知、安全性）为技术特点、</w:t>
      </w:r>
      <w:r>
        <w:rPr>
          <w:spacing w:val="-84"/>
        </w:rPr>
        <w:t> </w:t>
      </w:r>
      <w:r>
        <w:rPr>
          <w:spacing w:val="-3"/>
        </w:rPr>
        <w:t>应用出发点和突破点，融合低代码、区块链、大数据、人工智能、云计算、移动互联网、边缘计算、机器人流程自动化</w:t>
      </w:r>
      <w:r>
        <w:rPr>
          <w:rFonts w:ascii="宋体" w:hAnsi="宋体" w:cs="宋体" w:eastAsia="宋体" w:hint="default"/>
          <w:spacing w:val="-3"/>
        </w:rPr>
        <w:t>(RPA)</w:t>
      </w:r>
      <w:r>
        <w:rPr>
          <w:rFonts w:ascii="宋体" w:hAnsi="宋体" w:cs="宋体" w:eastAsia="宋体" w:hint="default"/>
          <w:spacing w:val="-59"/>
        </w:rPr>
        <w:t> </w:t>
      </w:r>
      <w:r>
        <w:rPr>
          <w:spacing w:val="-2"/>
        </w:rPr>
        <w:t>等新兴技术，聚焦金融物联、智慧司法、公共安全、泛在电力物联网等现有业务线条，同时持续拓展基于物联管理和精准感</w:t>
      </w:r>
      <w:r>
        <w:rPr>
          <w:spacing w:val="-57"/>
        </w:rPr>
        <w:t> </w:t>
      </w:r>
      <w:r>
        <w:rPr>
          <w:spacing w:val="-57"/>
        </w:rPr>
      </w:r>
      <w:r>
        <w:rPr/>
        <w:t>知定位的其他业务线，多线齐构筑智慧和安全新世界。</w:t>
      </w:r>
    </w:p>
    <w:p>
      <w:pPr>
        <w:pStyle w:val="Heading3"/>
        <w:spacing w:line="240" w:lineRule="auto" w:before="48"/>
        <w:ind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2020</w:t>
      </w:r>
      <w:r>
        <w:rPr/>
        <w:t>年主要经营计划</w:t>
      </w:r>
      <w:r>
        <w:rPr>
          <w:b w:val="0"/>
          <w:bCs w:val="0"/>
        </w:rPr>
      </w:r>
    </w:p>
    <w:p>
      <w:pPr>
        <w:pStyle w:val="BodyText"/>
        <w:spacing w:line="472" w:lineRule="auto" w:before="194"/>
        <w:ind w:right="1085" w:firstLine="360"/>
        <w:jc w:val="left"/>
      </w:pPr>
      <w:r>
        <w:rPr>
          <w:rFonts w:ascii="宋体" w:hAnsi="宋体" w:cs="宋体" w:eastAsia="宋体" w:hint="default"/>
          <w:spacing w:val="-1"/>
        </w:rPr>
        <w:t>2020</w:t>
      </w:r>
      <w:r>
        <w:rPr>
          <w:spacing w:val="-1"/>
        </w:rPr>
        <w:t>年，公司贯彻“以低代码智慧物联数据平台</w:t>
      </w:r>
      <w:r>
        <w:rPr>
          <w:rFonts w:ascii="宋体" w:hAnsi="宋体" w:cs="宋体" w:eastAsia="宋体" w:hint="default"/>
          <w:spacing w:val="-1"/>
        </w:rPr>
        <w:t>&amp;UWB</w:t>
      </w:r>
      <w:r>
        <w:rPr>
          <w:spacing w:val="-1"/>
        </w:rPr>
        <w:t>技术应用为核心能力，行业智慧物联管理解决方案为抓手，金融物</w:t>
      </w:r>
      <w:r>
        <w:rPr/>
        <w:t> 联、智慧司法、公共安全、泛在电力物联网与创新业务多线协同拓展”的策略。</w:t>
      </w:r>
    </w:p>
    <w:p>
      <w:pPr>
        <w:pStyle w:val="BodyText"/>
        <w:spacing w:line="475" w:lineRule="auto" w:before="55"/>
        <w:ind w:right="1119" w:firstLine="360"/>
        <w:jc w:val="left"/>
      </w:pPr>
      <w:r>
        <w:rPr/>
        <w:t>全面推进以低代码智慧物联数据平台</w:t>
      </w:r>
      <w:r>
        <w:rPr>
          <w:rFonts w:ascii="宋体" w:hAnsi="宋体" w:cs="宋体" w:eastAsia="宋体" w:hint="default"/>
        </w:rPr>
        <w:t>&amp;UWB</w:t>
      </w:r>
      <w:r>
        <w:rPr/>
        <w:t>技术应用为切入点，以区块链、大数据、人工智能、机器人流程自动化</w:t>
      </w:r>
      <w:r>
        <w:rPr>
          <w:rFonts w:ascii="宋体" w:hAnsi="宋体" w:cs="宋体" w:eastAsia="宋体" w:hint="default"/>
        </w:rPr>
        <w:t>(RPA) </w:t>
      </w:r>
      <w:r>
        <w:rPr/>
        <w:t>等各种创新技术为依托，以金融物联、智慧司法、公共安全为基本盘，以创新业务为发力点，多行业并行拓展的目标。</w:t>
      </w:r>
    </w:p>
    <w:p>
      <w:pPr>
        <w:pStyle w:val="BodyText"/>
        <w:spacing w:line="240" w:lineRule="auto" w:before="68"/>
        <w:ind w:left="501" w:right="0"/>
        <w:jc w:val="left"/>
      </w:pPr>
      <w:r>
        <w:rPr>
          <w:rFonts w:ascii="宋体" w:hAnsi="宋体" w:cs="宋体" w:eastAsia="宋体" w:hint="default"/>
        </w:rPr>
        <w:t>2020</w:t>
      </w:r>
      <w:r>
        <w:rPr/>
        <w:t>年，围绕公司的发展战略，主要从以下几方面开展工作：</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1</w:t>
      </w:r>
      <w:r>
        <w:rPr/>
        <w:t>）业务拓展</w:t>
      </w:r>
    </w:p>
    <w:p>
      <w:pPr>
        <w:spacing w:line="240" w:lineRule="auto" w:before="8"/>
        <w:rPr>
          <w:rFonts w:ascii="宋体" w:hAnsi="宋体" w:cs="宋体" w:eastAsia="宋体" w:hint="default"/>
          <w:sz w:val="17"/>
          <w:szCs w:val="17"/>
        </w:rPr>
      </w:pPr>
    </w:p>
    <w:p>
      <w:pPr>
        <w:pStyle w:val="BodyText"/>
        <w:spacing w:line="477" w:lineRule="auto"/>
        <w:ind w:right="0" w:firstLine="360"/>
        <w:jc w:val="left"/>
      </w:pPr>
      <w:r>
        <w:rPr>
          <w:spacing w:val="-4"/>
        </w:rPr>
        <w:t>①持续发挥金融物联业务的压仓石作用。作为国内金融智慧物联解决方案的主要提供商，我们具备客户认可度高的业务、</w:t>
      </w:r>
      <w:r>
        <w:rPr/>
        <w:t> </w:t>
      </w:r>
      <w:r>
        <w:rPr>
          <w:spacing w:val="-4"/>
        </w:rPr>
        <w:t>产品、研发和服务体系。公司已建和在建的银行联网监控中心已达上千个，各中心均配备了公司的智慧物联平台。新的一年，</w:t>
      </w:r>
      <w:r>
        <w:rPr>
          <w:spacing w:val="-50"/>
        </w:rPr>
        <w:t> </w:t>
      </w:r>
      <w:r>
        <w:rPr>
          <w:spacing w:val="-50"/>
        </w:rPr>
      </w:r>
      <w:r>
        <w:rPr>
          <w:spacing w:val="-2"/>
        </w:rPr>
        <w:t>我们将充分发挥平台兼容性好、弹性可伸缩、部署便捷、扩充能力强的特点，叠加公司遍布全国的服务网点，为客户提供灵</w:t>
      </w:r>
      <w:r>
        <w:rPr>
          <w:spacing w:val="-57"/>
        </w:rPr>
        <w:t> </w:t>
      </w:r>
      <w:r>
        <w:rPr>
          <w:spacing w:val="-57"/>
        </w:rPr>
      </w:r>
      <w:r>
        <w:rPr>
          <w:spacing w:val="-2"/>
        </w:rPr>
        <w:t>活多样化服务，满足客户日益提升的应用和管理需求。同时我们将进一步提升服务质量和开发服务项目，打造专业服务团队</w:t>
      </w:r>
      <w:r>
        <w:rPr>
          <w:spacing w:val="-75"/>
        </w:rPr>
        <w:t> </w:t>
      </w:r>
      <w:r>
        <w:rPr>
          <w:spacing w:val="-75"/>
        </w:rPr>
      </w:r>
      <w:r>
        <w:rPr/>
        <w:t>持续提升客户满意度。</w:t>
      </w:r>
    </w:p>
    <w:p>
      <w:pPr>
        <w:pStyle w:val="BodyText"/>
        <w:spacing w:line="480" w:lineRule="auto" w:before="51"/>
        <w:ind w:right="0" w:firstLine="360"/>
        <w:jc w:val="left"/>
      </w:pPr>
      <w:r>
        <w:rPr/>
        <w:t>人工智能、</w:t>
      </w:r>
      <w:r>
        <w:rPr>
          <w:rFonts w:ascii="宋体" w:hAnsi="宋体" w:cs="宋体" w:eastAsia="宋体" w:hint="default"/>
        </w:rPr>
        <w:t>5G</w:t>
      </w:r>
      <w:r>
        <w:rPr/>
        <w:t>等新技术的不断涌现并渗透进入金融物联领域，金融行业安全要求高，行业</w:t>
      </w:r>
      <w:r>
        <w:rPr>
          <w:rFonts w:ascii="宋体" w:hAnsi="宋体" w:cs="宋体" w:eastAsia="宋体" w:hint="default"/>
        </w:rPr>
        <w:t>3-5</w:t>
      </w:r>
      <w:r>
        <w:rPr/>
        <w:t>年进行设备更新是自然规 </w:t>
      </w:r>
      <w:r>
        <w:rPr>
          <w:spacing w:val="-4"/>
        </w:rPr>
        <w:t>律，也是客观需求，当前国内各大银行的安防物联设备已进入到新的智能化和更新周期；同时银行自身持续提升的资产管理、</w:t>
      </w:r>
      <w:r>
        <w:rPr>
          <w:spacing w:val="-50"/>
        </w:rPr>
        <w:t> </w:t>
      </w:r>
      <w:r>
        <w:rPr>
          <w:spacing w:val="-50"/>
        </w:rPr>
      </w:r>
      <w:r>
        <w:rPr>
          <w:spacing w:val="-2"/>
        </w:rPr>
        <w:t>流程管理、业务管理等多维度需求，促使银行各平台系统需进一步融入管理要素，升级系统。多重因素叠加，使公司可凭借</w:t>
      </w:r>
      <w:r>
        <w:rPr>
          <w:spacing w:val="-57"/>
        </w:rPr>
        <w:t> </w:t>
      </w:r>
      <w:r>
        <w:rPr>
          <w:spacing w:val="-57"/>
        </w:rPr>
      </w:r>
      <w:r>
        <w:rPr/>
        <w:t>已形成的业务和技术优势，稳步提升在金融物联市场的收入规模。</w:t>
      </w:r>
    </w:p>
    <w:p>
      <w:pPr>
        <w:pStyle w:val="BodyText"/>
        <w:spacing w:line="240" w:lineRule="auto" w:before="50"/>
        <w:ind w:left="501" w:right="0"/>
        <w:jc w:val="left"/>
      </w:pPr>
      <w:r>
        <w:rPr/>
        <w:t>②持续拓展公共安全业务，提升板块收入占比；公司的低代码平台产品能力不断提升，专项智能产品持续开发，有助于</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1126"/>
        <w:jc w:val="both"/>
      </w:pPr>
      <w:r>
        <w:rPr/>
        <w:t>公司为公共安全领域快速提供贴合客户需求的多样化解决方案。另一方面，公司创新的将区块链、</w:t>
      </w:r>
      <w:r>
        <w:rPr>
          <w:rFonts w:ascii="宋体" w:hAnsi="宋体" w:cs="宋体" w:eastAsia="宋体" w:hint="default"/>
        </w:rPr>
        <w:t>UWB</w:t>
      </w:r>
      <w:r>
        <w:rPr/>
        <w:t>精准定位等特色技术</w:t>
      </w:r>
      <w:r>
        <w:rPr>
          <w:spacing w:val="-81"/>
        </w:rPr>
        <w:t> </w:t>
      </w:r>
      <w:r>
        <w:rPr>
          <w:spacing w:val="-2"/>
        </w:rPr>
        <w:t>应用于公共安全领域，为客户提供公共安全特色解决方案，将进一步提升公共安全板块在公司整体营收中的占比和综合盈利</w:t>
      </w:r>
      <w:r>
        <w:rPr>
          <w:spacing w:val="-72"/>
        </w:rPr>
        <w:t> </w:t>
      </w:r>
      <w:r>
        <w:rPr>
          <w:spacing w:val="-72"/>
        </w:rPr>
      </w:r>
      <w:r>
        <w:rPr/>
        <w:t>能力。</w:t>
      </w:r>
    </w:p>
    <w:p>
      <w:pPr>
        <w:pStyle w:val="BodyText"/>
        <w:spacing w:line="475" w:lineRule="auto" w:before="68"/>
        <w:ind w:right="1096" w:firstLine="360"/>
        <w:jc w:val="both"/>
      </w:pPr>
      <w:r>
        <w:rPr>
          <w:spacing w:val="-2"/>
        </w:rPr>
        <w:t>③推动智慧司法业务提速发展，公司多年来在精准定位、大数据、云计算领域持续进行技术研发，针对监狱安防领域推</w:t>
      </w:r>
      <w:r>
        <w:rPr/>
        <w:t> </w:t>
      </w:r>
      <w:r>
        <w:rPr>
          <w:spacing w:val="-2"/>
        </w:rPr>
        <w:t>出领先的智慧监狱大数据云平台、社区矫正监管云平台、专用定位产品等受市场欢迎的产品。公司“监管人员司法电子身份</w:t>
      </w:r>
      <w:r>
        <w:rPr>
          <w:spacing w:val="-42"/>
        </w:rPr>
        <w:t> </w:t>
      </w:r>
      <w:r>
        <w:rPr>
          <w:spacing w:val="-42"/>
        </w:rPr>
      </w:r>
      <w:r>
        <w:rPr>
          <w:spacing w:val="-1"/>
        </w:rPr>
        <w:t>认证平台”获司法部门专家组认证通过，</w:t>
      </w:r>
      <w:r>
        <w:rPr>
          <w:rFonts w:ascii="宋体" w:hAnsi="宋体" w:cs="宋体" w:eastAsia="宋体" w:hint="default"/>
          <w:spacing w:val="-1"/>
        </w:rPr>
        <w:t>2020</w:t>
      </w:r>
      <w:r>
        <w:rPr>
          <w:spacing w:val="-1"/>
        </w:rPr>
        <w:t>年公司将进一步拓展精准定位系列产品，在司法行业多场景落地，同时进一步</w:t>
      </w:r>
      <w:r>
        <w:rPr>
          <w:spacing w:val="-87"/>
        </w:rPr>
        <w:t> </w:t>
      </w:r>
      <w:r>
        <w:rPr>
          <w:spacing w:val="-87"/>
        </w:rPr>
      </w:r>
      <w:r>
        <w:rPr/>
        <w:t>提升司法领域大数据应用能力，实现平台和产品突破和创新，预计未来公司在该领域业务将提速发展。</w:t>
      </w:r>
    </w:p>
    <w:p>
      <w:pPr>
        <w:pStyle w:val="BodyText"/>
        <w:spacing w:line="477" w:lineRule="auto" w:before="53"/>
        <w:ind w:right="1098" w:firstLine="360"/>
        <w:jc w:val="both"/>
      </w:pPr>
      <w:r>
        <w:rPr>
          <w:spacing w:val="-2"/>
        </w:rPr>
        <w:t>④深入挖掘低代码智慧物联数据平台</w:t>
      </w:r>
      <w:r>
        <w:rPr>
          <w:rFonts w:ascii="宋体" w:hAnsi="宋体" w:cs="宋体" w:eastAsia="宋体" w:hint="default"/>
          <w:spacing w:val="-2"/>
        </w:rPr>
        <w:t>&amp;UWB</w:t>
      </w:r>
      <w:r>
        <w:rPr>
          <w:spacing w:val="-2"/>
        </w:rPr>
        <w:t>技术应用在细分领域的应用优势。具备低代码与物联网管理双重基本特性的浩</w:t>
      </w:r>
      <w:r>
        <w:rPr/>
        <w:t> 云智慧物联数据平台，具有为不同行业场景提供快速搭建，灵活多变的物联网应用及业务管理平台的优势能力。在</w:t>
      </w:r>
      <w:r>
        <w:rPr>
          <w:rFonts w:ascii="宋体" w:hAnsi="宋体" w:cs="宋体" w:eastAsia="宋体" w:hint="default"/>
        </w:rPr>
        <w:t>UWB</w:t>
      </w:r>
      <w:r>
        <w:rPr/>
        <w:t>领域</w:t>
      </w:r>
      <w:r>
        <w:rPr>
          <w:spacing w:val="-79"/>
        </w:rPr>
        <w:t> </w:t>
      </w:r>
      <w:r>
        <w:rPr>
          <w:spacing w:val="-2"/>
        </w:rPr>
        <w:t>我们具有多年的实践应用和开发积累，对于算法、周边电路优化、射频调制、场景适配等具有独到自主的解决方案。我们将</w:t>
      </w:r>
      <w:r>
        <w:rPr>
          <w:spacing w:val="-57"/>
        </w:rPr>
        <w:t> </w:t>
      </w:r>
      <w:r>
        <w:rPr>
          <w:spacing w:val="-57"/>
        </w:rPr>
      </w:r>
      <w:r>
        <w:rPr>
          <w:spacing w:val="-1"/>
        </w:rPr>
        <w:t>借助平台的行业及客户友好性，</w:t>
      </w:r>
      <w:r>
        <w:rPr>
          <w:rFonts w:ascii="宋体" w:hAnsi="宋体" w:cs="宋体" w:eastAsia="宋体" w:hint="default"/>
          <w:spacing w:val="-1"/>
        </w:rPr>
        <w:t>UWB</w:t>
      </w:r>
      <w:r>
        <w:rPr>
          <w:spacing w:val="-1"/>
        </w:rPr>
        <w:t>技术的多场景应用特性，大力推进平台及</w:t>
      </w:r>
      <w:r>
        <w:rPr>
          <w:rFonts w:ascii="宋体" w:hAnsi="宋体" w:cs="宋体" w:eastAsia="宋体" w:hint="default"/>
          <w:spacing w:val="-1"/>
        </w:rPr>
        <w:t>UWB</w:t>
      </w:r>
      <w:r>
        <w:rPr>
          <w:spacing w:val="-1"/>
        </w:rPr>
        <w:t>专项技术在泛在电力物联网、智慧楼宇、智</w:t>
      </w:r>
      <w:r>
        <w:rPr>
          <w:spacing w:val="-87"/>
        </w:rPr>
        <w:t> </w:t>
      </w:r>
      <w:r>
        <w:rPr>
          <w:spacing w:val="-87"/>
        </w:rPr>
      </w:r>
      <w:r>
        <w:rPr/>
        <w:t>慧园区等不同领域应用。</w:t>
      </w:r>
    </w:p>
    <w:p>
      <w:pPr>
        <w:pStyle w:val="BodyText"/>
        <w:spacing w:line="489" w:lineRule="auto" w:before="52"/>
        <w:ind w:left="501" w:right="1029"/>
        <w:jc w:val="left"/>
      </w:pPr>
      <w:r>
        <w:rPr/>
        <w:t>（</w:t>
      </w:r>
      <w:r>
        <w:rPr>
          <w:rFonts w:ascii="宋体" w:hAnsi="宋体" w:cs="宋体" w:eastAsia="宋体" w:hint="default"/>
        </w:rPr>
        <w:t>2</w:t>
      </w:r>
      <w:r>
        <w:rPr/>
        <w:t>）实施积极人才战略、优化组织结构，提升团队活力 人才是企业最重要的资本，是企业发展竞争的根本。公司始终把人才培养和管理作为企业发展要务，实施“知贤善任、</w:t>
      </w:r>
    </w:p>
    <w:p>
      <w:pPr>
        <w:pStyle w:val="BodyText"/>
        <w:spacing w:line="475" w:lineRule="auto" w:before="42"/>
        <w:ind w:right="1106"/>
        <w:jc w:val="both"/>
      </w:pPr>
      <w:r>
        <w:rPr>
          <w:spacing w:val="-2"/>
        </w:rPr>
        <w:t>学无止境、盛情珍视、各尽其才”的人才管理原则，帮助每一位员工全力服务客户，进而取得工作上的成功。公司将扩大企</w:t>
      </w:r>
      <w:r>
        <w:rPr>
          <w:spacing w:val="-72"/>
        </w:rPr>
        <w:t> </w:t>
      </w:r>
      <w:r>
        <w:rPr>
          <w:spacing w:val="-72"/>
        </w:rPr>
      </w:r>
      <w:r>
        <w:rPr>
          <w:spacing w:val="-2"/>
        </w:rPr>
        <w:t>业文化影响力，增强员工对企业的认同，持续推进实施股权激励计划，实现员工企业同成长，打造具有战斗力和凝聚力的员</w:t>
      </w:r>
      <w:r>
        <w:rPr>
          <w:spacing w:val="-42"/>
        </w:rPr>
        <w:t> </w:t>
      </w:r>
      <w:r>
        <w:rPr>
          <w:spacing w:val="-42"/>
        </w:rPr>
      </w:r>
      <w:r>
        <w:rPr/>
        <w:t>工队伍。</w:t>
      </w:r>
    </w:p>
    <w:p>
      <w:pPr>
        <w:pStyle w:val="BodyText"/>
        <w:spacing w:line="482" w:lineRule="auto" w:before="53"/>
        <w:ind w:right="1132" w:firstLine="360"/>
        <w:jc w:val="both"/>
      </w:pPr>
      <w:r>
        <w:rPr>
          <w:spacing w:val="-2"/>
        </w:rPr>
        <w:t>新的一年，公司将重点投资，引入企业管理咨询机构，开展组织结构优化，进行管理素质培训，提升组织效率，提高经</w:t>
      </w:r>
      <w:r>
        <w:rPr/>
        <w:t> </w:t>
      </w:r>
      <w:r>
        <w:rPr>
          <w:spacing w:val="-2"/>
        </w:rPr>
        <w:t>营效益。将不断深化各部门的经营意识、服务意识，着力培养具有经营者意识的人才，持续改进、优化内部运营流程，激发</w:t>
      </w:r>
      <w:r>
        <w:rPr>
          <w:spacing w:val="-72"/>
        </w:rPr>
        <w:t> </w:t>
      </w:r>
      <w:r>
        <w:rPr>
          <w:spacing w:val="-72"/>
        </w:rPr>
      </w:r>
      <w:r>
        <w:rPr/>
        <w:t>组织潜力，不断提升经营质量和效率。</w:t>
      </w:r>
    </w:p>
    <w:p>
      <w:pPr>
        <w:pStyle w:val="BodyText"/>
        <w:spacing w:line="472" w:lineRule="auto" w:before="48"/>
        <w:ind w:left="501" w:right="1133"/>
        <w:jc w:val="left"/>
      </w:pPr>
      <w:r>
        <w:rPr/>
        <w:t>（</w:t>
      </w:r>
      <w:r>
        <w:rPr>
          <w:rFonts w:ascii="宋体" w:hAnsi="宋体" w:cs="宋体" w:eastAsia="宋体" w:hint="default"/>
        </w:rPr>
        <w:t>3</w:t>
      </w:r>
      <w:r>
        <w:rPr/>
        <w:t>）把握行业趋势，继续加大</w:t>
      </w:r>
      <w:r>
        <w:rPr>
          <w:rFonts w:ascii="宋体" w:hAnsi="宋体" w:cs="宋体" w:eastAsia="宋体" w:hint="default"/>
        </w:rPr>
        <w:t>UWB</w:t>
      </w:r>
      <w:r>
        <w:rPr/>
        <w:t>技术和低代码智慧物联数据平台研发投入</w:t>
      </w:r>
      <w:r>
        <w:rPr>
          <w:spacing w:val="-87"/>
        </w:rPr>
        <w:t> </w:t>
      </w:r>
      <w:r>
        <w:rPr>
          <w:spacing w:val="-2"/>
        </w:rPr>
        <w:t>公司将持续加大研发投入，紧跟前沿技术热点并结合行业相关技术的发展动态、趋势和客户新需求，对公司已有产品进</w:t>
      </w:r>
    </w:p>
    <w:p>
      <w:pPr>
        <w:pStyle w:val="BodyText"/>
        <w:spacing w:line="482" w:lineRule="auto" w:before="55"/>
        <w:ind w:right="1011"/>
        <w:jc w:val="both"/>
      </w:pPr>
      <w:r>
        <w:rPr/>
        <w:t>行持续的技术升级和改造，不断完善产品功能，提供更多增值服务；公司坚持以市场为导向，持续创新投入，加快大数据、</w:t>
      </w:r>
      <w:r>
        <w:rPr>
          <w:spacing w:val="-79"/>
        </w:rPr>
        <w:t> </w:t>
      </w:r>
      <w:r>
        <w:rPr>
          <w:spacing w:val="-79"/>
        </w:rPr>
      </w:r>
      <w:r>
        <w:rPr>
          <w:spacing w:val="-1"/>
        </w:rPr>
        <w:t>云计算、人工智能、区块链、机器人流程自动化</w:t>
      </w:r>
      <w:r>
        <w:rPr>
          <w:rFonts w:ascii="宋体" w:hAnsi="宋体" w:cs="宋体" w:eastAsia="宋体" w:hint="default"/>
          <w:spacing w:val="-1"/>
        </w:rPr>
        <w:t>(RPA)</w:t>
      </w:r>
      <w:r>
        <w:rPr>
          <w:spacing w:val="-1"/>
        </w:rPr>
        <w:t>等各种创新技术的发展融合，形成领先的软硬件产品和解决方案能力，</w:t>
      </w:r>
      <w:r>
        <w:rPr/>
        <w:t> 保持核心技术领先地位，持续为客户创造价值。</w:t>
      </w:r>
    </w:p>
    <w:p>
      <w:pPr>
        <w:pStyle w:val="BodyText"/>
        <w:spacing w:line="472" w:lineRule="auto" w:before="48"/>
        <w:ind w:left="501" w:right="1029"/>
        <w:jc w:val="left"/>
      </w:pPr>
      <w:r>
        <w:rPr/>
        <w:t>（</w:t>
      </w:r>
      <w:r>
        <w:rPr>
          <w:rFonts w:ascii="宋体" w:hAnsi="宋体" w:cs="宋体" w:eastAsia="宋体" w:hint="default"/>
        </w:rPr>
        <w:t>4</w:t>
      </w:r>
      <w:r>
        <w:rPr/>
        <w:t>）资本运作 公司根据发展战略，围绕自身核心业务，在条件时机具备的情况下，公司将运用自身优势和资本市场平台，采用并购、</w:t>
      </w:r>
    </w:p>
    <w:p>
      <w:pPr>
        <w:pStyle w:val="BodyText"/>
        <w:spacing w:line="240" w:lineRule="auto" w:before="55"/>
        <w:ind w:right="0"/>
        <w:jc w:val="both"/>
      </w:pPr>
      <w:r>
        <w:rPr/>
        <w:t>参股合作等多种方式增强公司实力；条件合适时引进战略投资，增强企业核心竞争力。</w:t>
      </w:r>
    </w:p>
    <w:p>
      <w:pPr>
        <w:spacing w:line="240" w:lineRule="auto" w:before="2"/>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4</w:t>
      </w:r>
      <w:r>
        <w:rPr/>
        <w:t>、公司可能面对的风险</w:t>
      </w:r>
      <w:r>
        <w:rPr>
          <w:b w:val="0"/>
          <w:bCs w:val="0"/>
        </w:rPr>
      </w:r>
    </w:p>
    <w:p>
      <w:pPr>
        <w:pStyle w:val="BodyText"/>
        <w:spacing w:line="240" w:lineRule="auto" w:before="195"/>
        <w:ind w:right="0"/>
        <w:jc w:val="both"/>
      </w:pPr>
      <w:r>
        <w:rPr/>
        <w:t>（</w:t>
      </w:r>
      <w:r>
        <w:rPr>
          <w:rFonts w:ascii="宋体" w:hAnsi="宋体" w:cs="宋体" w:eastAsia="宋体" w:hint="default"/>
        </w:rPr>
        <w:t>1</w:t>
      </w:r>
      <w:r>
        <w:rPr/>
        <w:t>）生产经营的季节性影响风险</w:t>
      </w:r>
    </w:p>
    <w:p>
      <w:pPr>
        <w:spacing w:after="0" w:line="240" w:lineRule="auto"/>
        <w:jc w:val="both"/>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1097" w:firstLine="360"/>
        <w:jc w:val="both"/>
      </w:pPr>
      <w:r>
        <w:rPr>
          <w:spacing w:val="-1"/>
        </w:rPr>
        <w:t>受客户结构、行业业务特点因素的影响，公司营业收入存在各季度分布不均衡、前低后高的特点，公司的经营业绩有明</w:t>
      </w:r>
      <w:r>
        <w:rPr/>
        <w:t> </w:t>
      </w:r>
      <w:r>
        <w:rPr>
          <w:spacing w:val="-2"/>
        </w:rPr>
        <w:t>显的季节性波动，营业收入和利润主要集中于下半年实现。投资者不能简单地以公司季度或中期的财务数据来推算全年的经</w:t>
      </w:r>
      <w:r>
        <w:rPr>
          <w:spacing w:val="-72"/>
        </w:rPr>
        <w:t> </w:t>
      </w:r>
      <w:r>
        <w:rPr>
          <w:spacing w:val="-72"/>
        </w:rPr>
      </w:r>
      <w:r>
        <w:rPr/>
        <w:t>营成果、财务状况及现金流量。</w:t>
      </w:r>
    </w:p>
    <w:p>
      <w:pPr>
        <w:pStyle w:val="BodyText"/>
        <w:spacing w:line="472" w:lineRule="auto" w:before="68"/>
        <w:ind w:left="501" w:right="1133" w:hanging="361"/>
        <w:jc w:val="left"/>
      </w:pPr>
      <w:r>
        <w:rPr/>
        <w:t>（</w:t>
      </w:r>
      <w:r>
        <w:rPr>
          <w:rFonts w:ascii="宋体" w:hAnsi="宋体" w:cs="宋体" w:eastAsia="宋体" w:hint="default"/>
        </w:rPr>
        <w:t>2</w:t>
      </w:r>
      <w:r>
        <w:rPr/>
        <w:t>）技术开发风险 </w:t>
      </w:r>
      <w:r>
        <w:rPr>
          <w:spacing w:val="-2"/>
        </w:rPr>
        <w:t>近年来物联网及泛安防领域，技术进步和更新换代的速度越来越快，伴随区块链、云计算、大数据、人工智能、机器人</w:t>
      </w:r>
    </w:p>
    <w:p>
      <w:pPr>
        <w:pStyle w:val="BodyText"/>
        <w:spacing w:line="475" w:lineRule="auto" w:before="55"/>
        <w:ind w:right="1136"/>
        <w:jc w:val="both"/>
      </w:pPr>
      <w:r>
        <w:rPr/>
        <w:t>流程自动化</w:t>
      </w:r>
      <w:r>
        <w:rPr>
          <w:rFonts w:ascii="宋体" w:hAnsi="宋体" w:cs="宋体" w:eastAsia="宋体" w:hint="default"/>
        </w:rPr>
        <w:t>(RPA)</w:t>
      </w:r>
      <w:r>
        <w:rPr/>
        <w:t>等各种创新技术与物联网及泛安防业务的发展融合，客户对产品的要求也趋于专业化和个性化，公司必须 </w:t>
      </w:r>
      <w:r>
        <w:rPr>
          <w:spacing w:val="-2"/>
        </w:rPr>
        <w:t>全面了解业内技术发展的最新趋势，更好的满足客户不断提升发展的需求。如果公司的技术储备和产品研发方向偏离市场需</w:t>
      </w:r>
      <w:r>
        <w:rPr>
          <w:spacing w:val="-72"/>
        </w:rPr>
        <w:t> </w:t>
      </w:r>
      <w:r>
        <w:rPr>
          <w:spacing w:val="-72"/>
        </w:rPr>
      </w:r>
      <w:r>
        <w:rPr/>
        <w:t>求，或者研发时机掌握不对，产品化速度减缓，将可能存在产品不能在新的环境下形成技术优势的风险。</w:t>
      </w:r>
    </w:p>
    <w:p>
      <w:pPr>
        <w:pStyle w:val="BodyText"/>
        <w:spacing w:line="240" w:lineRule="auto" w:before="68"/>
        <w:ind w:right="0"/>
        <w:jc w:val="both"/>
      </w:pPr>
      <w:r>
        <w:rPr/>
        <w:t>（</w:t>
      </w:r>
      <w:r>
        <w:rPr>
          <w:rFonts w:ascii="宋体" w:hAnsi="宋体" w:cs="宋体" w:eastAsia="宋体" w:hint="default"/>
        </w:rPr>
        <w:t>3</w:t>
      </w:r>
      <w:r>
        <w:rPr/>
        <w:t>）管理风险</w:t>
      </w:r>
    </w:p>
    <w:p>
      <w:pPr>
        <w:spacing w:line="240" w:lineRule="auto" w:before="7"/>
        <w:rPr>
          <w:rFonts w:ascii="宋体" w:hAnsi="宋体" w:cs="宋体" w:eastAsia="宋体" w:hint="default"/>
          <w:sz w:val="17"/>
          <w:szCs w:val="17"/>
        </w:rPr>
      </w:pPr>
    </w:p>
    <w:p>
      <w:pPr>
        <w:pStyle w:val="BodyText"/>
        <w:spacing w:line="475" w:lineRule="auto"/>
        <w:ind w:right="1137" w:firstLine="360"/>
        <w:jc w:val="both"/>
      </w:pPr>
      <w:r>
        <w:rPr>
          <w:spacing w:val="-2"/>
        </w:rPr>
        <w:t>随着公司规模和经营领域的不断扩张，公司控制或参股的企业数量随之增加，业务范围也在行业和地域两个维度不断延</w:t>
      </w:r>
      <w:r>
        <w:rPr/>
        <w:t> </w:t>
      </w:r>
      <w:r>
        <w:rPr>
          <w:spacing w:val="-2"/>
        </w:rPr>
        <w:t>伸。若公司的研发管理、生产管理、销售管理、质量控制等不能适应公司规模与经营范围扩张的要求，人才培养、组织模式</w:t>
      </w:r>
      <w:r>
        <w:rPr>
          <w:spacing w:val="-72"/>
        </w:rPr>
        <w:t> </w:t>
      </w:r>
      <w:r>
        <w:rPr>
          <w:spacing w:val="-72"/>
        </w:rPr>
      </w:r>
      <w:r>
        <w:rPr/>
        <w:t>和管理制度不能随之进一步健全和完善，将会引发相应的管理风险。</w:t>
      </w:r>
    </w:p>
    <w:p>
      <w:pPr>
        <w:pStyle w:val="BodyText"/>
        <w:spacing w:line="489" w:lineRule="auto" w:before="53"/>
        <w:ind w:left="501" w:right="996" w:hanging="361"/>
        <w:jc w:val="left"/>
      </w:pPr>
      <w:r>
        <w:rPr/>
        <w:t>（</w:t>
      </w:r>
      <w:r>
        <w:rPr>
          <w:rFonts w:ascii="宋体" w:hAnsi="宋体" w:cs="宋体" w:eastAsia="宋体" w:hint="default"/>
        </w:rPr>
        <w:t>4</w:t>
      </w:r>
      <w:r>
        <w:rPr/>
        <w:t>）人力资源风险 </w:t>
      </w:r>
      <w:r>
        <w:rPr>
          <w:spacing w:val="-2"/>
        </w:rPr>
        <w:t>经过多年发展，公司已形成一支稳定、高效的员工队伍，为公司快速发展奠定了可靠的人力资源基础。随着公司业务规</w:t>
      </w:r>
    </w:p>
    <w:p>
      <w:pPr>
        <w:pStyle w:val="BodyText"/>
        <w:spacing w:line="475" w:lineRule="auto" w:before="42"/>
        <w:ind w:right="1106"/>
        <w:jc w:val="both"/>
      </w:pPr>
      <w:r>
        <w:rPr>
          <w:spacing w:val="-2"/>
        </w:rPr>
        <w:t>模和领域的拓展需要更多的专业人才，这也成为公司可持续发展的关键因素。此外，公司也面临市场竞争加剧导致人力资源</w:t>
      </w:r>
      <w:r>
        <w:rPr>
          <w:spacing w:val="-74"/>
        </w:rPr>
        <w:t> </w:t>
      </w:r>
      <w:r>
        <w:rPr>
          <w:spacing w:val="-74"/>
        </w:rPr>
      </w:r>
      <w:r>
        <w:rPr>
          <w:spacing w:val="-2"/>
        </w:rPr>
        <w:t>成本上升的问题。尽管公司已加大对紧缺人才的引进力度，加强现有人员在技术、管理等方面的培训，同时立足企业文化建</w:t>
      </w:r>
      <w:r>
        <w:rPr>
          <w:spacing w:val="-42"/>
        </w:rPr>
        <w:t> </w:t>
      </w:r>
      <w:r>
        <w:rPr>
          <w:spacing w:val="-42"/>
        </w:rPr>
      </w:r>
      <w:r>
        <w:rPr>
          <w:spacing w:val="-2"/>
        </w:rPr>
        <w:t>设，增强企业凝聚力，但如果公司不能按照实际需要实现人才引进和培养，建立和完善人才激励机制，公司的生产经营和战</w:t>
      </w:r>
      <w:r>
        <w:rPr>
          <w:spacing w:val="-42"/>
        </w:rPr>
        <w:t> </w:t>
      </w:r>
      <w:r>
        <w:rPr>
          <w:spacing w:val="-42"/>
        </w:rPr>
      </w:r>
      <w:r>
        <w:rPr/>
        <w:t>略目标的实现可能会受到人力资源的制约。</w:t>
      </w:r>
    </w:p>
    <w:p>
      <w:pPr>
        <w:pStyle w:val="BodyText"/>
        <w:spacing w:line="240" w:lineRule="auto" w:before="68"/>
        <w:ind w:right="0"/>
        <w:jc w:val="both"/>
      </w:pPr>
      <w:r>
        <w:rPr/>
        <w:t>（</w:t>
      </w:r>
      <w:r>
        <w:rPr>
          <w:rFonts w:ascii="宋体" w:hAnsi="宋体" w:cs="宋体" w:eastAsia="宋体" w:hint="default"/>
        </w:rPr>
        <w:t>5</w:t>
      </w:r>
      <w:r>
        <w:rPr/>
        <w:t>）新冠肺炎疫情风险</w:t>
      </w:r>
    </w:p>
    <w:p>
      <w:pPr>
        <w:spacing w:line="240" w:lineRule="auto" w:before="7"/>
        <w:rPr>
          <w:rFonts w:ascii="宋体" w:hAnsi="宋体" w:cs="宋体" w:eastAsia="宋体" w:hint="default"/>
          <w:sz w:val="17"/>
          <w:szCs w:val="17"/>
        </w:rPr>
      </w:pPr>
    </w:p>
    <w:p>
      <w:pPr>
        <w:pStyle w:val="BodyText"/>
        <w:spacing w:line="477" w:lineRule="auto"/>
        <w:ind w:right="1013" w:firstLine="360"/>
        <w:jc w:val="left"/>
      </w:pPr>
      <w:r>
        <w:rPr/>
        <w:t>新型冠状病毒感染的肺炎疫情于 </w:t>
      </w:r>
      <w:r>
        <w:rPr>
          <w:rFonts w:ascii="宋体" w:hAnsi="宋体" w:cs="宋体" w:eastAsia="宋体" w:hint="default"/>
        </w:rPr>
        <w:t>2020 </w:t>
      </w:r>
      <w:r>
        <w:rPr/>
        <w:t>年 </w:t>
      </w:r>
      <w:r>
        <w:rPr>
          <w:rFonts w:ascii="宋体" w:hAnsi="宋体" w:cs="宋体" w:eastAsia="宋体" w:hint="default"/>
        </w:rPr>
        <w:t>1</w:t>
      </w:r>
      <w:r>
        <w:rPr>
          <w:rFonts w:ascii="宋体" w:hAnsi="宋体" w:cs="宋体" w:eastAsia="宋体" w:hint="default"/>
          <w:spacing w:val="25"/>
        </w:rPr>
        <w:t> </w:t>
      </w:r>
      <w:r>
        <w:rPr>
          <w:spacing w:val="-3"/>
        </w:rPr>
        <w:t>月在全国爆发以来，对新冠病毒疫情的防控工作正在全国范围内持续进行，</w:t>
      </w:r>
      <w:r>
        <w:rPr/>
        <w:t> </w:t>
      </w:r>
      <w:r>
        <w:rPr>
          <w:spacing w:val="-2"/>
        </w:rPr>
        <w:t>公司切实贯彻落实防控工作的各项要求，强化对疫情防控工作的支持。春节以来，因疫情防控需要，大范围停工停业，虽然</w:t>
      </w:r>
      <w:r>
        <w:rPr>
          <w:spacing w:val="-55"/>
        </w:rPr>
        <w:t> </w:t>
      </w:r>
      <w:r>
        <w:rPr>
          <w:spacing w:val="-55"/>
        </w:rPr>
      </w:r>
      <w:r>
        <w:rPr>
          <w:spacing w:val="-1"/>
        </w:rPr>
        <w:t>目前已逐步恢复，但受人员延迟复工、生产活动减缓、交通运输受限等多种因素叠加影响，导致公司部分已建项目延迟验收</w:t>
      </w:r>
      <w:r>
        <w:rPr>
          <w:spacing w:val="-87"/>
        </w:rPr>
        <w:t> </w:t>
      </w:r>
      <w:r>
        <w:rPr>
          <w:spacing w:val="-87"/>
        </w:rPr>
      </w:r>
      <w:r>
        <w:rPr>
          <w:spacing w:val="-2"/>
        </w:rPr>
        <w:t>和新项目无法现场实施，且在一段时间内客户的需求落地顺延；同时，各项社会经济活动在疫情完全结束后，需要一定的恢</w:t>
      </w:r>
      <w:r>
        <w:rPr>
          <w:spacing w:val="-40"/>
        </w:rPr>
        <w:t> </w:t>
      </w:r>
      <w:r>
        <w:rPr>
          <w:spacing w:val="-40"/>
        </w:rPr>
      </w:r>
      <w:r>
        <w:rPr/>
        <w:t>复时间，公司年度业务存在不及预期的可能性。</w:t>
      </w:r>
    </w:p>
    <w:p>
      <w:pPr>
        <w:pStyle w:val="BodyText"/>
        <w:spacing w:line="240" w:lineRule="auto" w:before="82"/>
        <w:ind w:left="501" w:right="0"/>
        <w:jc w:val="left"/>
      </w:pPr>
      <w:r>
        <w:rPr/>
        <w:t>上述计划并不代表公司对</w:t>
      </w:r>
      <w:r>
        <w:rPr>
          <w:spacing w:val="-43"/>
        </w:rPr>
        <w:t> </w:t>
      </w:r>
      <w:r>
        <w:rPr>
          <w:rFonts w:ascii="宋体" w:hAnsi="宋体" w:cs="宋体" w:eastAsia="宋体" w:hint="default"/>
        </w:rPr>
        <w:t>2020</w:t>
      </w:r>
      <w:r>
        <w:rPr>
          <w:rFonts w:ascii="宋体" w:hAnsi="宋体" w:cs="宋体" w:eastAsia="宋体" w:hint="default"/>
          <w:spacing w:val="-45"/>
        </w:rPr>
        <w:t> </w:t>
      </w:r>
      <w:r>
        <w:rPr/>
        <w:t>年度的盈利预测，不构成公司对投资者的实质承诺，请投资者注意投资风险。</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3"/>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both"/>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177"/>
        <w:gridCol w:w="2178"/>
        <w:gridCol w:w="2178"/>
        <w:gridCol w:w="3049"/>
      </w:tblGrid>
      <w:tr>
        <w:trPr>
          <w:trHeight w:val="405" w:hRule="exact"/>
        </w:trPr>
        <w:tc>
          <w:tcPr>
            <w:tcW w:w="2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90"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5"/>
        <w:rPr>
          <w:rFonts w:ascii="Times New Roman" w:hAnsi="Times New Roman" w:cs="Times New Roman" w:eastAsia="Times New Roman" w:hint="default"/>
          <w:sz w:val="3"/>
          <w:szCs w:val="3"/>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7.9pt;height:.75pt;mso-position-horizontal-relative:char;mso-position-vertical-relative:line" coordorigin="0,0" coordsize="10558,15">
            <v:group style="position:absolute;left:8;top:8;width:10543;height:2" coordorigin="8,8" coordsize="10543,2">
              <v:shape style="position:absolute;left:8;top:8;width:10543;height:2" coordorigin="8,8" coordsize="10543,0" path="m8,8l10551,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spacing w:line="240" w:lineRule="auto" w:before="168"/>
        <w:ind w:left="4256" w:right="4819"/>
        <w:jc w:val="center"/>
        <w:rPr>
          <w:b w:val="0"/>
          <w:bCs w:val="0"/>
        </w:rPr>
      </w:pPr>
      <w:bookmarkStart w:name="第五节重要事项" w:id="61"/>
      <w:bookmarkEnd w:id="61"/>
      <w:r>
        <w:rPr>
          <w:b w:val="0"/>
          <w:bCs w:val="0"/>
        </w:rPr>
      </w:r>
      <w:bookmarkStart w:name="_bookmark4" w:id="62"/>
      <w:bookmarkEnd w:id="62"/>
      <w:r>
        <w:rPr>
          <w:b w:val="0"/>
          <w:bCs w:val="0"/>
        </w:rPr>
      </w:r>
      <w:r>
        <w:rPr>
          <w:spacing w:val="5"/>
        </w:rPr>
        <w:t>第五节重要事项</w:t>
      </w:r>
      <w:r>
        <w:rPr>
          <w:b w:val="0"/>
          <w:bCs w:val="0"/>
          <w:spacing w:val="5"/>
        </w:rPr>
      </w:r>
    </w:p>
    <w:p>
      <w:pPr>
        <w:spacing w:line="240" w:lineRule="auto" w:before="10"/>
        <w:rPr>
          <w:rFonts w:ascii="宋体" w:hAnsi="宋体" w:cs="宋体" w:eastAsia="宋体" w:hint="default"/>
          <w:b/>
          <w:bCs/>
          <w:sz w:val="41"/>
          <w:szCs w:val="41"/>
        </w:rPr>
      </w:pPr>
    </w:p>
    <w:p>
      <w:pPr>
        <w:pStyle w:val="Heading2"/>
        <w:spacing w:line="240" w:lineRule="auto"/>
        <w:ind w:left="140" w:right="609"/>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left="140" w:right="609"/>
        <w:jc w:val="left"/>
      </w:pPr>
      <w:r>
        <w:rPr/>
        <w:t>报告期内普通股利润分配政策，特别是现金分红政策的制定、执行或调整情况</w:t>
      </w:r>
    </w:p>
    <w:p>
      <w:pPr>
        <w:spacing w:line="240" w:lineRule="auto" w:before="0"/>
        <w:rPr>
          <w:rFonts w:ascii="宋体" w:hAnsi="宋体" w:cs="宋体" w:eastAsia="宋体" w:hint="default"/>
          <w:sz w:val="21"/>
          <w:szCs w:val="21"/>
        </w:rPr>
      </w:pPr>
    </w:p>
    <w:p>
      <w:pPr>
        <w:pStyle w:val="BodyText"/>
        <w:spacing w:line="47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Times New Roman" w:hAnsi="Times New Roman" w:cs="Times New Roman" w:eastAsia="Times New Roman" w:hint="default"/>
        </w:rPr>
        <w:t>1</w:t>
      </w:r>
      <w:r>
        <w:rPr/>
        <w:t>、《公司章程》第一百六十一条明确规定了公司进行利润分配的原则、形式、条件以及利润分配政策的决策机制和审批程序等，符合 中国证监会等相关监管机构对于上市公司股利分配政策的最新要求，分红标准和比例明确、清晰，充分维护了全体股东的合法权益。 </w:t>
      </w:r>
      <w:r>
        <w:rPr>
          <w:rFonts w:ascii="Times New Roman" w:hAnsi="Times New Roman" w:cs="Times New Roman" w:eastAsia="Times New Roman" w:hint="default"/>
        </w:rPr>
        <w:t>2</w:t>
      </w:r>
      <w:r>
        <w:rPr/>
        <w:t>、报告期内，公司严格按照《公司章程》相关利润分配政策和审议程序实施利润分配方案，分红标准和分红比例明确清晰，相关的决 </w:t>
      </w:r>
      <w:r>
        <w:rPr>
          <w:spacing w:val="-1"/>
        </w:rPr>
        <w:t>策程序和机制完备，相关的议案经董事会、监事会、股东大会审议，并由独立董事发表独立意见，审议通过后在规定时间内进行实施，</w:t>
      </w:r>
      <w:r>
        <w:rPr>
          <w:spacing w:val="-82"/>
        </w:rPr>
        <w:t> </w:t>
      </w:r>
      <w:r>
        <w:rPr>
          <w:spacing w:val="-82"/>
        </w:rPr>
      </w:r>
      <w:r>
        <w:rPr/>
        <w:t>切实保证了全体股东的利益。 </w:t>
      </w:r>
      <w:r>
        <w:rPr>
          <w:rFonts w:ascii="Times New Roman" w:hAnsi="Times New Roman" w:cs="Times New Roman" w:eastAsia="Times New Roman" w:hint="default"/>
        </w:rPr>
        <w:t>3</w:t>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日召开的公司</w:t>
      </w:r>
      <w:r>
        <w:rPr>
          <w:rFonts w:ascii="Times New Roman" w:hAnsi="Times New Roman" w:cs="Times New Roman" w:eastAsia="Times New Roman" w:hint="default"/>
        </w:rPr>
        <w:t>2018</w:t>
      </w:r>
      <w:r>
        <w:rPr/>
        <w:t>年年度股东大会审议批准，公司</w:t>
      </w:r>
      <w:r>
        <w:rPr>
          <w:rFonts w:ascii="Times New Roman" w:hAnsi="Times New Roman" w:cs="Times New Roman" w:eastAsia="Times New Roman" w:hint="default"/>
        </w:rPr>
        <w:t>2018</w:t>
      </w:r>
      <w:r>
        <w:rPr/>
        <w:t>年度利润分配的方案为：以截至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p>
    <w:p>
      <w:pPr>
        <w:pStyle w:val="BodyText"/>
        <w:spacing w:line="451" w:lineRule="auto" w:before="40"/>
        <w:ind w:left="140" w:right="609"/>
        <w:jc w:val="left"/>
      </w:pPr>
      <w:r>
        <w:rPr/>
        <w:pict>
          <v:shape style="position:absolute;margin-left:36.049999pt;margin-top:137.861725pt;width:479.5pt;height:172.6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9"/>
                    <w:gridCol w:w="4798"/>
                  </w:tblGrid>
                  <w:tr>
                    <w:trPr>
                      <w:trHeight w:val="405" w:hRule="exact"/>
                    </w:trPr>
                    <w:tc>
                      <w:tcPr>
                        <w:tcW w:w="95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91"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47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Times New Roman" w:hAnsi="Times New Roman" w:cs="Times New Roman" w:eastAsia="Times New Roman" w:hint="default"/>
        </w:rPr>
        <w:t>408,405,465</w:t>
      </w:r>
      <w:r>
        <w:rPr/>
        <w:t>股扣除截至利润分配方案披露之日回购专户持有股份</w:t>
      </w:r>
      <w:r>
        <w:rPr>
          <w:rFonts w:ascii="Times New Roman" w:hAnsi="Times New Roman" w:cs="Times New Roman" w:eastAsia="Times New Roman" w:hint="default"/>
        </w:rPr>
        <w:t>3,883,600</w:t>
      </w:r>
      <w:r>
        <w:rPr/>
        <w:t>股后股本</w:t>
      </w:r>
      <w:r>
        <w:rPr>
          <w:rFonts w:ascii="Times New Roman" w:hAnsi="Times New Roman" w:cs="Times New Roman" w:eastAsia="Times New Roman" w:hint="default"/>
        </w:rPr>
        <w:t>404,521,865</w:t>
      </w:r>
      <w:r>
        <w:rPr/>
        <w:t>股为基数，向全体股东每</w:t>
      </w:r>
      <w:r>
        <w:rPr>
          <w:rFonts w:ascii="Times New Roman" w:hAnsi="Times New Roman" w:cs="Times New Roman" w:eastAsia="Times New Roman" w:hint="default"/>
        </w:rPr>
        <w:t>10</w:t>
      </w:r>
      <w:r>
        <w:rPr/>
        <w:t>股派发现金</w:t>
      </w:r>
      <w:r>
        <w:rPr>
          <w:spacing w:val="-80"/>
        </w:rPr>
        <w:t> </w:t>
      </w:r>
      <w:r>
        <w:rPr/>
        <w:t>股利人民币</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20,226,093.25</w:t>
      </w:r>
      <w:r>
        <w:rPr/>
        <w:t>元（含税），剩余未分配利润结转以后年度；同时，以资本公积金向全体股</w:t>
      </w:r>
      <w:r>
        <w:rPr>
          <w:spacing w:val="-87"/>
        </w:rPr>
        <w:t> </w:t>
      </w:r>
      <w:r>
        <w:rPr>
          <w:spacing w:val="-1"/>
        </w:rPr>
        <w:t>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股，合计转增股份数量为</w:t>
      </w:r>
      <w:r>
        <w:rPr>
          <w:rFonts w:ascii="Times New Roman" w:hAnsi="Times New Roman" w:cs="Times New Roman" w:eastAsia="Times New Roman" w:hint="default"/>
          <w:spacing w:val="-1"/>
        </w:rPr>
        <w:t>283,165,305</w:t>
      </w:r>
      <w:r>
        <w:rPr>
          <w:spacing w:val="-1"/>
        </w:rPr>
        <w:t>股。由于公司</w:t>
      </w:r>
      <w:r>
        <w:rPr>
          <w:rFonts w:ascii="Times New Roman" w:hAnsi="Times New Roman" w:cs="Times New Roman" w:eastAsia="Times New Roman" w:hint="default"/>
          <w:spacing w:val="-1"/>
        </w:rPr>
        <w:t>2018</w:t>
      </w:r>
      <w:r>
        <w:rPr>
          <w:spacing w:val="-1"/>
        </w:rPr>
        <w:t>年股权激励计划预留部分限制性股票合计</w:t>
      </w:r>
      <w:r>
        <w:rPr>
          <w:rFonts w:ascii="Times New Roman" w:hAnsi="Times New Roman" w:cs="Times New Roman" w:eastAsia="Times New Roman" w:hint="default"/>
          <w:spacing w:val="-1"/>
        </w:rPr>
        <w:t>965,000</w:t>
      </w:r>
      <w:r>
        <w:rPr>
          <w:spacing w:val="-1"/>
        </w:rPr>
        <w:t>股已于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4</w:t>
      </w:r>
      <w:r>
        <w:rPr/>
        <w:t>日完成授予并于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日上市，按照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的原则，公司按照目前股本总额重新计算的</w:t>
      </w:r>
      <w:r>
        <w:rPr>
          <w:rFonts w:ascii="Times New Roman" w:hAnsi="Times New Roman" w:cs="Times New Roman" w:eastAsia="Times New Roman" w:hint="default"/>
        </w:rPr>
        <w:t>2018</w:t>
      </w:r>
      <w:r>
        <w:rPr/>
        <w:t>年度权益分派方案为：</w:t>
      </w:r>
      <w:r>
        <w:rPr>
          <w:spacing w:val="-77"/>
        </w:rPr>
        <w:t> </w:t>
      </w:r>
      <w:r>
        <w:rPr/>
        <w:t>以公司现有总股本剔除已回购股份后</w:t>
      </w:r>
      <w:r>
        <w:rPr>
          <w:rFonts w:ascii="Times New Roman" w:hAnsi="Times New Roman" w:cs="Times New Roman" w:eastAsia="Times New Roman" w:hint="default"/>
        </w:rPr>
        <w:t>405,486,865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0.498810</w:t>
      </w:r>
      <w:r>
        <w:rPr/>
        <w:t>元人民币现金（含税）；同时，以资本公积</w:t>
      </w:r>
      <w:r>
        <w:rPr>
          <w:spacing w:val="-85"/>
        </w:rPr>
        <w:t> </w:t>
      </w: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6.983341</w:t>
      </w:r>
      <w:r>
        <w:rPr/>
        <w:t>股。该方案已于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140" w:right="609"/>
        <w:jc w:val="left"/>
      </w:pPr>
      <w:r>
        <w:rPr/>
        <w:t>公司报告期利润分配预案及资本公积金转增股本预案与公司章程和分红管理办法等的相关规定一致</w:t>
      </w:r>
    </w:p>
    <w:p>
      <w:pPr>
        <w:spacing w:line="240" w:lineRule="auto" w:before="11"/>
        <w:rPr>
          <w:rFonts w:ascii="宋体" w:hAnsi="宋体" w:cs="宋体" w:eastAsia="宋体" w:hint="default"/>
          <w:sz w:val="19"/>
          <w:szCs w:val="19"/>
        </w:rPr>
      </w:pPr>
    </w:p>
    <w:p>
      <w:pPr>
        <w:pStyle w:val="BodyText"/>
        <w:spacing w:line="506" w:lineRule="auto"/>
        <w:ind w:left="140" w:right="4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不适用 公司报告期利润分配预案及资本公积金转增股本预案符合公司章程等的相关规定。 本年度利润分配及资本公积金转增股本情况</w:t>
      </w:r>
    </w:p>
    <w:p>
      <w:pPr>
        <w:spacing w:after="0" w:line="506" w:lineRule="auto"/>
        <w:jc w:val="left"/>
        <w:sectPr>
          <w:footerReference w:type="default" r:id="rId12"/>
          <w:pgSz w:w="11910" w:h="16850"/>
          <w:pgMar w:footer="1026" w:header="776" w:top="1100" w:bottom="1220" w:left="580" w:right="0"/>
          <w:pgNumType w:start="41"/>
        </w:sectPr>
      </w:pPr>
    </w:p>
    <w:tbl>
      <w:tblPr>
        <w:tblW w:w="0" w:type="auto"/>
        <w:jc w:val="left"/>
        <w:tblInd w:w="141" w:type="dxa"/>
        <w:tblLayout w:type="fixed"/>
        <w:tblCellMar>
          <w:top w:w="0" w:type="dxa"/>
          <w:left w:w="0" w:type="dxa"/>
          <w:bottom w:w="0" w:type="dxa"/>
          <w:right w:w="0" w:type="dxa"/>
        </w:tblCellMar>
        <w:tblLook w:val="01E0"/>
      </w:tblPr>
      <w:tblGrid>
        <w:gridCol w:w="3702"/>
        <w:gridCol w:w="5865"/>
      </w:tblGrid>
      <w:tr>
        <w:trPr>
          <w:trHeight w:val="406"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0.45</w:t>
            </w:r>
          </w:p>
        </w:tc>
      </w:tr>
      <w:tr>
        <w:trPr>
          <w:trHeight w:val="390"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686,616,614</w:t>
            </w:r>
          </w:p>
        </w:tc>
      </w:tr>
      <w:tr>
        <w:trPr>
          <w:trHeight w:val="406"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30,897,747.63</w:t>
            </w:r>
          </w:p>
        </w:tc>
      </w:tr>
      <w:tr>
        <w:trPr>
          <w:trHeight w:val="405" w:hRule="exact"/>
        </w:trPr>
        <w:tc>
          <w:tcPr>
            <w:tcW w:w="3702"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65" w:type="dxa"/>
            <w:tcBorders>
              <w:top w:val="single" w:sz="6" w:space="0" w:color="000000"/>
              <w:left w:val="single" w:sz="12" w:space="0" w:color="FFFFFF"/>
              <w:bottom w:val="single" w:sz="6" w:space="0" w:color="000000"/>
              <w:right w:val="single" w:sz="6" w:space="0" w:color="000000"/>
            </w:tcBorders>
          </w:tcPr>
          <w:p>
            <w:pPr>
              <w:pStyle w:val="TableParagraph"/>
              <w:tabs>
                <w:tab w:pos="4790" w:val="left" w:leader="none"/>
              </w:tabs>
              <w:spacing w:line="240" w:lineRule="auto" w:before="49"/>
              <w:ind w:left="-140" w:right="14"/>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32,491,116.90</w:t>
            </w:r>
          </w:p>
        </w:tc>
      </w:tr>
      <w:tr>
        <w:trPr>
          <w:trHeight w:val="405"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63,388,864.53</w:t>
            </w:r>
          </w:p>
        </w:tc>
      </w:tr>
      <w:tr>
        <w:trPr>
          <w:trHeight w:val="391"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348,980,878.96</w:t>
            </w:r>
          </w:p>
        </w:tc>
      </w:tr>
      <w:tr>
        <w:trPr>
          <w:trHeight w:val="720" w:hRule="exact"/>
        </w:trPr>
        <w:tc>
          <w:tcPr>
            <w:tcW w:w="3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95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5" w:hRule="exact"/>
        </w:trPr>
        <w:tc>
          <w:tcPr>
            <w:tcW w:w="95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p>
        </w:tc>
      </w:tr>
      <w:tr>
        <w:trPr>
          <w:trHeight w:val="391" w:hRule="exact"/>
        </w:trPr>
        <w:tc>
          <w:tcPr>
            <w:tcW w:w="956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8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48" w:hRule="exact"/>
        </w:trPr>
        <w:tc>
          <w:tcPr>
            <w:tcW w:w="95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pacing w:val="-3"/>
                <w:sz w:val="18"/>
                <w:szCs w:val="18"/>
              </w:rPr>
              <w:t>经天健会计师事务所（特殊普通合伙）审计，公司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年度实现归属于上市公司股东的净利润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154,431,200.03</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元，母</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公司实现净利润为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97,571,626.26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元。根据公司章程有关规定，按母公司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年度公司实现净利润的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积金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9,757,162.63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元，年初未分配利润为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281,392,445.04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年向股东分配现金股利</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20,226,029.71</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元，截至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348" w:lineRule="auto" w:before="66"/>
              <w:ind w:left="375" w:right="30" w:hanging="36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日母公司累计可供期末未分配利润为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348,980,878.96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为回报广大股东，使其与公司共享发展成果，同时综合考量公司未来业务的持续发展，</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年年度公司利润分配预案</w:t>
            </w:r>
          </w:p>
          <w:p>
            <w:pPr>
              <w:pStyle w:val="TableParagraph"/>
              <w:spacing w:line="182" w:lineRule="exact"/>
              <w:ind w:left="15" w:right="0"/>
              <w:jc w:val="left"/>
              <w:rPr>
                <w:rFonts w:ascii="宋体" w:hAnsi="宋体" w:cs="宋体" w:eastAsia="宋体" w:hint="default"/>
                <w:sz w:val="18"/>
                <w:szCs w:val="18"/>
              </w:rPr>
            </w:pPr>
            <w:r>
              <w:rPr>
                <w:rFonts w:ascii="宋体" w:hAnsi="宋体" w:cs="宋体" w:eastAsia="宋体" w:hint="default"/>
                <w:sz w:val="18"/>
                <w:szCs w:val="18"/>
              </w:rPr>
              <w:t>如下：</w:t>
            </w:r>
          </w:p>
          <w:p>
            <w:pPr>
              <w:pStyle w:val="TableParagraph"/>
              <w:spacing w:line="240" w:lineRule="auto" w:before="140"/>
              <w:ind w:left="375" w:right="0"/>
              <w:jc w:val="left"/>
              <w:rPr>
                <w:rFonts w:ascii="宋体" w:hAnsi="宋体" w:cs="宋体" w:eastAsia="宋体" w:hint="default"/>
                <w:sz w:val="18"/>
                <w:szCs w:val="18"/>
              </w:rPr>
            </w:pPr>
            <w:r>
              <w:rPr>
                <w:rFonts w:ascii="宋体" w:hAnsi="宋体" w:cs="宋体" w:eastAsia="宋体" w:hint="default"/>
                <w:sz w:val="18"/>
                <w:szCs w:val="18"/>
              </w:rPr>
              <w:t>公司拟以截至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692,321,414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股扣除截至本公告披露之日回购专户持有股份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5,704,800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股后股</w:t>
            </w:r>
          </w:p>
          <w:p>
            <w:pPr>
              <w:pStyle w:val="TableParagraph"/>
              <w:spacing w:line="273"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686,616,614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30,897,747.63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元（含</w:t>
            </w:r>
            <w:r>
              <w:rPr>
                <w:rFonts w:ascii="宋体" w:hAnsi="宋体" w:cs="宋体" w:eastAsia="宋体" w:hint="default"/>
                <w:sz w:val="18"/>
                <w:szCs w:val="18"/>
              </w:rPr>
              <w:t> </w:t>
            </w:r>
            <w:r>
              <w:rPr>
                <w:rFonts w:ascii="宋体" w:hAnsi="宋体" w:cs="宋体" w:eastAsia="宋体" w:hint="default"/>
                <w:spacing w:val="-6"/>
                <w:sz w:val="18"/>
                <w:szCs w:val="18"/>
              </w:rPr>
              <w:t>税），剩余未分配利润结转以后年度。</w:t>
            </w:r>
          </w:p>
          <w:p>
            <w:pPr>
              <w:pStyle w:val="TableParagraph"/>
              <w:spacing w:line="321" w:lineRule="auto" w:before="99"/>
              <w:ind w:left="15" w:right="24" w:firstLine="360"/>
              <w:jc w:val="left"/>
              <w:rPr>
                <w:rFonts w:ascii="宋体" w:hAnsi="宋体" w:cs="宋体" w:eastAsia="宋体" w:hint="default"/>
                <w:sz w:val="18"/>
                <w:szCs w:val="18"/>
              </w:rPr>
            </w:pPr>
            <w:r>
              <w:rPr>
                <w:rFonts w:ascii="宋体" w:hAnsi="宋体" w:cs="宋体" w:eastAsia="宋体" w:hint="default"/>
                <w:spacing w:val="-1"/>
                <w:sz w:val="18"/>
                <w:szCs w:val="18"/>
              </w:rPr>
              <w:t>上述利润分配预案披露后至权益分派实施公告确定的股权登记日前公司股本发生变动的，将按照分配总额不变的原则</w:t>
            </w:r>
            <w:r>
              <w:rPr>
                <w:rFonts w:ascii="宋体" w:hAnsi="宋体" w:cs="宋体" w:eastAsia="宋体" w:hint="default"/>
                <w:sz w:val="18"/>
                <w:szCs w:val="18"/>
              </w:rPr>
              <w:t> 对各分配比例进行调整。</w:t>
            </w:r>
          </w:p>
        </w:tc>
      </w:tr>
    </w:tbl>
    <w:p>
      <w:pPr>
        <w:spacing w:line="240" w:lineRule="auto" w:before="10"/>
        <w:rPr>
          <w:rFonts w:ascii="宋体" w:hAnsi="宋体" w:cs="宋体" w:eastAsia="宋体" w:hint="default"/>
          <w:sz w:val="5"/>
          <w:szCs w:val="5"/>
        </w:rPr>
      </w:pPr>
    </w:p>
    <w:p>
      <w:pPr>
        <w:pStyle w:val="BodyText"/>
        <w:spacing w:line="477" w:lineRule="auto" w:before="44"/>
        <w:ind w:left="140" w:right="700"/>
        <w:jc w:val="left"/>
      </w:pPr>
      <w:r>
        <w:rPr/>
        <w:t>公司近</w:t>
      </w:r>
      <w:r>
        <w:rPr>
          <w:spacing w:val="-45"/>
        </w:rPr>
        <w:t> </w:t>
      </w:r>
      <w:r>
        <w:rPr>
          <w:rFonts w:ascii="Times New Roman" w:hAnsi="Times New Roman" w:cs="Times New Roman" w:eastAsia="Times New Roman" w:hint="default"/>
        </w:rPr>
        <w:t>3 </w:t>
      </w:r>
      <w:r>
        <w:rPr>
          <w:spacing w:val="-3"/>
        </w:rPr>
        <w:t>年（包括本报告期）的普通股股利分配方案（预案）、资本公积金转增股本方案（预案）情况</w:t>
      </w:r>
      <w:r>
        <w:rPr>
          <w:spacing w:val="-59"/>
        </w:rPr>
        <w:t> </w:t>
      </w:r>
      <w:r>
        <w:rPr>
          <w:spacing w:val="-59"/>
        </w:rPr>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年度，经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日召开的公司</w:t>
      </w:r>
      <w:r>
        <w:rPr>
          <w:rFonts w:ascii="Times New Roman" w:hAnsi="Times New Roman" w:cs="Times New Roman" w:eastAsia="Times New Roman" w:hint="default"/>
          <w:spacing w:val="-1"/>
        </w:rPr>
        <w:t>2017</w:t>
      </w:r>
      <w:r>
        <w:rPr>
          <w:spacing w:val="-1"/>
        </w:rPr>
        <w:t>年年度股东大会审议批准，公司</w:t>
      </w:r>
      <w:r>
        <w:rPr>
          <w:rFonts w:ascii="Times New Roman" w:hAnsi="Times New Roman" w:cs="Times New Roman" w:eastAsia="Times New Roman" w:hint="default"/>
          <w:spacing w:val="-1"/>
        </w:rPr>
        <w:t>2017</w:t>
      </w:r>
      <w:r>
        <w:rPr>
          <w:spacing w:val="-1"/>
        </w:rPr>
        <w:t>年度利润分配的方案为：以截至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日的</w:t>
      </w:r>
      <w:r>
        <w:rPr>
          <w:spacing w:val="-73"/>
        </w:rPr>
        <w:t> </w:t>
      </w:r>
      <w:r>
        <w:rPr/>
        <w:t>总股本</w:t>
      </w:r>
      <w:r>
        <w:rPr>
          <w:rFonts w:ascii="Times New Roman" w:hAnsi="Times New Roman" w:cs="Times New Roman" w:eastAsia="Times New Roman" w:hint="default"/>
        </w:rPr>
        <w:t>218,370,659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1.02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22,273,807.22</w:t>
      </w:r>
      <w:r>
        <w:rPr/>
        <w:t>元（含税），剩余</w:t>
      </w:r>
    </w:p>
    <w:p>
      <w:pPr>
        <w:pStyle w:val="BodyText"/>
        <w:spacing w:line="451" w:lineRule="auto" w:before="19"/>
        <w:ind w:left="140" w:right="609"/>
        <w:jc w:val="left"/>
      </w:pPr>
      <w:r>
        <w:rPr/>
        <w:t>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股，合计转增股份数量为</w:t>
      </w:r>
      <w:r>
        <w:rPr>
          <w:rFonts w:ascii="Times New Roman" w:hAnsi="Times New Roman" w:cs="Times New Roman" w:eastAsia="Times New Roman" w:hint="default"/>
        </w:rPr>
        <w:t>174,696,527</w:t>
      </w:r>
      <w:r>
        <w:rPr/>
        <w:t>股。由于公司已于</w:t>
      </w:r>
      <w:r>
        <w:rPr>
          <w:rFonts w:ascii="Times New Roman" w:hAnsi="Times New Roman" w:cs="Times New Roman" w:eastAsia="Times New Roman" w:hint="default"/>
        </w:rPr>
        <w:t>2018</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日办理完成部分限制性股票的回购注销手续，公司总股本变更为</w:t>
      </w:r>
      <w:r>
        <w:rPr>
          <w:rFonts w:ascii="Times New Roman" w:hAnsi="Times New Roman" w:cs="Times New Roman" w:eastAsia="Times New Roman" w:hint="default"/>
        </w:rPr>
        <w:t>218,291,439</w:t>
      </w:r>
      <w:r>
        <w:rPr/>
        <w:t>股，按照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的原则，公司按照目前股</w:t>
      </w:r>
      <w:r>
        <w:rPr>
          <w:spacing w:val="-76"/>
        </w:rPr>
        <w:t> </w:t>
      </w:r>
      <w:r>
        <w:rPr/>
        <w:t>本总额重新计算的</w:t>
      </w:r>
      <w:r>
        <w:rPr>
          <w:rFonts w:ascii="Times New Roman" w:hAnsi="Times New Roman" w:cs="Times New Roman" w:eastAsia="Times New Roman" w:hint="default"/>
        </w:rPr>
        <w:t>2017</w:t>
      </w:r>
      <w:r>
        <w:rPr/>
        <w:t>年度权益分派方案为：以公司现有总股本</w:t>
      </w:r>
      <w:r>
        <w:rPr>
          <w:rFonts w:ascii="Times New Roman" w:hAnsi="Times New Roman" w:cs="Times New Roman" w:eastAsia="Times New Roman" w:hint="default"/>
        </w:rPr>
        <w:t>218,291,439</w:t>
      </w:r>
      <w:r>
        <w:rPr/>
        <w:t>股为基数，向全体股东每</w:t>
      </w:r>
      <w:r>
        <w:rPr>
          <w:rFonts w:ascii="Times New Roman" w:hAnsi="Times New Roman" w:cs="Times New Roman" w:eastAsia="Times New Roman" w:hint="default"/>
        </w:rPr>
        <w:t>10</w:t>
      </w:r>
      <w:r>
        <w:rPr/>
        <w:t>派发现金股利人民币</w:t>
      </w:r>
      <w:r>
        <w:rPr>
          <w:rFonts w:ascii="Times New Roman" w:hAnsi="Times New Roman" w:cs="Times New Roman" w:eastAsia="Times New Roman" w:hint="default"/>
        </w:rPr>
        <w:t>1.020370</w:t>
      </w:r>
      <w:r>
        <w:rPr>
          <w:rFonts w:ascii="Times New Roman" w:hAnsi="Times New Roman" w:cs="Times New Roman" w:eastAsia="Times New Roman" w:hint="default"/>
          <w:spacing w:val="-36"/>
        </w:rPr>
        <w:t>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8.002903</w:t>
      </w:r>
      <w:r>
        <w:rPr/>
        <w:t>股。该方案已于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日实施完毕。</w:t>
      </w:r>
      <w:r>
        <w:rPr>
          <w:spacing w:val="-85"/>
        </w:rPr>
        <w:t>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年度，经</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日召开的公司</w:t>
      </w:r>
      <w:r>
        <w:rPr>
          <w:rFonts w:ascii="Times New Roman" w:hAnsi="Times New Roman" w:cs="Times New Roman" w:eastAsia="Times New Roman" w:hint="default"/>
          <w:spacing w:val="-1"/>
        </w:rPr>
        <w:t>2018</w:t>
      </w:r>
      <w:r>
        <w:rPr>
          <w:spacing w:val="-1"/>
        </w:rPr>
        <w:t>年年度股东大会审议批准，公司</w:t>
      </w:r>
      <w:r>
        <w:rPr>
          <w:rFonts w:ascii="Times New Roman" w:hAnsi="Times New Roman" w:cs="Times New Roman" w:eastAsia="Times New Roman" w:hint="default"/>
          <w:spacing w:val="-1"/>
        </w:rPr>
        <w:t>2018</w:t>
      </w:r>
      <w:r>
        <w:rPr>
          <w:spacing w:val="-1"/>
        </w:rPr>
        <w:t>年度利润分配的方案为：以截至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日的</w:t>
      </w:r>
      <w:r>
        <w:rPr>
          <w:spacing w:val="-73"/>
        </w:rPr>
        <w:t> </w:t>
      </w:r>
      <w:r>
        <w:rPr/>
        <w:t>总股本</w:t>
      </w:r>
      <w:r>
        <w:rPr>
          <w:rFonts w:ascii="Times New Roman" w:hAnsi="Times New Roman" w:cs="Times New Roman" w:eastAsia="Times New Roman" w:hint="default"/>
        </w:rPr>
        <w:t>408,405,465</w:t>
      </w:r>
      <w:r>
        <w:rPr/>
        <w:t>股扣除截至利润分配方案披露之日回购专户持有股份</w:t>
      </w:r>
      <w:r>
        <w:rPr>
          <w:rFonts w:ascii="Times New Roman" w:hAnsi="Times New Roman" w:cs="Times New Roman" w:eastAsia="Times New Roman" w:hint="default"/>
        </w:rPr>
        <w:t>3,883,600</w:t>
      </w:r>
      <w:r>
        <w:rPr/>
        <w:t>股后股本</w:t>
      </w:r>
      <w:r>
        <w:rPr>
          <w:rFonts w:ascii="Times New Roman" w:hAnsi="Times New Roman" w:cs="Times New Roman" w:eastAsia="Times New Roman" w:hint="default"/>
        </w:rPr>
        <w:t>404,521,865</w:t>
      </w:r>
      <w:r>
        <w:rPr/>
        <w:t>股为基数，向全体股东每</w:t>
      </w:r>
      <w:r>
        <w:rPr>
          <w:rFonts w:ascii="Times New Roman" w:hAnsi="Times New Roman" w:cs="Times New Roman" w:eastAsia="Times New Roman" w:hint="default"/>
        </w:rPr>
        <w:t>10</w:t>
      </w:r>
      <w:r>
        <w:rPr/>
        <w:t>股派</w:t>
      </w:r>
      <w:r>
        <w:rPr>
          <w:spacing w:val="-81"/>
        </w:rPr>
        <w:t> </w:t>
      </w:r>
      <w:r>
        <w:rPr/>
        <w:t>发现金股利人民币</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20,226,093.25</w:t>
      </w:r>
      <w:r>
        <w:rPr/>
        <w:t>元（含税），剩余未分配利润结转以后年度；同时，以资本公积金向</w:t>
      </w:r>
      <w:r>
        <w:rPr>
          <w:spacing w:val="-83"/>
        </w:rPr>
        <w:t> </w:t>
      </w:r>
      <w:r>
        <w:rPr>
          <w:spacing w:val="-83"/>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股，合计转增股份数量为</w:t>
      </w:r>
      <w:r>
        <w:rPr>
          <w:rFonts w:ascii="Times New Roman" w:hAnsi="Times New Roman" w:cs="Times New Roman" w:eastAsia="Times New Roman" w:hint="default"/>
        </w:rPr>
        <w:t>283,165,305</w:t>
      </w:r>
      <w:r>
        <w:rPr/>
        <w:t>股。由于公司</w:t>
      </w:r>
      <w:r>
        <w:rPr>
          <w:rFonts w:ascii="Times New Roman" w:hAnsi="Times New Roman" w:cs="Times New Roman" w:eastAsia="Times New Roman" w:hint="default"/>
        </w:rPr>
        <w:t>2018</w:t>
      </w:r>
      <w:r>
        <w:rPr/>
        <w:t>年股权激励计划预留部分限制性股票合计</w:t>
      </w:r>
      <w:r>
        <w:rPr>
          <w:rFonts w:ascii="Times New Roman" w:hAnsi="Times New Roman" w:cs="Times New Roman" w:eastAsia="Times New Roman" w:hint="default"/>
        </w:rPr>
        <w:t>965,000</w:t>
      </w:r>
      <w:r>
        <w:rPr/>
        <w:t>股已于</w:t>
      </w:r>
    </w:p>
    <w:p>
      <w:pPr>
        <w:spacing w:after="0" w:line="451" w:lineRule="auto"/>
        <w:jc w:val="left"/>
        <w:sectPr>
          <w:pgSz w:w="11910" w:h="16850"/>
          <w:pgMar w:header="776" w:footer="1026" w:top="1200" w:bottom="1220" w:left="580" w:right="0"/>
        </w:sectPr>
      </w:pPr>
    </w:p>
    <w:p>
      <w:pPr>
        <w:spacing w:line="240" w:lineRule="auto" w:before="2"/>
        <w:rPr>
          <w:rFonts w:ascii="宋体" w:hAnsi="宋体" w:cs="宋体" w:eastAsia="宋体" w:hint="default"/>
          <w:sz w:val="11"/>
          <w:szCs w:val="11"/>
        </w:rPr>
      </w:pPr>
    </w:p>
    <w:p>
      <w:pPr>
        <w:pStyle w:val="BodyText"/>
        <w:spacing w:line="453" w:lineRule="auto" w:before="44"/>
        <w:ind w:left="140" w:right="609"/>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日完成授予并于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日上市，按照</w:t>
      </w:r>
      <w:r>
        <w:rPr>
          <w:rFonts w:ascii="Times New Roman" w:hAnsi="Times New Roman" w:cs="Times New Roman" w:eastAsia="Times New Roman" w:hint="default"/>
          <w:spacing w:val="-1"/>
        </w:rPr>
        <w:t>“</w:t>
      </w:r>
      <w:r>
        <w:rPr>
          <w:spacing w:val="-1"/>
        </w:rPr>
        <w:t>分配总额不变</w:t>
      </w:r>
      <w:r>
        <w:rPr>
          <w:rFonts w:ascii="Times New Roman" w:hAnsi="Times New Roman" w:cs="Times New Roman" w:eastAsia="Times New Roman" w:hint="default"/>
          <w:spacing w:val="-1"/>
        </w:rPr>
        <w:t>”</w:t>
      </w:r>
      <w:r>
        <w:rPr>
          <w:spacing w:val="-1"/>
        </w:rPr>
        <w:t>的原则，公司按照目前股本总额重新计算的</w:t>
      </w:r>
      <w:r>
        <w:rPr>
          <w:rFonts w:ascii="Times New Roman" w:hAnsi="Times New Roman" w:cs="Times New Roman" w:eastAsia="Times New Roman" w:hint="default"/>
          <w:spacing w:val="-1"/>
        </w:rPr>
        <w:t>2018</w:t>
      </w:r>
      <w:r>
        <w:rPr>
          <w:spacing w:val="-1"/>
        </w:rPr>
        <w:t>年度权益分派方</w:t>
      </w:r>
      <w:r>
        <w:rPr>
          <w:spacing w:val="-56"/>
        </w:rPr>
        <w:t> </w:t>
      </w:r>
      <w:r>
        <w:rPr>
          <w:spacing w:val="-56"/>
        </w:rPr>
      </w:r>
      <w:r>
        <w:rPr/>
        <w:t>案为：以公司现有总股本剔除已回购股份后</w:t>
      </w:r>
      <w:r>
        <w:rPr>
          <w:rFonts w:ascii="Times New Roman" w:hAnsi="Times New Roman" w:cs="Times New Roman" w:eastAsia="Times New Roman" w:hint="default"/>
        </w:rPr>
        <w:t>405,486,865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0.498810</w:t>
      </w:r>
      <w:r>
        <w:rPr/>
        <w:t>元人民币现金（含税）；同时，以资</w:t>
      </w:r>
      <w:r>
        <w:rPr>
          <w:spacing w:val="-84"/>
        </w:rPr>
        <w:t> </w:t>
      </w:r>
      <w:r>
        <w:rPr/>
        <w:t>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6.983341</w:t>
      </w:r>
      <w:r>
        <w:rPr/>
        <w:t>股。该方案已于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r>
        <w:rPr>
          <w:spacing w:val="-86"/>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日召开的第三届董事会第三十二次会议审议通过，公司</w:t>
      </w:r>
      <w:r>
        <w:rPr>
          <w:rFonts w:ascii="Times New Roman" w:hAnsi="Times New Roman" w:cs="Times New Roman" w:eastAsia="Times New Roman" w:hint="default"/>
        </w:rPr>
        <w:t>2019</w:t>
      </w:r>
      <w:r>
        <w:rPr/>
        <w:t>年度利润分配预案为：</w:t>
      </w:r>
      <w:r>
        <w:rPr>
          <w:spacing w:val="-7"/>
        </w:rPr>
        <w:t> </w:t>
      </w:r>
      <w:r>
        <w:rPr/>
        <w:t>拟以截至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p>
    <w:p>
      <w:pPr>
        <w:pStyle w:val="BodyText"/>
        <w:spacing w:line="456" w:lineRule="auto" w:before="39"/>
        <w:ind w:left="140" w:right="730"/>
        <w:jc w:val="left"/>
      </w:pPr>
      <w:r>
        <w:rPr>
          <w:rFonts w:ascii="Times New Roman" w:hAnsi="Times New Roman" w:cs="Times New Roman" w:eastAsia="Times New Roman" w:hint="default"/>
        </w:rPr>
        <w:t>23</w:t>
      </w:r>
      <w:r>
        <w:rPr/>
        <w:t>日的总股本</w:t>
      </w:r>
      <w:r>
        <w:rPr>
          <w:rFonts w:ascii="Times New Roman" w:hAnsi="Times New Roman" w:cs="Times New Roman" w:eastAsia="Times New Roman" w:hint="default"/>
        </w:rPr>
        <w:t>692,321,414</w:t>
      </w:r>
      <w:r>
        <w:rPr/>
        <w:t>股扣除截至本公告披露之日回购专户持有股份</w:t>
      </w:r>
      <w:r>
        <w:rPr>
          <w:rFonts w:ascii="Times New Roman" w:hAnsi="Times New Roman" w:cs="Times New Roman" w:eastAsia="Times New Roman" w:hint="default"/>
        </w:rPr>
        <w:t>5,704,800</w:t>
      </w:r>
      <w:r>
        <w:rPr/>
        <w:t>股后股本</w:t>
      </w:r>
      <w:r>
        <w:rPr>
          <w:rFonts w:ascii="Times New Roman" w:hAnsi="Times New Roman" w:cs="Times New Roman" w:eastAsia="Times New Roman" w:hint="default"/>
        </w:rPr>
        <w:t>686,616,614</w:t>
      </w:r>
      <w:r>
        <w:rPr/>
        <w:t>股为基数，向全体股东每</w:t>
      </w:r>
      <w:r>
        <w:rPr>
          <w:rFonts w:ascii="Times New Roman" w:hAnsi="Times New Roman" w:cs="Times New Roman" w:eastAsia="Times New Roman" w:hint="default"/>
        </w:rPr>
        <w:t>10</w:t>
      </w:r>
      <w:r>
        <w:rPr/>
        <w:t>股派</w:t>
      </w:r>
      <w:r>
        <w:rPr>
          <w:spacing w:val="-81"/>
        </w:rPr>
        <w:t> </w:t>
      </w:r>
      <w:r>
        <w:rPr/>
        <w:t>发现金股利人民币</w:t>
      </w:r>
      <w:r>
        <w:rPr>
          <w:rFonts w:ascii="Times New Roman" w:hAnsi="Times New Roman" w:cs="Times New Roman" w:eastAsia="Times New Roman" w:hint="default"/>
        </w:rPr>
        <w:t>0.45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30,897,747.63</w:t>
      </w:r>
      <w:r>
        <w:rPr/>
        <w:t>元（含税），剩余未分配利润结转以后年度。</w:t>
      </w:r>
      <w:r>
        <w:rPr>
          <w:spacing w:val="-86"/>
        </w:rPr>
        <w:t> </w:t>
      </w:r>
      <w:r>
        <w:rPr/>
        <w:t>前述利润分配预案披露后至权益分派实施公告确定的股权登记日前公司股本发生变动的，将按照分配总额不变的原则对各分配比例进</w:t>
      </w:r>
      <w:r>
        <w:rPr>
          <w:spacing w:val="-82"/>
        </w:rPr>
        <w:t> </w:t>
      </w:r>
      <w:r>
        <w:rPr>
          <w:spacing w:val="-82"/>
        </w:rPr>
      </w:r>
      <w:r>
        <w:rPr/>
        <w:t>行调整。</w:t>
      </w:r>
    </w:p>
    <w:p>
      <w:pPr>
        <w:pStyle w:val="BodyText"/>
        <w:spacing w:line="240" w:lineRule="auto" w:before="113"/>
        <w:ind w:left="140" w:right="609"/>
        <w:jc w:val="left"/>
      </w:pPr>
      <w:r>
        <w:rPr/>
        <w:t>公司近三年（包括本报告期）普通股现金分红情况表</w:t>
      </w:r>
    </w:p>
    <w:p>
      <w:pPr>
        <w:spacing w:line="240" w:lineRule="auto" w:before="11"/>
        <w:rPr>
          <w:rFonts w:ascii="宋体" w:hAnsi="宋体" w:cs="宋体" w:eastAsia="宋体" w:hint="default"/>
          <w:sz w:val="19"/>
          <w:szCs w:val="19"/>
        </w:rPr>
      </w:pPr>
    </w:p>
    <w:p>
      <w:pPr>
        <w:pStyle w:val="BodyText"/>
        <w:spacing w:line="240" w:lineRule="auto"/>
        <w:ind w:left="0" w:right="706"/>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02"/>
        <w:gridCol w:w="1186"/>
        <w:gridCol w:w="1209"/>
        <w:gridCol w:w="1201"/>
        <w:gridCol w:w="1194"/>
        <w:gridCol w:w="1186"/>
        <w:gridCol w:w="1217"/>
        <w:gridCol w:w="1179"/>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186" w:type="dxa"/>
            <w:vMerge w:val="restart"/>
            <w:tcBorders>
              <w:top w:val="single" w:sz="6" w:space="0" w:color="000000"/>
              <w:left w:val="single" w:sz="6" w:space="0" w:color="000000"/>
              <w:right w:val="single" w:sz="6" w:space="0" w:color="000000"/>
            </w:tcBorders>
            <w:shd w:val="clear" w:color="auto" w:fill="D2D2D2"/>
          </w:tcPr>
          <w:p>
            <w:pPr/>
          </w:p>
        </w:tc>
        <w:tc>
          <w:tcPr>
            <w:tcW w:w="1209" w:type="dxa"/>
            <w:vMerge w:val="restart"/>
            <w:tcBorders>
              <w:top w:val="single" w:sz="6" w:space="0" w:color="000000"/>
              <w:left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217"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5"/>
              <w:ind w:left="44"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4"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4"/>
              <w:ind w:left="59" w:right="2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4"/>
              <w:ind w:left="52" w:right="44"/>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04" w:lineRule="auto" w:before="80"/>
              <w:ind w:left="420"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8"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5"/>
              <w:ind w:left="28"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390" w:hRule="exact"/>
        </w:trPr>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6"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217"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17"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30,897,747.63</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154,431,200.03</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20.01%</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32,491,116.90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21.04%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3" w:right="0"/>
              <w:jc w:val="center"/>
              <w:rPr>
                <w:rFonts w:ascii="Times New Roman" w:hAnsi="Times New Roman" w:cs="Times New Roman" w:eastAsia="Times New Roman" w:hint="default"/>
                <w:sz w:val="18"/>
                <w:szCs w:val="18"/>
              </w:rPr>
            </w:pPr>
            <w:r>
              <w:rPr>
                <w:rFonts w:ascii="Times New Roman"/>
                <w:sz w:val="18"/>
              </w:rPr>
              <w:t>63,388,864.53</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41.05%</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20,226,029.71</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140,225,348.38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14.42%</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18,995,303.67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13.55%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39,221,396.92</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27.97%</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22,273,743.25</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111,185,107.71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20.03%</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22,273,807.22</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20.03%</w:t>
            </w:r>
          </w:p>
        </w:tc>
      </w:tr>
    </w:tbl>
    <w:p>
      <w:pPr>
        <w:spacing w:line="240" w:lineRule="auto" w:before="10"/>
        <w:rPr>
          <w:rFonts w:ascii="宋体" w:hAnsi="宋体" w:cs="宋体" w:eastAsia="宋体" w:hint="default"/>
          <w:sz w:val="5"/>
          <w:szCs w:val="5"/>
        </w:rPr>
      </w:pPr>
    </w:p>
    <w:p>
      <w:pPr>
        <w:pStyle w:val="BodyText"/>
        <w:spacing w:line="240" w:lineRule="auto" w:before="44"/>
        <w:ind w:left="140" w:right="609"/>
        <w:jc w:val="left"/>
      </w:pPr>
      <w:r>
        <w:rPr/>
        <w:t>公司报告期内盈利且母公司可供普通股股东分配利润为正但未提出普通股现金红利分配预案</w:t>
      </w:r>
    </w:p>
    <w:p>
      <w:pPr>
        <w:spacing w:line="240" w:lineRule="auto" w:before="11"/>
        <w:rPr>
          <w:rFonts w:ascii="宋体" w:hAnsi="宋体" w:cs="宋体" w:eastAsia="宋体" w:hint="default"/>
          <w:sz w:val="19"/>
          <w:szCs w:val="19"/>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left="140" w:right="609"/>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0"/>
        <w:rPr>
          <w:rFonts w:ascii="宋体" w:hAnsi="宋体" w:cs="宋体" w:eastAsia="宋体" w:hint="default"/>
          <w:b/>
          <w:bCs/>
          <w:sz w:val="24"/>
          <w:szCs w:val="24"/>
        </w:rPr>
      </w:pPr>
    </w:p>
    <w:p>
      <w:pPr>
        <w:pStyle w:val="Heading3"/>
        <w:spacing w:line="384" w:lineRule="auto" w:before="172"/>
        <w:ind w:left="140" w:right="609"/>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w:t>
      </w:r>
      <w:r>
        <w:rPr>
          <w:spacing w:val="-72"/>
        </w:rPr>
        <w:t> </w:t>
      </w:r>
      <w:r>
        <w:rPr>
          <w:spacing w:val="-72"/>
        </w:rPr>
      </w:r>
      <w:r>
        <w:rPr/>
        <w:t>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426"/>
        <w:gridCol w:w="1127"/>
        <w:gridCol w:w="706"/>
        <w:gridCol w:w="3695"/>
        <w:gridCol w:w="571"/>
        <w:gridCol w:w="946"/>
        <w:gridCol w:w="1111"/>
      </w:tblGrid>
      <w:tr>
        <w:trPr>
          <w:trHeight w:val="736" w:hRule="exact"/>
        </w:trPr>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61"/>
              <w:jc w:val="left"/>
              <w:rPr>
                <w:rFonts w:ascii="宋体" w:hAnsi="宋体" w:cs="宋体" w:eastAsia="宋体" w:hint="default"/>
                <w:sz w:val="18"/>
                <w:szCs w:val="18"/>
              </w:rPr>
            </w:pPr>
            <w:r>
              <w:rPr>
                <w:rFonts w:ascii="宋体" w:hAnsi="宋体" w:cs="宋体" w:eastAsia="宋体" w:hint="default"/>
                <w:spacing w:val="40"/>
                <w:sz w:val="18"/>
                <w:szCs w:val="18"/>
              </w:rPr>
              <w:t>承诺类</w:t>
            </w:r>
            <w:r>
              <w:rPr>
                <w:rFonts w:ascii="宋体" w:hAnsi="宋体" w:cs="宋体" w:eastAsia="宋体" w:hint="default"/>
                <w:spacing w:val="-30"/>
                <w:sz w:val="18"/>
                <w:szCs w:val="18"/>
              </w:rPr>
              <w:t> </w:t>
            </w:r>
            <w:r>
              <w:rPr>
                <w:rFonts w:ascii="宋体" w:hAnsi="宋体" w:cs="宋体" w:eastAsia="宋体" w:hint="default"/>
                <w:sz w:val="18"/>
                <w:szCs w:val="18"/>
              </w:rPr>
              <w:t>型</w:t>
            </w:r>
          </w:p>
        </w:tc>
        <w:tc>
          <w:tcPr>
            <w:tcW w:w="36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13"/>
              <w:jc w:val="left"/>
              <w:rPr>
                <w:rFonts w:ascii="宋体" w:hAnsi="宋体" w:cs="宋体" w:eastAsia="宋体" w:hint="default"/>
                <w:sz w:val="18"/>
                <w:szCs w:val="18"/>
              </w:rPr>
            </w:pPr>
            <w:r>
              <w:rPr>
                <w:rFonts w:ascii="宋体" w:hAnsi="宋体" w:cs="宋体" w:eastAsia="宋体" w:hint="default"/>
                <w:sz w:val="18"/>
                <w:szCs w:val="18"/>
              </w:rPr>
              <w:t>承</w:t>
            </w:r>
            <w:r>
              <w:rPr>
                <w:rFonts w:ascii="宋体" w:hAnsi="宋体" w:cs="宋体" w:eastAsia="宋体" w:hint="default"/>
                <w:spacing w:val="60"/>
                <w:sz w:val="18"/>
                <w:szCs w:val="18"/>
              </w:rPr>
              <w:t> </w:t>
            </w:r>
            <w:r>
              <w:rPr>
                <w:rFonts w:ascii="宋体" w:hAnsi="宋体" w:cs="宋体" w:eastAsia="宋体" w:hint="default"/>
                <w:sz w:val="18"/>
                <w:szCs w:val="18"/>
              </w:rPr>
              <w:t>诺</w:t>
            </w:r>
            <w:r>
              <w:rPr>
                <w:rFonts w:ascii="宋体" w:hAnsi="宋体" w:cs="宋体" w:eastAsia="宋体" w:hint="default"/>
                <w:sz w:val="18"/>
                <w:szCs w:val="18"/>
              </w:rPr>
              <w:t> 时间</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36"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5" w:right="88"/>
              <w:jc w:val="both"/>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60"/>
                <w:sz w:val="18"/>
                <w:szCs w:val="18"/>
              </w:rPr>
              <w:t> </w:t>
            </w:r>
            <w:r>
              <w:rPr>
                <w:rFonts w:ascii="宋体" w:hAnsi="宋体" w:cs="宋体" w:eastAsia="宋体" w:hint="default"/>
                <w:sz w:val="18"/>
                <w:szCs w:val="18"/>
              </w:rPr>
              <w:t>购</w:t>
            </w:r>
            <w:r>
              <w:rPr>
                <w:rFonts w:ascii="宋体" w:hAnsi="宋体" w:cs="宋体" w:eastAsia="宋体" w:hint="default"/>
                <w:spacing w:val="-60"/>
                <w:sz w:val="18"/>
                <w:szCs w:val="18"/>
              </w:rPr>
              <w:t> </w:t>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pacing w:val="7"/>
                <w:sz w:val="18"/>
                <w:szCs w:val="18"/>
              </w:rPr>
              <w:t>告书</w:t>
            </w:r>
            <w:r>
              <w:rPr>
                <w:rFonts w:ascii="宋体" w:hAnsi="宋体" w:cs="宋体" w:eastAsia="宋体" w:hint="default"/>
                <w:spacing w:val="-60"/>
                <w:sz w:val="18"/>
                <w:szCs w:val="18"/>
              </w:rPr>
              <w:t> </w:t>
            </w:r>
            <w:r>
              <w:rPr>
                <w:rFonts w:ascii="宋体" w:hAnsi="宋体" w:cs="宋体" w:eastAsia="宋体" w:hint="default"/>
                <w:sz w:val="18"/>
                <w:szCs w:val="18"/>
              </w:rPr>
              <w:t>或</w:t>
            </w:r>
            <w:r>
              <w:rPr>
                <w:rFonts w:ascii="宋体" w:hAnsi="宋体" w:cs="宋体" w:eastAsia="宋体" w:hint="default"/>
                <w:sz w:val="18"/>
                <w:szCs w:val="18"/>
              </w:rPr>
              <w:t> 权</w:t>
            </w:r>
            <w:r>
              <w:rPr>
                <w:rFonts w:ascii="宋体" w:hAnsi="宋体" w:cs="宋体" w:eastAsia="宋体" w:hint="default"/>
                <w:spacing w:val="-60"/>
                <w:sz w:val="18"/>
                <w:szCs w:val="18"/>
              </w:rPr>
              <w:t> </w:t>
            </w: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变</w:t>
            </w:r>
            <w:r>
              <w:rPr>
                <w:rFonts w:ascii="宋体" w:hAnsi="宋体" w:cs="宋体" w:eastAsia="宋体" w:hint="default"/>
                <w:spacing w:val="-60"/>
                <w:sz w:val="18"/>
                <w:szCs w:val="18"/>
              </w:rPr>
              <w:t> </w:t>
            </w:r>
            <w:r>
              <w:rPr>
                <w:rFonts w:ascii="宋体" w:hAnsi="宋体" w:cs="宋体" w:eastAsia="宋体" w:hint="default"/>
                <w:spacing w:val="7"/>
                <w:sz w:val="18"/>
                <w:szCs w:val="18"/>
              </w:rPr>
              <w:t>动报</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z w:val="18"/>
                <w:szCs w:val="18"/>
              </w:rPr>
              <w:t> 书中所作承诺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69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60"/>
                <w:sz w:val="18"/>
                <w:szCs w:val="18"/>
              </w:rPr>
              <w:t> </w:t>
            </w:r>
            <w:r>
              <w:rPr>
                <w:rFonts w:ascii="宋体" w:hAnsi="宋体" w:cs="宋体" w:eastAsia="宋体" w:hint="default"/>
                <w:sz w:val="18"/>
                <w:szCs w:val="18"/>
              </w:rPr>
              <w:t>重</w:t>
            </w:r>
            <w:r>
              <w:rPr>
                <w:rFonts w:ascii="宋体" w:hAnsi="宋体" w:cs="宋体" w:eastAsia="宋体" w:hint="default"/>
                <w:spacing w:val="-60"/>
                <w:sz w:val="18"/>
                <w:szCs w:val="18"/>
              </w:rPr>
              <w:t> </w:t>
            </w:r>
            <w:r>
              <w:rPr>
                <w:rFonts w:ascii="宋体" w:hAnsi="宋体" w:cs="宋体" w:eastAsia="宋体" w:hint="default"/>
                <w:spacing w:val="7"/>
                <w:sz w:val="18"/>
                <w:szCs w:val="18"/>
              </w:rPr>
              <w:t>组时</w:t>
            </w:r>
            <w:r>
              <w:rPr>
                <w:rFonts w:ascii="宋体" w:hAnsi="宋体" w:cs="宋体" w:eastAsia="宋体" w:hint="default"/>
                <w:spacing w:val="-60"/>
                <w:sz w:val="18"/>
                <w:szCs w:val="18"/>
              </w:rPr>
              <w:t> </w:t>
            </w:r>
            <w:r>
              <w:rPr>
                <w:rFonts w:ascii="宋体" w:hAnsi="宋体" w:cs="宋体" w:eastAsia="宋体" w:hint="default"/>
                <w:sz w:val="18"/>
                <w:szCs w:val="18"/>
              </w:rPr>
              <w:t>所</w:t>
            </w:r>
          </w:p>
        </w:tc>
        <w:tc>
          <w:tcPr>
            <w:tcW w:w="11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69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1426"/>
        <w:gridCol w:w="1127"/>
        <w:gridCol w:w="706"/>
        <w:gridCol w:w="3695"/>
        <w:gridCol w:w="571"/>
        <w:gridCol w:w="946"/>
        <w:gridCol w:w="1111"/>
      </w:tblGrid>
      <w:tr>
        <w:trPr>
          <w:trHeight w:val="361"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69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5540" w:hRule="exact"/>
        </w:trPr>
        <w:tc>
          <w:tcPr>
            <w:tcW w:w="142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30" w:right="14"/>
              <w:jc w:val="both"/>
              <w:rPr>
                <w:rFonts w:ascii="宋体" w:hAnsi="宋体" w:cs="宋体" w:eastAsia="宋体" w:hint="default"/>
                <w:sz w:val="18"/>
                <w:szCs w:val="18"/>
              </w:rPr>
            </w:pPr>
            <w:r>
              <w:rPr>
                <w:rFonts w:ascii="宋体" w:hAnsi="宋体" w:cs="宋体" w:eastAsia="宋体" w:hint="default"/>
                <w:spacing w:val="15"/>
                <w:sz w:val="18"/>
                <w:szCs w:val="18"/>
              </w:rPr>
              <w:t>首次公开发行或 再融资时所作承 </w:t>
            </w:r>
            <w:r>
              <w:rPr>
                <w:rFonts w:ascii="宋体" w:hAnsi="宋体" w:cs="宋体" w:eastAsia="宋体" w:hint="default"/>
                <w:sz w:val="18"/>
                <w:szCs w:val="18"/>
              </w:rPr>
              <w:t>诺</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06" w:type="dxa"/>
            <w:tcBorders>
              <w:top w:val="single" w:sz="6" w:space="0" w:color="000000"/>
              <w:left w:val="single" w:sz="6" w:space="0" w:color="000000"/>
              <w:bottom w:val="single" w:sz="6" w:space="0" w:color="000000"/>
              <w:right w:val="single" w:sz="18" w:space="0" w:color="000000"/>
            </w:tcBorders>
          </w:tcPr>
          <w:p>
            <w:pPr>
              <w:pStyle w:val="TableParagraph"/>
              <w:spacing w:line="307" w:lineRule="auto" w:before="44"/>
              <w:ind w:left="30" w:right="-76"/>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t>诺</w:t>
            </w:r>
          </w:p>
        </w:tc>
        <w:tc>
          <w:tcPr>
            <w:tcW w:w="3695" w:type="dxa"/>
            <w:tcBorders>
              <w:top w:val="single" w:sz="6" w:space="0" w:color="000000"/>
              <w:left w:val="single" w:sz="18" w:space="0" w:color="000000"/>
              <w:bottom w:val="single" w:sz="6" w:space="0" w:color="000000"/>
              <w:right w:val="single" w:sz="6" w:space="0" w:color="000000"/>
            </w:tcBorders>
          </w:tcPr>
          <w:p>
            <w:pPr>
              <w:pStyle w:val="TableParagraph"/>
              <w:spacing w:line="321" w:lineRule="auto" w:before="44"/>
              <w:ind w:left="15" w:right="15"/>
              <w:jc w:val="both"/>
              <w:rPr>
                <w:rFonts w:ascii="宋体" w:hAnsi="宋体" w:cs="宋体" w:eastAsia="宋体" w:hint="default"/>
                <w:sz w:val="18"/>
                <w:szCs w:val="18"/>
              </w:rPr>
            </w:pPr>
            <w:r>
              <w:rPr>
                <w:rFonts w:ascii="宋体" w:hAnsi="宋体" w:cs="宋体" w:eastAsia="宋体" w:hint="default"/>
                <w:sz w:val="18"/>
                <w:szCs w:val="18"/>
              </w:rPr>
              <w:t>公司控股股东、实际控制人茅庆江根据证监会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的相关规定，对公司填补回报措施能够得到切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实履行作出如下承诺：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件向其他单位或者个人输送利益，也不采用其</w:t>
            </w:r>
          </w:p>
          <w:p>
            <w:pPr>
              <w:pStyle w:val="TableParagraph"/>
              <w:spacing w:line="295" w:lineRule="auto" w:before="94"/>
              <w:ind w:left="15" w:right="1"/>
              <w:jc w:val="both"/>
              <w:rPr>
                <w:rFonts w:ascii="宋体" w:hAnsi="宋体" w:cs="宋体" w:eastAsia="宋体" w:hint="default"/>
                <w:sz w:val="18"/>
                <w:szCs w:val="18"/>
              </w:rPr>
            </w:pPr>
            <w:r>
              <w:rPr>
                <w:rFonts w:ascii="宋体" w:hAnsi="宋体" w:cs="宋体" w:eastAsia="宋体" w:hint="default"/>
                <w:spacing w:val="-3"/>
                <w:sz w:val="18"/>
                <w:szCs w:val="18"/>
              </w:rPr>
              <w:t>他方式损害浩云科技利益。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、对个人的职务消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、不动用浩云科技资产从事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与履行职责无关的投资、消费活动。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、由董事</w:t>
            </w:r>
            <w:r>
              <w:rPr>
                <w:rFonts w:ascii="宋体" w:hAnsi="宋体" w:cs="宋体" w:eastAsia="宋体" w:hint="default"/>
                <w:sz w:val="18"/>
                <w:szCs w:val="18"/>
              </w:rPr>
              <w:t> 会或薪酬委员会制订的薪酬制度与浩云科技填</w:t>
            </w:r>
          </w:p>
          <w:p>
            <w:pPr>
              <w:pStyle w:val="TableParagraph"/>
              <w:spacing w:line="297" w:lineRule="auto" w:before="53"/>
              <w:ind w:left="15" w:right="14"/>
              <w:jc w:val="both"/>
              <w:rPr>
                <w:rFonts w:ascii="宋体" w:hAnsi="宋体" w:cs="宋体" w:eastAsia="宋体" w:hint="default"/>
                <w:sz w:val="18"/>
                <w:szCs w:val="18"/>
              </w:rPr>
            </w:pPr>
            <w:r>
              <w:rPr>
                <w:rFonts w:ascii="宋体" w:hAnsi="宋体" w:cs="宋体" w:eastAsia="宋体" w:hint="default"/>
                <w:spacing w:val="-3"/>
                <w:sz w:val="18"/>
                <w:szCs w:val="18"/>
              </w:rPr>
              <w:t>补回报措施的执行情况相挂钩。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、若有新的股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权激励计划，则新的股权激励计划的行权条件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与浩云科技填补回报措施的执行情况相挂钩。</w:t>
            </w:r>
          </w:p>
          <w:p>
            <w:pPr>
              <w:pStyle w:val="TableParagraph"/>
              <w:spacing w:line="307" w:lineRule="auto" w:before="51"/>
              <w:ind w:left="15"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、不越权干预浩云科技的经营管理活动，不侵</w:t>
            </w:r>
            <w:r>
              <w:rPr>
                <w:rFonts w:ascii="宋体" w:hAnsi="宋体" w:cs="宋体" w:eastAsia="宋体" w:hint="default"/>
                <w:sz w:val="18"/>
                <w:szCs w:val="18"/>
              </w:rPr>
              <w:t> </w:t>
            </w:r>
            <w:r>
              <w:rPr>
                <w:rFonts w:ascii="宋体" w:hAnsi="宋体" w:cs="宋体" w:eastAsia="宋体" w:hint="default"/>
                <w:spacing w:val="-3"/>
                <w:sz w:val="18"/>
                <w:szCs w:val="18"/>
              </w:rPr>
              <w:t>占浩云科技利益。</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、若本人违背上述承诺致使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摊薄即期回报的填补措施无法得到有效落实，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1"/>
                <w:sz w:val="18"/>
                <w:szCs w:val="18"/>
              </w:rPr>
              <w:t>从而损害了浩云科技和中小投资者的合法权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益，浩云科技和中小投资者有权采取一切合法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手段向本企业就其遭受的损失进行追偿。</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102"/>
              <w:ind w:left="30" w:right="0"/>
              <w:jc w:val="both"/>
              <w:rPr>
                <w:rFonts w:ascii="Times New Roman" w:hAnsi="Times New Roman" w:cs="Times New Roman" w:eastAsia="Times New Roman" w:hint="default"/>
                <w:sz w:val="18"/>
                <w:szCs w:val="18"/>
              </w:rPr>
            </w:pPr>
            <w:r>
              <w:rPr>
                <w:rFonts w:ascii="Times New Roman"/>
                <w:sz w:val="18"/>
              </w:rPr>
              <w:t>2016.04.14-</w:t>
            </w:r>
          </w:p>
          <w:p>
            <w:pPr>
              <w:pStyle w:val="TableParagraph"/>
              <w:spacing w:line="312" w:lineRule="auto" w:before="36"/>
              <w:ind w:left="30" w:right="-76"/>
              <w:jc w:val="both"/>
              <w:rPr>
                <w:rFonts w:ascii="宋体" w:hAnsi="宋体" w:cs="宋体" w:eastAsia="宋体" w:hint="default"/>
                <w:sz w:val="18"/>
                <w:szCs w:val="18"/>
              </w:rPr>
            </w:pPr>
            <w:r>
              <w:rPr>
                <w:rFonts w:ascii="宋体" w:hAnsi="宋体" w:cs="宋体" w:eastAsia="宋体" w:hint="default"/>
                <w:spacing w:val="45"/>
                <w:sz w:val="18"/>
                <w:szCs w:val="18"/>
              </w:rPr>
              <w:t>公司应对</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22"/>
                <w:sz w:val="18"/>
                <w:szCs w:val="18"/>
              </w:rPr>
              <w:t>年度</w:t>
            </w:r>
            <w:r>
              <w:rPr>
                <w:rFonts w:ascii="宋体" w:hAnsi="宋体" w:cs="宋体" w:eastAsia="宋体" w:hint="default"/>
                <w:spacing w:val="-45"/>
                <w:sz w:val="18"/>
                <w:szCs w:val="18"/>
              </w:rPr>
              <w:t> </w:t>
            </w:r>
            <w:r>
              <w:rPr>
                <w:rFonts w:ascii="宋体" w:hAnsi="宋体" w:cs="宋体" w:eastAsia="宋体" w:hint="default"/>
                <w:spacing w:val="45"/>
                <w:sz w:val="18"/>
                <w:szCs w:val="18"/>
              </w:rPr>
              <w:t>非公开发</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97" w:lineRule="auto" w:before="40"/>
              <w:ind w:left="30" w:right="-76"/>
              <w:jc w:val="both"/>
              <w:rPr>
                <w:rFonts w:ascii="宋体" w:hAnsi="宋体" w:cs="宋体" w:eastAsia="宋体" w:hint="default"/>
                <w:sz w:val="18"/>
                <w:szCs w:val="18"/>
              </w:rPr>
            </w:pPr>
            <w:r>
              <w:rPr>
                <w:rFonts w:ascii="宋体" w:hAnsi="宋体" w:cs="宋体" w:eastAsia="宋体" w:hint="default"/>
                <w:sz w:val="18"/>
                <w:szCs w:val="18"/>
              </w:rPr>
              <w:t>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pacing w:val="15"/>
                <w:sz w:val="18"/>
                <w:szCs w:val="18"/>
              </w:rPr>
              <w:t>股股 </w:t>
            </w:r>
            <w:r>
              <w:rPr>
                <w:rFonts w:ascii="宋体" w:hAnsi="宋体" w:cs="宋体" w:eastAsia="宋体" w:hint="default"/>
                <w:spacing w:val="45"/>
                <w:sz w:val="18"/>
                <w:szCs w:val="18"/>
              </w:rPr>
              <w:t>票摊薄即</w:t>
            </w:r>
            <w:r>
              <w:rPr>
                <w:rFonts w:ascii="宋体" w:hAnsi="宋体" w:cs="宋体" w:eastAsia="宋体" w:hint="default"/>
                <w:spacing w:val="-30"/>
                <w:sz w:val="18"/>
                <w:szCs w:val="18"/>
              </w:rPr>
              <w:t> </w:t>
            </w:r>
            <w:r>
              <w:rPr>
                <w:rFonts w:ascii="宋体" w:hAnsi="宋体" w:cs="宋体" w:eastAsia="宋体" w:hint="default"/>
                <w:spacing w:val="45"/>
                <w:sz w:val="18"/>
                <w:szCs w:val="18"/>
              </w:rPr>
              <w:t>期回报采</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321" w:lineRule="auto" w:before="36"/>
              <w:ind w:left="30" w:right="-76"/>
              <w:jc w:val="both"/>
              <w:rPr>
                <w:rFonts w:ascii="宋体" w:hAnsi="宋体" w:cs="宋体" w:eastAsia="宋体" w:hint="default"/>
                <w:sz w:val="18"/>
                <w:szCs w:val="18"/>
              </w:rPr>
            </w:pPr>
            <w:r>
              <w:rPr>
                <w:rFonts w:ascii="宋体" w:hAnsi="宋体" w:cs="宋体" w:eastAsia="宋体" w:hint="default"/>
                <w:spacing w:val="45"/>
                <w:sz w:val="18"/>
                <w:szCs w:val="18"/>
              </w:rPr>
              <w:t>取的填补</w:t>
            </w:r>
            <w:r>
              <w:rPr>
                <w:rFonts w:ascii="宋体" w:hAnsi="宋体" w:cs="宋体" w:eastAsia="宋体" w:hint="default"/>
                <w:spacing w:val="-30"/>
                <w:sz w:val="18"/>
                <w:szCs w:val="18"/>
              </w:rPr>
              <w:t> </w:t>
            </w:r>
            <w:r>
              <w:rPr>
                <w:rFonts w:ascii="宋体" w:hAnsi="宋体" w:cs="宋体" w:eastAsia="宋体" w:hint="default"/>
                <w:spacing w:val="45"/>
                <w:sz w:val="18"/>
                <w:szCs w:val="18"/>
              </w:rPr>
              <w:t>措施实施</w:t>
            </w:r>
            <w:r>
              <w:rPr>
                <w:rFonts w:ascii="宋体" w:hAnsi="宋体" w:cs="宋体" w:eastAsia="宋体" w:hint="default"/>
                <w:spacing w:val="-30"/>
                <w:sz w:val="18"/>
                <w:szCs w:val="18"/>
              </w:rPr>
              <w:t> </w:t>
            </w:r>
            <w:r>
              <w:rPr>
                <w:rFonts w:ascii="宋体" w:hAnsi="宋体" w:cs="宋体" w:eastAsia="宋体" w:hint="default"/>
                <w:sz w:val="18"/>
                <w:szCs w:val="18"/>
              </w:rPr>
              <w:t>完毕</w:t>
            </w:r>
          </w:p>
        </w:tc>
        <w:tc>
          <w:tcPr>
            <w:tcW w:w="1111" w:type="dxa"/>
            <w:tcBorders>
              <w:top w:val="single" w:sz="6" w:space="0" w:color="000000"/>
              <w:left w:val="single" w:sz="18" w:space="0" w:color="FFFFFF"/>
              <w:bottom w:val="single" w:sz="6" w:space="0" w:color="000000"/>
              <w:right w:val="single" w:sz="6" w:space="0" w:color="000000"/>
            </w:tcBorders>
          </w:tcPr>
          <w:p>
            <w:pPr>
              <w:pStyle w:val="TableParagraph"/>
              <w:spacing w:line="316" w:lineRule="auto" w:before="44"/>
              <w:ind w:left="15" w:right="-14"/>
              <w:jc w:val="both"/>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r>
              <w:rPr>
                <w:rFonts w:ascii="宋体" w:hAnsi="宋体" w:cs="宋体" w:eastAsia="宋体" w:hint="default"/>
                <w:sz w:val="18"/>
                <w:szCs w:val="18"/>
              </w:rPr>
              <w:t> </w:t>
            </w:r>
            <w:r>
              <w:rPr>
                <w:rFonts w:ascii="宋体" w:hAnsi="宋体" w:cs="宋体" w:eastAsia="宋体" w:hint="default"/>
                <w:spacing w:val="-6"/>
                <w:sz w:val="18"/>
                <w:szCs w:val="18"/>
              </w:rPr>
              <w:t>守承诺，未发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r>
              <w:rPr>
                <w:rFonts w:ascii="宋体" w:hAnsi="宋体" w:cs="宋体" w:eastAsia="宋体" w:hint="default"/>
                <w:sz w:val="18"/>
                <w:szCs w:val="18"/>
              </w:rPr>
              <w:t> 承诺的情况。</w:t>
            </w:r>
          </w:p>
        </w:tc>
      </w:tr>
      <w:tr>
        <w:trPr>
          <w:trHeight w:val="5074"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12" w:space="0" w:color="FFFFFF"/>
            </w:tcBorders>
          </w:tcPr>
          <w:p>
            <w:pPr>
              <w:pStyle w:val="TableParagraph"/>
              <w:spacing w:line="300" w:lineRule="auto" w:before="44"/>
              <w:ind w:left="15" w:right="-38"/>
              <w:jc w:val="both"/>
              <w:rPr>
                <w:rFonts w:ascii="宋体" w:hAnsi="宋体" w:cs="宋体" w:eastAsia="宋体" w:hint="default"/>
                <w:sz w:val="18"/>
                <w:szCs w:val="18"/>
              </w:rPr>
            </w:pPr>
            <w:r>
              <w:rPr>
                <w:rFonts w:ascii="宋体" w:hAnsi="宋体" w:cs="宋体" w:eastAsia="宋体" w:hint="default"/>
                <w:spacing w:val="12"/>
                <w:sz w:val="18"/>
                <w:szCs w:val="18"/>
              </w:rPr>
              <w:t>陈翩</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劳仲秀</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雷洪文</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龙中</w:t>
            </w:r>
            <w:r>
              <w:rPr>
                <w:rFonts w:ascii="宋体" w:hAnsi="宋体" w:cs="宋体" w:eastAsia="宋体" w:hint="default"/>
                <w:spacing w:val="-60"/>
                <w:sz w:val="18"/>
                <w:szCs w:val="18"/>
              </w:rPr>
              <w:t> </w:t>
            </w:r>
            <w:r>
              <w:rPr>
                <w:rFonts w:ascii="宋体" w:hAnsi="宋体" w:cs="宋体" w:eastAsia="宋体" w:hint="default"/>
                <w:spacing w:val="11"/>
                <w:sz w:val="18"/>
                <w:szCs w:val="18"/>
              </w:rPr>
              <w:t>胜</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茅屏萍</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w:t>
            </w:r>
            <w:r>
              <w:rPr>
                <w:rFonts w:ascii="宋体" w:hAnsi="宋体" w:cs="宋体" w:eastAsia="宋体" w:hint="default"/>
                <w:spacing w:val="-86"/>
                <w:sz w:val="18"/>
                <w:szCs w:val="18"/>
              </w:rPr>
              <w:t> </w:t>
            </w:r>
            <w:r>
              <w:rPr>
                <w:rFonts w:ascii="宋体" w:hAnsi="宋体" w:cs="宋体" w:eastAsia="宋体" w:hint="default"/>
                <w:spacing w:val="12"/>
                <w:sz w:val="18"/>
                <w:szCs w:val="18"/>
              </w:rPr>
              <w:t>庆江</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秦家银</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王朝曦</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徐彪</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袁小康</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p>
        </w:tc>
        <w:tc>
          <w:tcPr>
            <w:tcW w:w="706" w:type="dxa"/>
            <w:tcBorders>
              <w:top w:val="single" w:sz="6" w:space="0" w:color="000000"/>
              <w:left w:val="single" w:sz="12" w:space="0" w:color="FFFFFF"/>
              <w:bottom w:val="single" w:sz="6" w:space="0" w:color="000000"/>
              <w:right w:val="single" w:sz="18" w:space="0" w:color="000000"/>
            </w:tcBorders>
          </w:tcPr>
          <w:p>
            <w:pPr>
              <w:pStyle w:val="TableParagraph"/>
              <w:spacing w:line="321" w:lineRule="auto" w:before="29"/>
              <w:ind w:left="22" w:right="-76"/>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t>诺</w:t>
            </w:r>
          </w:p>
        </w:tc>
        <w:tc>
          <w:tcPr>
            <w:tcW w:w="3695" w:type="dxa"/>
            <w:tcBorders>
              <w:top w:val="single" w:sz="6" w:space="0" w:color="000000"/>
              <w:left w:val="single" w:sz="18" w:space="0" w:color="000000"/>
              <w:bottom w:val="single" w:sz="6" w:space="0" w:color="000000"/>
              <w:right w:val="single" w:sz="6" w:space="0" w:color="000000"/>
            </w:tcBorders>
          </w:tcPr>
          <w:p>
            <w:pPr>
              <w:pStyle w:val="TableParagraph"/>
              <w:spacing w:line="321" w:lineRule="auto" w:before="29"/>
              <w:ind w:left="15" w:right="15"/>
              <w:jc w:val="both"/>
              <w:rPr>
                <w:rFonts w:ascii="宋体" w:hAnsi="宋体" w:cs="宋体" w:eastAsia="宋体" w:hint="default"/>
                <w:sz w:val="18"/>
                <w:szCs w:val="18"/>
              </w:rPr>
            </w:pPr>
            <w:r>
              <w:rPr>
                <w:rFonts w:ascii="宋体" w:hAnsi="宋体" w:cs="宋体" w:eastAsia="宋体" w:hint="default"/>
                <w:sz w:val="18"/>
                <w:szCs w:val="18"/>
              </w:rPr>
              <w:t>公司全体董事、高级管理人员根据证监会的相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关规定，对公司填补回报措施能够得到切实履</w:t>
            </w:r>
          </w:p>
          <w:p>
            <w:pPr>
              <w:pStyle w:val="TableParagraph"/>
              <w:spacing w:line="276" w:lineRule="auto" w:before="33"/>
              <w:ind w:left="15" w:right="15"/>
              <w:jc w:val="both"/>
              <w:rPr>
                <w:rFonts w:ascii="宋体" w:hAnsi="宋体" w:cs="宋体" w:eastAsia="宋体" w:hint="default"/>
                <w:sz w:val="18"/>
                <w:szCs w:val="18"/>
              </w:rPr>
            </w:pPr>
            <w:r>
              <w:rPr>
                <w:rFonts w:ascii="宋体" w:hAnsi="宋体" w:cs="宋体" w:eastAsia="宋体" w:hint="default"/>
                <w:spacing w:val="-3"/>
                <w:sz w:val="18"/>
                <w:szCs w:val="18"/>
              </w:rPr>
              <w:t>行作出如下承诺：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其他单位或者个人输送利益，也不采用其他方</w:t>
            </w:r>
          </w:p>
          <w:p>
            <w:pPr>
              <w:pStyle w:val="TableParagraph"/>
              <w:spacing w:line="302" w:lineRule="auto" w:before="67"/>
              <w:ind w:left="15" w:right="1"/>
              <w:jc w:val="both"/>
              <w:rPr>
                <w:rFonts w:ascii="宋体" w:hAnsi="宋体" w:cs="宋体" w:eastAsia="宋体" w:hint="default"/>
                <w:sz w:val="18"/>
                <w:szCs w:val="18"/>
              </w:rPr>
            </w:pPr>
            <w:r>
              <w:rPr>
                <w:rFonts w:ascii="宋体" w:hAnsi="宋体" w:cs="宋体" w:eastAsia="宋体" w:hint="default"/>
                <w:spacing w:val="-3"/>
                <w:sz w:val="18"/>
                <w:szCs w:val="18"/>
              </w:rPr>
              <w:t>式损害浩云科技利益。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、对个人的职务消费行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、不动用浩云科技资产从事与履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行职责无关的投资、消费活动。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、由董事会或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薪酬委员会制订的薪酬制度与浩云科技填补回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、若有新的股权激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励计划，则新的股权激励计划的行权条件与浩</w:t>
            </w:r>
          </w:p>
          <w:p>
            <w:pPr>
              <w:pStyle w:val="TableParagraph"/>
              <w:spacing w:line="312" w:lineRule="auto" w:before="47"/>
              <w:ind w:left="15" w:right="32"/>
              <w:jc w:val="both"/>
              <w:rPr>
                <w:rFonts w:ascii="宋体" w:hAnsi="宋体" w:cs="宋体" w:eastAsia="宋体" w:hint="default"/>
                <w:sz w:val="18"/>
                <w:szCs w:val="18"/>
              </w:rPr>
            </w:pPr>
            <w:r>
              <w:rPr>
                <w:rFonts w:ascii="宋体" w:hAnsi="宋体" w:cs="宋体" w:eastAsia="宋体" w:hint="default"/>
                <w:spacing w:val="-5"/>
                <w:sz w:val="18"/>
                <w:szCs w:val="18"/>
              </w:rPr>
              <w:t>云科技填补回报措施的执行情况相挂钩。</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、若</w:t>
            </w:r>
            <w:r>
              <w:rPr>
                <w:rFonts w:ascii="宋体" w:hAnsi="宋体" w:cs="宋体" w:eastAsia="宋体" w:hint="default"/>
                <w:spacing w:val="-71"/>
                <w:sz w:val="18"/>
                <w:szCs w:val="18"/>
              </w:rPr>
              <w:t> </w:t>
            </w:r>
            <w:r>
              <w:rPr>
                <w:rFonts w:ascii="宋体" w:hAnsi="宋体" w:cs="宋体" w:eastAsia="宋体" w:hint="default"/>
                <w:sz w:val="18"/>
                <w:szCs w:val="18"/>
              </w:rPr>
              <w:t>本人违背上述承诺致使摊薄即期回报的填补措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施无法得到有效落实，从而损害了浩云科技和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中小投资者的合法权益，浩云科技和中小投资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者有权采取一切合法手段向本人就其遭受的损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失进行追偿。</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87"/>
              <w:ind w:left="30" w:right="0"/>
              <w:jc w:val="both"/>
              <w:rPr>
                <w:rFonts w:ascii="Times New Roman" w:hAnsi="Times New Roman" w:cs="Times New Roman" w:eastAsia="Times New Roman" w:hint="default"/>
                <w:sz w:val="18"/>
                <w:szCs w:val="18"/>
              </w:rPr>
            </w:pPr>
            <w:r>
              <w:rPr>
                <w:rFonts w:ascii="Times New Roman"/>
                <w:sz w:val="18"/>
              </w:rPr>
              <w:t>2016.04.14-</w:t>
            </w:r>
          </w:p>
          <w:p>
            <w:pPr>
              <w:pStyle w:val="TableParagraph"/>
              <w:spacing w:line="240" w:lineRule="auto" w:before="51"/>
              <w:ind w:left="30" w:right="0"/>
              <w:jc w:val="both"/>
              <w:rPr>
                <w:rFonts w:ascii="宋体" w:hAnsi="宋体" w:cs="宋体" w:eastAsia="宋体" w:hint="default"/>
                <w:sz w:val="18"/>
                <w:szCs w:val="18"/>
              </w:rPr>
            </w:pPr>
            <w:r>
              <w:rPr>
                <w:rFonts w:ascii="宋体" w:hAnsi="宋体" w:cs="宋体" w:eastAsia="宋体" w:hint="default"/>
                <w:spacing w:val="45"/>
                <w:sz w:val="18"/>
                <w:szCs w:val="18"/>
              </w:rPr>
              <w:t>公司应对</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276" w:lineRule="auto" w:before="95"/>
              <w:ind w:left="30"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22"/>
                <w:sz w:val="18"/>
                <w:szCs w:val="18"/>
              </w:rPr>
              <w:t>年度</w:t>
            </w:r>
            <w:r>
              <w:rPr>
                <w:rFonts w:ascii="宋体" w:hAnsi="宋体" w:cs="宋体" w:eastAsia="宋体" w:hint="default"/>
                <w:spacing w:val="-45"/>
                <w:sz w:val="18"/>
                <w:szCs w:val="18"/>
              </w:rPr>
              <w:t> </w:t>
            </w:r>
            <w:r>
              <w:rPr>
                <w:rFonts w:ascii="宋体" w:hAnsi="宋体" w:cs="宋体" w:eastAsia="宋体" w:hint="default"/>
                <w:spacing w:val="45"/>
                <w:sz w:val="18"/>
                <w:szCs w:val="18"/>
              </w:rPr>
              <w:t>非公开发</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312" w:lineRule="auto" w:before="67"/>
              <w:ind w:left="30" w:right="-76"/>
              <w:jc w:val="both"/>
              <w:rPr>
                <w:rFonts w:ascii="宋体" w:hAnsi="宋体" w:cs="宋体" w:eastAsia="宋体" w:hint="default"/>
                <w:sz w:val="18"/>
                <w:szCs w:val="18"/>
              </w:rPr>
            </w:pPr>
            <w:r>
              <w:rPr>
                <w:rFonts w:ascii="宋体" w:hAnsi="宋体" w:cs="宋体" w:eastAsia="宋体" w:hint="default"/>
                <w:sz w:val="18"/>
                <w:szCs w:val="18"/>
              </w:rPr>
              <w:t>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pacing w:val="15"/>
                <w:sz w:val="18"/>
                <w:szCs w:val="18"/>
              </w:rPr>
              <w:t>股股 </w:t>
            </w:r>
            <w:r>
              <w:rPr>
                <w:rFonts w:ascii="宋体" w:hAnsi="宋体" w:cs="宋体" w:eastAsia="宋体" w:hint="default"/>
                <w:spacing w:val="45"/>
                <w:sz w:val="18"/>
                <w:szCs w:val="18"/>
              </w:rPr>
              <w:t>票摊薄即</w:t>
            </w:r>
            <w:r>
              <w:rPr>
                <w:rFonts w:ascii="宋体" w:hAnsi="宋体" w:cs="宋体" w:eastAsia="宋体" w:hint="default"/>
                <w:spacing w:val="-30"/>
                <w:sz w:val="18"/>
                <w:szCs w:val="18"/>
              </w:rPr>
              <w:t> </w:t>
            </w:r>
            <w:r>
              <w:rPr>
                <w:rFonts w:ascii="宋体" w:hAnsi="宋体" w:cs="宋体" w:eastAsia="宋体" w:hint="default"/>
                <w:spacing w:val="45"/>
                <w:sz w:val="18"/>
                <w:szCs w:val="18"/>
              </w:rPr>
              <w:t>期回报采</w:t>
            </w:r>
            <w:r>
              <w:rPr>
                <w:rFonts w:ascii="宋体" w:hAnsi="宋体" w:cs="宋体" w:eastAsia="宋体" w:hint="default"/>
                <w:spacing w:val="-30"/>
                <w:sz w:val="18"/>
                <w:szCs w:val="18"/>
              </w:rPr>
              <w:t> </w:t>
            </w:r>
            <w:r>
              <w:rPr>
                <w:rFonts w:ascii="宋体" w:hAnsi="宋体" w:cs="宋体" w:eastAsia="宋体" w:hint="default"/>
                <w:spacing w:val="45"/>
                <w:sz w:val="18"/>
                <w:szCs w:val="18"/>
              </w:rPr>
              <w:t>取的填补</w:t>
            </w:r>
            <w:r>
              <w:rPr>
                <w:rFonts w:ascii="宋体" w:hAnsi="宋体" w:cs="宋体" w:eastAsia="宋体" w:hint="default"/>
                <w:spacing w:val="-30"/>
                <w:sz w:val="18"/>
                <w:szCs w:val="18"/>
              </w:rPr>
              <w:t> </w:t>
            </w:r>
            <w:r>
              <w:rPr>
                <w:rFonts w:ascii="宋体" w:hAnsi="宋体" w:cs="宋体" w:eastAsia="宋体" w:hint="default"/>
                <w:spacing w:val="45"/>
                <w:sz w:val="18"/>
                <w:szCs w:val="18"/>
              </w:rPr>
              <w:t>措施实施</w:t>
            </w:r>
            <w:r>
              <w:rPr>
                <w:rFonts w:ascii="宋体" w:hAnsi="宋体" w:cs="宋体" w:eastAsia="宋体" w:hint="default"/>
                <w:spacing w:val="-30"/>
                <w:sz w:val="18"/>
                <w:szCs w:val="18"/>
              </w:rPr>
              <w:t> </w:t>
            </w:r>
            <w:r>
              <w:rPr>
                <w:rFonts w:ascii="宋体" w:hAnsi="宋体" w:cs="宋体" w:eastAsia="宋体" w:hint="default"/>
                <w:sz w:val="18"/>
                <w:szCs w:val="18"/>
              </w:rPr>
              <w:t>完毕</w:t>
            </w:r>
          </w:p>
        </w:tc>
        <w:tc>
          <w:tcPr>
            <w:tcW w:w="1111" w:type="dxa"/>
            <w:tcBorders>
              <w:top w:val="single" w:sz="6" w:space="0" w:color="000000"/>
              <w:left w:val="single" w:sz="18" w:space="0" w:color="FFFFFF"/>
              <w:bottom w:val="single" w:sz="6" w:space="0" w:color="000000"/>
              <w:right w:val="single" w:sz="6" w:space="0" w:color="000000"/>
            </w:tcBorders>
          </w:tcPr>
          <w:p>
            <w:pPr>
              <w:pStyle w:val="TableParagraph"/>
              <w:spacing w:line="316" w:lineRule="auto" w:before="29"/>
              <w:ind w:left="15" w:right="-14"/>
              <w:jc w:val="both"/>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r>
              <w:rPr>
                <w:rFonts w:ascii="宋体" w:hAnsi="宋体" w:cs="宋体" w:eastAsia="宋体" w:hint="default"/>
                <w:sz w:val="18"/>
                <w:szCs w:val="18"/>
              </w:rPr>
              <w:t> </w:t>
            </w:r>
            <w:r>
              <w:rPr>
                <w:rFonts w:ascii="宋体" w:hAnsi="宋体" w:cs="宋体" w:eastAsia="宋体" w:hint="default"/>
                <w:spacing w:val="-6"/>
                <w:sz w:val="18"/>
                <w:szCs w:val="18"/>
              </w:rPr>
              <w:t>守承诺，未发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r>
              <w:rPr>
                <w:rFonts w:ascii="宋体" w:hAnsi="宋体" w:cs="宋体" w:eastAsia="宋体" w:hint="default"/>
                <w:sz w:val="18"/>
                <w:szCs w:val="18"/>
              </w:rPr>
              <w:t> 承诺的情况。</w:t>
            </w:r>
          </w:p>
        </w:tc>
      </w:tr>
    </w:tbl>
    <w:p>
      <w:pPr>
        <w:rPr>
          <w:sz w:val="2"/>
          <w:szCs w:val="2"/>
        </w:rPr>
      </w:pPr>
      <w:r>
        <w:rPr/>
        <w:pict>
          <v:group style="position:absolute;margin-left:459.579987pt;margin-top:160.649994pt;width:54.85pt;height:194.4pt;mso-position-horizontal-relative:page;mso-position-vertical-relative:page;z-index:-1109968" coordorigin="9192,3213" coordsize="1097,3888">
            <v:shape style="position:absolute;left:9192;top:3213;width:1097;height:3888" coordorigin="9192,3213" coordsize="1097,3888" path="m9192,7101l10288,7101,10288,3213,9192,3213,9192,7101xe" filled="true" fillcolor="#ffffff" stroked="false">
              <v:path arrowok="t"/>
              <v:fill type="solid"/>
            </v:shape>
            <w10:wrap type="none"/>
          </v:group>
        </w:pict>
      </w:r>
      <w:r>
        <w:rPr/>
        <w:pict>
          <v:group style="position:absolute;margin-left:459.579987pt;margin-top:437.630005pt;width:54.85pt;height:171.15pt;mso-position-horizontal-relative:page;mso-position-vertical-relative:page;z-index:-1109944" coordorigin="9192,8753" coordsize="1097,3423">
            <v:shape style="position:absolute;left:9192;top:8753;width:1097;height:3423" coordorigin="9192,8753" coordsize="1097,3423" path="m9192,12176l10288,12176,10288,8753,9192,8753,9192,12176xe" filled="true" fillcolor="#ffffff" stroked="false">
              <v:path arrowok="t"/>
              <v:fill type="solid"/>
            </v:shape>
            <w10:wrap type="none"/>
          </v:group>
        </w:pict>
      </w:r>
    </w:p>
    <w:p>
      <w:pPr>
        <w:spacing w:after="0"/>
        <w:rPr>
          <w:sz w:val="2"/>
          <w:szCs w:val="2"/>
        </w:rPr>
        <w:sectPr>
          <w:pgSz w:w="11910" w:h="16850"/>
          <w:pgMar w:header="776" w:footer="1026" w:top="1200" w:bottom="1220" w:left="580" w:right="0"/>
        </w:sectPr>
      </w:pPr>
    </w:p>
    <w:p>
      <w:pPr>
        <w:spacing w:line="240" w:lineRule="auto" w:before="8"/>
        <w:rPr>
          <w:rFonts w:ascii="Times New Roman" w:hAnsi="Times New Roman" w:cs="Times New Roman" w:eastAsia="Times New Roman" w:hint="default"/>
          <w:sz w:val="8"/>
          <w:szCs w:val="8"/>
        </w:rPr>
      </w:pPr>
      <w:r>
        <w:rPr/>
        <w:pict>
          <v:shape style="position:absolute;margin-left:233.503006pt;margin-top:126.849998pt;width:178.8pt;height:296.55pt;mso-position-horizontal-relative:page;mso-position-vertical-relative:page;z-index:-1109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②减持数量公司控股股东茅庆江承诺：</w:t>
                  </w:r>
                </w:p>
              </w:txbxContent>
            </v:textbox>
            <w10:wrap type="none"/>
          </v:shape>
        </w:pict>
      </w:r>
      <w:r>
        <w:rPr/>
        <w:pict>
          <v:group style="position:absolute;margin-left:383.730011pt;margin-top:126.849998pt;width:28.55pt;height:296.55pt;mso-position-horizontal-relative:page;mso-position-vertical-relative:page;z-index:-1109896" coordorigin="7675,2537" coordsize="571,5931">
            <v:shape style="position:absolute;left:7675;top:2537;width:571;height:5931" coordorigin="7675,2537" coordsize="571,5931" path="m7675,8467l8246,8467,8246,2537,7675,2537,7675,8467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1426"/>
        <w:gridCol w:w="1127"/>
        <w:gridCol w:w="721"/>
        <w:gridCol w:w="3680"/>
        <w:gridCol w:w="571"/>
        <w:gridCol w:w="946"/>
        <w:gridCol w:w="1111"/>
      </w:tblGrid>
      <w:tr>
        <w:trPr>
          <w:trHeight w:val="361" w:hRule="exact"/>
        </w:trPr>
        <w:tc>
          <w:tcPr>
            <w:tcW w:w="1426"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21" w:type="dxa"/>
            <w:tcBorders>
              <w:top w:val="single" w:sz="6" w:space="0" w:color="000000"/>
              <w:left w:val="single" w:sz="6" w:space="0" w:color="000000"/>
              <w:bottom w:val="nil" w:sz="6" w:space="0" w:color="auto"/>
              <w:right w:val="single" w:sz="18" w:space="0" w:color="000000"/>
            </w:tcBorders>
          </w:tcPr>
          <w:p>
            <w:pPr>
              <w:pStyle w:val="TableParagraph"/>
              <w:spacing w:line="240" w:lineRule="auto" w:before="45"/>
              <w:ind w:left="30" w:right="-61"/>
              <w:jc w:val="left"/>
              <w:rPr>
                <w:rFonts w:ascii="宋体" w:hAnsi="宋体" w:cs="宋体" w:eastAsia="宋体" w:hint="default"/>
                <w:sz w:val="18"/>
                <w:szCs w:val="18"/>
              </w:rPr>
            </w:pPr>
            <w:r>
              <w:rPr>
                <w:rFonts w:ascii="宋体" w:hAnsi="宋体" w:cs="宋体" w:eastAsia="宋体" w:hint="default"/>
                <w:spacing w:val="40"/>
                <w:sz w:val="18"/>
                <w:szCs w:val="18"/>
              </w:rPr>
              <w:t>股份减</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single" w:sz="6" w:space="0" w:color="000000"/>
              <w:left w:val="single" w:sz="18" w:space="0" w:color="000000"/>
              <w:bottom w:val="nil" w:sz="6" w:space="0" w:color="auto"/>
              <w:right w:val="single" w:sz="18" w:space="0" w:color="FFFFFF"/>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以上股份的股东茅庆江承诺</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1</w:t>
            </w:r>
          </w:p>
        </w:tc>
        <w:tc>
          <w:tcPr>
            <w:tcW w:w="571" w:type="dxa"/>
            <w:tcBorders>
              <w:top w:val="single" w:sz="6" w:space="0" w:color="000000"/>
              <w:left w:val="single" w:sz="18" w:space="0" w:color="FFFFFF"/>
              <w:bottom w:val="nil" w:sz="6" w:space="0" w:color="auto"/>
              <w:right w:val="single" w:sz="6" w:space="0" w:color="000000"/>
            </w:tcBorders>
          </w:tcPr>
          <w:p>
            <w:pPr>
              <w:pStyle w:val="TableParagraph"/>
              <w:spacing w:line="240" w:lineRule="auto" w:before="60"/>
              <w:ind w:left="-15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p>
        </w:tc>
        <w:tc>
          <w:tcPr>
            <w:tcW w:w="9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2015.04.24-</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pacing w:val="-6"/>
                <w:sz w:val="18"/>
                <w:szCs w:val="18"/>
              </w:rPr>
              <w:t>报告期内，承</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持承诺</w:t>
            </w: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28" w:lineRule="exact"/>
              <w:ind w:right="0"/>
              <w:jc w:val="left"/>
              <w:rPr>
                <w:rFonts w:ascii="宋体" w:hAnsi="宋体" w:cs="宋体" w:eastAsia="宋体" w:hint="default"/>
                <w:sz w:val="18"/>
                <w:szCs w:val="18"/>
              </w:rPr>
            </w:pPr>
            <w:r>
              <w:rPr>
                <w:rFonts w:ascii="宋体" w:hAnsi="宋体" w:cs="宋体" w:eastAsia="宋体" w:hint="default"/>
                <w:sz w:val="18"/>
                <w:szCs w:val="18"/>
              </w:rPr>
              <w:t>持有股份的意向 </w:t>
            </w:r>
            <w:r>
              <w:rPr>
                <w:rFonts w:ascii="宋体" w:hAnsi="宋体" w:cs="宋体" w:eastAsia="宋体" w:hint="default"/>
                <w:spacing w:val="2"/>
                <w:sz w:val="18"/>
                <w:szCs w:val="18"/>
              </w:rPr>
              <w:t> </w:t>
            </w:r>
            <w:r>
              <w:rPr>
                <w:rFonts w:ascii="宋体" w:hAnsi="宋体" w:cs="宋体" w:eastAsia="宋体" w:hint="default"/>
                <w:sz w:val="18"/>
                <w:szCs w:val="18"/>
              </w:rPr>
              <w:t>未来在不违</w:t>
            </w:r>
            <w:r>
              <w:rPr>
                <w:rFonts w:ascii="宋体" w:hAnsi="宋体" w:cs="宋体" w:eastAsia="宋体" w:hint="default"/>
                <w:spacing w:val="-31"/>
                <w:sz w:val="18"/>
                <w:szCs w:val="18"/>
              </w:rPr>
              <w:t>反</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交</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30" w:right="0"/>
              <w:jc w:val="left"/>
              <w:rPr>
                <w:rFonts w:ascii="Times New Roman" w:hAnsi="Times New Roman" w:cs="Times New Roman" w:eastAsia="Times New Roman" w:hint="default"/>
                <w:sz w:val="18"/>
                <w:szCs w:val="18"/>
              </w:rPr>
            </w:pPr>
            <w:r>
              <w:rPr>
                <w:rFonts w:ascii="Times New Roman"/>
                <w:sz w:val="18"/>
              </w:rPr>
              <w:t>2020.05.16</w:t>
            </w: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易所等相关法律法规以及不违背个人就股份锁</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14"/>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6"/>
                <w:sz w:val="18"/>
                <w:szCs w:val="18"/>
              </w:rPr>
              <w:t>守承诺，未发</w:t>
            </w: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定所作出的有关承诺的前提下，本人将根据自</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pacing w:val="11"/>
                <w:sz w:val="18"/>
                <w:szCs w:val="18"/>
              </w:rPr>
              <w:t>身经济的实际状况和公司二级市场的交易表</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14"/>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现，有计划地就所持股份进行</w:t>
            </w:r>
            <w:r>
              <w:rPr>
                <w:rFonts w:ascii="宋体" w:hAnsi="宋体" w:cs="宋体" w:eastAsia="宋体" w:hint="default"/>
                <w:spacing w:val="14"/>
                <w:sz w:val="18"/>
                <w:szCs w:val="18"/>
              </w:rPr>
              <w:t>减</w:t>
            </w:r>
            <w:r>
              <w:rPr>
                <w:rFonts w:ascii="宋体" w:hAnsi="宋体" w:cs="宋体" w:eastAsia="宋体" w:hint="default"/>
                <w:sz w:val="18"/>
                <w:szCs w:val="18"/>
              </w:rPr>
              <w:t>持</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tabs>
                <w:tab w:pos="1216" w:val="left" w:leader="none"/>
              </w:tabs>
              <w:spacing w:line="240" w:lineRule="auto"/>
              <w:ind w:right="0"/>
              <w:jc w:val="left"/>
              <w:rPr>
                <w:rFonts w:ascii="宋体" w:hAnsi="宋体" w:cs="宋体" w:eastAsia="宋体" w:hint="default"/>
                <w:sz w:val="18"/>
                <w:szCs w:val="18"/>
              </w:rPr>
            </w:pPr>
            <w:r>
              <w:rPr>
                <w:rFonts w:ascii="宋体" w:hAnsi="宋体" w:cs="宋体" w:eastAsia="宋体" w:hint="default"/>
                <w:spacing w:val="2"/>
                <w:sz w:val="18"/>
                <w:szCs w:val="18"/>
              </w:rPr>
              <w:t>股份的计划</w:t>
              <w:tab/>
            </w:r>
            <w:r>
              <w:rPr>
                <w:rFonts w:ascii="宋体" w:hAnsi="宋体" w:cs="宋体" w:eastAsia="宋体" w:hint="default"/>
                <w:spacing w:val="4"/>
                <w:sz w:val="18"/>
                <w:szCs w:val="18"/>
              </w:rPr>
              <w:t>本人计划在锁定期满后两年内</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减持本人持有的部分公司股份，本人承诺所持</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股份的减持计划如下：①减持满足的条件自公</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司首次公开发行股票并上市之日起，至本人就</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减持股份发布提示性公告之日，本人能够及时</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有效地履行首次公开发行股票时公开承诺的各</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项义务。</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锁定期满的两年内，每年内减持股份不超过本</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人直接或间接持有公司股份总量的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。③减</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pacing w:val="11"/>
                <w:sz w:val="18"/>
                <w:szCs w:val="18"/>
              </w:rPr>
              <w:t>持方式本人所持公司股份将通过集中竞价交</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易、大宗交易、协议转让及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或其他合法方式进</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行减持，如本人实施减持的，将提前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个交易</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日予以公告。④减持价格 </w:t>
            </w:r>
            <w:r>
              <w:rPr>
                <w:rFonts w:ascii="宋体" w:hAnsi="宋体" w:cs="宋体" w:eastAsia="宋体" w:hint="default"/>
                <w:spacing w:val="15"/>
                <w:sz w:val="18"/>
                <w:szCs w:val="18"/>
              </w:rPr>
              <w:t> </w:t>
            </w:r>
            <w:r>
              <w:rPr>
                <w:rFonts w:ascii="宋体" w:hAnsi="宋体" w:cs="宋体" w:eastAsia="宋体" w:hint="default"/>
                <w:sz w:val="18"/>
                <w:szCs w:val="18"/>
              </w:rPr>
              <w:t>本人在锁定期满后</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两年内减持的，减持价格不低于公司首次公开</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发行股票的股票发行价。公司发生派发股利、</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转增股本等除息、除权行为的，上述发行价格</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65"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18" w:space="0" w:color="000000"/>
            </w:tcBorders>
          </w:tcPr>
          <w:p>
            <w:pPr/>
          </w:p>
        </w:tc>
        <w:tc>
          <w:tcPr>
            <w:tcW w:w="3680" w:type="dxa"/>
            <w:tcBorders>
              <w:top w:val="nil" w:sz="6" w:space="0" w:color="auto"/>
              <w:left w:val="single" w:sz="18"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亦将作相应调整。</w:t>
            </w:r>
          </w:p>
        </w:tc>
        <w:tc>
          <w:tcPr>
            <w:tcW w:w="571"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1111"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1426"/>
        <w:gridCol w:w="1127"/>
        <w:gridCol w:w="721"/>
        <w:gridCol w:w="3680"/>
        <w:gridCol w:w="571"/>
        <w:gridCol w:w="946"/>
        <w:gridCol w:w="1111"/>
      </w:tblGrid>
      <w:tr>
        <w:trPr>
          <w:trHeight w:val="361" w:hRule="exact"/>
        </w:trPr>
        <w:tc>
          <w:tcPr>
            <w:tcW w:w="1426"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18" w:space="0" w:color="FFFFFF"/>
            </w:tcBorders>
          </w:tcPr>
          <w:p>
            <w:pPr>
              <w:pStyle w:val="TableParagraph"/>
              <w:spacing w:line="240" w:lineRule="auto" w:before="45"/>
              <w:ind w:left="15" w:right="-46"/>
              <w:jc w:val="left"/>
              <w:rPr>
                <w:rFonts w:ascii="宋体" w:hAnsi="宋体" w:cs="宋体" w:eastAsia="宋体" w:hint="default"/>
                <w:sz w:val="18"/>
                <w:szCs w:val="18"/>
              </w:rPr>
            </w:pPr>
            <w:r>
              <w:rPr>
                <w:rFonts w:ascii="宋体" w:hAnsi="宋体" w:cs="宋体" w:eastAsia="宋体" w:hint="default"/>
                <w:spacing w:val="36"/>
                <w:sz w:val="18"/>
                <w:szCs w:val="18"/>
              </w:rPr>
              <w:t>浩云科技股</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single" w:sz="6" w:space="0" w:color="000000"/>
              <w:left w:val="single" w:sz="18" w:space="0" w:color="FFFFFF"/>
              <w:bottom w:val="nil" w:sz="6" w:space="0" w:color="auto"/>
              <w:right w:val="single" w:sz="18" w:space="0" w:color="000000"/>
            </w:tcBorders>
          </w:tcPr>
          <w:p>
            <w:pPr>
              <w:pStyle w:val="TableParagraph"/>
              <w:spacing w:line="240" w:lineRule="auto" w:before="45"/>
              <w:ind w:left="15" w:right="-61"/>
              <w:jc w:val="left"/>
              <w:rPr>
                <w:rFonts w:ascii="宋体" w:hAnsi="宋体" w:cs="宋体" w:eastAsia="宋体" w:hint="default"/>
                <w:sz w:val="18"/>
                <w:szCs w:val="18"/>
              </w:rPr>
            </w:pPr>
            <w:r>
              <w:rPr>
                <w:rFonts w:ascii="宋体" w:hAnsi="宋体" w:cs="宋体" w:eastAsia="宋体" w:hint="default"/>
                <w:spacing w:val="40"/>
                <w:sz w:val="18"/>
                <w:szCs w:val="18"/>
              </w:rPr>
              <w:t>股份回</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single" w:sz="6" w:space="0" w:color="000000"/>
              <w:left w:val="single" w:sz="18" w:space="0" w:color="000000"/>
              <w:bottom w:val="nil" w:sz="6" w:space="0" w:color="auto"/>
              <w:right w:val="single" w:sz="18" w:space="0" w:color="FFFFFF"/>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3"/>
                <w:sz w:val="18"/>
                <w:szCs w:val="18"/>
              </w:rPr>
              <w:t>公司承诺：如公司《招股说明书》有虚假记载</w:t>
            </w:r>
          </w:p>
        </w:tc>
        <w:tc>
          <w:tcPr>
            <w:tcW w:w="571" w:type="dxa"/>
            <w:tcBorders>
              <w:top w:val="single" w:sz="6" w:space="0" w:color="000000"/>
              <w:left w:val="single" w:sz="18" w:space="0" w:color="FFFFFF"/>
              <w:bottom w:val="nil" w:sz="6" w:space="0" w:color="auto"/>
              <w:right w:val="single" w:sz="6" w:space="0" w:color="000000"/>
            </w:tcBorders>
          </w:tcPr>
          <w:p>
            <w:pPr>
              <w:pStyle w:val="TableParagraph"/>
              <w:spacing w:line="240" w:lineRule="auto" w:before="50"/>
              <w:ind w:left="-3" w:right="0"/>
              <w:jc w:val="left"/>
              <w:rPr>
                <w:rFonts w:ascii="Times New Roman" w:hAnsi="Times New Roman" w:cs="Times New Roman" w:eastAsia="Times New Roman" w:hint="default"/>
                <w:sz w:val="18"/>
                <w:szCs w:val="18"/>
              </w:rPr>
            </w:pPr>
            <w:r>
              <w:rPr>
                <w:rFonts w:ascii="宋体" w:hAnsi="宋体" w:cs="宋体" w:eastAsia="宋体" w:hint="default"/>
                <w:spacing w:val="-163"/>
                <w:position w:val="1"/>
                <w:sz w:val="18"/>
                <w:szCs w:val="18"/>
              </w:rPr>
              <w:t>、</w:t>
            </w:r>
            <w:r>
              <w:rPr>
                <w:rFonts w:ascii="Times New Roman" w:hAnsi="Times New Roman" w:cs="Times New Roman" w:eastAsia="Times New Roman" w:hint="default"/>
                <w:sz w:val="18"/>
                <w:szCs w:val="18"/>
              </w:rPr>
              <w:t>2015</w:t>
            </w:r>
          </w:p>
        </w:tc>
        <w:tc>
          <w:tcPr>
            <w:tcW w:w="9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pacing w:val="-6"/>
                <w:sz w:val="18"/>
                <w:szCs w:val="18"/>
              </w:rPr>
              <w:t>报告期内，承</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18" w:space="0" w:color="FFFFFF"/>
            </w:tcBorders>
          </w:tcPr>
          <w:p>
            <w:pPr>
              <w:pStyle w:val="TableParagraph"/>
              <w:spacing w:line="240" w:lineRule="auto" w:before="7"/>
              <w:ind w:left="15" w:right="-21"/>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份有限公司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p>
        </w:tc>
        <w:tc>
          <w:tcPr>
            <w:tcW w:w="721" w:type="dxa"/>
            <w:tcBorders>
              <w:top w:val="nil" w:sz="6" w:space="0" w:color="auto"/>
              <w:left w:val="single" w:sz="18" w:space="0" w:color="FFFFFF"/>
              <w:bottom w:val="nil" w:sz="6" w:space="0" w:color="auto"/>
              <w:right w:val="single" w:sz="18"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购承诺</w:t>
            </w: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28" w:lineRule="exact"/>
              <w:ind w:right="0"/>
              <w:jc w:val="left"/>
              <w:rPr>
                <w:rFonts w:ascii="宋体" w:hAnsi="宋体" w:cs="宋体" w:eastAsia="宋体" w:hint="default"/>
                <w:sz w:val="18"/>
                <w:szCs w:val="18"/>
              </w:rPr>
            </w:pPr>
            <w:r>
              <w:rPr>
                <w:rFonts w:ascii="宋体" w:hAnsi="宋体" w:cs="宋体" w:eastAsia="宋体" w:hint="default"/>
                <w:sz w:val="18"/>
                <w:szCs w:val="18"/>
              </w:rPr>
              <w:t>误导性陈述或者重大遗漏，对判断公司是否符</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pacing w:val="-3"/>
                <w:sz w:val="18"/>
                <w:szCs w:val="18"/>
              </w:rPr>
              <w:t>合法律规定的发行条件构成重大、实质影响的</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4"/>
              <w:ind w:left="-64" w:right="0"/>
              <w:jc w:val="left"/>
              <w:rPr>
                <w:rFonts w:ascii="Times New Roman" w:hAnsi="Times New Roman" w:cs="Times New Roman" w:eastAsia="Times New Roman" w:hint="default"/>
                <w:sz w:val="18"/>
                <w:szCs w:val="18"/>
              </w:rPr>
            </w:pPr>
            <w:r>
              <w:rPr>
                <w:rFonts w:ascii="宋体" w:hAnsi="宋体" w:cs="宋体" w:eastAsia="宋体" w:hint="default"/>
                <w:spacing w:val="-102"/>
                <w:position w:val="1"/>
                <w:sz w:val="18"/>
                <w:szCs w:val="18"/>
              </w:rPr>
              <w:t>，</w:t>
            </w:r>
            <w:r>
              <w:rPr>
                <w:rFonts w:ascii="宋体" w:hAnsi="宋体" w:cs="宋体" w:eastAsia="宋体" w:hint="default"/>
                <w:sz w:val="18"/>
                <w:szCs w:val="18"/>
              </w:rPr>
              <w:t>月 </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6"/>
                <w:sz w:val="18"/>
                <w:szCs w:val="18"/>
              </w:rPr>
              <w:t>守承诺，未发</w:t>
            </w: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并已由有权部门作出行政处罚或人民法院作出</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相关判决的，在相关行政处罚或判决生效之日</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14"/>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个交易日内，本公司将召开董事会并作出</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决议，通过回购首次公开发行所有新股的具体</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方案的议案，并进行公告。本公司将以不低于</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发行价格回购首次公开发行的全部新股</w:t>
            </w:r>
            <w:r>
              <w:rPr>
                <w:rFonts w:ascii="宋体" w:hAnsi="宋体" w:cs="宋体" w:eastAsia="宋体" w:hint="default"/>
                <w:spacing w:val="-150"/>
                <w:sz w:val="18"/>
                <w:szCs w:val="18"/>
              </w:rPr>
              <w:t>。</w:t>
            </w:r>
            <w:r>
              <w:rPr>
                <w:rFonts w:ascii="宋体" w:hAnsi="宋体" w:cs="宋体" w:eastAsia="宋体" w:hint="default"/>
                <w:sz w:val="18"/>
                <w:szCs w:val="18"/>
              </w:rPr>
              <w:t>（在公</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司上市后至上述期间内，公司发生派发股利、</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送红股、转增股本、增发新股或配股等除息、</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除权</w:t>
            </w:r>
            <w:r>
              <w:rPr>
                <w:rFonts w:ascii="宋体" w:hAnsi="宋体" w:cs="宋体" w:eastAsia="宋体" w:hint="default"/>
                <w:spacing w:val="14"/>
                <w:sz w:val="18"/>
                <w:szCs w:val="18"/>
              </w:rPr>
              <w:t>行</w:t>
            </w:r>
            <w:r>
              <w:rPr>
                <w:rFonts w:ascii="宋体" w:hAnsi="宋体" w:cs="宋体" w:eastAsia="宋体" w:hint="default"/>
                <w:sz w:val="18"/>
                <w:szCs w:val="18"/>
              </w:rPr>
              <w:t>为</w:t>
            </w:r>
            <w:r>
              <w:rPr>
                <w:rFonts w:ascii="宋体" w:hAnsi="宋体" w:cs="宋体" w:eastAsia="宋体" w:hint="default"/>
                <w:spacing w:val="14"/>
                <w:sz w:val="18"/>
                <w:szCs w:val="18"/>
              </w:rPr>
              <w:t>，</w:t>
            </w:r>
            <w:r>
              <w:rPr>
                <w:rFonts w:ascii="宋体" w:hAnsi="宋体" w:cs="宋体" w:eastAsia="宋体" w:hint="default"/>
                <w:sz w:val="18"/>
                <w:szCs w:val="18"/>
              </w:rPr>
              <w:t>上述</w:t>
            </w:r>
            <w:r>
              <w:rPr>
                <w:rFonts w:ascii="宋体" w:hAnsi="宋体" w:cs="宋体" w:eastAsia="宋体" w:hint="default"/>
                <w:spacing w:val="14"/>
                <w:sz w:val="18"/>
                <w:szCs w:val="18"/>
              </w:rPr>
              <w:t>发</w:t>
            </w:r>
            <w:r>
              <w:rPr>
                <w:rFonts w:ascii="宋体" w:hAnsi="宋体" w:cs="宋体" w:eastAsia="宋体" w:hint="default"/>
                <w:sz w:val="18"/>
                <w:szCs w:val="18"/>
              </w:rPr>
              <w:t>行</w:t>
            </w:r>
            <w:r>
              <w:rPr>
                <w:rFonts w:ascii="宋体" w:hAnsi="宋体" w:cs="宋体" w:eastAsia="宋体" w:hint="default"/>
                <w:spacing w:val="14"/>
                <w:sz w:val="18"/>
                <w:szCs w:val="18"/>
              </w:rPr>
              <w:t>价</w:t>
            </w:r>
            <w:r>
              <w:rPr>
                <w:rFonts w:ascii="宋体" w:hAnsi="宋体" w:cs="宋体" w:eastAsia="宋体" w:hint="default"/>
                <w:sz w:val="18"/>
                <w:szCs w:val="18"/>
              </w:rPr>
              <w:t>格</w:t>
            </w:r>
            <w:r>
              <w:rPr>
                <w:rFonts w:ascii="宋体" w:hAnsi="宋体" w:cs="宋体" w:eastAsia="宋体" w:hint="default"/>
                <w:spacing w:val="14"/>
                <w:sz w:val="18"/>
                <w:szCs w:val="18"/>
              </w:rPr>
              <w:t>亦</w:t>
            </w:r>
            <w:r>
              <w:rPr>
                <w:rFonts w:ascii="宋体" w:hAnsi="宋体" w:cs="宋体" w:eastAsia="宋体" w:hint="default"/>
                <w:sz w:val="18"/>
                <w:szCs w:val="18"/>
              </w:rPr>
              <w:t>将作</w:t>
            </w:r>
            <w:r>
              <w:rPr>
                <w:rFonts w:ascii="宋体" w:hAnsi="宋体" w:cs="宋体" w:eastAsia="宋体" w:hint="default"/>
                <w:spacing w:val="14"/>
                <w:sz w:val="18"/>
                <w:szCs w:val="18"/>
              </w:rPr>
              <w:t>相</w:t>
            </w:r>
            <w:r>
              <w:rPr>
                <w:rFonts w:ascii="宋体" w:hAnsi="宋体" w:cs="宋体" w:eastAsia="宋体" w:hint="default"/>
                <w:sz w:val="18"/>
                <w:szCs w:val="18"/>
              </w:rPr>
              <w:t>应</w:t>
            </w:r>
            <w:r>
              <w:rPr>
                <w:rFonts w:ascii="宋体" w:hAnsi="宋体" w:cs="宋体" w:eastAsia="宋体" w:hint="default"/>
                <w:spacing w:val="14"/>
                <w:sz w:val="18"/>
                <w:szCs w:val="18"/>
              </w:rPr>
              <w:t>调</w:t>
            </w:r>
            <w:r>
              <w:rPr>
                <w:rFonts w:ascii="宋体" w:hAnsi="宋体" w:cs="宋体" w:eastAsia="宋体" w:hint="default"/>
                <w:sz w:val="18"/>
                <w:szCs w:val="18"/>
              </w:rPr>
              <w:t>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公司控股股东茅庆江承诺：如公司《招股说明</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书》有虚假记载、误导性陈述或者重大遗漏，</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对判断公司是否符合法律规定的发行条件构成</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重大、实质影响的，并已由有权部门作出行政</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处罚或人民法院作出相关判决的，在相关行政</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处罚或判决生效之日起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个交易日内，本人将</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1"/>
              <w:jc w:val="left"/>
              <w:rPr>
                <w:rFonts w:ascii="宋体" w:hAnsi="宋体" w:cs="宋体" w:eastAsia="宋体" w:hint="default"/>
                <w:sz w:val="18"/>
                <w:szCs w:val="18"/>
              </w:rPr>
            </w:pPr>
            <w:r>
              <w:rPr>
                <w:rFonts w:ascii="宋体" w:hAnsi="宋体" w:cs="宋体" w:eastAsia="宋体" w:hint="default"/>
                <w:spacing w:val="10"/>
                <w:sz w:val="18"/>
                <w:szCs w:val="18"/>
              </w:rPr>
              <w:t>依法提出购回已转让的原限售股份的具体</w:t>
            </w:r>
            <w:r>
              <w:rPr>
                <w:rFonts w:ascii="宋体" w:hAnsi="宋体" w:cs="宋体" w:eastAsia="宋体" w:hint="default"/>
                <w:spacing w:val="-53"/>
                <w:sz w:val="18"/>
                <w:szCs w:val="18"/>
              </w:rPr>
              <w:t> </w:t>
            </w:r>
            <w:r>
              <w:rPr>
                <w:rFonts w:ascii="宋体" w:hAnsi="宋体" w:cs="宋体" w:eastAsia="宋体" w:hint="default"/>
                <w:sz w:val="18"/>
                <w:szCs w:val="18"/>
              </w:rPr>
              <w:t>方</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案，并进行公告。本人将以不低于发行价格购</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回已转让的原限售股份</w:t>
            </w:r>
            <w:r>
              <w:rPr>
                <w:rFonts w:ascii="宋体" w:hAnsi="宋体" w:cs="宋体" w:eastAsia="宋体" w:hint="default"/>
                <w:spacing w:val="-150"/>
                <w:sz w:val="18"/>
                <w:szCs w:val="18"/>
              </w:rPr>
              <w:t>。</w:t>
            </w:r>
            <w:r>
              <w:rPr>
                <w:rFonts w:ascii="宋体" w:hAnsi="宋体" w:cs="宋体" w:eastAsia="宋体" w:hint="default"/>
                <w:sz w:val="18"/>
                <w:szCs w:val="18"/>
              </w:rPr>
              <w:t>（在公司上市后至上述</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期间内，公司发生派发股利、送红股、转增股</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本、增发新股或配股等除息、除权行为，上述</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6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18" w:space="0" w:color="000000"/>
            </w:tcBorders>
          </w:tcPr>
          <w:p>
            <w:pPr/>
          </w:p>
        </w:tc>
        <w:tc>
          <w:tcPr>
            <w:tcW w:w="3680" w:type="dxa"/>
            <w:tcBorders>
              <w:top w:val="nil" w:sz="6" w:space="0" w:color="auto"/>
              <w:left w:val="single" w:sz="18"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发行价格亦将作相应调整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571"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1111" w:type="dxa"/>
            <w:tcBorders>
              <w:top w:val="nil" w:sz="6" w:space="0" w:color="auto"/>
              <w:left w:val="single" w:sz="6" w:space="0" w:color="000000"/>
              <w:bottom w:val="single" w:sz="6" w:space="0" w:color="000000"/>
              <w:right w:val="single" w:sz="6" w:space="0" w:color="000000"/>
            </w:tcBorders>
          </w:tcPr>
          <w:p>
            <w:pPr/>
          </w:p>
        </w:tc>
      </w:tr>
      <w:tr>
        <w:trPr>
          <w:trHeight w:val="361" w:hRule="exact"/>
        </w:trPr>
        <w:tc>
          <w:tcPr>
            <w:tcW w:w="1426"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18" w:space="0" w:color="FFFFFF"/>
            </w:tcBorders>
          </w:tcPr>
          <w:p>
            <w:pPr>
              <w:pStyle w:val="TableParagraph"/>
              <w:spacing w:line="240" w:lineRule="auto" w:before="45"/>
              <w:ind w:left="15" w:right="-46"/>
              <w:jc w:val="left"/>
              <w:rPr>
                <w:rFonts w:ascii="宋体" w:hAnsi="宋体" w:cs="宋体" w:eastAsia="宋体" w:hint="default"/>
                <w:sz w:val="18"/>
                <w:szCs w:val="18"/>
              </w:rPr>
            </w:pPr>
            <w:r>
              <w:rPr>
                <w:rFonts w:ascii="宋体" w:hAnsi="宋体" w:cs="宋体" w:eastAsia="宋体" w:hint="default"/>
                <w:spacing w:val="36"/>
                <w:sz w:val="18"/>
                <w:szCs w:val="18"/>
              </w:rPr>
              <w:t>广州市碧天</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single" w:sz="6" w:space="0" w:color="000000"/>
              <w:left w:val="single" w:sz="18" w:space="0" w:color="FFFFFF"/>
              <w:bottom w:val="nil" w:sz="6" w:space="0" w:color="auto"/>
              <w:right w:val="single" w:sz="18" w:space="0" w:color="000000"/>
            </w:tcBorders>
          </w:tcPr>
          <w:p>
            <w:pPr>
              <w:pStyle w:val="TableParagraph"/>
              <w:spacing w:line="240" w:lineRule="auto" w:before="45"/>
              <w:ind w:left="15" w:right="-61"/>
              <w:jc w:val="left"/>
              <w:rPr>
                <w:rFonts w:ascii="宋体" w:hAnsi="宋体" w:cs="宋体" w:eastAsia="宋体" w:hint="default"/>
                <w:sz w:val="18"/>
                <w:szCs w:val="18"/>
              </w:rPr>
            </w:pPr>
            <w:r>
              <w:rPr>
                <w:rFonts w:ascii="宋体" w:hAnsi="宋体" w:cs="宋体" w:eastAsia="宋体" w:hint="default"/>
                <w:spacing w:val="40"/>
                <w:sz w:val="18"/>
                <w:szCs w:val="18"/>
              </w:rPr>
              <w:t>分红承</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single" w:sz="6" w:space="0" w:color="000000"/>
              <w:left w:val="single" w:sz="18" w:space="0" w:color="000000"/>
              <w:bottom w:val="nil" w:sz="6" w:space="0" w:color="auto"/>
              <w:right w:val="single" w:sz="6" w:space="0" w:color="000000"/>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公司及本次发行前全体股东承诺：公司将严格</w:t>
            </w:r>
          </w:p>
        </w:tc>
        <w:tc>
          <w:tcPr>
            <w:tcW w:w="5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w:t>
            </w:r>
          </w:p>
        </w:tc>
        <w:tc>
          <w:tcPr>
            <w:tcW w:w="9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pacing w:val="-6"/>
                <w:sz w:val="18"/>
                <w:szCs w:val="18"/>
              </w:rPr>
              <w:t>报告期内，承</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18" w:space="0" w:color="FFFFFF"/>
            </w:tcBorders>
          </w:tcPr>
          <w:p>
            <w:pPr>
              <w:pStyle w:val="TableParagraph"/>
              <w:spacing w:line="228" w:lineRule="exact"/>
              <w:ind w:left="15" w:right="-46"/>
              <w:jc w:val="left"/>
              <w:rPr>
                <w:rFonts w:ascii="宋体" w:hAnsi="宋体" w:cs="宋体" w:eastAsia="宋体" w:hint="default"/>
                <w:sz w:val="18"/>
                <w:szCs w:val="18"/>
              </w:rPr>
            </w:pPr>
            <w:r>
              <w:rPr>
                <w:rFonts w:ascii="宋体" w:hAnsi="宋体" w:cs="宋体" w:eastAsia="宋体" w:hint="default"/>
                <w:spacing w:val="36"/>
                <w:sz w:val="18"/>
                <w:szCs w:val="18"/>
              </w:rPr>
              <w:t>投资咨询有</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18" w:space="0" w:color="FFFFFF"/>
              <w:bottom w:val="nil" w:sz="6" w:space="0" w:color="auto"/>
              <w:right w:val="single" w:sz="18"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28" w:lineRule="exact"/>
              <w:ind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15"/>
                <w:sz w:val="18"/>
                <w:szCs w:val="18"/>
              </w:rPr>
              <w:t>照</w:t>
            </w:r>
            <w:r>
              <w:rPr>
                <w:rFonts w:ascii="宋体" w:hAnsi="宋体" w:cs="宋体" w:eastAsia="宋体" w:hint="default"/>
                <w:sz w:val="18"/>
                <w:szCs w:val="18"/>
              </w:rPr>
              <w:t>《公司章</w:t>
            </w:r>
            <w:r>
              <w:rPr>
                <w:rFonts w:ascii="宋体" w:hAnsi="宋体" w:cs="宋体" w:eastAsia="宋体" w:hint="default"/>
                <w:spacing w:val="-15"/>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规</w:t>
            </w:r>
            <w:r>
              <w:rPr>
                <w:rFonts w:ascii="宋体" w:hAnsi="宋体" w:cs="宋体" w:eastAsia="宋体" w:hint="default"/>
                <w:spacing w:val="2"/>
                <w:sz w:val="18"/>
                <w:szCs w:val="18"/>
              </w:rPr>
              <w:t>定</w:t>
            </w:r>
            <w:r>
              <w:rPr>
                <w:rFonts w:ascii="宋体" w:hAnsi="宋体" w:cs="宋体" w:eastAsia="宋体" w:hint="default"/>
                <w:sz w:val="18"/>
                <w:szCs w:val="18"/>
              </w:rPr>
              <w:t>的利润分配政策</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5" w:right="-31"/>
              <w:jc w:val="left"/>
              <w:rPr>
                <w:rFonts w:ascii="宋体" w:hAnsi="宋体" w:cs="宋体" w:eastAsia="宋体" w:hint="default"/>
                <w:sz w:val="18"/>
                <w:szCs w:val="18"/>
              </w:rPr>
            </w:pPr>
            <w:r>
              <w:rPr>
                <w:rFonts w:ascii="宋体" w:hAnsi="宋体" w:cs="宋体" w:eastAsia="宋体" w:hint="default"/>
                <w:spacing w:val="20"/>
                <w:sz w:val="18"/>
                <w:szCs w:val="18"/>
              </w:rPr>
              <w:t>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广州</w:t>
            </w:r>
            <w:r>
              <w:rPr>
                <w:rFonts w:ascii="宋体" w:hAnsi="宋体" w:cs="宋体" w:eastAsia="宋体" w:hint="default"/>
                <w:spacing w:val="-60"/>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履行利润分配决策程序，并按照相关法律法规</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6"/>
                <w:sz w:val="18"/>
                <w:szCs w:val="18"/>
              </w:rPr>
              <w:t>守承诺，未发</w:t>
            </w: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5" w:right="-31"/>
              <w:jc w:val="left"/>
              <w:rPr>
                <w:rFonts w:ascii="宋体" w:hAnsi="宋体" w:cs="宋体" w:eastAsia="宋体" w:hint="default"/>
                <w:sz w:val="18"/>
                <w:szCs w:val="18"/>
              </w:rPr>
            </w:pPr>
            <w:r>
              <w:rPr>
                <w:rFonts w:ascii="宋体" w:hAnsi="宋体" w:cs="宋体" w:eastAsia="宋体" w:hint="default"/>
                <w:spacing w:val="36"/>
                <w:sz w:val="18"/>
                <w:szCs w:val="18"/>
              </w:rPr>
              <w:t>市常森投资</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中关于利润分配政策（包括现金分红）的规定</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31"/>
              <w:jc w:val="left"/>
              <w:rPr>
                <w:rFonts w:ascii="宋体" w:hAnsi="宋体" w:cs="宋体" w:eastAsia="宋体" w:hint="default"/>
                <w:sz w:val="18"/>
                <w:szCs w:val="18"/>
              </w:rPr>
            </w:pPr>
            <w:r>
              <w:rPr>
                <w:rFonts w:ascii="宋体" w:hAnsi="宋体" w:cs="宋体" w:eastAsia="宋体" w:hint="default"/>
                <w:spacing w:val="36"/>
                <w:sz w:val="18"/>
                <w:szCs w:val="18"/>
              </w:rPr>
              <w:t>咨询有限责</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履行分红义务。公司及本次发行前全体股东承</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14"/>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31"/>
              <w:jc w:val="left"/>
              <w:rPr>
                <w:rFonts w:ascii="宋体" w:hAnsi="宋体" w:cs="宋体" w:eastAsia="宋体" w:hint="default"/>
                <w:sz w:val="18"/>
                <w:szCs w:val="18"/>
              </w:rPr>
            </w:pPr>
            <w:r>
              <w:rPr>
                <w:rFonts w:ascii="宋体" w:hAnsi="宋体" w:cs="宋体" w:eastAsia="宋体" w:hint="default"/>
                <w:spacing w:val="20"/>
                <w:sz w:val="18"/>
                <w:szCs w:val="18"/>
              </w:rPr>
              <w:t>任公司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广州</w:t>
            </w:r>
            <w:r>
              <w:rPr>
                <w:rFonts w:ascii="宋体" w:hAnsi="宋体" w:cs="宋体" w:eastAsia="宋体" w:hint="default"/>
                <w:spacing w:val="-60"/>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诺将从维护中小投资者利益的角度制定利润分</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31"/>
              <w:jc w:val="left"/>
              <w:rPr>
                <w:rFonts w:ascii="宋体" w:hAnsi="宋体" w:cs="宋体" w:eastAsia="宋体" w:hint="default"/>
                <w:sz w:val="18"/>
                <w:szCs w:val="18"/>
              </w:rPr>
            </w:pPr>
            <w:r>
              <w:rPr>
                <w:rFonts w:ascii="宋体" w:hAnsi="宋体" w:cs="宋体" w:eastAsia="宋体" w:hint="default"/>
                <w:spacing w:val="36"/>
                <w:sz w:val="18"/>
                <w:szCs w:val="18"/>
              </w:rPr>
              <w:t>市浩云安防</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配计划，充分考虑公众投资者的意见，保护中</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31"/>
              <w:jc w:val="left"/>
              <w:rPr>
                <w:rFonts w:ascii="宋体" w:hAnsi="宋体" w:cs="宋体" w:eastAsia="宋体" w:hint="default"/>
                <w:sz w:val="18"/>
                <w:szCs w:val="18"/>
              </w:rPr>
            </w:pPr>
            <w:r>
              <w:rPr>
                <w:rFonts w:ascii="宋体" w:hAnsi="宋体" w:cs="宋体" w:eastAsia="宋体" w:hint="default"/>
                <w:spacing w:val="36"/>
                <w:sz w:val="18"/>
                <w:szCs w:val="18"/>
              </w:rPr>
              <w:t>科技股份有</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8"/>
                <w:szCs w:val="18"/>
              </w:rPr>
            </w:pPr>
            <w:r>
              <w:rPr>
                <w:rFonts w:ascii="宋体" w:hAnsi="宋体" w:cs="宋体" w:eastAsia="宋体" w:hint="default"/>
                <w:sz w:val="18"/>
                <w:szCs w:val="18"/>
              </w:rPr>
              <w:t>小股东、公众投资者的利益。</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31"/>
              <w:jc w:val="left"/>
              <w:rPr>
                <w:rFonts w:ascii="宋体" w:hAnsi="宋体" w:cs="宋体" w:eastAsia="宋体" w:hint="default"/>
                <w:sz w:val="18"/>
                <w:szCs w:val="18"/>
              </w:rPr>
            </w:pPr>
            <w:r>
              <w:rPr>
                <w:rFonts w:ascii="宋体" w:hAnsi="宋体" w:cs="宋体" w:eastAsia="宋体" w:hint="default"/>
                <w:spacing w:val="20"/>
                <w:sz w:val="18"/>
                <w:szCs w:val="18"/>
              </w:rPr>
              <w:t>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雷洪</w:t>
            </w:r>
            <w:r>
              <w:rPr>
                <w:rFonts w:ascii="宋体" w:hAnsi="宋体" w:cs="宋体" w:eastAsia="宋体" w:hint="default"/>
                <w:spacing w:val="-60"/>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6" w:space="0" w:color="000000"/>
            </w:tcBorders>
          </w:tcPr>
          <w:p>
            <w:pPr/>
          </w:p>
        </w:tc>
        <w:tc>
          <w:tcPr>
            <w:tcW w:w="3680"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11"/>
                <w:sz w:val="18"/>
                <w:szCs w:val="18"/>
              </w:rPr>
              <w:t>文</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龙中胜</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w:t>
            </w:r>
          </w:p>
        </w:tc>
        <w:tc>
          <w:tcPr>
            <w:tcW w:w="721" w:type="dxa"/>
            <w:tcBorders>
              <w:top w:val="nil" w:sz="6" w:space="0" w:color="auto"/>
              <w:left w:val="single" w:sz="6" w:space="0" w:color="000000"/>
              <w:bottom w:val="nil" w:sz="6" w:space="0" w:color="auto"/>
              <w:right w:val="single" w:sz="6" w:space="0" w:color="000000"/>
            </w:tcBorders>
          </w:tcPr>
          <w:p>
            <w:pPr/>
          </w:p>
        </w:tc>
        <w:tc>
          <w:tcPr>
            <w:tcW w:w="3680"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屏萍</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茅庆江</w:t>
            </w:r>
            <w:r>
              <w:rPr>
                <w:rFonts w:ascii="Times New Roman" w:hAnsi="Times New Roman" w:cs="Times New Roman" w:eastAsia="Times New Roman" w:hint="default"/>
                <w:spacing w:val="12"/>
                <w:sz w:val="18"/>
                <w:szCs w:val="18"/>
              </w:rPr>
              <w:t>;</w:t>
            </w:r>
          </w:p>
        </w:tc>
        <w:tc>
          <w:tcPr>
            <w:tcW w:w="721" w:type="dxa"/>
            <w:tcBorders>
              <w:top w:val="nil" w:sz="6" w:space="0" w:color="auto"/>
              <w:left w:val="single" w:sz="6" w:space="0" w:color="000000"/>
              <w:bottom w:val="nil" w:sz="6" w:space="0" w:color="auto"/>
              <w:right w:val="single" w:sz="6" w:space="0" w:color="000000"/>
            </w:tcBorders>
          </w:tcPr>
          <w:p>
            <w:pPr/>
          </w:p>
        </w:tc>
        <w:tc>
          <w:tcPr>
            <w:tcW w:w="3680"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徐彪</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袁小康</w:t>
            </w:r>
            <w:r>
              <w:rPr>
                <w:rFonts w:ascii="Times New Roman" w:hAnsi="Times New Roman" w:cs="Times New Roman" w:eastAsia="Times New Roman" w:hint="default"/>
                <w:spacing w:val="12"/>
                <w:sz w:val="18"/>
                <w:szCs w:val="18"/>
              </w:rPr>
              <w:t>;</w:t>
            </w:r>
          </w:p>
        </w:tc>
        <w:tc>
          <w:tcPr>
            <w:tcW w:w="721" w:type="dxa"/>
            <w:tcBorders>
              <w:top w:val="nil" w:sz="6" w:space="0" w:color="auto"/>
              <w:left w:val="single" w:sz="6" w:space="0" w:color="000000"/>
              <w:bottom w:val="nil" w:sz="6" w:space="0" w:color="auto"/>
              <w:right w:val="single" w:sz="6" w:space="0" w:color="000000"/>
            </w:tcBorders>
          </w:tcPr>
          <w:p>
            <w:pPr/>
          </w:p>
        </w:tc>
        <w:tc>
          <w:tcPr>
            <w:tcW w:w="3680" w:type="dxa"/>
            <w:tcBorders>
              <w:top w:val="nil" w:sz="6" w:space="0" w:color="auto"/>
              <w:left w:val="single" w:sz="6" w:space="0" w:color="000000"/>
              <w:bottom w:val="nil" w:sz="6" w:space="0" w:color="auto"/>
              <w:right w:val="single" w:sz="6" w:space="0" w:color="000000"/>
            </w:tcBorders>
          </w:tcPr>
          <w:p>
            <w:pP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53"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张忠民</w:t>
            </w:r>
          </w:p>
        </w:tc>
        <w:tc>
          <w:tcPr>
            <w:tcW w:w="721" w:type="dxa"/>
            <w:tcBorders>
              <w:top w:val="nil" w:sz="6" w:space="0" w:color="auto"/>
              <w:left w:val="single" w:sz="6" w:space="0" w:color="000000"/>
              <w:bottom w:val="single" w:sz="6" w:space="0" w:color="000000"/>
              <w:right w:val="single" w:sz="6" w:space="0" w:color="000000"/>
            </w:tcBorders>
          </w:tcPr>
          <w:p>
            <w:pPr/>
          </w:p>
        </w:tc>
        <w:tc>
          <w:tcPr>
            <w:tcW w:w="3680" w:type="dxa"/>
            <w:tcBorders>
              <w:top w:val="nil" w:sz="6" w:space="0" w:color="auto"/>
              <w:left w:val="single" w:sz="6" w:space="0" w:color="000000"/>
              <w:bottom w:val="single" w:sz="6" w:space="0" w:color="000000"/>
              <w:right w:val="single" w:sz="6" w:space="0" w:color="000000"/>
            </w:tcBorders>
          </w:tcPr>
          <w:p>
            <w:pPr/>
          </w:p>
        </w:tc>
        <w:tc>
          <w:tcPr>
            <w:tcW w:w="571"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1111" w:type="dxa"/>
            <w:tcBorders>
              <w:top w:val="nil" w:sz="6" w:space="0" w:color="auto"/>
              <w:left w:val="single" w:sz="6" w:space="0" w:color="000000"/>
              <w:bottom w:val="single" w:sz="6" w:space="0" w:color="000000"/>
              <w:right w:val="single" w:sz="6" w:space="0" w:color="000000"/>
            </w:tcBorders>
          </w:tcPr>
          <w:p>
            <w:pPr/>
          </w:p>
        </w:tc>
      </w:tr>
    </w:tbl>
    <w:p>
      <w:pPr>
        <w:rPr>
          <w:sz w:val="2"/>
          <w:szCs w:val="2"/>
        </w:rPr>
      </w:pPr>
      <w:r>
        <w:rPr/>
        <w:pict>
          <v:group style="position:absolute;margin-left:385.230011pt;margin-top:60.805pt;width:25.55pt;height:17.3pt;mso-position-horizontal-relative:page;mso-position-vertical-relative:page;z-index:-1109872" coordorigin="7705,1216" coordsize="511,346">
            <v:shape style="position:absolute;left:7705;top:1216;width:511;height:346" coordorigin="7705,1216" coordsize="511,346" path="m7705,1562l8216,1562,8216,1216,7705,1216,7705,1562xe" filled="true" fillcolor="#ffffff" stroked="false">
              <v:path arrowok="t"/>
              <v:fill type="solid"/>
            </v:shape>
            <w10:wrap type="none"/>
          </v:group>
        </w:pict>
      </w:r>
      <w:r>
        <w:rPr/>
        <w:pict>
          <v:group style="position:absolute;margin-left:385.230011pt;margin-top:93.824997pt;width:25.55pt;height:15.8pt;mso-position-horizontal-relative:page;mso-position-vertical-relative:page;z-index:-1109848" coordorigin="7705,1876" coordsize="511,316">
            <v:shape style="position:absolute;left:7705;top:1876;width:511;height:316" coordorigin="7705,1876" coordsize="511,316" path="m7705,2192l8216,2192,8216,1876,7705,1876,7705,2192xe" filled="true" fillcolor="#ffffff" stroked="false">
              <v:path arrowok="t"/>
              <v:fill type="solid"/>
            </v:shape>
            <w10:wrap type="none"/>
          </v:group>
        </w:pict>
      </w:r>
    </w:p>
    <w:p>
      <w:pPr>
        <w:spacing w:after="0"/>
        <w:rPr>
          <w:sz w:val="2"/>
          <w:szCs w:val="2"/>
        </w:rPr>
        <w:sectPr>
          <w:pgSz w:w="11910" w:h="16850"/>
          <w:pgMar w:header="776" w:footer="1026" w:top="12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1426"/>
        <w:gridCol w:w="1127"/>
        <w:gridCol w:w="721"/>
        <w:gridCol w:w="3680"/>
        <w:gridCol w:w="571"/>
        <w:gridCol w:w="946"/>
        <w:gridCol w:w="1111"/>
      </w:tblGrid>
      <w:tr>
        <w:trPr>
          <w:trHeight w:val="361" w:hRule="exact"/>
        </w:trPr>
        <w:tc>
          <w:tcPr>
            <w:tcW w:w="1426"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21" w:type="dxa"/>
            <w:tcBorders>
              <w:top w:val="single" w:sz="6" w:space="0" w:color="000000"/>
              <w:left w:val="single" w:sz="6" w:space="0" w:color="000000"/>
              <w:bottom w:val="nil" w:sz="6" w:space="0" w:color="auto"/>
              <w:right w:val="single" w:sz="18" w:space="0" w:color="000000"/>
            </w:tcBorders>
          </w:tcPr>
          <w:p>
            <w:pPr>
              <w:pStyle w:val="TableParagraph"/>
              <w:spacing w:line="240" w:lineRule="auto" w:before="45"/>
              <w:ind w:left="30" w:right="-61"/>
              <w:jc w:val="left"/>
              <w:rPr>
                <w:rFonts w:ascii="宋体" w:hAnsi="宋体" w:cs="宋体" w:eastAsia="宋体" w:hint="default"/>
                <w:sz w:val="18"/>
                <w:szCs w:val="18"/>
              </w:rPr>
            </w:pPr>
            <w:r>
              <w:rPr>
                <w:rFonts w:ascii="宋体" w:hAnsi="宋体" w:cs="宋体" w:eastAsia="宋体" w:hint="default"/>
                <w:spacing w:val="40"/>
                <w:sz w:val="18"/>
                <w:szCs w:val="18"/>
              </w:rPr>
              <w:t>关于同</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single" w:sz="6" w:space="0" w:color="000000"/>
              <w:left w:val="single" w:sz="18" w:space="0" w:color="000000"/>
              <w:bottom w:val="nil" w:sz="6" w:space="0" w:color="auto"/>
              <w:right w:val="single" w:sz="6" w:space="0" w:color="000000"/>
            </w:tcBorders>
          </w:tcPr>
          <w:p>
            <w:pPr>
              <w:pStyle w:val="TableParagraph"/>
              <w:spacing w:line="240" w:lineRule="auto" w:before="45"/>
              <w:ind w:right="32"/>
              <w:jc w:val="right"/>
              <w:rPr>
                <w:rFonts w:ascii="宋体" w:hAnsi="宋体" w:cs="宋体" w:eastAsia="宋体" w:hint="default"/>
                <w:sz w:val="18"/>
                <w:szCs w:val="18"/>
              </w:rPr>
            </w:pPr>
            <w:r>
              <w:rPr>
                <w:rFonts w:ascii="宋体" w:hAnsi="宋体" w:cs="宋体" w:eastAsia="宋体" w:hint="default"/>
                <w:sz w:val="18"/>
                <w:szCs w:val="18"/>
              </w:rPr>
              <w:t>为避免同业竞争，维护本公司的利益和保证公</w:t>
            </w:r>
          </w:p>
        </w:tc>
        <w:tc>
          <w:tcPr>
            <w:tcW w:w="5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2015</w:t>
            </w:r>
          </w:p>
        </w:tc>
        <w:tc>
          <w:tcPr>
            <w:tcW w:w="9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pacing w:val="-6"/>
                <w:sz w:val="18"/>
                <w:szCs w:val="18"/>
              </w:rPr>
              <w:t>报告期内，承</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业竞争</w:t>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28" w:lineRule="exact"/>
              <w:ind w:left="-166" w:right="32"/>
              <w:jc w:val="right"/>
              <w:rPr>
                <w:rFonts w:ascii="宋体" w:hAnsi="宋体" w:cs="宋体" w:eastAsia="宋体" w:hint="default"/>
                <w:sz w:val="18"/>
                <w:szCs w:val="18"/>
              </w:rPr>
            </w:pPr>
            <w:r>
              <w:rPr>
                <w:rFonts w:ascii="宋体" w:hAnsi="宋体" w:cs="宋体" w:eastAsia="宋体" w:hint="default"/>
                <w:sz w:val="18"/>
                <w:szCs w:val="18"/>
              </w:rPr>
              <w:t>、司的长期稳定发展，控股股东、实际控制人茅</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35" w:lineRule="exact"/>
              <w:ind w:left="30" w:right="-61"/>
              <w:jc w:val="left"/>
              <w:rPr>
                <w:rFonts w:ascii="宋体" w:hAnsi="宋体" w:cs="宋体" w:eastAsia="宋体" w:hint="default"/>
                <w:sz w:val="18"/>
                <w:szCs w:val="18"/>
              </w:rPr>
            </w:pPr>
            <w:r>
              <w:rPr>
                <w:rFonts w:ascii="宋体" w:hAnsi="宋体" w:cs="宋体" w:eastAsia="宋体" w:hint="default"/>
                <w:spacing w:val="40"/>
                <w:sz w:val="18"/>
                <w:szCs w:val="18"/>
              </w:rPr>
              <w:t>关联交</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17"/>
              <w:jc w:val="right"/>
              <w:rPr>
                <w:rFonts w:ascii="宋体" w:hAnsi="宋体" w:cs="宋体" w:eastAsia="宋体" w:hint="default"/>
                <w:sz w:val="18"/>
                <w:szCs w:val="18"/>
              </w:rPr>
            </w:pPr>
            <w:r>
              <w:rPr>
                <w:rFonts w:ascii="宋体" w:hAnsi="宋体" w:cs="宋体" w:eastAsia="宋体" w:hint="default"/>
                <w:sz w:val="18"/>
                <w:szCs w:val="18"/>
              </w:rPr>
              <w:t>庆江出具</w:t>
            </w:r>
            <w:r>
              <w:rPr>
                <w:rFonts w:ascii="宋体" w:hAnsi="宋体" w:cs="宋体" w:eastAsia="宋体" w:hint="default"/>
                <w:spacing w:val="-31"/>
                <w:sz w:val="18"/>
                <w:szCs w:val="18"/>
              </w:rPr>
              <w:t>了</w:t>
            </w:r>
            <w:r>
              <w:rPr>
                <w:rFonts w:ascii="宋体" w:hAnsi="宋体" w:cs="宋体" w:eastAsia="宋体" w:hint="default"/>
                <w:sz w:val="18"/>
                <w:szCs w:val="18"/>
              </w:rPr>
              <w:t>《关于避免同业竞争的承诺函</w:t>
            </w:r>
            <w:r>
              <w:rPr>
                <w:rFonts w:ascii="宋体" w:hAnsi="宋体" w:cs="宋体" w:eastAsia="宋体" w:hint="default"/>
                <w:spacing w:val="-90"/>
                <w:sz w:val="18"/>
                <w:szCs w:val="18"/>
              </w:rPr>
              <w:t>》</w:t>
            </w:r>
            <w:r>
              <w:rPr>
                <w:rFonts w:ascii="宋体" w:hAnsi="宋体" w:cs="宋体" w:eastAsia="宋体" w:hint="default"/>
                <w:spacing w:val="-31"/>
                <w:sz w:val="18"/>
                <w:szCs w:val="18"/>
              </w:rPr>
              <w:t>，</w:t>
            </w:r>
            <w:r>
              <w:rPr>
                <w:rFonts w:ascii="宋体" w:hAnsi="宋体" w:cs="宋体" w:eastAsia="宋体" w:hint="default"/>
                <w:sz w:val="18"/>
                <w:szCs w:val="18"/>
              </w:rPr>
              <w:t>承</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6"/>
                <w:sz w:val="18"/>
                <w:szCs w:val="18"/>
              </w:rPr>
              <w:t>守承诺，未发</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15"/>
                <w:sz w:val="18"/>
                <w:szCs w:val="18"/>
              </w:rPr>
              <w:t>易、资金</w:t>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4"/>
              <w:ind w:right="32"/>
              <w:jc w:val="righ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、截至本承诺函签署之日，本人未直接</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28" w:lineRule="exact"/>
              <w:ind w:left="30" w:right="-61"/>
              <w:jc w:val="left"/>
              <w:rPr>
                <w:rFonts w:ascii="宋体" w:hAnsi="宋体" w:cs="宋体" w:eastAsia="宋体" w:hint="default"/>
                <w:sz w:val="18"/>
                <w:szCs w:val="18"/>
              </w:rPr>
            </w:pPr>
            <w:r>
              <w:rPr>
                <w:rFonts w:ascii="宋体" w:hAnsi="宋体" w:cs="宋体" w:eastAsia="宋体" w:hint="default"/>
                <w:spacing w:val="40"/>
                <w:sz w:val="18"/>
                <w:szCs w:val="18"/>
              </w:rPr>
              <w:t>占用方</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28" w:lineRule="exact"/>
              <w:ind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14"/>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40" w:lineRule="auto" w:before="12"/>
              <w:ind w:left="30" w:right="-61"/>
              <w:jc w:val="left"/>
              <w:rPr>
                <w:rFonts w:ascii="宋体" w:hAnsi="宋体" w:cs="宋体" w:eastAsia="宋体" w:hint="default"/>
                <w:sz w:val="18"/>
                <w:szCs w:val="18"/>
              </w:rPr>
            </w:pPr>
            <w:r>
              <w:rPr>
                <w:rFonts w:ascii="宋体" w:hAnsi="宋体" w:cs="宋体" w:eastAsia="宋体" w:hint="default"/>
                <w:spacing w:val="40"/>
                <w:sz w:val="18"/>
                <w:szCs w:val="18"/>
              </w:rPr>
              <w:t>面的承</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2"/>
              <w:jc w:val="right"/>
              <w:rPr>
                <w:rFonts w:ascii="宋体" w:hAnsi="宋体" w:cs="宋体" w:eastAsia="宋体" w:hint="default"/>
                <w:sz w:val="18"/>
                <w:szCs w:val="18"/>
              </w:rPr>
            </w:pPr>
            <w:r>
              <w:rPr>
                <w:rFonts w:ascii="宋体" w:hAnsi="宋体" w:cs="宋体" w:eastAsia="宋体" w:hint="default"/>
                <w:sz w:val="18"/>
                <w:szCs w:val="18"/>
              </w:rPr>
              <w:t>股份、合伙份额，在其他企业担任董事、高级</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2"/>
              <w:jc w:val="right"/>
              <w:rPr>
                <w:rFonts w:ascii="宋体" w:hAnsi="宋体" w:cs="宋体" w:eastAsia="宋体" w:hint="default"/>
                <w:sz w:val="18"/>
                <w:szCs w:val="18"/>
              </w:rPr>
            </w:pPr>
            <w:r>
              <w:rPr>
                <w:rFonts w:ascii="宋体" w:hAnsi="宋体" w:cs="宋体" w:eastAsia="宋体" w:hint="default"/>
                <w:sz w:val="18"/>
                <w:szCs w:val="18"/>
              </w:rPr>
              <w:t>管理人员）与浩云科技及其子公司经营的业务</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14"/>
              <w:jc w:val="right"/>
              <w:rPr>
                <w:rFonts w:ascii="宋体" w:hAnsi="宋体" w:cs="宋体" w:eastAsia="宋体" w:hint="default"/>
                <w:sz w:val="18"/>
                <w:szCs w:val="18"/>
              </w:rPr>
            </w:pPr>
            <w:r>
              <w:rPr>
                <w:rFonts w:ascii="宋体" w:hAnsi="宋体" w:cs="宋体" w:eastAsia="宋体" w:hint="default"/>
                <w:spacing w:val="-3"/>
                <w:sz w:val="18"/>
                <w:szCs w:val="18"/>
              </w:rPr>
              <w:t>构成竞争或可能构成竞争的业务。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、自本承诺</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296"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32"/>
              <w:jc w:val="right"/>
              <w:rPr>
                <w:rFonts w:ascii="宋体" w:hAnsi="宋体" w:cs="宋体" w:eastAsia="宋体" w:hint="default"/>
                <w:sz w:val="18"/>
                <w:szCs w:val="18"/>
              </w:rPr>
            </w:pPr>
            <w:r>
              <w:rPr>
                <w:rFonts w:ascii="宋体" w:hAnsi="宋体" w:cs="宋体" w:eastAsia="宋体" w:hint="default"/>
                <w:sz w:val="18"/>
                <w:szCs w:val="18"/>
              </w:rPr>
              <w:t>函签署之日起，本人将不直接或间接经营（包</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32"/>
              <w:jc w:val="right"/>
              <w:rPr>
                <w:rFonts w:ascii="宋体" w:hAnsi="宋体" w:cs="宋体" w:eastAsia="宋体" w:hint="default"/>
                <w:sz w:val="18"/>
                <w:szCs w:val="18"/>
              </w:rPr>
            </w:pPr>
            <w:r>
              <w:rPr>
                <w:rFonts w:ascii="宋体" w:hAnsi="宋体" w:cs="宋体" w:eastAsia="宋体" w:hint="default"/>
                <w:sz w:val="18"/>
                <w:szCs w:val="18"/>
              </w:rPr>
              <w:t>括但不限于持有其他企业股权、股份、合伙份</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2"/>
              <w:jc w:val="right"/>
              <w:rPr>
                <w:rFonts w:ascii="宋体" w:hAnsi="宋体" w:cs="宋体" w:eastAsia="宋体" w:hint="default"/>
                <w:sz w:val="18"/>
                <w:szCs w:val="18"/>
              </w:rPr>
            </w:pPr>
            <w:r>
              <w:rPr>
                <w:rFonts w:ascii="宋体" w:hAnsi="宋体" w:cs="宋体" w:eastAsia="宋体" w:hint="default"/>
                <w:sz w:val="18"/>
                <w:szCs w:val="18"/>
              </w:rPr>
              <w:t>额，在其他企业担任董事、高级管理人员）与</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2"/>
              <w:jc w:val="right"/>
              <w:rPr>
                <w:rFonts w:ascii="宋体" w:hAnsi="宋体" w:cs="宋体" w:eastAsia="宋体" w:hint="default"/>
                <w:sz w:val="18"/>
                <w:szCs w:val="18"/>
              </w:rPr>
            </w:pPr>
            <w:r>
              <w:rPr>
                <w:rFonts w:ascii="宋体" w:hAnsi="宋体" w:cs="宋体" w:eastAsia="宋体" w:hint="default"/>
                <w:sz w:val="18"/>
                <w:szCs w:val="18"/>
              </w:rPr>
              <w:t>浩云科技及其子公司目前及未来经营的业务构</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14"/>
              <w:jc w:val="right"/>
              <w:rPr>
                <w:rFonts w:ascii="宋体" w:hAnsi="宋体" w:cs="宋体" w:eastAsia="宋体" w:hint="default"/>
                <w:sz w:val="18"/>
                <w:szCs w:val="18"/>
              </w:rPr>
            </w:pPr>
            <w:r>
              <w:rPr>
                <w:rFonts w:ascii="宋体" w:hAnsi="宋体" w:cs="宋体" w:eastAsia="宋体" w:hint="default"/>
                <w:spacing w:val="-3"/>
                <w:sz w:val="18"/>
                <w:szCs w:val="18"/>
              </w:rPr>
              <w:t>成竞争或可能构成竞争的业务。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、自本承诺函</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签署之日起，凡本人有任何商业机会可从事、</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4"/>
              <w:ind w:right="32"/>
              <w:jc w:val="right"/>
              <w:rPr>
                <w:rFonts w:ascii="宋体" w:hAnsi="宋体" w:cs="宋体" w:eastAsia="宋体" w:hint="default"/>
                <w:sz w:val="18"/>
                <w:szCs w:val="18"/>
              </w:rPr>
            </w:pPr>
            <w:r>
              <w:rPr>
                <w:rFonts w:ascii="宋体" w:hAnsi="宋体" w:cs="宋体" w:eastAsia="宋体" w:hint="default"/>
                <w:sz w:val="18"/>
                <w:szCs w:val="18"/>
              </w:rPr>
              <w:t>参与或投资可能会与浩云科技及其子公司目前</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0"/>
              <w:jc w:val="right"/>
              <w:rPr>
                <w:rFonts w:ascii="宋体" w:hAnsi="宋体" w:cs="宋体" w:eastAsia="宋体" w:hint="default"/>
                <w:sz w:val="18"/>
                <w:szCs w:val="18"/>
              </w:rPr>
            </w:pPr>
            <w:r>
              <w:rPr>
                <w:rFonts w:ascii="宋体" w:hAnsi="宋体" w:cs="宋体" w:eastAsia="宋体" w:hint="default"/>
                <w:sz w:val="18"/>
                <w:szCs w:val="18"/>
              </w:rPr>
              <w:t>及未来的主营业务构成竞争的业务，本人会将</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14"/>
              <w:jc w:val="right"/>
              <w:rPr>
                <w:rFonts w:ascii="宋体" w:hAnsi="宋体" w:cs="宋体" w:eastAsia="宋体" w:hint="default"/>
                <w:sz w:val="18"/>
                <w:szCs w:val="18"/>
              </w:rPr>
            </w:pPr>
            <w:r>
              <w:rPr>
                <w:rFonts w:ascii="宋体" w:hAnsi="宋体" w:cs="宋体" w:eastAsia="宋体" w:hint="default"/>
                <w:spacing w:val="-3"/>
                <w:sz w:val="18"/>
                <w:szCs w:val="18"/>
              </w:rPr>
              <w:t>该等商业机会让予浩云科技。</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、本人将促使本</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6"/>
              <w:jc w:val="right"/>
              <w:rPr>
                <w:rFonts w:ascii="宋体" w:hAnsi="宋体" w:cs="宋体" w:eastAsia="宋体" w:hint="default"/>
                <w:sz w:val="18"/>
                <w:szCs w:val="18"/>
              </w:rPr>
            </w:pPr>
            <w:r>
              <w:rPr>
                <w:rFonts w:ascii="宋体" w:hAnsi="宋体" w:cs="宋体" w:eastAsia="宋体" w:hint="default"/>
                <w:spacing w:val="11"/>
                <w:sz w:val="18"/>
                <w:szCs w:val="18"/>
              </w:rPr>
              <w:t>人直接或间接控制的其他经济实体遵守上述</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项承诺</w:t>
            </w:r>
            <w:r>
              <w:rPr>
                <w:rFonts w:ascii="宋体" w:hAnsi="宋体" w:cs="宋体" w:eastAsia="宋体" w:hint="default"/>
                <w:spacing w:val="-76"/>
                <w:sz w:val="18"/>
                <w:szCs w:val="18"/>
              </w:rPr>
              <w:t>。</w:t>
            </w:r>
            <w:r>
              <w:rPr>
                <w:rFonts w:ascii="宋体" w:hAnsi="宋体" w:cs="宋体" w:eastAsia="宋体" w:hint="default"/>
                <w:sz w:val="18"/>
                <w:szCs w:val="18"/>
              </w:rPr>
              <w:t>如本人或本人直接或间接控制的其</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28" w:lineRule="exact"/>
              <w:ind w:right="32"/>
              <w:jc w:val="right"/>
              <w:rPr>
                <w:rFonts w:ascii="宋体" w:hAnsi="宋体" w:cs="宋体" w:eastAsia="宋体" w:hint="default"/>
                <w:sz w:val="18"/>
                <w:szCs w:val="18"/>
              </w:rPr>
            </w:pPr>
            <w:r>
              <w:rPr>
                <w:rFonts w:ascii="宋体" w:hAnsi="宋体" w:cs="宋体" w:eastAsia="宋体" w:hint="default"/>
                <w:sz w:val="18"/>
                <w:szCs w:val="18"/>
              </w:rPr>
              <w:t>他经济实体未履行上述承诺而给浩云科技造成</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72"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18" w:space="0" w:color="000000"/>
            </w:tcBorders>
          </w:tcPr>
          <w:p>
            <w:pPr/>
          </w:p>
        </w:tc>
        <w:tc>
          <w:tcPr>
            <w:tcW w:w="3680" w:type="dxa"/>
            <w:tcBorders>
              <w:top w:val="nil" w:sz="6" w:space="0" w:color="auto"/>
              <w:left w:val="single" w:sz="18" w:space="0" w:color="000000"/>
              <w:bottom w:val="single" w:sz="6" w:space="0" w:color="000000"/>
              <w:right w:val="single" w:sz="6" w:space="0" w:color="000000"/>
            </w:tcBorders>
          </w:tcPr>
          <w:p>
            <w:pPr>
              <w:pStyle w:val="TableParagraph"/>
              <w:spacing w:line="240" w:lineRule="auto" w:before="19"/>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经济损失，本人将承担相应的赔偿责任。</w:t>
            </w:r>
            <w:r>
              <w:rPr>
                <w:rFonts w:ascii="Times New Roman" w:hAnsi="Times New Roman" w:cs="Times New Roman" w:eastAsia="Times New Roman" w:hint="default"/>
                <w:sz w:val="18"/>
                <w:szCs w:val="18"/>
              </w:rPr>
              <w:t>"</w:t>
            </w:r>
          </w:p>
        </w:tc>
        <w:tc>
          <w:tcPr>
            <w:tcW w:w="571"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1111" w:type="dxa"/>
            <w:tcBorders>
              <w:top w:val="nil" w:sz="6" w:space="0" w:color="auto"/>
              <w:left w:val="single" w:sz="6" w:space="0" w:color="000000"/>
              <w:bottom w:val="single" w:sz="6" w:space="0" w:color="000000"/>
              <w:right w:val="single" w:sz="6" w:space="0" w:color="000000"/>
            </w:tcBorders>
          </w:tcPr>
          <w:p>
            <w:pPr/>
          </w:p>
        </w:tc>
      </w:tr>
      <w:tr>
        <w:trPr>
          <w:trHeight w:val="353" w:hRule="exact"/>
        </w:trPr>
        <w:tc>
          <w:tcPr>
            <w:tcW w:w="1426"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nil" w:sz="6" w:space="0" w:color="auto"/>
              <w:right w:val="single" w:sz="18" w:space="0" w:color="FFFFFF"/>
            </w:tcBorders>
          </w:tcPr>
          <w:p>
            <w:pPr>
              <w:pStyle w:val="TableParagraph"/>
              <w:spacing w:line="240" w:lineRule="auto" w:before="44"/>
              <w:ind w:left="15" w:right="-6"/>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陈翩</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段汉文</w:t>
            </w:r>
            <w:r>
              <w:rPr>
                <w:rFonts w:ascii="Times New Roman" w:hAnsi="Times New Roman" w:cs="Times New Roman" w:eastAsia="Times New Roman" w:hint="default"/>
                <w:spacing w:val="12"/>
                <w:sz w:val="18"/>
                <w:szCs w:val="18"/>
              </w:rPr>
              <w:t>;</w:t>
            </w:r>
          </w:p>
        </w:tc>
        <w:tc>
          <w:tcPr>
            <w:tcW w:w="721" w:type="dxa"/>
            <w:tcBorders>
              <w:top w:val="single" w:sz="6" w:space="0" w:color="000000"/>
              <w:left w:val="single" w:sz="18" w:space="0" w:color="FFFFFF"/>
              <w:bottom w:val="nil" w:sz="6" w:space="0" w:color="auto"/>
              <w:right w:val="single" w:sz="18" w:space="0" w:color="000000"/>
            </w:tcBorders>
          </w:tcPr>
          <w:p>
            <w:pPr>
              <w:pStyle w:val="TableParagraph"/>
              <w:spacing w:line="240" w:lineRule="auto" w:before="29"/>
              <w:ind w:left="15" w:right="-61"/>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r>
          </w:p>
        </w:tc>
        <w:tc>
          <w:tcPr>
            <w:tcW w:w="3680" w:type="dxa"/>
            <w:tcBorders>
              <w:top w:val="single" w:sz="6" w:space="0" w:color="000000"/>
              <w:left w:val="single" w:sz="18" w:space="0" w:color="000000"/>
              <w:bottom w:val="nil" w:sz="6" w:space="0" w:color="auto"/>
              <w:right w:val="single" w:sz="18" w:space="0" w:color="FFFFFF"/>
            </w:tcBorders>
          </w:tcPr>
          <w:p>
            <w:pPr>
              <w:pStyle w:val="TableParagraph"/>
              <w:spacing w:line="240" w:lineRule="auto" w:before="29"/>
              <w:ind w:right="14"/>
              <w:jc w:val="right"/>
              <w:rPr>
                <w:rFonts w:ascii="宋体" w:hAnsi="宋体" w:cs="宋体" w:eastAsia="宋体" w:hint="default"/>
                <w:sz w:val="18"/>
                <w:szCs w:val="18"/>
              </w:rPr>
            </w:pPr>
            <w:r>
              <w:rPr>
                <w:rFonts w:ascii="宋体" w:hAnsi="宋体" w:cs="宋体" w:eastAsia="宋体" w:hint="default"/>
                <w:sz w:val="18"/>
                <w:szCs w:val="18"/>
              </w:rPr>
              <w:t>关于未能履行承诺的约束措施 </w:t>
            </w:r>
            <w:r>
              <w:rPr>
                <w:rFonts w:ascii="宋体" w:hAnsi="宋体" w:cs="宋体" w:eastAsia="宋体" w:hint="default"/>
                <w:spacing w:val="18"/>
                <w:sz w:val="18"/>
                <w:szCs w:val="18"/>
              </w:rPr>
              <w:t> </w:t>
            </w:r>
            <w:r>
              <w:rPr>
                <w:rFonts w:ascii="宋体" w:hAnsi="宋体" w:cs="宋体" w:eastAsia="宋体" w:hint="default"/>
                <w:sz w:val="18"/>
                <w:szCs w:val="18"/>
              </w:rPr>
              <w:t>公司及其控股</w:t>
            </w:r>
          </w:p>
        </w:tc>
        <w:tc>
          <w:tcPr>
            <w:tcW w:w="571" w:type="dxa"/>
            <w:tcBorders>
              <w:top w:val="single" w:sz="6" w:space="0" w:color="000000"/>
              <w:left w:val="single" w:sz="18" w:space="0" w:color="FFFFFF"/>
              <w:bottom w:val="nil" w:sz="6" w:space="0" w:color="auto"/>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2015</w:t>
            </w:r>
          </w:p>
        </w:tc>
        <w:tc>
          <w:tcPr>
            <w:tcW w:w="9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pacing w:val="-6"/>
                <w:sz w:val="18"/>
                <w:szCs w:val="18"/>
              </w:rPr>
              <w:t>报告期内，承</w:t>
            </w: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18" w:space="0" w:color="FFFFFF"/>
            </w:tcBorders>
          </w:tcPr>
          <w:p>
            <w:pPr>
              <w:pStyle w:val="TableParagraph"/>
              <w:spacing w:line="240" w:lineRule="auto" w:before="14"/>
              <w:ind w:left="15" w:right="-46"/>
              <w:jc w:val="left"/>
              <w:rPr>
                <w:rFonts w:ascii="宋体" w:hAnsi="宋体" w:cs="宋体" w:eastAsia="宋体" w:hint="default"/>
                <w:sz w:val="18"/>
                <w:szCs w:val="18"/>
              </w:rPr>
            </w:pPr>
            <w:r>
              <w:rPr>
                <w:rFonts w:ascii="宋体" w:hAnsi="宋体" w:cs="宋体" w:eastAsia="宋体" w:hint="default"/>
                <w:spacing w:val="20"/>
                <w:sz w:val="18"/>
                <w:szCs w:val="18"/>
              </w:rPr>
              <w:t>高传江</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广州</w:t>
            </w:r>
            <w:r>
              <w:rPr>
                <w:rFonts w:ascii="宋体" w:hAnsi="宋体" w:cs="宋体" w:eastAsia="宋体" w:hint="default"/>
                <w:spacing w:val="-60"/>
                <w:sz w:val="18"/>
                <w:szCs w:val="18"/>
              </w:rPr>
              <w:t> </w:t>
            </w:r>
            <w:r>
              <w:rPr>
                <w:rFonts w:ascii="宋体" w:hAnsi="宋体" w:cs="宋体" w:eastAsia="宋体" w:hint="default"/>
                <w:sz w:val="18"/>
                <w:szCs w:val="18"/>
              </w:rPr>
            </w:r>
          </w:p>
        </w:tc>
        <w:tc>
          <w:tcPr>
            <w:tcW w:w="721" w:type="dxa"/>
            <w:tcBorders>
              <w:top w:val="nil" w:sz="6" w:space="0" w:color="auto"/>
              <w:left w:val="single" w:sz="18" w:space="0" w:color="FFFFFF"/>
              <w:bottom w:val="nil" w:sz="6" w:space="0" w:color="auto"/>
              <w:right w:val="single" w:sz="18"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16"/>
              <w:jc w:val="right"/>
              <w:rPr>
                <w:rFonts w:ascii="宋体" w:hAnsi="宋体" w:cs="宋体" w:eastAsia="宋体" w:hint="default"/>
                <w:sz w:val="18"/>
                <w:szCs w:val="18"/>
              </w:rPr>
            </w:pPr>
            <w:r>
              <w:rPr>
                <w:rFonts w:ascii="宋体" w:hAnsi="宋体" w:cs="宋体" w:eastAsia="宋体" w:hint="default"/>
                <w:sz w:val="18"/>
                <w:szCs w:val="18"/>
              </w:rPr>
              <w:t>股东、实际控制人茅庆江，全体董事、监事、</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14"/>
              <w:ind w:right="13"/>
              <w:jc w:val="righ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5" w:right="-31"/>
              <w:jc w:val="left"/>
              <w:rPr>
                <w:rFonts w:ascii="宋体" w:hAnsi="宋体" w:cs="宋体" w:eastAsia="宋体" w:hint="default"/>
                <w:sz w:val="18"/>
                <w:szCs w:val="18"/>
              </w:rPr>
            </w:pPr>
            <w:r>
              <w:rPr>
                <w:rFonts w:ascii="宋体" w:hAnsi="宋体" w:cs="宋体" w:eastAsia="宋体" w:hint="default"/>
                <w:spacing w:val="36"/>
                <w:sz w:val="18"/>
                <w:szCs w:val="18"/>
              </w:rPr>
              <w:t>市浩云安防</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35" w:lineRule="exact"/>
              <w:ind w:right="77"/>
              <w:jc w:val="right"/>
              <w:rPr>
                <w:rFonts w:ascii="宋体" w:hAnsi="宋体" w:cs="宋体" w:eastAsia="宋体" w:hint="default"/>
                <w:sz w:val="18"/>
                <w:szCs w:val="18"/>
              </w:rPr>
            </w:pPr>
            <w:r>
              <w:rPr>
                <w:rFonts w:ascii="宋体" w:hAnsi="宋体" w:cs="宋体" w:eastAsia="宋体" w:hint="default"/>
                <w:spacing w:val="-3"/>
                <w:sz w:val="18"/>
                <w:szCs w:val="18"/>
              </w:rPr>
              <w:t>高级管理人员茅庆江、雷洪文、张勇、王朝曦</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40" w:lineRule="auto" w:before="4"/>
              <w:ind w:left="-3" w:right="13"/>
              <w:jc w:val="right"/>
              <w:rPr>
                <w:rFonts w:ascii="Times New Roman" w:hAnsi="Times New Roman" w:cs="Times New Roman" w:eastAsia="Times New Roman" w:hint="default"/>
                <w:sz w:val="18"/>
                <w:szCs w:val="18"/>
              </w:rPr>
            </w:pPr>
            <w:r>
              <w:rPr>
                <w:rFonts w:ascii="宋体" w:hAnsi="宋体" w:cs="宋体" w:eastAsia="宋体" w:hint="default"/>
                <w:spacing w:val="-163"/>
                <w:position w:val="1"/>
                <w:sz w:val="18"/>
                <w:szCs w:val="18"/>
              </w:rPr>
              <w:t>、</w:t>
            </w:r>
            <w:r>
              <w:rPr>
                <w:rFonts w:ascii="宋体" w:hAnsi="宋体" w:cs="宋体" w:eastAsia="宋体" w:hint="default"/>
                <w:sz w:val="18"/>
                <w:szCs w:val="18"/>
              </w:rPr>
              <w:t>月 </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24</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pacing w:val="-6"/>
                <w:sz w:val="18"/>
                <w:szCs w:val="18"/>
              </w:rPr>
              <w:t>守承诺，未发</w:t>
            </w:r>
          </w:p>
        </w:tc>
      </w:tr>
      <w:tr>
        <w:trPr>
          <w:trHeight w:val="29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5" w:right="-31"/>
              <w:jc w:val="left"/>
              <w:rPr>
                <w:rFonts w:ascii="宋体" w:hAnsi="宋体" w:cs="宋体" w:eastAsia="宋体" w:hint="default"/>
                <w:sz w:val="18"/>
                <w:szCs w:val="18"/>
              </w:rPr>
            </w:pPr>
            <w:r>
              <w:rPr>
                <w:rFonts w:ascii="宋体" w:hAnsi="宋体" w:cs="宋体" w:eastAsia="宋体" w:hint="default"/>
                <w:spacing w:val="36"/>
                <w:sz w:val="18"/>
                <w:szCs w:val="18"/>
              </w:rPr>
              <w:t>科技股份有</w:t>
            </w:r>
            <w:r>
              <w:rPr>
                <w:rFonts w:ascii="宋体" w:hAnsi="宋体" w:cs="宋体" w:eastAsia="宋体" w:hint="default"/>
                <w:spacing w:val="-45"/>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28" w:lineRule="exact"/>
              <w:ind w:right="17"/>
              <w:jc w:val="right"/>
              <w:rPr>
                <w:rFonts w:ascii="宋体" w:hAnsi="宋体" w:cs="宋体" w:eastAsia="宋体" w:hint="default"/>
                <w:sz w:val="18"/>
                <w:szCs w:val="18"/>
              </w:rPr>
            </w:pPr>
            <w:r>
              <w:rPr>
                <w:rFonts w:ascii="宋体" w:hAnsi="宋体" w:cs="宋体" w:eastAsia="宋体" w:hint="default"/>
                <w:sz w:val="18"/>
                <w:szCs w:val="18"/>
              </w:rPr>
              <w:t>秦家银、袁小康、徐彪、茅屏萍、龙中胜、段</w:t>
            </w:r>
          </w:p>
        </w:tc>
        <w:tc>
          <w:tcPr>
            <w:tcW w:w="571" w:type="dxa"/>
            <w:tcBorders>
              <w:top w:val="nil" w:sz="6" w:space="0" w:color="auto"/>
              <w:left w:val="single" w:sz="18" w:space="0" w:color="FFFFFF"/>
              <w:bottom w:val="nil" w:sz="6" w:space="0" w:color="auto"/>
              <w:right w:val="single" w:sz="6"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p>
        </w:tc>
      </w:tr>
      <w:tr>
        <w:trPr>
          <w:trHeight w:val="32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31"/>
              <w:jc w:val="left"/>
              <w:rPr>
                <w:rFonts w:ascii="宋体" w:hAnsi="宋体" w:cs="宋体" w:eastAsia="宋体" w:hint="default"/>
                <w:sz w:val="18"/>
                <w:szCs w:val="18"/>
              </w:rPr>
            </w:pPr>
            <w:r>
              <w:rPr>
                <w:rFonts w:ascii="宋体" w:hAnsi="宋体" w:cs="宋体" w:eastAsia="宋体" w:hint="default"/>
                <w:spacing w:val="20"/>
                <w:sz w:val="18"/>
                <w:szCs w:val="18"/>
              </w:rPr>
              <w:t>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雷洪</w:t>
            </w:r>
            <w:r>
              <w:rPr>
                <w:rFonts w:ascii="宋体" w:hAnsi="宋体" w:cs="宋体" w:eastAsia="宋体" w:hint="default"/>
                <w:spacing w:val="-60"/>
                <w:sz w:val="18"/>
                <w:szCs w:val="18"/>
              </w:rPr>
              <w:t> </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18" w:space="0" w:color="FFFFFF"/>
            </w:tcBorders>
          </w:tcPr>
          <w:p>
            <w:pPr>
              <w:pStyle w:val="TableParagraph"/>
              <w:spacing w:line="240" w:lineRule="auto" w:before="12"/>
              <w:ind w:right="17"/>
              <w:jc w:val="right"/>
              <w:rPr>
                <w:rFonts w:ascii="宋体" w:hAnsi="宋体" w:cs="宋体" w:eastAsia="宋体" w:hint="default"/>
                <w:sz w:val="18"/>
                <w:szCs w:val="18"/>
              </w:rPr>
            </w:pPr>
            <w:r>
              <w:rPr>
                <w:rFonts w:ascii="宋体" w:hAnsi="宋体" w:cs="宋体" w:eastAsia="宋体" w:hint="default"/>
                <w:sz w:val="18"/>
                <w:szCs w:val="18"/>
              </w:rPr>
              <w:t>汉文、陈翩承诺：公司如若不能履行《招股说</w:t>
            </w:r>
          </w:p>
        </w:tc>
        <w:tc>
          <w:tcPr>
            <w:tcW w:w="571" w:type="dxa"/>
            <w:tcBorders>
              <w:top w:val="nil" w:sz="6" w:space="0" w:color="auto"/>
              <w:left w:val="single" w:sz="18" w:space="0" w:color="FFFFFF"/>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14"/>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2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13"/>
                <w:sz w:val="18"/>
                <w:szCs w:val="18"/>
              </w:rPr>
              <w:t>文</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龙罡</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龙中</w:t>
            </w:r>
            <w:r>
              <w:rPr>
                <w:rFonts w:ascii="宋体" w:hAnsi="宋体" w:cs="宋体" w:eastAsia="宋体" w:hint="default"/>
                <w:sz w:val="18"/>
                <w:szCs w:val="18"/>
              </w:rPr>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pacing w:val="-4"/>
                <w:sz w:val="18"/>
                <w:szCs w:val="18"/>
              </w:rPr>
              <w:t>明书》中列明的承诺，</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11"/>
                <w:sz w:val="18"/>
                <w:szCs w:val="18"/>
              </w:rPr>
              <w:t>胜</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茅屏萍</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）在有关监管机关要求的期限内予以纠正</w:t>
            </w:r>
          </w:p>
        </w:tc>
        <w:tc>
          <w:tcPr>
            <w:tcW w:w="57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庆江</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秦家银</w:t>
            </w:r>
            <w:r>
              <w:rPr>
                <w:rFonts w:ascii="Times New Roman" w:hAnsi="Times New Roman" w:cs="Times New Roman" w:eastAsia="Times New Roman" w:hint="default"/>
                <w:spacing w:val="12"/>
                <w:sz w:val="18"/>
                <w:szCs w:val="18"/>
              </w:rPr>
              <w:t>;</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给投资者造成直接损失的，</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0"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王朝曦</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徐彪</w:t>
            </w:r>
            <w:r>
              <w:rPr>
                <w:rFonts w:ascii="Times New Roman" w:hAnsi="Times New Roman" w:cs="Times New Roman" w:eastAsia="Times New Roman" w:hint="default"/>
                <w:spacing w:val="12"/>
                <w:sz w:val="18"/>
                <w:szCs w:val="18"/>
              </w:rPr>
              <w:t>;</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9" w:lineRule="exact"/>
              <w:ind w:right="8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45"/>
                <w:sz w:val="18"/>
                <w:szCs w:val="18"/>
              </w:rPr>
              <w:t>）</w:t>
            </w:r>
            <w:r>
              <w:rPr>
                <w:rFonts w:ascii="宋体" w:hAnsi="宋体" w:cs="宋体" w:eastAsia="宋体" w:hint="default"/>
                <w:sz w:val="18"/>
                <w:szCs w:val="18"/>
              </w:rPr>
              <w:t>有违法所得的</w:t>
            </w:r>
            <w:r>
              <w:rPr>
                <w:rFonts w:ascii="宋体" w:hAnsi="宋体" w:cs="宋体" w:eastAsia="宋体" w:hint="default"/>
                <w:spacing w:val="-45"/>
                <w:sz w:val="18"/>
                <w:szCs w:val="18"/>
              </w:rPr>
              <w:t>，</w:t>
            </w:r>
            <w:r>
              <w:rPr>
                <w:rFonts w:ascii="宋体" w:hAnsi="宋体" w:cs="宋体" w:eastAsia="宋体" w:hint="default"/>
                <w:sz w:val="18"/>
                <w:szCs w:val="18"/>
              </w:rPr>
              <w:t>按相关法律法规处理</w:t>
            </w:r>
            <w:r>
              <w:rPr>
                <w:rFonts w:ascii="宋体" w:hAnsi="宋体" w:cs="宋体" w:eastAsia="宋体" w:hint="default"/>
                <w:spacing w:val="-135"/>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z w:val="18"/>
                <w:szCs w:val="18"/>
              </w:rPr>
              <w:t>4</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袁小康</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张勇</w:t>
            </w:r>
            <w:r>
              <w:rPr>
                <w:rFonts w:ascii="Times New Roman" w:hAnsi="Times New Roman" w:cs="Times New Roman" w:eastAsia="Times New Roman" w:hint="default"/>
                <w:spacing w:val="12"/>
                <w:sz w:val="18"/>
                <w:szCs w:val="18"/>
              </w:rPr>
              <w:t>;</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32"/>
              <w:jc w:val="right"/>
              <w:rPr>
                <w:rFonts w:ascii="宋体" w:hAnsi="宋体" w:cs="宋体" w:eastAsia="宋体" w:hint="default"/>
                <w:sz w:val="18"/>
                <w:szCs w:val="18"/>
              </w:rPr>
            </w:pPr>
            <w:r>
              <w:rPr>
                <w:rFonts w:ascii="宋体" w:hAnsi="宋体" w:cs="宋体" w:eastAsia="宋体" w:hint="default"/>
                <w:sz w:val="18"/>
                <w:szCs w:val="18"/>
              </w:rPr>
              <w:t>如该违反的承诺属可以继续履行的，将继续履</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郑盛泰</w:t>
            </w: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5"/>
              <w:ind w:right="31"/>
              <w:jc w:val="right"/>
              <w:rPr>
                <w:rFonts w:ascii="宋体" w:hAnsi="宋体" w:cs="宋体" w:eastAsia="宋体" w:hint="default"/>
                <w:sz w:val="18"/>
                <w:szCs w:val="18"/>
              </w:rPr>
            </w:pPr>
            <w:r>
              <w:rPr>
                <w:rFonts w:ascii="宋体" w:hAnsi="宋体" w:cs="宋体" w:eastAsia="宋体" w:hint="default"/>
                <w:sz w:val="18"/>
                <w:szCs w:val="18"/>
              </w:rPr>
              <w:t>行该承诺</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）其他根据届</w:t>
            </w:r>
            <w:r>
              <w:rPr>
                <w:rFonts w:ascii="宋体" w:hAnsi="宋体" w:cs="宋体" w:eastAsia="宋体" w:hint="default"/>
                <w:spacing w:val="14"/>
                <w:sz w:val="18"/>
                <w:szCs w:val="18"/>
              </w:rPr>
              <w:t>时</w:t>
            </w:r>
            <w:r>
              <w:rPr>
                <w:rFonts w:ascii="宋体" w:hAnsi="宋体" w:cs="宋体" w:eastAsia="宋体" w:hint="default"/>
                <w:sz w:val="18"/>
                <w:szCs w:val="18"/>
              </w:rPr>
              <w:t>规定可以采取的</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3"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35" w:lineRule="exact"/>
              <w:ind w:right="32"/>
              <w:jc w:val="right"/>
              <w:rPr>
                <w:rFonts w:ascii="宋体" w:hAnsi="宋体" w:cs="宋体" w:eastAsia="宋体" w:hint="default"/>
                <w:sz w:val="18"/>
                <w:szCs w:val="18"/>
              </w:rPr>
            </w:pPr>
            <w:r>
              <w:rPr>
                <w:rFonts w:ascii="宋体" w:hAnsi="宋体" w:cs="宋体" w:eastAsia="宋体" w:hint="default"/>
                <w:sz w:val="18"/>
                <w:szCs w:val="18"/>
              </w:rPr>
              <w:t>其他措施。公司董事、监事、高级管理人员承</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1426" w:type="dxa"/>
            <w:vMerge/>
            <w:tcBorders>
              <w:left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nil" w:sz="6" w:space="0" w:color="auto"/>
              <w:right w:val="single" w:sz="6" w:space="0" w:color="000000"/>
            </w:tcBorders>
          </w:tcPr>
          <w:p>
            <w:pPr/>
          </w:p>
        </w:tc>
        <w:tc>
          <w:tcPr>
            <w:tcW w:w="721" w:type="dxa"/>
            <w:tcBorders>
              <w:top w:val="nil" w:sz="6" w:space="0" w:color="auto"/>
              <w:left w:val="single" w:sz="6" w:space="0" w:color="000000"/>
              <w:bottom w:val="nil" w:sz="6" w:space="0" w:color="auto"/>
              <w:right w:val="single" w:sz="18" w:space="0" w:color="000000"/>
            </w:tcBorders>
          </w:tcPr>
          <w:p>
            <w:pPr/>
          </w:p>
        </w:tc>
        <w:tc>
          <w:tcPr>
            <w:tcW w:w="3680" w:type="dxa"/>
            <w:tcBorders>
              <w:top w:val="nil" w:sz="6" w:space="0" w:color="auto"/>
              <w:left w:val="single" w:sz="18" w:space="0" w:color="000000"/>
              <w:bottom w:val="nil" w:sz="6" w:space="0" w:color="auto"/>
              <w:right w:val="single" w:sz="6" w:space="0" w:color="000000"/>
            </w:tcBorders>
          </w:tcPr>
          <w:p>
            <w:pPr>
              <w:pStyle w:val="TableParagraph"/>
              <w:spacing w:line="240" w:lineRule="auto" w:before="12"/>
              <w:ind w:right="32"/>
              <w:jc w:val="right"/>
              <w:rPr>
                <w:rFonts w:ascii="宋体" w:hAnsi="宋体" w:cs="宋体" w:eastAsia="宋体" w:hint="default"/>
                <w:sz w:val="18"/>
                <w:szCs w:val="18"/>
              </w:rPr>
            </w:pPr>
            <w:r>
              <w:rPr>
                <w:rFonts w:ascii="宋体" w:hAnsi="宋体" w:cs="宋体" w:eastAsia="宋体" w:hint="default"/>
                <w:sz w:val="18"/>
                <w:szCs w:val="18"/>
              </w:rPr>
              <w:t>诺不因职务变更、离职等原因而放弃履行已作</w:t>
            </w:r>
          </w:p>
        </w:tc>
        <w:tc>
          <w:tcPr>
            <w:tcW w:w="571"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111" w:type="dxa"/>
            <w:tcBorders>
              <w:top w:val="nil" w:sz="6" w:space="0" w:color="auto"/>
              <w:left w:val="single" w:sz="6" w:space="0" w:color="000000"/>
              <w:bottom w:val="nil" w:sz="6" w:space="0" w:color="auto"/>
              <w:right w:val="single" w:sz="6" w:space="0" w:color="000000"/>
            </w:tcBorders>
          </w:tcPr>
          <w:p>
            <w:pPr/>
          </w:p>
        </w:tc>
      </w:tr>
      <w:tr>
        <w:trPr>
          <w:trHeight w:val="373"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nil" w:sz="6" w:space="0" w:color="auto"/>
              <w:left w:val="single" w:sz="6" w:space="0" w:color="000000"/>
              <w:bottom w:val="single" w:sz="6" w:space="0" w:color="000000"/>
              <w:right w:val="single" w:sz="6" w:space="0" w:color="000000"/>
            </w:tcBorders>
          </w:tcPr>
          <w:p>
            <w:pPr/>
          </w:p>
        </w:tc>
        <w:tc>
          <w:tcPr>
            <w:tcW w:w="721" w:type="dxa"/>
            <w:tcBorders>
              <w:top w:val="nil" w:sz="6" w:space="0" w:color="auto"/>
              <w:left w:val="single" w:sz="6" w:space="0" w:color="000000"/>
              <w:bottom w:val="single" w:sz="6" w:space="0" w:color="000000"/>
              <w:right w:val="single" w:sz="18" w:space="0" w:color="000000"/>
            </w:tcBorders>
          </w:tcPr>
          <w:p>
            <w:pPr/>
          </w:p>
        </w:tc>
        <w:tc>
          <w:tcPr>
            <w:tcW w:w="3680" w:type="dxa"/>
            <w:tcBorders>
              <w:top w:val="nil" w:sz="6" w:space="0" w:color="auto"/>
              <w:left w:val="single" w:sz="18"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出的承诺。</w:t>
            </w:r>
          </w:p>
        </w:tc>
        <w:tc>
          <w:tcPr>
            <w:tcW w:w="571" w:type="dxa"/>
            <w:tcBorders>
              <w:top w:val="nil" w:sz="6" w:space="0" w:color="auto"/>
              <w:left w:val="single" w:sz="6" w:space="0" w:color="000000"/>
              <w:bottom w:val="single" w:sz="6" w:space="0" w:color="000000"/>
              <w:right w:val="single" w:sz="6" w:space="0" w:color="000000"/>
            </w:tcBorders>
          </w:tcPr>
          <w:p>
            <w:pPr/>
          </w:p>
        </w:tc>
        <w:tc>
          <w:tcPr>
            <w:tcW w:w="946" w:type="dxa"/>
            <w:tcBorders>
              <w:top w:val="nil" w:sz="6" w:space="0" w:color="auto"/>
              <w:left w:val="single" w:sz="6" w:space="0" w:color="000000"/>
              <w:bottom w:val="single" w:sz="6" w:space="0" w:color="000000"/>
              <w:right w:val="single" w:sz="6" w:space="0" w:color="000000"/>
            </w:tcBorders>
          </w:tcPr>
          <w:p>
            <w:pPr/>
          </w:p>
        </w:tc>
        <w:tc>
          <w:tcPr>
            <w:tcW w:w="1111" w:type="dxa"/>
            <w:tcBorders>
              <w:top w:val="nil" w:sz="6" w:space="0" w:color="auto"/>
              <w:left w:val="single" w:sz="6" w:space="0" w:color="000000"/>
              <w:bottom w:val="single" w:sz="6" w:space="0" w:color="000000"/>
              <w:right w:val="single" w:sz="6" w:space="0" w:color="000000"/>
            </w:tcBorders>
          </w:tcPr>
          <w:p>
            <w:pPr/>
          </w:p>
        </w:tc>
      </w:tr>
    </w:tbl>
    <w:p>
      <w:pPr>
        <w:rPr>
          <w:sz w:val="2"/>
          <w:szCs w:val="2"/>
        </w:rPr>
      </w:pPr>
      <w:r>
        <w:rPr/>
        <w:pict>
          <v:shape style="position:absolute;margin-left:242.503006pt;margin-top:126.849998pt;width:169.8pt;height:265.75pt;mso-position-horizontal-relative:page;mso-position-vertical-relative:page;z-index:-1109824" type="#_x0000_t202" filled="false" stroked="false">
            <v:textbox inset="0,0,0,0">
              <w:txbxContent>
                <w:p>
                  <w:pPr>
                    <w:pStyle w:val="BodyText"/>
                    <w:spacing w:line="191" w:lineRule="exact"/>
                    <w:ind w:left="0" w:right="0"/>
                    <w:jc w:val="left"/>
                  </w:pPr>
                  <w:r>
                    <w:rPr/>
                    <w:t>（包括但不限于持有其他企业股权、</w:t>
                  </w:r>
                </w:p>
              </w:txbxContent>
            </v:textbox>
            <w10:wrap type="none"/>
          </v:shape>
        </w:pict>
      </w:r>
      <w:r>
        <w:rPr/>
        <w:pict>
          <v:shape style="position:absolute;margin-left:287.494019pt;margin-top:459.399994pt;width:124.8pt;height:156.15pt;mso-position-horizontal-relative:page;mso-position-vertical-relative:page;z-index:-1109800" type="#_x0000_t202" filled="false" stroked="false">
            <v:textbox inset="0,0,0,0">
              <w:txbxContent>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513"/>
                    <w:jc w:val="right"/>
                  </w:pPr>
                  <w:r>
                    <w:rPr/>
                    <w:t>则采取或接受以下措施：</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513"/>
                    <w:jc w:val="right"/>
                  </w:pPr>
                  <w:r>
                    <w:rPr/>
                    <w:t>依法赔偿损失；</w:t>
                  </w:r>
                </w:p>
                <w:p>
                  <w:pPr>
                    <w:pStyle w:val="BodyText"/>
                    <w:spacing w:line="240" w:lineRule="auto" w:before="65"/>
                    <w:ind w:left="0" w:right="495"/>
                    <w:jc w:val="right"/>
                  </w:pPr>
                  <w:r>
                    <w:rPr/>
                    <w:t>）</w:t>
                  </w:r>
                </w:p>
              </w:txbxContent>
            </v:textbox>
            <w10:wrap type="none"/>
          </v:shape>
        </w:pict>
      </w:r>
      <w:r>
        <w:rPr/>
        <w:pict>
          <v:group style="position:absolute;margin-left:383.730011pt;margin-top:126.849998pt;width:28.55pt;height:265.75pt;mso-position-horizontal-relative:page;mso-position-vertical-relative:page;z-index:-1109776" coordorigin="7675,2537" coordsize="571,5315">
            <v:shape style="position:absolute;left:7675;top:2537;width:571;height:5315" coordorigin="7675,2537" coordsize="571,5315" path="m7675,7852l8246,7852,8246,2537,7675,2537,7675,7852xe" filled="true" fillcolor="#ffffff" stroked="false">
              <v:path arrowok="t"/>
              <v:fill type="solid"/>
            </v:shape>
            <w10:wrap type="none"/>
          </v:group>
        </w:pict>
      </w:r>
      <w:r>
        <w:rPr/>
        <w:pict>
          <v:group style="position:absolute;margin-left:383.730011pt;margin-top:459.399994pt;width:28.55pt;height:156.15pt;mso-position-horizontal-relative:page;mso-position-vertical-relative:page;z-index:-1109752" coordorigin="7675,9188" coordsize="571,3123">
            <v:shape style="position:absolute;left:7675;top:9188;width:571;height:3123" coordorigin="7675,9188" coordsize="571,3123" path="m7675,12311l8246,12311,8246,9188,7675,9188,7675,12311xe" filled="true" fillcolor="#ffffff" stroked="false">
              <v:path arrowok="t"/>
              <v:fill type="solid"/>
            </v:shape>
            <w10:wrap type="none"/>
          </v:group>
        </w:pict>
      </w:r>
      <w:r>
        <w:rPr/>
        <w:pict>
          <v:group style="position:absolute;margin-left:385.230011pt;margin-top:426.375pt;width:25.55pt;height:15.05pt;mso-position-horizontal-relative:page;mso-position-vertical-relative:page;z-index:-1109728" coordorigin="7705,8528" coordsize="511,301">
            <v:shape style="position:absolute;left:7705;top:8528;width:511;height:301" coordorigin="7705,8528" coordsize="511,301" path="m7705,8828l8216,8828,8216,8528,7705,8528,7705,8828xe" filled="true" fillcolor="#ffffff" stroked="false">
              <v:path arrowok="t"/>
              <v:fill type="solid"/>
            </v:shape>
            <w10:wrap type="none"/>
          </v:group>
        </w:pict>
      </w:r>
    </w:p>
    <w:p>
      <w:pPr>
        <w:spacing w:after="0"/>
        <w:rPr>
          <w:sz w:val="2"/>
          <w:szCs w:val="2"/>
        </w:rPr>
        <w:sectPr>
          <w:pgSz w:w="11910" w:h="16850"/>
          <w:pgMar w:header="776" w:footer="1026" w:top="12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1426"/>
        <w:gridCol w:w="1127"/>
        <w:gridCol w:w="706"/>
        <w:gridCol w:w="3695"/>
        <w:gridCol w:w="571"/>
        <w:gridCol w:w="946"/>
        <w:gridCol w:w="1111"/>
      </w:tblGrid>
      <w:tr>
        <w:trPr>
          <w:trHeight w:val="3528" w:hRule="exact"/>
        </w:trPr>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12" w:space="0" w:color="FFFFFF"/>
            </w:tcBorders>
          </w:tcPr>
          <w:p>
            <w:pPr>
              <w:pStyle w:val="TableParagraph"/>
              <w:spacing w:line="302" w:lineRule="auto" w:before="60"/>
              <w:ind w:left="15" w:right="-38"/>
              <w:jc w:val="both"/>
              <w:rPr>
                <w:rFonts w:ascii="宋体" w:hAnsi="宋体" w:cs="宋体" w:eastAsia="宋体" w:hint="default"/>
                <w:sz w:val="18"/>
                <w:szCs w:val="18"/>
              </w:rPr>
            </w:pPr>
            <w:r>
              <w:rPr>
                <w:rFonts w:ascii="宋体" w:hAnsi="宋体" w:cs="宋体" w:eastAsia="宋体" w:hint="default"/>
                <w:spacing w:val="12"/>
                <w:sz w:val="18"/>
                <w:szCs w:val="18"/>
              </w:rPr>
              <w:t>陈翩</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段汉文</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高传江</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广州</w:t>
            </w:r>
            <w:r>
              <w:rPr>
                <w:rFonts w:ascii="宋体" w:hAnsi="宋体" w:cs="宋体" w:eastAsia="宋体" w:hint="default"/>
                <w:spacing w:val="-60"/>
                <w:sz w:val="18"/>
                <w:szCs w:val="18"/>
              </w:rPr>
              <w:t> </w:t>
            </w:r>
            <w:r>
              <w:rPr>
                <w:rFonts w:ascii="宋体" w:hAnsi="宋体" w:cs="宋体" w:eastAsia="宋体" w:hint="default"/>
                <w:spacing w:val="36"/>
                <w:sz w:val="18"/>
                <w:szCs w:val="18"/>
              </w:rPr>
              <w:t>市浩云安防</w:t>
            </w:r>
            <w:r>
              <w:rPr>
                <w:rFonts w:ascii="宋体" w:hAnsi="宋体" w:cs="宋体" w:eastAsia="宋体" w:hint="default"/>
                <w:spacing w:val="-45"/>
                <w:sz w:val="18"/>
                <w:szCs w:val="18"/>
              </w:rPr>
              <w:t> </w:t>
            </w:r>
            <w:r>
              <w:rPr>
                <w:rFonts w:ascii="宋体" w:hAnsi="宋体" w:cs="宋体" w:eastAsia="宋体" w:hint="default"/>
                <w:spacing w:val="36"/>
                <w:sz w:val="18"/>
                <w:szCs w:val="18"/>
              </w:rPr>
              <w:t>科技股份有</w:t>
            </w:r>
            <w:r>
              <w:rPr>
                <w:rFonts w:ascii="宋体" w:hAnsi="宋体" w:cs="宋体" w:eastAsia="宋体" w:hint="default"/>
                <w:spacing w:val="-45"/>
                <w:sz w:val="18"/>
                <w:szCs w:val="18"/>
              </w:rPr>
              <w:t> </w:t>
            </w:r>
            <w:r>
              <w:rPr>
                <w:rFonts w:ascii="宋体" w:hAnsi="宋体" w:cs="宋体" w:eastAsia="宋体" w:hint="default"/>
                <w:spacing w:val="20"/>
                <w:sz w:val="18"/>
                <w:szCs w:val="18"/>
              </w:rPr>
              <w:t>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雷洪</w:t>
            </w:r>
            <w:r>
              <w:rPr>
                <w:rFonts w:ascii="宋体" w:hAnsi="宋体" w:cs="宋体" w:eastAsia="宋体" w:hint="default"/>
                <w:spacing w:val="-60"/>
                <w:sz w:val="18"/>
                <w:szCs w:val="18"/>
              </w:rPr>
              <w:t> </w:t>
            </w:r>
            <w:r>
              <w:rPr>
                <w:rFonts w:ascii="宋体" w:hAnsi="宋体" w:cs="宋体" w:eastAsia="宋体" w:hint="default"/>
                <w:spacing w:val="13"/>
                <w:sz w:val="18"/>
                <w:szCs w:val="18"/>
              </w:rPr>
              <w:t>文</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龙罡</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龙中</w:t>
            </w:r>
            <w:r>
              <w:rPr>
                <w:rFonts w:ascii="宋体" w:hAnsi="宋体" w:cs="宋体" w:eastAsia="宋体" w:hint="default"/>
                <w:spacing w:val="-86"/>
                <w:sz w:val="18"/>
                <w:szCs w:val="18"/>
              </w:rPr>
              <w:t> </w:t>
            </w:r>
            <w:r>
              <w:rPr>
                <w:rFonts w:ascii="宋体" w:hAnsi="宋体" w:cs="宋体" w:eastAsia="宋体" w:hint="default"/>
                <w:spacing w:val="11"/>
                <w:sz w:val="18"/>
                <w:szCs w:val="18"/>
              </w:rPr>
              <w:t>胜</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茅屏萍</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茅</w:t>
            </w:r>
            <w:r>
              <w:rPr>
                <w:rFonts w:ascii="宋体" w:hAnsi="宋体" w:cs="宋体" w:eastAsia="宋体" w:hint="default"/>
                <w:spacing w:val="-86"/>
                <w:sz w:val="18"/>
                <w:szCs w:val="18"/>
              </w:rPr>
              <w:t> </w:t>
            </w:r>
            <w:r>
              <w:rPr>
                <w:rFonts w:ascii="宋体" w:hAnsi="宋体" w:cs="宋体" w:eastAsia="宋体" w:hint="default"/>
                <w:spacing w:val="12"/>
                <w:sz w:val="18"/>
                <w:szCs w:val="18"/>
              </w:rPr>
              <w:t>庆江</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秦家银</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王朝曦</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徐彪</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袁小康</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张勇</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郑盛泰</w:t>
            </w:r>
          </w:p>
        </w:tc>
        <w:tc>
          <w:tcPr>
            <w:tcW w:w="706" w:type="dxa"/>
            <w:tcBorders>
              <w:top w:val="single" w:sz="6" w:space="0" w:color="000000"/>
              <w:left w:val="single" w:sz="12" w:space="0" w:color="FFFFFF"/>
              <w:bottom w:val="single" w:sz="6" w:space="0" w:color="000000"/>
              <w:right w:val="single" w:sz="18" w:space="0" w:color="000000"/>
            </w:tcBorders>
          </w:tcPr>
          <w:p>
            <w:pPr>
              <w:pStyle w:val="TableParagraph"/>
              <w:spacing w:line="304" w:lineRule="auto" w:before="45"/>
              <w:ind w:left="22" w:right="-76"/>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t>诺</w:t>
            </w:r>
          </w:p>
        </w:tc>
        <w:tc>
          <w:tcPr>
            <w:tcW w:w="3695" w:type="dxa"/>
            <w:tcBorders>
              <w:top w:val="single" w:sz="6" w:space="0" w:color="000000"/>
              <w:left w:val="single" w:sz="18" w:space="0" w:color="000000"/>
              <w:bottom w:val="single" w:sz="6" w:space="0" w:color="000000"/>
              <w:right w:val="single" w:sz="18" w:space="0" w:color="FFFFFF"/>
            </w:tcBorders>
          </w:tcPr>
          <w:p>
            <w:pPr>
              <w:pStyle w:val="TableParagraph"/>
              <w:spacing w:line="316"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公司及其控股股东、实际控制人茅庆江，全体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董事、监事、高级管理人员茅庆江、雷洪文、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张勇、王朝曦、秦家银、龙罡、郑盛泰、高传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江、袁小康、徐彪、茅屏萍、龙中胜、段汉文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陈翩承诺：公司《招股说明书》有虚假记载、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误导性陈述或者重大遗漏，并因此给投资者造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成直接损失的，本公司（或本人）将依法就上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述事项向投资者承担连带赔偿责任，但本公司</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（或本人）能够证明自己没有过错的除外。</w:t>
            </w:r>
          </w:p>
        </w:tc>
        <w:tc>
          <w:tcPr>
            <w:tcW w:w="571"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pacing w:val="-6"/>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4"/>
              <w:jc w:val="both"/>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r>
              <w:rPr>
                <w:rFonts w:ascii="宋体" w:hAnsi="宋体" w:cs="宋体" w:eastAsia="宋体" w:hint="default"/>
                <w:sz w:val="18"/>
                <w:szCs w:val="18"/>
              </w:rPr>
              <w:t> </w:t>
            </w:r>
            <w:r>
              <w:rPr>
                <w:rFonts w:ascii="宋体" w:hAnsi="宋体" w:cs="宋体" w:eastAsia="宋体" w:hint="default"/>
                <w:spacing w:val="-6"/>
                <w:sz w:val="18"/>
                <w:szCs w:val="18"/>
              </w:rPr>
              <w:t>守承诺，未发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r>
              <w:rPr>
                <w:rFonts w:ascii="宋体" w:hAnsi="宋体" w:cs="宋体" w:eastAsia="宋体" w:hint="default"/>
                <w:sz w:val="18"/>
                <w:szCs w:val="18"/>
              </w:rPr>
              <w:t> 承诺的情况。</w:t>
            </w:r>
          </w:p>
        </w:tc>
      </w:tr>
      <w:tr>
        <w:trPr>
          <w:trHeight w:val="2267" w:hRule="exact"/>
        </w:trPr>
        <w:tc>
          <w:tcPr>
            <w:tcW w:w="142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7" w:type="dxa"/>
            <w:tcBorders>
              <w:top w:val="single" w:sz="6" w:space="0" w:color="000000"/>
              <w:left w:val="single" w:sz="6" w:space="0" w:color="000000"/>
              <w:bottom w:val="single" w:sz="6" w:space="0" w:color="000000"/>
              <w:right w:val="single" w:sz="18" w:space="0" w:color="FFFFFF"/>
            </w:tcBorders>
          </w:tcPr>
          <w:p>
            <w:pPr>
              <w:pStyle w:val="TableParagraph"/>
              <w:spacing w:line="321" w:lineRule="auto" w:before="30"/>
              <w:ind w:left="15" w:right="-46"/>
              <w:jc w:val="left"/>
              <w:rPr>
                <w:rFonts w:ascii="宋体" w:hAnsi="宋体" w:cs="宋体" w:eastAsia="宋体" w:hint="default"/>
                <w:sz w:val="18"/>
                <w:szCs w:val="18"/>
              </w:rPr>
            </w:pPr>
            <w:r>
              <w:rPr>
                <w:rFonts w:ascii="宋体" w:hAnsi="宋体" w:cs="宋体" w:eastAsia="宋体" w:hint="default"/>
                <w:spacing w:val="36"/>
                <w:sz w:val="18"/>
                <w:szCs w:val="18"/>
              </w:rPr>
              <w:t>浩云科技股</w:t>
            </w:r>
            <w:r>
              <w:rPr>
                <w:rFonts w:ascii="宋体" w:hAnsi="宋体" w:cs="宋体" w:eastAsia="宋体" w:hint="default"/>
                <w:spacing w:val="-45"/>
                <w:sz w:val="18"/>
                <w:szCs w:val="18"/>
              </w:rPr>
              <w:t> </w:t>
            </w:r>
            <w:r>
              <w:rPr>
                <w:rFonts w:ascii="宋体" w:hAnsi="宋体" w:cs="宋体" w:eastAsia="宋体" w:hint="default"/>
                <w:sz w:val="18"/>
                <w:szCs w:val="18"/>
              </w:rPr>
              <w:t>份有限公司</w:t>
            </w:r>
          </w:p>
        </w:tc>
        <w:tc>
          <w:tcPr>
            <w:tcW w:w="706" w:type="dxa"/>
            <w:tcBorders>
              <w:top w:val="single" w:sz="6" w:space="0" w:color="000000"/>
              <w:left w:val="single" w:sz="18" w:space="0" w:color="FFFFFF"/>
              <w:bottom w:val="single" w:sz="6" w:space="0" w:color="000000"/>
              <w:right w:val="single" w:sz="18" w:space="0" w:color="000000"/>
            </w:tcBorders>
          </w:tcPr>
          <w:p>
            <w:pPr>
              <w:pStyle w:val="TableParagraph"/>
              <w:spacing w:line="321" w:lineRule="auto" w:before="30"/>
              <w:ind w:left="15" w:right="-76"/>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t>诺</w:t>
            </w:r>
          </w:p>
        </w:tc>
        <w:tc>
          <w:tcPr>
            <w:tcW w:w="3695" w:type="dxa"/>
            <w:tcBorders>
              <w:top w:val="single" w:sz="6" w:space="0" w:color="000000"/>
              <w:left w:val="single" w:sz="18" w:space="0" w:color="000000"/>
              <w:bottom w:val="single" w:sz="6" w:space="0" w:color="000000"/>
              <w:right w:val="single" w:sz="6" w:space="0" w:color="000000"/>
            </w:tcBorders>
          </w:tcPr>
          <w:p>
            <w:pPr>
              <w:pStyle w:val="TableParagraph"/>
              <w:spacing w:line="321" w:lineRule="auto" w:before="30"/>
              <w:ind w:left="15" w:right="32"/>
              <w:jc w:val="both"/>
              <w:rPr>
                <w:rFonts w:ascii="宋体" w:hAnsi="宋体" w:cs="宋体" w:eastAsia="宋体" w:hint="default"/>
                <w:sz w:val="18"/>
                <w:szCs w:val="18"/>
              </w:rPr>
            </w:pPr>
            <w:r>
              <w:rPr>
                <w:rFonts w:ascii="宋体" w:hAnsi="宋体" w:cs="宋体" w:eastAsia="宋体" w:hint="default"/>
                <w:sz w:val="18"/>
                <w:szCs w:val="18"/>
              </w:rPr>
              <w:t>公司承诺不为激励对象依本激励计划获取有关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股票期权或限制性股票提供贷款以及其他任何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形式的财务资助，包括为其贷款提供担保。</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before="87"/>
              <w:ind w:left="30" w:right="0"/>
              <w:jc w:val="both"/>
              <w:rPr>
                <w:rFonts w:ascii="Times New Roman" w:hAnsi="Times New Roman" w:cs="Times New Roman" w:eastAsia="Times New Roman" w:hint="default"/>
                <w:sz w:val="18"/>
                <w:szCs w:val="18"/>
              </w:rPr>
            </w:pPr>
            <w:r>
              <w:rPr>
                <w:rFonts w:ascii="Times New Roman"/>
                <w:sz w:val="18"/>
              </w:rPr>
              <w:t>2018.03.11-</w:t>
            </w:r>
          </w:p>
          <w:p>
            <w:pPr>
              <w:pStyle w:val="TableParagraph"/>
              <w:spacing w:line="312" w:lineRule="auto" w:before="66"/>
              <w:ind w:left="30"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22"/>
                <w:sz w:val="18"/>
                <w:szCs w:val="18"/>
              </w:rPr>
              <w:t>年股</w:t>
            </w:r>
            <w:r>
              <w:rPr>
                <w:rFonts w:ascii="宋体" w:hAnsi="宋体" w:cs="宋体" w:eastAsia="宋体" w:hint="default"/>
                <w:spacing w:val="-45"/>
                <w:sz w:val="18"/>
                <w:szCs w:val="18"/>
              </w:rPr>
              <w:t> </w:t>
            </w:r>
            <w:r>
              <w:rPr>
                <w:rFonts w:ascii="宋体" w:hAnsi="宋体" w:cs="宋体" w:eastAsia="宋体" w:hint="default"/>
                <w:spacing w:val="45"/>
                <w:sz w:val="18"/>
                <w:szCs w:val="18"/>
              </w:rPr>
              <w:t>票期权与</w:t>
            </w:r>
            <w:r>
              <w:rPr>
                <w:rFonts w:ascii="宋体" w:hAnsi="宋体" w:cs="宋体" w:eastAsia="宋体" w:hint="default"/>
                <w:spacing w:val="-30"/>
                <w:sz w:val="18"/>
                <w:szCs w:val="18"/>
              </w:rPr>
              <w:t> </w:t>
            </w:r>
            <w:r>
              <w:rPr>
                <w:rFonts w:ascii="宋体" w:hAnsi="宋体" w:cs="宋体" w:eastAsia="宋体" w:hint="default"/>
                <w:spacing w:val="45"/>
                <w:sz w:val="18"/>
                <w:szCs w:val="18"/>
              </w:rPr>
              <w:t>限制性股</w:t>
            </w:r>
            <w:r>
              <w:rPr>
                <w:rFonts w:ascii="宋体" w:hAnsi="宋体" w:cs="宋体" w:eastAsia="宋体" w:hint="default"/>
                <w:spacing w:val="-30"/>
                <w:sz w:val="18"/>
                <w:szCs w:val="18"/>
              </w:rPr>
              <w:t> </w:t>
            </w:r>
            <w:r>
              <w:rPr>
                <w:rFonts w:ascii="宋体" w:hAnsi="宋体" w:cs="宋体" w:eastAsia="宋体" w:hint="default"/>
                <w:spacing w:val="45"/>
                <w:sz w:val="18"/>
                <w:szCs w:val="18"/>
              </w:rPr>
              <w:t>票激励计</w:t>
            </w:r>
            <w:r>
              <w:rPr>
                <w:rFonts w:ascii="宋体" w:hAnsi="宋体" w:cs="宋体" w:eastAsia="宋体" w:hint="default"/>
                <w:spacing w:val="-30"/>
                <w:sz w:val="18"/>
                <w:szCs w:val="18"/>
              </w:rPr>
              <w:t> </w:t>
            </w:r>
            <w:r>
              <w:rPr>
                <w:rFonts w:ascii="宋体" w:hAnsi="宋体" w:cs="宋体" w:eastAsia="宋体" w:hint="default"/>
                <w:spacing w:val="45"/>
                <w:sz w:val="18"/>
                <w:szCs w:val="18"/>
              </w:rPr>
              <w:t>划实施完</w:t>
            </w:r>
            <w:r>
              <w:rPr>
                <w:rFonts w:ascii="宋体" w:hAnsi="宋体" w:cs="宋体" w:eastAsia="宋体" w:hint="default"/>
                <w:spacing w:val="-30"/>
                <w:sz w:val="18"/>
                <w:szCs w:val="18"/>
              </w:rPr>
              <w:t> </w:t>
            </w:r>
            <w:r>
              <w:rPr>
                <w:rFonts w:ascii="宋体" w:hAnsi="宋体" w:cs="宋体" w:eastAsia="宋体" w:hint="default"/>
                <w:sz w:val="18"/>
                <w:szCs w:val="18"/>
              </w:rPr>
              <w:t>毕</w:t>
            </w:r>
          </w:p>
        </w:tc>
        <w:tc>
          <w:tcPr>
            <w:tcW w:w="1111" w:type="dxa"/>
            <w:tcBorders>
              <w:top w:val="single" w:sz="6" w:space="0" w:color="000000"/>
              <w:left w:val="single" w:sz="18" w:space="0" w:color="FFFFFF"/>
              <w:bottom w:val="single" w:sz="6" w:space="0" w:color="000000"/>
              <w:right w:val="single" w:sz="6" w:space="0" w:color="000000"/>
            </w:tcBorders>
          </w:tcPr>
          <w:p>
            <w:pPr>
              <w:pStyle w:val="TableParagraph"/>
              <w:spacing w:line="316" w:lineRule="auto" w:before="30"/>
              <w:ind w:left="15" w:right="-14"/>
              <w:jc w:val="both"/>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w:t>
            </w:r>
            <w:r>
              <w:rPr>
                <w:rFonts w:ascii="宋体" w:hAnsi="宋体" w:cs="宋体" w:eastAsia="宋体" w:hint="default"/>
                <w:spacing w:val="-45"/>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严</w:t>
            </w:r>
            <w:r>
              <w:rPr>
                <w:rFonts w:ascii="宋体" w:hAnsi="宋体" w:cs="宋体" w:eastAsia="宋体" w:hint="default"/>
                <w:spacing w:val="-60"/>
                <w:sz w:val="18"/>
                <w:szCs w:val="18"/>
              </w:rPr>
              <w:t> </w:t>
            </w:r>
            <w:r>
              <w:rPr>
                <w:rFonts w:ascii="宋体" w:hAnsi="宋体" w:cs="宋体" w:eastAsia="宋体" w:hint="default"/>
                <w:sz w:val="18"/>
                <w:szCs w:val="18"/>
              </w:rPr>
              <w:t>格</w:t>
            </w:r>
            <w:r>
              <w:rPr>
                <w:rFonts w:ascii="宋体" w:hAnsi="宋体" w:cs="宋体" w:eastAsia="宋体" w:hint="default"/>
                <w:spacing w:val="-45"/>
                <w:sz w:val="18"/>
                <w:szCs w:val="18"/>
              </w:rPr>
              <w:t> </w:t>
            </w:r>
            <w:r>
              <w:rPr>
                <w:rFonts w:ascii="宋体" w:hAnsi="宋体" w:cs="宋体" w:eastAsia="宋体" w:hint="default"/>
                <w:sz w:val="18"/>
                <w:szCs w:val="18"/>
              </w:rPr>
              <w:t>遵</w:t>
            </w:r>
            <w:r>
              <w:rPr>
                <w:rFonts w:ascii="宋体" w:hAnsi="宋体" w:cs="宋体" w:eastAsia="宋体" w:hint="default"/>
                <w:sz w:val="18"/>
                <w:szCs w:val="18"/>
              </w:rPr>
              <w:t> </w:t>
            </w:r>
            <w:r>
              <w:rPr>
                <w:rFonts w:ascii="宋体" w:hAnsi="宋体" w:cs="宋体" w:eastAsia="宋体" w:hint="default"/>
                <w:spacing w:val="-6"/>
                <w:sz w:val="18"/>
                <w:szCs w:val="18"/>
              </w:rPr>
              <w:t>守承诺，未发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w:t>
            </w:r>
            <w:r>
              <w:rPr>
                <w:rFonts w:ascii="宋体" w:hAnsi="宋体" w:cs="宋体" w:eastAsia="宋体" w:hint="default"/>
                <w:spacing w:val="-45"/>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违</w:t>
            </w:r>
            <w:r>
              <w:rPr>
                <w:rFonts w:ascii="宋体" w:hAnsi="宋体" w:cs="宋体" w:eastAsia="宋体" w:hint="default"/>
                <w:spacing w:val="-45"/>
                <w:sz w:val="18"/>
                <w:szCs w:val="18"/>
              </w:rPr>
              <w:t> </w:t>
            </w:r>
            <w:r>
              <w:rPr>
                <w:rFonts w:ascii="宋体" w:hAnsi="宋体" w:cs="宋体" w:eastAsia="宋体" w:hint="default"/>
                <w:sz w:val="18"/>
                <w:szCs w:val="18"/>
              </w:rPr>
              <w:t>反</w:t>
            </w:r>
            <w:r>
              <w:rPr>
                <w:rFonts w:ascii="宋体" w:hAnsi="宋体" w:cs="宋体" w:eastAsia="宋体" w:hint="default"/>
                <w:sz w:val="18"/>
                <w:szCs w:val="18"/>
              </w:rPr>
              <w:t> 承诺的情况。</w:t>
            </w:r>
          </w:p>
        </w:tc>
      </w:tr>
      <w:tr>
        <w:trPr>
          <w:trHeight w:val="1651" w:hRule="exact"/>
        </w:trPr>
        <w:tc>
          <w:tcPr>
            <w:tcW w:w="1426"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18" w:space="0" w:color="FFFFFF"/>
            </w:tcBorders>
          </w:tcPr>
          <w:p>
            <w:pPr>
              <w:pStyle w:val="TableParagraph"/>
              <w:spacing w:line="304" w:lineRule="auto" w:before="45"/>
              <w:ind w:left="15" w:right="-46"/>
              <w:jc w:val="left"/>
              <w:rPr>
                <w:rFonts w:ascii="宋体" w:hAnsi="宋体" w:cs="宋体" w:eastAsia="宋体" w:hint="default"/>
                <w:sz w:val="18"/>
                <w:szCs w:val="18"/>
              </w:rPr>
            </w:pPr>
            <w:r>
              <w:rPr>
                <w:rFonts w:ascii="宋体" w:hAnsi="宋体" w:cs="宋体" w:eastAsia="宋体" w:hint="default"/>
                <w:spacing w:val="36"/>
                <w:sz w:val="18"/>
                <w:szCs w:val="18"/>
              </w:rPr>
              <w:t>浩云科技股</w:t>
            </w:r>
            <w:r>
              <w:rPr>
                <w:rFonts w:ascii="宋体" w:hAnsi="宋体" w:cs="宋体" w:eastAsia="宋体" w:hint="default"/>
                <w:spacing w:val="-45"/>
                <w:sz w:val="18"/>
                <w:szCs w:val="18"/>
              </w:rPr>
              <w:t> </w:t>
            </w:r>
            <w:r>
              <w:rPr>
                <w:rFonts w:ascii="宋体" w:hAnsi="宋体" w:cs="宋体" w:eastAsia="宋体" w:hint="default"/>
                <w:sz w:val="18"/>
                <w:szCs w:val="18"/>
              </w:rPr>
              <w:t>份有限公司</w:t>
            </w:r>
          </w:p>
        </w:tc>
        <w:tc>
          <w:tcPr>
            <w:tcW w:w="706" w:type="dxa"/>
            <w:tcBorders>
              <w:top w:val="single" w:sz="6" w:space="0" w:color="000000"/>
              <w:left w:val="single" w:sz="18" w:space="0" w:color="FFFFFF"/>
              <w:bottom w:val="single" w:sz="6" w:space="0" w:color="000000"/>
              <w:right w:val="single" w:sz="18"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pacing w:val="40"/>
                <w:sz w:val="18"/>
                <w:szCs w:val="18"/>
              </w:rPr>
              <w:t>其他承</w:t>
            </w:r>
            <w:r>
              <w:rPr>
                <w:rFonts w:ascii="宋体" w:hAnsi="宋体" w:cs="宋体" w:eastAsia="宋体" w:hint="default"/>
                <w:spacing w:val="-30"/>
                <w:sz w:val="18"/>
                <w:szCs w:val="18"/>
              </w:rPr>
              <w:t> </w:t>
            </w:r>
            <w:r>
              <w:rPr>
                <w:rFonts w:ascii="宋体" w:hAnsi="宋体" w:cs="宋体" w:eastAsia="宋体" w:hint="default"/>
                <w:sz w:val="18"/>
                <w:szCs w:val="18"/>
              </w:rPr>
              <w:t>诺</w:t>
            </w:r>
          </w:p>
        </w:tc>
        <w:tc>
          <w:tcPr>
            <w:tcW w:w="3695" w:type="dxa"/>
            <w:tcBorders>
              <w:top w:val="single" w:sz="6" w:space="0" w:color="000000"/>
              <w:left w:val="single" w:sz="18" w:space="0" w:color="000000"/>
              <w:bottom w:val="single" w:sz="6" w:space="0" w:color="000000"/>
              <w:right w:val="single" w:sz="6" w:space="0" w:color="000000"/>
            </w:tcBorders>
          </w:tcPr>
          <w:p>
            <w:pPr>
              <w:pStyle w:val="TableParagraph"/>
              <w:spacing w:line="314" w:lineRule="auto" w:before="45"/>
              <w:ind w:left="15" w:right="32"/>
              <w:jc w:val="both"/>
              <w:rPr>
                <w:rFonts w:ascii="宋体" w:hAnsi="宋体" w:cs="宋体" w:eastAsia="宋体" w:hint="default"/>
                <w:sz w:val="18"/>
                <w:szCs w:val="18"/>
              </w:rPr>
            </w:pPr>
            <w:r>
              <w:rPr>
                <w:rFonts w:ascii="宋体" w:hAnsi="宋体" w:cs="宋体" w:eastAsia="宋体" w:hint="default"/>
                <w:sz w:val="18"/>
                <w:szCs w:val="18"/>
              </w:rPr>
              <w:t>公司承诺不为激励对象依本激励计划获取有关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限制性股票提供贷款以及其他任何形式的财务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资助，包括为其贷款提供担保。</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both"/>
              <w:rPr>
                <w:rFonts w:ascii="Times New Roman" w:hAnsi="Times New Roman" w:cs="Times New Roman" w:eastAsia="Times New Roman" w:hint="default"/>
                <w:sz w:val="18"/>
                <w:szCs w:val="18"/>
              </w:rPr>
            </w:pPr>
            <w:r>
              <w:rPr>
                <w:rFonts w:ascii="Times New Roman"/>
                <w:sz w:val="18"/>
              </w:rPr>
              <w:t>2016.03.23-</w:t>
            </w:r>
          </w:p>
          <w:p>
            <w:pPr>
              <w:pStyle w:val="TableParagraph"/>
              <w:spacing w:line="321" w:lineRule="auto" w:before="36"/>
              <w:ind w:left="30" w:right="-61"/>
              <w:jc w:val="both"/>
              <w:rPr>
                <w:rFonts w:ascii="宋体" w:hAnsi="宋体" w:cs="宋体" w:eastAsia="宋体" w:hint="default"/>
                <w:sz w:val="18"/>
                <w:szCs w:val="18"/>
              </w:rPr>
            </w:pPr>
            <w:r>
              <w:rPr>
                <w:rFonts w:ascii="宋体" w:hAnsi="宋体" w:cs="宋体" w:eastAsia="宋体" w:hint="default"/>
                <w:spacing w:val="45"/>
                <w:sz w:val="18"/>
                <w:szCs w:val="18"/>
              </w:rPr>
              <w:t>第二期股</w:t>
            </w:r>
            <w:r>
              <w:rPr>
                <w:rFonts w:ascii="宋体" w:hAnsi="宋体" w:cs="宋体" w:eastAsia="宋体" w:hint="default"/>
                <w:spacing w:val="-30"/>
                <w:sz w:val="18"/>
                <w:szCs w:val="18"/>
              </w:rPr>
              <w:t> </w:t>
            </w:r>
            <w:r>
              <w:rPr>
                <w:rFonts w:ascii="宋体" w:hAnsi="宋体" w:cs="宋体" w:eastAsia="宋体" w:hint="default"/>
                <w:spacing w:val="45"/>
                <w:sz w:val="18"/>
                <w:szCs w:val="18"/>
              </w:rPr>
              <w:t>权激励计</w:t>
            </w:r>
            <w:r>
              <w:rPr>
                <w:rFonts w:ascii="宋体" w:hAnsi="宋体" w:cs="宋体" w:eastAsia="宋体" w:hint="default"/>
                <w:spacing w:val="-30"/>
                <w:sz w:val="18"/>
                <w:szCs w:val="18"/>
              </w:rPr>
              <w:t> </w:t>
            </w:r>
            <w:r>
              <w:rPr>
                <w:rFonts w:ascii="宋体" w:hAnsi="宋体" w:cs="宋体" w:eastAsia="宋体" w:hint="default"/>
                <w:spacing w:val="45"/>
                <w:sz w:val="18"/>
                <w:szCs w:val="18"/>
              </w:rPr>
              <w:t>划实施完</w:t>
            </w:r>
            <w:r>
              <w:rPr>
                <w:rFonts w:ascii="宋体" w:hAnsi="宋体" w:cs="宋体" w:eastAsia="宋体" w:hint="default"/>
                <w:spacing w:val="-30"/>
                <w:sz w:val="18"/>
                <w:szCs w:val="18"/>
              </w:rPr>
              <w:t> </w:t>
            </w:r>
            <w:r>
              <w:rPr>
                <w:rFonts w:ascii="宋体" w:hAnsi="宋体" w:cs="宋体" w:eastAsia="宋体" w:hint="default"/>
                <w:sz w:val="18"/>
                <w:szCs w:val="18"/>
              </w:rPr>
              <w:t>毕</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4"/>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36"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5" w:right="88"/>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0"/>
                <w:sz w:val="18"/>
                <w:szCs w:val="18"/>
              </w:rPr>
              <w:t> </w:t>
            </w:r>
            <w:r>
              <w:rPr>
                <w:rFonts w:ascii="宋体" w:hAnsi="宋体" w:cs="宋体" w:eastAsia="宋体" w:hint="default"/>
                <w:sz w:val="18"/>
                <w:szCs w:val="18"/>
              </w:rPr>
              <w:t>对</w:t>
            </w:r>
            <w:r>
              <w:rPr>
                <w:rFonts w:ascii="宋体" w:hAnsi="宋体" w:cs="宋体" w:eastAsia="宋体" w:hint="default"/>
                <w:spacing w:val="-60"/>
                <w:sz w:val="18"/>
                <w:szCs w:val="18"/>
              </w:rPr>
              <w:t> </w:t>
            </w:r>
            <w:r>
              <w:rPr>
                <w:rFonts w:ascii="宋体" w:hAnsi="宋体" w:cs="宋体" w:eastAsia="宋体" w:hint="default"/>
                <w:spacing w:val="7"/>
                <w:sz w:val="18"/>
                <w:szCs w:val="18"/>
              </w:rPr>
              <w:t>公司</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z w:val="18"/>
                <w:szCs w:val="18"/>
              </w:rPr>
              <w:t> 小</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60"/>
                <w:sz w:val="18"/>
                <w:szCs w:val="18"/>
              </w:rPr>
              <w:t> </w:t>
            </w:r>
            <w:r>
              <w:rPr>
                <w:rFonts w:ascii="宋体" w:hAnsi="宋体" w:cs="宋体" w:eastAsia="宋体" w:hint="default"/>
                <w:sz w:val="18"/>
                <w:szCs w:val="18"/>
              </w:rPr>
              <w:t>东</w:t>
            </w:r>
            <w:r>
              <w:rPr>
                <w:rFonts w:ascii="宋体" w:hAnsi="宋体" w:cs="宋体" w:eastAsia="宋体" w:hint="default"/>
                <w:spacing w:val="-60"/>
                <w:sz w:val="18"/>
                <w:szCs w:val="18"/>
              </w:rPr>
              <w:t> </w:t>
            </w:r>
            <w:r>
              <w:rPr>
                <w:rFonts w:ascii="宋体" w:hAnsi="宋体" w:cs="宋体" w:eastAsia="宋体" w:hint="default"/>
                <w:spacing w:val="7"/>
                <w:sz w:val="18"/>
                <w:szCs w:val="18"/>
              </w:rPr>
              <w:t>所作</w:t>
            </w:r>
            <w:r>
              <w:rPr>
                <w:rFonts w:ascii="宋体" w:hAnsi="宋体" w:cs="宋体" w:eastAsia="宋体" w:hint="default"/>
                <w:spacing w:val="-60"/>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369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14"/>
              <w:jc w:val="left"/>
              <w:rPr>
                <w:rFonts w:ascii="宋体" w:hAnsi="宋体" w:cs="宋体" w:eastAsia="宋体" w:hint="default"/>
                <w:sz w:val="18"/>
                <w:szCs w:val="18"/>
              </w:rPr>
            </w:pPr>
            <w:r>
              <w:rPr>
                <w:rFonts w:ascii="宋体" w:hAnsi="宋体" w:cs="宋体" w:eastAsia="宋体" w:hint="default"/>
                <w:spacing w:val="15"/>
                <w:sz w:val="18"/>
                <w:szCs w:val="18"/>
              </w:rPr>
              <w:t>承诺是否按时履 </w:t>
            </w:r>
            <w:r>
              <w:rPr>
                <w:rFonts w:ascii="宋体" w:hAnsi="宋体" w:cs="宋体" w:eastAsia="宋体" w:hint="default"/>
                <w:sz w:val="18"/>
                <w:szCs w:val="18"/>
              </w:rPr>
              <w:t>行</w:t>
            </w:r>
          </w:p>
        </w:tc>
        <w:tc>
          <w:tcPr>
            <w:tcW w:w="815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7" w:hRule="exact"/>
        </w:trPr>
        <w:tc>
          <w:tcPr>
            <w:tcW w:w="14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30" w:right="14"/>
              <w:jc w:val="both"/>
              <w:rPr>
                <w:rFonts w:ascii="宋体" w:hAnsi="宋体" w:cs="宋体" w:eastAsia="宋体" w:hint="default"/>
                <w:sz w:val="18"/>
                <w:szCs w:val="18"/>
              </w:rPr>
            </w:pPr>
            <w:r>
              <w:rPr>
                <w:rFonts w:ascii="宋体" w:hAnsi="宋体" w:cs="宋体" w:eastAsia="宋体" w:hint="default"/>
                <w:spacing w:val="15"/>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细说明未完成履</w:t>
            </w:r>
            <w:r>
              <w:rPr>
                <w:rFonts w:ascii="宋体" w:hAnsi="宋体" w:cs="宋体" w:eastAsia="宋体" w:hint="default"/>
                <w:spacing w:val="15"/>
                <w:sz w:val="18"/>
                <w:szCs w:val="18"/>
              </w:rPr>
              <w:t> 行的具体原因及 下一步的工作计 </w:t>
            </w:r>
            <w:r>
              <w:rPr>
                <w:rFonts w:ascii="宋体" w:hAnsi="宋体" w:cs="宋体" w:eastAsia="宋体" w:hint="default"/>
                <w:sz w:val="18"/>
                <w:szCs w:val="18"/>
              </w:rPr>
              <w:t>划</w:t>
            </w:r>
          </w:p>
        </w:tc>
        <w:tc>
          <w:tcPr>
            <w:tcW w:w="8156"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Times New Roman" w:hAnsi="Times New Roman" w:cs="Times New Roman" w:eastAsia="Times New Roman" w:hint="default"/>
          <w:sz w:val="29"/>
          <w:szCs w:val="29"/>
        </w:rPr>
      </w:pPr>
      <w:r>
        <w:rPr/>
        <w:pict>
          <v:group style="position:absolute;margin-left:459.579987pt;margin-top:319.024994pt;width:54.85pt;height:30.8pt;mso-position-horizontal-relative:page;mso-position-vertical-relative:page;z-index:-1109704" coordorigin="9192,6380" coordsize="1097,616">
            <v:shape style="position:absolute;left:9192;top:6380;width:1097;height:616" coordorigin="9192,6380" coordsize="1097,616" path="m9192,6996l10288,6996,10288,6380,9192,6380,9192,6996xe" filled="true" fillcolor="#ffffff" stroked="false">
              <v:path arrowok="t"/>
              <v:fill type="solid"/>
            </v:shape>
            <w10:wrap type="none"/>
          </v:group>
        </w:pict>
      </w:r>
      <w:r>
        <w:rPr/>
        <w:pict>
          <v:group style="position:absolute;margin-left:459.579987pt;margin-top:370.070007pt;width:54.85pt;height:62.3pt;mso-position-horizontal-relative:page;mso-position-vertical-relative:page;z-index:-1109680" coordorigin="9192,7401" coordsize="1097,1246">
            <v:shape style="position:absolute;left:9192;top:7401;width:1097;height:1246" coordorigin="9192,7401" coordsize="1097,1246" path="m9192,8647l10288,8647,10288,7401,9192,7401,9192,8647xe" filled="true" fillcolor="#ffffff" stroked="false">
              <v:path arrowok="t"/>
              <v:fill type="solid"/>
            </v:shape>
            <w10:wrap type="none"/>
          </v:group>
        </w:pict>
      </w:r>
    </w:p>
    <w:p>
      <w:pPr>
        <w:pStyle w:val="Heading3"/>
        <w:spacing w:line="384" w:lineRule="auto" w:before="35"/>
        <w:ind w:left="140" w:right="609"/>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w:t>
      </w:r>
      <w:r>
        <w:rPr>
          <w:spacing w:val="-72"/>
        </w:rPr>
        <w:t> </w:t>
      </w:r>
      <w:r>
        <w:rPr>
          <w:spacing w:val="-72"/>
        </w:rPr>
      </w:r>
      <w:r>
        <w:rPr/>
        <w:t>出说明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202"/>
        <w:gridCol w:w="1186"/>
        <w:gridCol w:w="1202"/>
        <w:gridCol w:w="1201"/>
        <w:gridCol w:w="1202"/>
        <w:gridCol w:w="1186"/>
        <w:gridCol w:w="1202"/>
        <w:gridCol w:w="1201"/>
      </w:tblGrid>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0" w:right="4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64"/>
              <w:ind w:left="13"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64"/>
              <w:ind w:left="13"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4" w:right="44"/>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10" w:right="44" w:hanging="451"/>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10" w:right="44" w:hanging="451"/>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04" w:lineRule="auto"/>
        <w:jc w:val="left"/>
        <w:rPr>
          <w:rFonts w:ascii="宋体" w:hAnsi="宋体" w:cs="宋体" w:eastAsia="宋体" w:hint="default"/>
          <w:sz w:val="18"/>
          <w:szCs w:val="18"/>
        </w:rPr>
        <w:sectPr>
          <w:pgSz w:w="11910" w:h="16850"/>
          <w:pgMar w:header="776" w:footer="1026" w:top="1200" w:bottom="1220" w:left="580" w:right="0"/>
        </w:sectPr>
      </w:pP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02"/>
        <w:gridCol w:w="1186"/>
        <w:gridCol w:w="1202"/>
        <w:gridCol w:w="1201"/>
        <w:gridCol w:w="1202"/>
        <w:gridCol w:w="1186"/>
        <w:gridCol w:w="1202"/>
        <w:gridCol w:w="1201"/>
      </w:tblGrid>
      <w:tr>
        <w:trPr>
          <w:trHeight w:val="19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广东冠网信息 科技有限公司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1,040.63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30"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关于公司签署 投资并购协议 的公告。披露 网站：巨潮资 讯网，公告编 号：</w:t>
            </w:r>
            <w:r>
              <w:rPr>
                <w:rFonts w:ascii="Times New Roman" w:hAnsi="Times New Roman" w:cs="Times New Roman" w:eastAsia="Times New Roman" w:hint="default"/>
                <w:sz w:val="18"/>
                <w:szCs w:val="18"/>
              </w:rPr>
              <w:t>2018-036</w:t>
            </w:r>
          </w:p>
        </w:tc>
      </w:tr>
    </w:tbl>
    <w:p>
      <w:pPr>
        <w:spacing w:line="240" w:lineRule="auto" w:before="10"/>
        <w:rPr>
          <w:rFonts w:ascii="宋体" w:hAnsi="宋体" w:cs="宋体" w:eastAsia="宋体" w:hint="default"/>
          <w:sz w:val="5"/>
          <w:szCs w:val="5"/>
        </w:rPr>
      </w:pPr>
    </w:p>
    <w:p>
      <w:pPr>
        <w:pStyle w:val="BodyText"/>
        <w:spacing w:line="240" w:lineRule="auto" w:before="44"/>
        <w:ind w:left="140" w:right="609"/>
        <w:jc w:val="left"/>
      </w:pPr>
      <w:r>
        <w:rPr/>
        <w:t>公司股东、交易对手方对公司或相关资产年度经营业绩作出的承诺情况</w:t>
      </w:r>
    </w:p>
    <w:p>
      <w:pPr>
        <w:spacing w:line="240" w:lineRule="auto" w:before="0"/>
        <w:rPr>
          <w:rFonts w:ascii="宋体" w:hAnsi="宋体" w:cs="宋体" w:eastAsia="宋体" w:hint="default"/>
          <w:sz w:val="21"/>
          <w:szCs w:val="21"/>
        </w:rPr>
      </w:pPr>
    </w:p>
    <w:p>
      <w:pPr>
        <w:pStyle w:val="BodyText"/>
        <w:spacing w:line="489"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根据本公司与广东冠网信息科技有限公司及其原股东王庆、胡海涛、曹义峰、廖永建、邓杰以及广州新启企业管理合伙企业（有限合</w:t>
      </w:r>
      <w:r>
        <w:rPr>
          <w:spacing w:val="-84"/>
        </w:rPr>
        <w:t> </w:t>
      </w:r>
      <w:r>
        <w:rPr>
          <w:spacing w:val="-84"/>
        </w:rPr>
      </w:r>
      <w:r>
        <w:rPr/>
        <w:t>伙）签订的《浩云科技股份有限公司与广东冠网信息科技有限公司、王庆、胡海涛、曹义峰、廖永建、邓杰、广州新启企业管理合伙</w:t>
      </w:r>
    </w:p>
    <w:p>
      <w:pPr>
        <w:pStyle w:val="BodyText"/>
        <w:spacing w:line="468" w:lineRule="auto" w:before="43"/>
        <w:ind w:left="140" w:right="704"/>
        <w:jc w:val="both"/>
      </w:pPr>
      <w:r>
        <w:rPr/>
        <w:t>企业（有限合伙）之投资并购协议》，广东冠网信息科技有限公司原股东王庆、胡海涛、曹义峰、廖永建、邓杰以及广州新启企业管 </w:t>
      </w:r>
      <w:r>
        <w:rPr>
          <w:spacing w:val="-2"/>
        </w:rPr>
        <w:t>理合伙企业（有限合伙）承诺广东冠网信息科技有限公司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2020</w:t>
      </w:r>
      <w:r>
        <w:rPr>
          <w:spacing w:val="-2"/>
        </w:rPr>
        <w:t>年扣除非经常性损益后的净利润分别为</w:t>
      </w:r>
      <w:r>
        <w:rPr>
          <w:rFonts w:ascii="Times New Roman" w:hAnsi="Times New Roman" w:cs="Times New Roman" w:eastAsia="Times New Roman" w:hint="default"/>
          <w:spacing w:val="-2"/>
        </w:rPr>
        <w:t>800</w:t>
      </w:r>
      <w:r>
        <w:rPr>
          <w:spacing w:val="-2"/>
        </w:rPr>
        <w:t>万元、</w:t>
      </w:r>
      <w:r>
        <w:rPr>
          <w:rFonts w:ascii="Times New Roman" w:hAnsi="Times New Roman" w:cs="Times New Roman" w:eastAsia="Times New Roman" w:hint="default"/>
          <w:spacing w:val="-2"/>
        </w:rPr>
        <w:t>1,000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万元、</w:t>
      </w:r>
      <w:r>
        <w:rPr>
          <w:rFonts w:ascii="Times New Roman" w:hAnsi="Times New Roman" w:cs="Times New Roman" w:eastAsia="Times New Roman" w:hint="default"/>
        </w:rPr>
        <w:t>1,300</w:t>
      </w:r>
      <w:r>
        <w:rPr/>
        <w:t>万元。</w:t>
      </w:r>
    </w:p>
    <w:p>
      <w:pPr>
        <w:pStyle w:val="BodyText"/>
        <w:spacing w:line="240" w:lineRule="auto" w:before="57"/>
        <w:ind w:left="140" w:right="609"/>
        <w:jc w:val="left"/>
      </w:pPr>
      <w:r>
        <w:rPr/>
        <w:t>业绩承诺的完成情况及其对商誉减值测试的影响</w:t>
      </w:r>
    </w:p>
    <w:p>
      <w:pPr>
        <w:spacing w:line="240" w:lineRule="auto" w:before="0"/>
        <w:rPr>
          <w:rFonts w:ascii="宋体" w:hAnsi="宋体" w:cs="宋体" w:eastAsia="宋体" w:hint="default"/>
          <w:sz w:val="21"/>
          <w:szCs w:val="21"/>
        </w:rPr>
      </w:pPr>
    </w:p>
    <w:p>
      <w:pPr>
        <w:pStyle w:val="BodyText"/>
        <w:spacing w:line="463" w:lineRule="auto"/>
        <w:ind w:left="140" w:right="775"/>
        <w:jc w:val="left"/>
      </w:pPr>
      <w:r>
        <w:rPr/>
        <w:t>广东冠网信息科技有限公司</w:t>
      </w:r>
      <w:r>
        <w:rPr>
          <w:rFonts w:ascii="Times New Roman" w:hAnsi="Times New Roman" w:cs="Times New Roman" w:eastAsia="Times New Roman" w:hint="default"/>
        </w:rPr>
        <w:t>2019</w:t>
      </w:r>
      <w:r>
        <w:rPr/>
        <w:t>年度经审计的扣除非经常性损益后的净利润</w:t>
      </w:r>
      <w:r>
        <w:rPr>
          <w:rFonts w:ascii="Times New Roman" w:hAnsi="Times New Roman" w:cs="Times New Roman" w:eastAsia="Times New Roman" w:hint="default"/>
        </w:rPr>
        <w:t>1,040.63</w:t>
      </w:r>
      <w:r>
        <w:rPr/>
        <w:t>万元，超过承诺数</w:t>
      </w:r>
      <w:r>
        <w:rPr>
          <w:rFonts w:ascii="Times New Roman" w:hAnsi="Times New Roman" w:cs="Times New Roman" w:eastAsia="Times New Roman" w:hint="default"/>
        </w:rPr>
        <w:t>40.63</w:t>
      </w:r>
      <w:r>
        <w:rPr/>
        <w:t>万元，完成本年预测盈利</w:t>
      </w:r>
      <w:r>
        <w:rPr>
          <w:spacing w:val="-83"/>
        </w:rPr>
        <w:t> </w:t>
      </w:r>
      <w:r>
        <w:rPr/>
        <w:t>的</w:t>
      </w:r>
      <w:r>
        <w:rPr>
          <w:rFonts w:ascii="Times New Roman" w:hAnsi="Times New Roman" w:cs="Times New Roman" w:eastAsia="Times New Roman" w:hint="default"/>
        </w:rPr>
        <w:t>104.06%</w:t>
      </w:r>
      <w:r>
        <w:rPr/>
        <w:t>。经测试，商誉未出现减值损失。</w:t>
      </w:r>
    </w:p>
    <w:p>
      <w:pPr>
        <w:spacing w:line="240" w:lineRule="auto" w:before="3"/>
        <w:rPr>
          <w:rFonts w:ascii="宋体" w:hAnsi="宋体" w:cs="宋体" w:eastAsia="宋体" w:hint="default"/>
          <w:sz w:val="22"/>
          <w:szCs w:val="22"/>
        </w:rPr>
      </w:pPr>
    </w:p>
    <w:p>
      <w:pPr>
        <w:pStyle w:val="Heading2"/>
        <w:spacing w:line="240" w:lineRule="auto"/>
        <w:ind w:left="140" w:right="609"/>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491" w:lineRule="auto" w:before="163"/>
        <w:ind w:left="140" w:right="5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公司报告期不存在控股股东及其关联方对上市公司的非经营性占用资金。</w:t>
      </w:r>
    </w:p>
    <w:p>
      <w:pPr>
        <w:spacing w:line="240" w:lineRule="auto" w:before="2"/>
        <w:rPr>
          <w:rFonts w:ascii="宋体" w:hAnsi="宋体" w:cs="宋体" w:eastAsia="宋体" w:hint="default"/>
          <w:sz w:val="24"/>
          <w:szCs w:val="24"/>
        </w:rPr>
      </w:pPr>
    </w:p>
    <w:p>
      <w:pPr>
        <w:pStyle w:val="Heading2"/>
        <w:spacing w:line="240" w:lineRule="auto"/>
        <w:ind w:left="140" w:right="609"/>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0"/>
        <w:rPr>
          <w:rFonts w:ascii="宋体" w:hAnsi="宋体" w:cs="宋体" w:eastAsia="宋体" w:hint="default"/>
          <w:b/>
          <w:bCs/>
          <w:sz w:val="35"/>
          <w:szCs w:val="35"/>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left="140" w:right="609"/>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59"/>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left="140" w:right="609"/>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8"/>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76" w:footer="1026" w:top="1100" w:bottom="1220" w:left="580" w:right="0"/>
        </w:sectPr>
      </w:pPr>
    </w:p>
    <w:p>
      <w:pPr>
        <w:spacing w:line="240" w:lineRule="auto" w:before="6"/>
        <w:rPr>
          <w:rFonts w:ascii="宋体" w:hAnsi="宋体" w:cs="宋体" w:eastAsia="宋体" w:hint="default"/>
          <w:sz w:val="9"/>
          <w:szCs w:val="9"/>
        </w:rPr>
      </w:pPr>
    </w:p>
    <w:p>
      <w:pPr>
        <w:pStyle w:val="Heading2"/>
        <w:spacing w:line="240" w:lineRule="auto" w:before="26"/>
        <w:ind w:left="140" w:right="609"/>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506" w:lineRule="auto" w:before="162"/>
        <w:ind w:left="140" w:right="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与上年度财务报告相比，本报告期新增甲壳云计算有限公司、信泽云（武汉）计算机软件有限公司；减少湖北浩威保安服务有限公司</w:t>
      </w:r>
    </w:p>
    <w:p>
      <w:pPr>
        <w:pStyle w:val="BodyText"/>
        <w:spacing w:line="240" w:lineRule="auto" w:before="30"/>
        <w:ind w:left="140" w:right="609"/>
        <w:jc w:val="left"/>
      </w:pPr>
      <w:r>
        <w:rPr/>
        <w:t>（原名：武汉浩立威保安服务有限公司）</w:t>
      </w:r>
      <w:r>
        <w:rPr>
          <w:rFonts w:ascii="Times New Roman" w:hAnsi="Times New Roman" w:cs="Times New Roman" w:eastAsia="Times New Roman" w:hint="default"/>
        </w:rPr>
        <w:t>1</w:t>
      </w:r>
      <w:r>
        <w:rPr/>
        <w:t>家子公司。</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left="140" w:right="609"/>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left="140" w:right="609"/>
        <w:jc w:val="left"/>
      </w:pPr>
      <w:r>
        <w:rPr/>
        <w:t>现聘任的会计事务所</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hAnsi="宋体" w:cs="宋体" w:eastAsia="宋体" w:hint="default"/>
                <w:sz w:val="18"/>
                <w:szCs w:val="18"/>
              </w:rPr>
              <w:t>禤文欣、卢玲玉</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hAnsi="宋体" w:cs="宋体" w:eastAsia="宋体" w:hint="default"/>
                <w:sz w:val="18"/>
                <w:szCs w:val="18"/>
              </w:rPr>
              <w:t>禤文欣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年、卢玲玉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5"/>
          <w:szCs w:val="5"/>
        </w:rPr>
      </w:pPr>
    </w:p>
    <w:p>
      <w:pPr>
        <w:pStyle w:val="BodyText"/>
        <w:spacing w:line="240" w:lineRule="auto" w:before="44"/>
        <w:ind w:left="140" w:right="609"/>
        <w:jc w:val="left"/>
      </w:pPr>
      <w:r>
        <w:rPr/>
        <w:t>是否改聘会计师事务所</w:t>
      </w:r>
    </w:p>
    <w:p>
      <w:pPr>
        <w:spacing w:line="240" w:lineRule="auto" w:before="0"/>
        <w:rPr>
          <w:rFonts w:ascii="宋体" w:hAnsi="宋体" w:cs="宋体" w:eastAsia="宋体" w:hint="default"/>
          <w:sz w:val="21"/>
          <w:szCs w:val="21"/>
        </w:rPr>
      </w:pPr>
    </w:p>
    <w:p>
      <w:pPr>
        <w:pStyle w:val="BodyText"/>
        <w:spacing w:line="491" w:lineRule="auto"/>
        <w:ind w:left="140" w:right="66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71"/>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2"/>
        <w:spacing w:line="240" w:lineRule="auto"/>
        <w:ind w:left="140" w:right="609"/>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left="140" w:right="609"/>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91" w:lineRule="auto" w:before="162"/>
        <w:ind w:left="140" w:right="8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公司报告期未发生破产重整相关事项。</w:t>
      </w:r>
    </w:p>
    <w:p>
      <w:pPr>
        <w:spacing w:after="0" w:line="491" w:lineRule="auto"/>
        <w:jc w:val="left"/>
        <w:sectPr>
          <w:pgSz w:w="11910" w:h="16850"/>
          <w:pgMar w:header="776" w:footer="1026" w:top="1100" w:bottom="1220" w:left="580" w:right="0"/>
        </w:sectPr>
      </w:pPr>
    </w:p>
    <w:p>
      <w:pPr>
        <w:spacing w:line="240" w:lineRule="auto" w:before="6"/>
        <w:rPr>
          <w:rFonts w:ascii="宋体" w:hAnsi="宋体" w:cs="宋体" w:eastAsia="宋体" w:hint="default"/>
          <w:sz w:val="9"/>
          <w:szCs w:val="9"/>
        </w:rPr>
      </w:pPr>
    </w:p>
    <w:p>
      <w:pPr>
        <w:pStyle w:val="Heading2"/>
        <w:spacing w:line="240" w:lineRule="auto" w:before="26"/>
        <w:ind w:left="140" w:right="609"/>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456"/>
        <w:gridCol w:w="1082"/>
        <w:gridCol w:w="1262"/>
        <w:gridCol w:w="961"/>
        <w:gridCol w:w="1397"/>
        <w:gridCol w:w="1261"/>
        <w:gridCol w:w="1082"/>
        <w:gridCol w:w="1081"/>
      </w:tblGrid>
      <w:tr>
        <w:trPr>
          <w:trHeight w:val="721" w:hRule="exact"/>
        </w:trPr>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630" w:right="28"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60" w:right="0" w:hanging="330"/>
              <w:jc w:val="left"/>
              <w:rPr>
                <w:rFonts w:ascii="宋体" w:hAnsi="宋体" w:cs="宋体" w:eastAsia="宋体" w:hint="default"/>
                <w:sz w:val="18"/>
                <w:szCs w:val="18"/>
              </w:rPr>
            </w:pPr>
            <w:r>
              <w:rPr>
                <w:rFonts w:ascii="宋体" w:hAnsi="宋体" w:cs="宋体" w:eastAsia="宋体" w:hint="default"/>
                <w:spacing w:val="-8"/>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0" w:right="74"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300" w:right="43"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240" w:right="88"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270" w:right="13"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21" w:hRule="exact"/>
        </w:trPr>
        <w:tc>
          <w:tcPr>
            <w:tcW w:w="1456" w:type="dxa"/>
            <w:tcBorders>
              <w:top w:val="single" w:sz="6" w:space="0" w:color="000000"/>
              <w:left w:val="single" w:sz="6" w:space="0" w:color="000000"/>
              <w:bottom w:val="single" w:sz="6" w:space="0" w:color="000000"/>
              <w:right w:val="single" w:sz="18" w:space="0" w:color="FFFFFF"/>
            </w:tcBorders>
          </w:tcPr>
          <w:p>
            <w:pPr>
              <w:pStyle w:val="TableParagraph"/>
              <w:spacing w:line="316" w:lineRule="auto" w:before="29"/>
              <w:ind w:left="30" w:right="-44"/>
              <w:jc w:val="left"/>
              <w:rPr>
                <w:rFonts w:ascii="宋体" w:hAnsi="宋体" w:cs="宋体" w:eastAsia="宋体" w:hint="default"/>
                <w:sz w:val="18"/>
                <w:szCs w:val="18"/>
              </w:rPr>
            </w:pPr>
            <w:r>
              <w:rPr>
                <w:rFonts w:ascii="宋体" w:hAnsi="宋体" w:cs="宋体" w:eastAsia="宋体" w:hint="default"/>
                <w:sz w:val="18"/>
                <w:szCs w:val="18"/>
              </w:rPr>
              <w:t>公司作为原告提 起合同纠纷之诉， 向被告追缴应收 账款</w:t>
            </w:r>
          </w:p>
        </w:tc>
        <w:tc>
          <w:tcPr>
            <w:tcW w:w="1082"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6.28</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完结</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和解撤诉</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2"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sz w:val="24"/>
          <w:szCs w:val="24"/>
        </w:rPr>
      </w:pPr>
    </w:p>
    <w:p>
      <w:pPr>
        <w:pStyle w:val="Heading2"/>
        <w:spacing w:line="240" w:lineRule="auto" w:before="26"/>
        <w:ind w:left="140" w:right="609"/>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91" w:lineRule="auto" w:before="177"/>
        <w:ind w:left="140" w:right="82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公司报告期不存在处罚及整改情况。</w:t>
      </w:r>
    </w:p>
    <w:p>
      <w:pPr>
        <w:spacing w:line="240" w:lineRule="auto" w:before="0"/>
        <w:rPr>
          <w:rFonts w:ascii="宋体" w:hAnsi="宋体" w:cs="宋体" w:eastAsia="宋体" w:hint="default"/>
          <w:sz w:val="23"/>
          <w:szCs w:val="23"/>
        </w:rPr>
      </w:pPr>
    </w:p>
    <w:p>
      <w:pPr>
        <w:pStyle w:val="Heading2"/>
        <w:spacing w:line="240" w:lineRule="auto"/>
        <w:ind w:left="140" w:right="609"/>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7"/>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left="140" w:right="609"/>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460" w:lineRule="auto"/>
        <w:ind w:left="140" w:right="609"/>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日，经公司第三届董事会第十七次会议通过了《关于向激励对象授予</w:t>
      </w:r>
      <w:r>
        <w:rPr>
          <w:rFonts w:ascii="Times New Roman" w:hAnsi="Times New Roman" w:cs="Times New Roman" w:eastAsia="Times New Roman" w:hint="default"/>
          <w:spacing w:val="-3"/>
        </w:rPr>
        <w:t>2018</w:t>
      </w:r>
      <w:r>
        <w:rPr>
          <w:spacing w:val="-3"/>
        </w:rPr>
        <w:t>年股权激励计划预留部分限制性股票的议案》，</w:t>
      </w:r>
      <w:r>
        <w:rPr>
          <w:spacing w:val="-42"/>
        </w:rPr>
        <w:t> </w:t>
      </w:r>
      <w:r>
        <w:rPr>
          <w:spacing w:val="-42"/>
        </w:rPr>
      </w:r>
      <w:r>
        <w:rPr/>
        <w:t>同意拟向</w:t>
      </w:r>
      <w:r>
        <w:rPr>
          <w:rFonts w:ascii="Times New Roman" w:hAnsi="Times New Roman" w:cs="Times New Roman" w:eastAsia="Times New Roman" w:hint="default"/>
        </w:rPr>
        <w:t>22</w:t>
      </w:r>
      <w:r>
        <w:rPr/>
        <w:t>名激励对象合计授予</w:t>
      </w:r>
      <w:r>
        <w:rPr>
          <w:rFonts w:ascii="Times New Roman" w:hAnsi="Times New Roman" w:cs="Times New Roman" w:eastAsia="Times New Roman" w:hint="default"/>
        </w:rPr>
        <w:t>96.50</w:t>
      </w:r>
      <w:r>
        <w:rPr/>
        <w:t>万股限制性股票，并确定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日为授予日。公司独立董事对公司上述预留部分授予事项发 表了同意的独立意见，公司监事会亦对该议案发表了明确的审核意见。律师事务所就前述授予事项出具了法律意见书。 </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15</w:t>
      </w:r>
      <w:r>
        <w:rPr>
          <w:spacing w:val="-4"/>
        </w:rPr>
        <w:t>日，公司对授予激励对象名单的姓名和职务在公司内部进行了公示，在公示期内，公司监事会未接到与</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年股权激励计划预留部分拟激励对象有关的任何异议。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日，公司监事会发表了《监事会关于</w:t>
      </w:r>
      <w:r>
        <w:rPr>
          <w:rFonts w:ascii="Times New Roman" w:hAnsi="Times New Roman" w:cs="Times New Roman" w:eastAsia="Times New Roman" w:hint="default"/>
        </w:rPr>
        <w:t>2018</w:t>
      </w:r>
      <w:r>
        <w:rPr/>
        <w:t>年股权激励计划预留部分 限制性股票激励对象名单的审核意见及公示情况说明》。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日，天健会计师事务所（特殊普通合伙）就激励对象缴款事项出具了验资报告。本次授予股票已于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日公司在</w:t>
      </w:r>
      <w:r>
        <w:rPr>
          <w:spacing w:val="-80"/>
        </w:rPr>
        <w:t> </w:t>
      </w:r>
      <w:r>
        <w:rPr/>
        <w:t>中国证券登记结算公司深圳分公司办理完登记手续并上市。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日，公司已在中国证券登记结算有限责任公司深圳分公司办理完成合计</w:t>
      </w:r>
      <w:r>
        <w:rPr>
          <w:rFonts w:ascii="Times New Roman" w:hAnsi="Times New Roman" w:cs="Times New Roman" w:eastAsia="Times New Roman" w:hint="default"/>
        </w:rPr>
        <w:t>84,761</w:t>
      </w:r>
      <w:r>
        <w:rPr/>
        <w:t>股限制性股票的回购注销手续。</w:t>
      </w:r>
    </w:p>
    <w:p>
      <w:pPr>
        <w:pStyle w:val="BodyText"/>
        <w:spacing w:line="448" w:lineRule="auto" w:before="33"/>
        <w:ind w:left="140" w:right="60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日，经公司第三届董事会第二十一次会议、第三届监事会第二十次会议审议通过了《关于调整公司</w:t>
      </w:r>
      <w:r>
        <w:rPr>
          <w:rFonts w:ascii="Times New Roman" w:hAnsi="Times New Roman" w:cs="Times New Roman" w:eastAsia="Times New Roman" w:hint="default"/>
        </w:rPr>
        <w:t>2018</w:t>
      </w:r>
      <w:r>
        <w:rPr/>
        <w:t>年股权激励计</w:t>
      </w:r>
      <w:r>
        <w:rPr>
          <w:spacing w:val="-81"/>
        </w:rPr>
        <w:t> </w:t>
      </w:r>
      <w:r>
        <w:rPr>
          <w:spacing w:val="-1"/>
        </w:rPr>
        <w:t>划相关事项的议案》，对</w:t>
      </w:r>
      <w:r>
        <w:rPr>
          <w:rFonts w:ascii="Times New Roman" w:hAnsi="Times New Roman" w:cs="Times New Roman" w:eastAsia="Times New Roman" w:hint="default"/>
          <w:spacing w:val="-1"/>
        </w:rPr>
        <w:t>2018</w:t>
      </w:r>
      <w:r>
        <w:rPr>
          <w:spacing w:val="-1"/>
        </w:rPr>
        <w:t>年股权激励计划的授予数量、授予价格进行了调整，将授予总数由</w:t>
      </w:r>
      <w:r>
        <w:rPr>
          <w:rFonts w:ascii="Times New Roman" w:hAnsi="Times New Roman" w:cs="Times New Roman" w:eastAsia="Times New Roman" w:hint="default"/>
          <w:spacing w:val="-1"/>
        </w:rPr>
        <w:t>1,657.9619</w:t>
      </w:r>
      <w:r>
        <w:rPr>
          <w:spacing w:val="-1"/>
        </w:rPr>
        <w:t>万股调整为</w:t>
      </w:r>
      <w:r>
        <w:rPr>
          <w:rFonts w:ascii="Times New Roman" w:hAnsi="Times New Roman" w:cs="Times New Roman" w:eastAsia="Times New Roman" w:hint="default"/>
          <w:spacing w:val="-1"/>
        </w:rPr>
        <w:t>2,815.7732</w:t>
      </w:r>
      <w:r>
        <w:rPr>
          <w:spacing w:val="-1"/>
        </w:rPr>
        <w:t>万股，</w:t>
      </w:r>
      <w:r>
        <w:rPr>
          <w:spacing w:val="-68"/>
        </w:rPr>
        <w:t> </w:t>
      </w:r>
      <w:r>
        <w:rPr/>
        <w:t>其中，首次授予限制性股票的数量由</w:t>
      </w:r>
      <w:r>
        <w:rPr>
          <w:rFonts w:ascii="Times New Roman" w:hAnsi="Times New Roman" w:cs="Times New Roman" w:eastAsia="Times New Roman" w:hint="default"/>
        </w:rPr>
        <w:t>1,561.4619</w:t>
      </w:r>
      <w:r>
        <w:rPr/>
        <w:t>万股调整为</w:t>
      </w:r>
      <w:r>
        <w:rPr>
          <w:rFonts w:ascii="Times New Roman" w:hAnsi="Times New Roman" w:cs="Times New Roman" w:eastAsia="Times New Roman" w:hint="default"/>
        </w:rPr>
        <w:t>2,651.8838</w:t>
      </w:r>
      <w:r>
        <w:rPr/>
        <w:t>万股，首次授予价格由</w:t>
      </w:r>
      <w:r>
        <w:rPr>
          <w:rFonts w:ascii="Times New Roman" w:hAnsi="Times New Roman" w:cs="Times New Roman" w:eastAsia="Times New Roman" w:hint="default"/>
        </w:rPr>
        <w:t>5.681</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3.33</w:t>
      </w:r>
      <w:r>
        <w:rPr/>
        <w:t>元</w:t>
      </w:r>
      <w:r>
        <w:rPr>
          <w:rFonts w:ascii="Times New Roman" w:hAnsi="Times New Roman" w:cs="Times New Roman" w:eastAsia="Times New Roman" w:hint="default"/>
        </w:rPr>
        <w:t>/</w:t>
      </w:r>
      <w:r>
        <w:rPr/>
        <w:t>股；预留部分限制</w:t>
      </w:r>
    </w:p>
    <w:p>
      <w:pPr>
        <w:spacing w:after="0" w:line="448" w:lineRule="auto"/>
        <w:jc w:val="left"/>
        <w:sectPr>
          <w:pgSz w:w="11910" w:h="16850"/>
          <w:pgMar w:header="776" w:footer="1026" w:top="1100" w:bottom="1220" w:left="580" w:right="0"/>
        </w:sectPr>
      </w:pPr>
    </w:p>
    <w:p>
      <w:pPr>
        <w:spacing w:line="240" w:lineRule="auto" w:before="2"/>
        <w:rPr>
          <w:rFonts w:ascii="宋体" w:hAnsi="宋体" w:cs="宋体" w:eastAsia="宋体" w:hint="default"/>
          <w:sz w:val="11"/>
          <w:szCs w:val="11"/>
        </w:rPr>
      </w:pPr>
    </w:p>
    <w:p>
      <w:pPr>
        <w:pStyle w:val="BodyText"/>
        <w:spacing w:line="456" w:lineRule="auto" w:before="44"/>
        <w:ind w:left="140" w:right="703"/>
        <w:jc w:val="left"/>
      </w:pPr>
      <w:r>
        <w:rPr/>
        <w:t>性股票数量由</w:t>
      </w:r>
      <w:r>
        <w:rPr>
          <w:rFonts w:ascii="Times New Roman" w:hAnsi="Times New Roman" w:cs="Times New Roman" w:eastAsia="Times New Roman" w:hint="default"/>
        </w:rPr>
        <w:t>96.50</w:t>
      </w:r>
      <w:r>
        <w:rPr/>
        <w:t>万股调整为</w:t>
      </w:r>
      <w:r>
        <w:rPr>
          <w:rFonts w:ascii="Times New Roman" w:hAnsi="Times New Roman" w:cs="Times New Roman" w:eastAsia="Times New Roman" w:hint="default"/>
        </w:rPr>
        <w:t>163.8894</w:t>
      </w:r>
      <w:r>
        <w:rPr/>
        <w:t>万股，预留部分授予价格由</w:t>
      </w:r>
      <w:r>
        <w:rPr>
          <w:rFonts w:ascii="Times New Roman" w:hAnsi="Times New Roman" w:cs="Times New Roman" w:eastAsia="Times New Roman" w:hint="default"/>
        </w:rPr>
        <w:t>5.94</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3.48</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日，公司第二期激励计划首次授予限制性股票第三个解锁期和预留部分限制性股票第二个解锁期解锁条件达成，</w:t>
      </w:r>
      <w:r>
        <w:rPr>
          <w:rFonts w:ascii="Times New Roman" w:hAnsi="Times New Roman" w:cs="Times New Roman" w:eastAsia="Times New Roman" w:hint="default"/>
          <w:spacing w:val="-1"/>
        </w:rPr>
        <w:t>57</w:t>
      </w:r>
      <w:r>
        <w:rPr>
          <w:spacing w:val="-1"/>
        </w:rPr>
        <w:t>名激</w:t>
      </w:r>
      <w:r>
        <w:rPr>
          <w:spacing w:val="-77"/>
        </w:rPr>
        <w:t> </w:t>
      </w:r>
      <w:r>
        <w:rPr/>
        <w:t>励对象持有的共</w:t>
      </w:r>
      <w:r>
        <w:rPr>
          <w:rFonts w:ascii="Times New Roman" w:hAnsi="Times New Roman" w:cs="Times New Roman" w:eastAsia="Times New Roman" w:hint="default"/>
        </w:rPr>
        <w:t>1,050,981</w:t>
      </w:r>
      <w:r>
        <w:rPr/>
        <w:t>股股票上市流通。 </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27</w:t>
      </w:r>
      <w:r>
        <w:rPr>
          <w:spacing w:val="-1"/>
        </w:rPr>
        <w:t>日，公司</w:t>
      </w:r>
      <w:r>
        <w:rPr>
          <w:rFonts w:ascii="Times New Roman" w:hAnsi="Times New Roman" w:cs="Times New Roman" w:eastAsia="Times New Roman" w:hint="default"/>
          <w:spacing w:val="-1"/>
        </w:rPr>
        <w:t>2018</w:t>
      </w:r>
      <w:r>
        <w:rPr>
          <w:spacing w:val="-1"/>
        </w:rPr>
        <w:t>年股权激励计划首次授予限制性股票第一个考核期解除限售条件达成，</w:t>
      </w:r>
      <w:r>
        <w:rPr>
          <w:rFonts w:ascii="Times New Roman" w:hAnsi="Times New Roman" w:cs="Times New Roman" w:eastAsia="Times New Roman" w:hint="default"/>
          <w:spacing w:val="-1"/>
        </w:rPr>
        <w:t>181</w:t>
      </w:r>
      <w:r>
        <w:rPr>
          <w:spacing w:val="-1"/>
        </w:rPr>
        <w:t>名激励对象持有的共</w:t>
      </w:r>
      <w:r>
        <w:rPr>
          <w:rFonts w:ascii="Times New Roman" w:hAnsi="Times New Roman" w:cs="Times New Roman" w:eastAsia="Times New Roman" w:hint="default"/>
          <w:spacing w:val="-1"/>
        </w:rPr>
        <w:t>9,993,650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股股票上市流通。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2018</w:t>
      </w:r>
      <w:r>
        <w:rPr/>
        <w:t>年股权激励计划授予期权第一个行权期行权条件达成，</w:t>
      </w:r>
      <w:r>
        <w:rPr>
          <w:rFonts w:ascii="Times New Roman" w:hAnsi="Times New Roman" w:cs="Times New Roman" w:eastAsia="Times New Roman" w:hint="default"/>
        </w:rPr>
        <w:t>4</w:t>
      </w:r>
      <w:r>
        <w:rPr/>
        <w:t>名激励对象行权共</w:t>
      </w:r>
      <w:r>
        <w:rPr>
          <w:rFonts w:ascii="Times New Roman" w:hAnsi="Times New Roman" w:cs="Times New Roman" w:eastAsia="Times New Roman" w:hint="default"/>
        </w:rPr>
        <w:t>444,600</w:t>
      </w:r>
      <w:r>
        <w:rPr/>
        <w:t>股。</w:t>
      </w:r>
    </w:p>
    <w:p>
      <w:pPr>
        <w:pStyle w:val="BodyText"/>
        <w:spacing w:line="240" w:lineRule="auto" w:before="37"/>
        <w:ind w:left="140" w:right="609"/>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日，公司已在中国证券登记结算有限责任公司深圳分公司办理完成合计</w:t>
      </w:r>
      <w:r>
        <w:rPr>
          <w:rFonts w:ascii="Times New Roman" w:hAnsi="Times New Roman" w:cs="Times New Roman" w:eastAsia="Times New Roman" w:hint="default"/>
        </w:rPr>
        <w:t>68,550</w:t>
      </w:r>
      <w:r>
        <w:rPr/>
        <w:t>股限制性股票的回购注销手续。</w:t>
      </w:r>
    </w:p>
    <w:p>
      <w:pPr>
        <w:spacing w:line="240" w:lineRule="auto" w:before="6"/>
        <w:rPr>
          <w:rFonts w:ascii="宋体" w:hAnsi="宋体" w:cs="宋体" w:eastAsia="宋体" w:hint="default"/>
          <w:sz w:val="16"/>
          <w:szCs w:val="16"/>
        </w:rPr>
      </w:pPr>
    </w:p>
    <w:p>
      <w:pPr>
        <w:pStyle w:val="BodyText"/>
        <w:spacing w:line="240" w:lineRule="auto"/>
        <w:ind w:left="140" w:right="609"/>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日，公司已在中国证券登记结算有限责任公司深圳分公司办理完成合计</w:t>
      </w:r>
      <w:r>
        <w:rPr>
          <w:rFonts w:ascii="Times New Roman" w:hAnsi="Times New Roman" w:cs="Times New Roman" w:eastAsia="Times New Roman" w:hint="default"/>
        </w:rPr>
        <w:t>590,405</w:t>
      </w:r>
      <w:r>
        <w:rPr/>
        <w:t>股限制性股票的回购注销手续。</w:t>
      </w:r>
    </w:p>
    <w:p>
      <w:pPr>
        <w:spacing w:line="240" w:lineRule="auto" w:before="9"/>
        <w:rPr>
          <w:rFonts w:ascii="宋体" w:hAnsi="宋体" w:cs="宋体" w:eastAsia="宋体" w:hint="default"/>
          <w:sz w:val="17"/>
          <w:szCs w:val="17"/>
        </w:rPr>
      </w:pPr>
    </w:p>
    <w:p>
      <w:pPr>
        <w:pStyle w:val="BodyText"/>
        <w:spacing w:line="477" w:lineRule="auto"/>
        <w:ind w:left="140" w:right="609"/>
        <w:jc w:val="left"/>
      </w:pPr>
      <w:r>
        <w:rPr>
          <w:rFonts w:ascii="Times New Roman" w:hAnsi="Times New Roman" w:cs="Times New Roman" w:eastAsia="Times New Roman" w:hint="default"/>
        </w:rPr>
        <w:t>9</w:t>
      </w:r>
      <w:r>
        <w:rPr/>
        <w:t>、截至本报告期末，公司确认前述股权激励计划在本报告期内的股权激励成本共计</w:t>
      </w:r>
      <w:r>
        <w:rPr>
          <w:rFonts w:ascii="Times New Roman" w:hAnsi="Times New Roman" w:cs="Times New Roman" w:eastAsia="Times New Roman" w:hint="default"/>
        </w:rPr>
        <w:t>1,805.03</w:t>
      </w:r>
      <w:r>
        <w:rPr/>
        <w:t>万元。</w:t>
      </w:r>
      <w:r>
        <w:rPr>
          <w:spacing w:val="-81"/>
        </w:rPr>
        <w:t> </w:t>
      </w: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48" w:lineRule="auto" w:before="64"/>
        <w:ind w:left="140" w:right="609"/>
        <w:jc w:val="left"/>
      </w:pPr>
      <w:r>
        <w:rPr>
          <w:spacing w:val="-2"/>
        </w:rPr>
        <w:t>截至本报告期末，公司确认前述股权激励计划在本报告期内的股权激励成本共计</w:t>
      </w:r>
      <w:r>
        <w:rPr>
          <w:rFonts w:ascii="Times New Roman" w:hAnsi="Times New Roman" w:cs="Times New Roman" w:eastAsia="Times New Roman" w:hint="default"/>
          <w:spacing w:val="-2"/>
        </w:rPr>
        <w:t>1,805.03</w:t>
      </w:r>
      <w:r>
        <w:rPr>
          <w:spacing w:val="-2"/>
        </w:rPr>
        <w:t>万元，占本期净利润的</w:t>
      </w:r>
      <w:r>
        <w:rPr>
          <w:rFonts w:ascii="Times New Roman" w:hAnsi="Times New Roman" w:cs="Times New Roman" w:eastAsia="Times New Roman" w:hint="default"/>
          <w:spacing w:val="-2"/>
        </w:rPr>
        <w:t>10.37%</w:t>
      </w:r>
      <w:r>
        <w:rPr>
          <w:spacing w:val="-2"/>
        </w:rPr>
        <w:t>，本期核心技术</w:t>
      </w:r>
      <w:r>
        <w:rPr>
          <w:spacing w:val="-27"/>
        </w:rPr>
        <w:t> </w:t>
      </w:r>
      <w:r>
        <w:rPr>
          <w:spacing w:val="-27"/>
        </w:rPr>
      </w:r>
      <w:r>
        <w:rPr/>
        <w:t>人员的股权激励费用占公司当期股权激励费用的比重为</w:t>
      </w:r>
      <w:r>
        <w:rPr>
          <w:rFonts w:ascii="Times New Roman" w:hAnsi="Times New Roman" w:cs="Times New Roman" w:eastAsia="Times New Roman" w:hint="default"/>
        </w:rPr>
        <w:t>23.10%</w:t>
      </w:r>
      <w:r>
        <w:rPr/>
        <w:t>。</w:t>
      </w:r>
    </w:p>
    <w:p>
      <w:pPr>
        <w:spacing w:line="240" w:lineRule="auto" w:before="4"/>
        <w:rPr>
          <w:rFonts w:ascii="宋体" w:hAnsi="宋体" w:cs="宋体" w:eastAsia="宋体" w:hint="default"/>
          <w:sz w:val="24"/>
          <w:szCs w:val="24"/>
        </w:rPr>
      </w:pPr>
    </w:p>
    <w:p>
      <w:pPr>
        <w:pStyle w:val="Heading2"/>
        <w:spacing w:line="240" w:lineRule="auto"/>
        <w:ind w:left="140" w:right="609"/>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left="140" w:right="609"/>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6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公司报告期未发生与日常经营相关的关联交易。</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68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公司报告期未发生资产或股权收购、出售的关联交易。</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7" w:lineRule="auto"/>
        <w:ind w:left="140" w:right="7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公司报告期未发生共同对外投资的关联交易。</w:t>
      </w:r>
    </w:p>
    <w:p>
      <w:pPr>
        <w:spacing w:line="240" w:lineRule="auto" w:before="7"/>
        <w:rPr>
          <w:rFonts w:ascii="宋体" w:hAnsi="宋体" w:cs="宋体" w:eastAsia="宋体" w:hint="default"/>
          <w:sz w:val="26"/>
          <w:szCs w:val="26"/>
        </w:rPr>
      </w:pPr>
    </w:p>
    <w:p>
      <w:pPr>
        <w:pStyle w:val="Heading3"/>
        <w:spacing w:line="240" w:lineRule="auto"/>
        <w:ind w:left="140" w:right="609"/>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76" w:footer="1026" w:top="1100" w:bottom="1220" w:left="580" w:right="0"/>
        </w:sectPr>
      </w:pPr>
    </w:p>
    <w:p>
      <w:pPr>
        <w:spacing w:line="240" w:lineRule="auto" w:before="13"/>
        <w:rPr>
          <w:rFonts w:ascii="宋体" w:hAnsi="宋体" w:cs="宋体" w:eastAsia="宋体" w:hint="default"/>
          <w:sz w:val="9"/>
          <w:szCs w:val="9"/>
        </w:rPr>
      </w:pPr>
    </w:p>
    <w:p>
      <w:pPr>
        <w:pStyle w:val="BodyText"/>
        <w:spacing w:line="240" w:lineRule="auto" w:before="44"/>
        <w:ind w:left="140" w:right="609"/>
        <w:jc w:val="left"/>
      </w:pPr>
      <w:r>
        <w:rPr/>
        <w:t>公司报告期不存在关联债权债务往来。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left="140" w:right="609"/>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8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公司报告期无其他重大关联交易。</w:t>
      </w:r>
    </w:p>
    <w:p>
      <w:pPr>
        <w:spacing w:line="240" w:lineRule="auto" w:before="2"/>
        <w:rPr>
          <w:rFonts w:ascii="宋体" w:hAnsi="宋体" w:cs="宋体" w:eastAsia="宋体" w:hint="default"/>
          <w:sz w:val="24"/>
          <w:szCs w:val="24"/>
        </w:rPr>
      </w:pPr>
    </w:p>
    <w:p>
      <w:pPr>
        <w:pStyle w:val="Heading2"/>
        <w:spacing w:line="240" w:lineRule="auto"/>
        <w:ind w:left="140" w:right="609"/>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left="140" w:right="609"/>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left="140" w:right="609"/>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8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公司报告期不存在托管情况。</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8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公司报告期不存在承包情况。</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7" w:lineRule="auto"/>
        <w:ind w:left="140" w:right="8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公司报告期不存在租赁情况。</w:t>
      </w:r>
    </w:p>
    <w:p>
      <w:pPr>
        <w:spacing w:line="240" w:lineRule="auto" w:before="7"/>
        <w:rPr>
          <w:rFonts w:ascii="宋体" w:hAnsi="宋体" w:cs="宋体" w:eastAsia="宋体" w:hint="default"/>
          <w:sz w:val="26"/>
          <w:szCs w:val="26"/>
        </w:rPr>
      </w:pPr>
    </w:p>
    <w:p>
      <w:pPr>
        <w:pStyle w:val="Heading3"/>
        <w:spacing w:line="240" w:lineRule="auto"/>
        <w:ind w:left="140" w:right="609"/>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left="140" w:right="609"/>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706"/>
        <w:jc w:val="right"/>
      </w:pPr>
      <w:r>
        <w:rPr/>
        <w:t>单位：万元</w:t>
      </w:r>
    </w:p>
    <w:p>
      <w:pPr>
        <w:spacing w:after="0" w:line="240" w:lineRule="auto"/>
        <w:jc w:val="right"/>
        <w:sectPr>
          <w:pgSz w:w="11910" w:h="16850"/>
          <w:pgMar w:header="776" w:footer="1026" w:top="11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1717"/>
        <w:gridCol w:w="913"/>
        <w:gridCol w:w="925"/>
        <w:gridCol w:w="1316"/>
        <w:gridCol w:w="1052"/>
        <w:gridCol w:w="1046"/>
        <w:gridCol w:w="1044"/>
        <w:gridCol w:w="789"/>
        <w:gridCol w:w="781"/>
      </w:tblGrid>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37"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1" w:hRule="exact"/>
        </w:trPr>
        <w:tc>
          <w:tcPr>
            <w:tcW w:w="1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9" w:right="7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31" w:right="6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7" w:right="1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9" w:right="15"/>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1" w:hRule="exact"/>
        </w:trPr>
        <w:tc>
          <w:tcPr>
            <w:tcW w:w="17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9" w:right="7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31" w:right="6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9" w:right="15"/>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52" w:hRule="exact"/>
        </w:trPr>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 w:right="51"/>
              <w:jc w:val="left"/>
              <w:rPr>
                <w:rFonts w:ascii="宋体" w:hAnsi="宋体" w:cs="宋体" w:eastAsia="宋体" w:hint="default"/>
                <w:sz w:val="18"/>
                <w:szCs w:val="18"/>
              </w:rPr>
            </w:pPr>
            <w:r>
              <w:rPr>
                <w:rFonts w:ascii="宋体" w:hAnsi="宋体" w:cs="宋体" w:eastAsia="宋体" w:hint="default"/>
                <w:sz w:val="18"/>
                <w:szCs w:val="18"/>
              </w:rPr>
              <w:t>深圳市润安科技发展 有限公司</w:t>
            </w:r>
          </w:p>
        </w:tc>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3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2,800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4" w:right="10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11"/>
              <w:jc w:val="both"/>
              <w:rPr>
                <w:rFonts w:ascii="宋体" w:hAnsi="宋体" w:cs="宋体" w:eastAsia="宋体" w:hint="default"/>
                <w:sz w:val="18"/>
                <w:szCs w:val="18"/>
              </w:rPr>
            </w:pPr>
            <w:r>
              <w:rPr>
                <w:rFonts w:ascii="宋体" w:hAnsi="宋体" w:cs="宋体" w:eastAsia="宋体" w:hint="default"/>
                <w:sz w:val="18"/>
                <w:szCs w:val="18"/>
              </w:rPr>
              <w:t>实际融资项 下债务履行 期限届满起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26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30" w:right="6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1" w:type="dxa"/>
            <w:gridSpan w:val="2"/>
            <w:tcBorders>
              <w:top w:val="single" w:sz="6" w:space="0" w:color="000000"/>
              <w:left w:val="single" w:sz="6" w:space="0" w:color="000000"/>
              <w:bottom w:val="single" w:sz="6" w:space="0" w:color="000000"/>
              <w:right w:val="single" w:sz="18"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25"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2,800</w:t>
            </w:r>
          </w:p>
        </w:tc>
      </w:tr>
      <w:tr>
        <w:trPr>
          <w:trHeight w:val="720" w:hRule="exact"/>
        </w:trPr>
        <w:tc>
          <w:tcPr>
            <w:tcW w:w="26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0" w:right="6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1" w:type="dxa"/>
            <w:gridSpan w:val="2"/>
            <w:tcBorders>
              <w:top w:val="single" w:sz="6" w:space="0" w:color="000000"/>
              <w:left w:val="single" w:sz="6" w:space="0" w:color="000000"/>
              <w:bottom w:val="single" w:sz="6" w:space="0" w:color="000000"/>
              <w:right w:val="single" w:sz="18"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5"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2,560</w:t>
            </w:r>
          </w:p>
        </w:tc>
      </w:tr>
      <w:tr>
        <w:trPr>
          <w:trHeight w:val="406"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7" w:hRule="exact"/>
        </w:trPr>
        <w:tc>
          <w:tcPr>
            <w:tcW w:w="1717" w:type="dxa"/>
            <w:vMerge w:val="restart"/>
            <w:tcBorders>
              <w:top w:val="single" w:sz="6" w:space="0" w:color="000000"/>
              <w:left w:val="single" w:sz="6" w:space="0" w:color="000000"/>
              <w:right w:val="single" w:sz="6" w:space="0" w:color="000000"/>
            </w:tcBorders>
            <w:shd w:val="clear" w:color="auto" w:fill="D2D2D2"/>
          </w:tcPr>
          <w:p>
            <w:pPr/>
          </w:p>
        </w:tc>
        <w:tc>
          <w:tcPr>
            <w:tcW w:w="913"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29"/>
              <w:ind w:left="84"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6" w:space="0" w:color="000000"/>
              <w:left w:val="single" w:sz="6" w:space="0" w:color="000000"/>
              <w:right w:val="single" w:sz="6" w:space="0" w:color="000000"/>
            </w:tcBorders>
            <w:shd w:val="clear" w:color="auto" w:fill="D2D2D2"/>
          </w:tcPr>
          <w:p>
            <w:pPr/>
          </w:p>
        </w:tc>
        <w:tc>
          <w:tcPr>
            <w:tcW w:w="1316" w:type="dxa"/>
            <w:vMerge w:val="restart"/>
            <w:tcBorders>
              <w:top w:val="single" w:sz="6" w:space="0" w:color="000000"/>
              <w:left w:val="single" w:sz="6" w:space="0" w:color="000000"/>
              <w:right w:val="single" w:sz="6" w:space="0" w:color="000000"/>
            </w:tcBorders>
            <w:shd w:val="clear" w:color="auto" w:fill="D2D2D2"/>
          </w:tcPr>
          <w:p>
            <w:pPr/>
          </w:p>
        </w:tc>
        <w:tc>
          <w:tcPr>
            <w:tcW w:w="105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46" w:type="dxa"/>
            <w:vMerge w:val="restart"/>
            <w:tcBorders>
              <w:top w:val="single" w:sz="6" w:space="0" w:color="000000"/>
              <w:left w:val="single" w:sz="6" w:space="0" w:color="000000"/>
              <w:right w:val="single" w:sz="6" w:space="0" w:color="000000"/>
            </w:tcBorders>
            <w:shd w:val="clear" w:color="auto" w:fill="D2D2D2"/>
          </w:tcPr>
          <w:p>
            <w:pPr/>
          </w:p>
        </w:tc>
        <w:tc>
          <w:tcPr>
            <w:tcW w:w="1044" w:type="dxa"/>
            <w:vMerge w:val="restart"/>
            <w:tcBorders>
              <w:top w:val="single" w:sz="6" w:space="0" w:color="000000"/>
              <w:left w:val="single" w:sz="6" w:space="0" w:color="000000"/>
              <w:right w:val="single" w:sz="6" w:space="0" w:color="000000"/>
            </w:tcBorders>
            <w:shd w:val="clear" w:color="auto" w:fill="D2D2D2"/>
          </w:tcPr>
          <w:p>
            <w:pPr/>
          </w:p>
        </w:tc>
        <w:tc>
          <w:tcPr>
            <w:tcW w:w="789"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717" w:type="dxa"/>
            <w:vMerge/>
            <w:tcBorders>
              <w:left w:val="single" w:sz="6" w:space="0" w:color="000000"/>
              <w:bottom w:val="nil" w:sz="6" w:space="0" w:color="auto"/>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5" w:type="dxa"/>
            <w:vMerge/>
            <w:tcBorders>
              <w:left w:val="single" w:sz="6" w:space="0" w:color="000000"/>
              <w:bottom w:val="nil" w:sz="6" w:space="0" w:color="auto"/>
              <w:right w:val="single" w:sz="6" w:space="0" w:color="000000"/>
            </w:tcBorders>
            <w:shd w:val="clear" w:color="auto" w:fill="D2D2D2"/>
          </w:tcPr>
          <w:p>
            <w:pPr/>
          </w:p>
        </w:tc>
        <w:tc>
          <w:tcPr>
            <w:tcW w:w="1316" w:type="dxa"/>
            <w:vMerge/>
            <w:tcBorders>
              <w:left w:val="single" w:sz="6" w:space="0" w:color="000000"/>
              <w:bottom w:val="nil" w:sz="6" w:space="0" w:color="auto"/>
              <w:right w:val="single" w:sz="6" w:space="0" w:color="000000"/>
            </w:tcBorders>
            <w:shd w:val="clear" w:color="auto" w:fill="D2D2D2"/>
          </w:tcPr>
          <w:p>
            <w:pPr/>
          </w:p>
        </w:tc>
        <w:tc>
          <w:tcPr>
            <w:tcW w:w="1052"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431" w:right="6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bottom w:val="nil" w:sz="6" w:space="0" w:color="auto"/>
              <w:right w:val="single" w:sz="6" w:space="0" w:color="000000"/>
            </w:tcBorders>
            <w:shd w:val="clear" w:color="auto" w:fill="D2D2D2"/>
          </w:tcPr>
          <w:p>
            <w:pPr/>
          </w:p>
        </w:tc>
        <w:tc>
          <w:tcPr>
            <w:tcW w:w="789"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4"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6" w:space="0" w:color="000000"/>
              <w:right w:val="single" w:sz="6" w:space="0" w:color="000000"/>
            </w:tcBorders>
            <w:shd w:val="clear" w:color="auto" w:fill="D2D2D2"/>
          </w:tcPr>
          <w:p>
            <w:pPr/>
          </w:p>
        </w:tc>
        <w:tc>
          <w:tcPr>
            <w:tcW w:w="92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6" w:space="0" w:color="000000"/>
              <w:right w:val="single" w:sz="6" w:space="0" w:color="000000"/>
            </w:tcBorders>
            <w:shd w:val="clear" w:color="auto" w:fill="D2D2D2"/>
          </w:tcPr>
          <w:p>
            <w:pPr/>
          </w:p>
        </w:tc>
        <w:tc>
          <w:tcPr>
            <w:tcW w:w="10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65" w:hRule="exact"/>
        </w:trPr>
        <w:tc>
          <w:tcPr>
            <w:tcW w:w="1717" w:type="dxa"/>
            <w:vMerge w:val="restart"/>
            <w:tcBorders>
              <w:top w:val="nil" w:sz="6" w:space="0" w:color="auto"/>
              <w:left w:val="single" w:sz="6" w:space="0" w:color="000000"/>
              <w:right w:val="single" w:sz="6" w:space="0" w:color="000000"/>
            </w:tcBorders>
            <w:shd w:val="clear" w:color="auto" w:fill="D2D2D2"/>
          </w:tcPr>
          <w:p>
            <w:pPr/>
          </w:p>
        </w:tc>
        <w:tc>
          <w:tcPr>
            <w:tcW w:w="913" w:type="dxa"/>
            <w:vMerge/>
            <w:tcBorders>
              <w:left w:val="single" w:sz="6" w:space="0" w:color="000000"/>
              <w:right w:val="single" w:sz="6" w:space="0" w:color="000000"/>
            </w:tcBorders>
            <w:shd w:val="clear" w:color="auto" w:fill="D2D2D2"/>
          </w:tcPr>
          <w:p>
            <w:pPr/>
          </w:p>
        </w:tc>
        <w:tc>
          <w:tcPr>
            <w:tcW w:w="925" w:type="dxa"/>
            <w:vMerge w:val="restart"/>
            <w:tcBorders>
              <w:top w:val="nil" w:sz="6" w:space="0" w:color="auto"/>
              <w:left w:val="single" w:sz="6" w:space="0" w:color="000000"/>
              <w:right w:val="single" w:sz="6" w:space="0" w:color="000000"/>
            </w:tcBorders>
            <w:shd w:val="clear" w:color="auto" w:fill="D2D2D2"/>
          </w:tcPr>
          <w:p>
            <w:pPr/>
          </w:p>
        </w:tc>
        <w:tc>
          <w:tcPr>
            <w:tcW w:w="1316" w:type="dxa"/>
            <w:vMerge w:val="restart"/>
            <w:tcBorders>
              <w:top w:val="nil" w:sz="6" w:space="0" w:color="auto"/>
              <w:left w:val="single" w:sz="6" w:space="0" w:color="000000"/>
              <w:right w:val="single" w:sz="6" w:space="0" w:color="000000"/>
            </w:tcBorders>
            <w:shd w:val="clear" w:color="auto" w:fill="D2D2D2"/>
          </w:tcPr>
          <w:p>
            <w:pPr/>
          </w:p>
        </w:tc>
        <w:tc>
          <w:tcPr>
            <w:tcW w:w="1052" w:type="dxa"/>
            <w:vMerge/>
            <w:tcBorders>
              <w:left w:val="single" w:sz="6" w:space="0" w:color="000000"/>
              <w:bottom w:val="nil" w:sz="6" w:space="0" w:color="auto"/>
              <w:right w:val="single" w:sz="6" w:space="0" w:color="000000"/>
            </w:tcBorders>
            <w:shd w:val="clear" w:color="auto" w:fill="D2D2D2"/>
          </w:tcPr>
          <w:p>
            <w:pPr/>
          </w:p>
        </w:tc>
        <w:tc>
          <w:tcPr>
            <w:tcW w:w="1046" w:type="dxa"/>
            <w:vMerge/>
            <w:tcBorders>
              <w:left w:val="single" w:sz="6" w:space="0" w:color="000000"/>
              <w:right w:val="single" w:sz="6" w:space="0" w:color="000000"/>
            </w:tcBorders>
            <w:shd w:val="clear" w:color="auto" w:fill="D2D2D2"/>
          </w:tcPr>
          <w:p>
            <w:pPr/>
          </w:p>
        </w:tc>
        <w:tc>
          <w:tcPr>
            <w:tcW w:w="1044" w:type="dxa"/>
            <w:vMerge w:val="restart"/>
            <w:tcBorders>
              <w:top w:val="nil" w:sz="6" w:space="0" w:color="auto"/>
              <w:left w:val="single" w:sz="6" w:space="0" w:color="000000"/>
              <w:right w:val="single" w:sz="6" w:space="0" w:color="000000"/>
            </w:tcBorders>
            <w:shd w:val="clear" w:color="auto" w:fill="D2D2D2"/>
          </w:tcPr>
          <w:p>
            <w:pPr/>
          </w:p>
        </w:tc>
        <w:tc>
          <w:tcPr>
            <w:tcW w:w="789" w:type="dxa"/>
            <w:vMerge/>
            <w:tcBorders>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1717" w:type="dxa"/>
            <w:vMerge/>
            <w:tcBorders>
              <w:left w:val="single" w:sz="6" w:space="0" w:color="000000"/>
              <w:bottom w:val="single" w:sz="6" w:space="0" w:color="000000"/>
              <w:right w:val="single" w:sz="6" w:space="0" w:color="000000"/>
            </w:tcBorders>
            <w:shd w:val="clear" w:color="auto" w:fill="D2D2D2"/>
          </w:tcPr>
          <w:p>
            <w:pPr/>
          </w:p>
        </w:tc>
        <w:tc>
          <w:tcPr>
            <w:tcW w:w="913" w:type="dxa"/>
            <w:vMerge/>
            <w:tcBorders>
              <w:left w:val="single" w:sz="6" w:space="0" w:color="000000"/>
              <w:bottom w:val="single" w:sz="6" w:space="0" w:color="000000"/>
              <w:right w:val="single" w:sz="6" w:space="0" w:color="000000"/>
            </w:tcBorders>
            <w:shd w:val="clear" w:color="auto" w:fill="D2D2D2"/>
          </w:tcPr>
          <w:p>
            <w:pPr/>
          </w:p>
        </w:tc>
        <w:tc>
          <w:tcPr>
            <w:tcW w:w="925" w:type="dxa"/>
            <w:vMerge/>
            <w:tcBorders>
              <w:left w:val="single" w:sz="6" w:space="0" w:color="000000"/>
              <w:bottom w:val="single" w:sz="6" w:space="0" w:color="000000"/>
              <w:right w:val="single" w:sz="6" w:space="0" w:color="000000"/>
            </w:tcBorders>
            <w:shd w:val="clear" w:color="auto" w:fill="D2D2D2"/>
          </w:tcPr>
          <w:p>
            <w:pPr/>
          </w:p>
        </w:tc>
        <w:tc>
          <w:tcPr>
            <w:tcW w:w="1316" w:type="dxa"/>
            <w:vMerge/>
            <w:tcBorders>
              <w:left w:val="single" w:sz="6" w:space="0" w:color="000000"/>
              <w:bottom w:val="single" w:sz="6" w:space="0" w:color="000000"/>
              <w:right w:val="single" w:sz="6" w:space="0" w:color="000000"/>
            </w:tcBorders>
            <w:shd w:val="clear" w:color="auto" w:fill="D2D2D2"/>
          </w:tcPr>
          <w:p>
            <w:pPr/>
          </w:p>
        </w:tc>
        <w:tc>
          <w:tcPr>
            <w:tcW w:w="105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46"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789"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06" w:hRule="exact"/>
        </w:trPr>
        <w:tc>
          <w:tcPr>
            <w:tcW w:w="26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94"/>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1" w:type="dxa"/>
            <w:gridSpan w:val="2"/>
            <w:tcBorders>
              <w:top w:val="single" w:sz="6" w:space="0" w:color="000000"/>
              <w:left w:val="single" w:sz="6" w:space="0" w:color="000000"/>
              <w:bottom w:val="single" w:sz="6" w:space="0" w:color="000000"/>
              <w:right w:val="single" w:sz="18"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25"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2,800</w:t>
            </w:r>
          </w:p>
        </w:tc>
      </w:tr>
      <w:tr>
        <w:trPr>
          <w:trHeight w:val="203" w:hRule="exact"/>
        </w:trPr>
        <w:tc>
          <w:tcPr>
            <w:tcW w:w="2630"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2241" w:type="dxa"/>
            <w:gridSpan w:val="2"/>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3,000</w:t>
            </w:r>
          </w:p>
        </w:tc>
        <w:tc>
          <w:tcPr>
            <w:tcW w:w="2098"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2613" w:type="dxa"/>
            <w:gridSpan w:val="3"/>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2,560</w:t>
            </w:r>
          </w:p>
        </w:tc>
      </w:tr>
      <w:tr>
        <w:trPr>
          <w:trHeight w:val="705" w:hRule="exact"/>
        </w:trPr>
        <w:tc>
          <w:tcPr>
            <w:tcW w:w="2630"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95"/>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1" w:type="dxa"/>
            <w:gridSpan w:val="2"/>
            <w:vMerge/>
            <w:tcBorders>
              <w:left w:val="single" w:sz="6" w:space="0" w:color="000000"/>
              <w:right w:val="single" w:sz="12" w:space="0" w:color="D2D2D2"/>
            </w:tcBorders>
          </w:tcPr>
          <w:p>
            <w:pPr/>
          </w:p>
        </w:tc>
        <w:tc>
          <w:tcPr>
            <w:tcW w:w="2098"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36" w:lineRule="auto" w:before="44"/>
              <w:ind w:left="25"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3" w:type="dxa"/>
            <w:gridSpan w:val="3"/>
            <w:vMerge/>
            <w:tcBorders>
              <w:left w:val="single" w:sz="6" w:space="0" w:color="000000"/>
              <w:right w:val="single" w:sz="6" w:space="0" w:color="000000"/>
            </w:tcBorders>
          </w:tcPr>
          <w:p>
            <w:pPr/>
          </w:p>
        </w:tc>
      </w:tr>
      <w:tr>
        <w:trPr>
          <w:trHeight w:val="203" w:hRule="exact"/>
        </w:trPr>
        <w:tc>
          <w:tcPr>
            <w:tcW w:w="2630"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2241" w:type="dxa"/>
            <w:gridSpan w:val="2"/>
            <w:vMerge/>
            <w:tcBorders>
              <w:left w:val="single" w:sz="6" w:space="0" w:color="000000"/>
              <w:bottom w:val="single" w:sz="6" w:space="0" w:color="000000"/>
              <w:right w:val="single" w:sz="12" w:space="0" w:color="D2D2D2"/>
            </w:tcBorders>
          </w:tcPr>
          <w:p>
            <w:pPr/>
          </w:p>
        </w:tc>
        <w:tc>
          <w:tcPr>
            <w:tcW w:w="2098"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2613" w:type="dxa"/>
            <w:gridSpan w:val="3"/>
            <w:vMerge/>
            <w:tcBorders>
              <w:left w:val="single" w:sz="6" w:space="0" w:color="000000"/>
              <w:bottom w:val="single" w:sz="6" w:space="0" w:color="000000"/>
              <w:right w:val="single" w:sz="6" w:space="0" w:color="000000"/>
            </w:tcBorders>
          </w:tcPr>
          <w:p>
            <w:pPr/>
          </w:p>
        </w:tc>
      </w:tr>
      <w:tr>
        <w:trPr>
          <w:trHeight w:val="413"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1.79%</w:t>
            </w: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91"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59"/>
              <w:ind w:left="30" w:right="12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1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责任的情况说明（如有）</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487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2" w:type="dxa"/>
            <w:gridSpan w:val="5"/>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776" w:footer="1026" w:top="1200" w:bottom="1220" w:left="580" w:right="0"/>
        </w:sectPr>
      </w:pPr>
    </w:p>
    <w:p>
      <w:pPr>
        <w:spacing w:line="240" w:lineRule="auto" w:before="4"/>
        <w:rPr>
          <w:rFonts w:ascii="宋体" w:hAnsi="宋体" w:cs="宋体" w:eastAsia="宋体" w:hint="default"/>
          <w:sz w:val="10"/>
          <w:szCs w:val="10"/>
        </w:rPr>
      </w:pPr>
      <w:r>
        <w:rPr/>
        <w:pict>
          <v:group style="position:absolute;margin-left:72.099998pt;margin-top:573.5pt;width:21.8pt;height:39.050pt;mso-position-horizontal-relative:page;mso-position-vertical-relative:page;z-index:-1109656" coordorigin="1442,11470" coordsize="436,781">
            <v:shape style="position:absolute;left:1442;top:11470;width:436;height:781" coordorigin="1442,11470" coordsize="436,781" path="m1442,12251l1877,12251,1877,11470,1442,11470,1442,12251xe" filled="true" fillcolor="#ffffff" stroked="false">
              <v:path arrowok="t"/>
              <v:fill type="solid"/>
            </v:shape>
            <w10:wrap type="none"/>
          </v:group>
        </w:pict>
      </w:r>
      <w:r>
        <w:rPr/>
        <w:pict>
          <v:group style="position:absolute;margin-left:72.099998pt;margin-top:632.049988pt;width:21.8pt;height:78.850pt;mso-position-horizontal-relative:page;mso-position-vertical-relative:page;z-index:-1109632" coordorigin="1442,12641" coordsize="436,1577">
            <v:group style="position:absolute;left:1442;top:12641;width:436;height:781" coordorigin="1442,12641" coordsize="436,781">
              <v:shape style="position:absolute;left:1442;top:12641;width:436;height:781" coordorigin="1442,12641" coordsize="436,781" path="m1442,13422l1877,13422,1877,12641,1442,12641,1442,13422xe" filled="true" fillcolor="#ffffff" stroked="false">
                <v:path arrowok="t"/>
                <v:fill type="solid"/>
              </v:shape>
            </v:group>
            <v:group style="position:absolute;left:1442;top:13437;width:436;height:781" coordorigin="1442,13437" coordsize="436,781">
              <v:shape style="position:absolute;left:1442;top:13437;width:436;height:781" coordorigin="1442,13437" coordsize="436,781" path="m1442,14217l1877,14217,1877,13437,1442,13437,1442,14217xe" filled="true" fillcolor="#ffffff" stroked="false">
                <v:path arrowok="t"/>
                <v:fill type="solid"/>
              </v:shape>
            </v:group>
            <w10:wrap type="none"/>
          </v:group>
        </w:pict>
      </w:r>
      <w:r>
        <w:rPr/>
        <w:pict>
          <v:group style="position:absolute;margin-left:72.099998pt;margin-top:730.400024pt;width:21.8pt;height:39.050pt;mso-position-horizontal-relative:page;mso-position-vertical-relative:page;z-index:-1109608" coordorigin="1442,14608" coordsize="436,781">
            <v:shape style="position:absolute;left:1442;top:14608;width:436;height:781" coordorigin="1442,14608" coordsize="436,781" path="m1442,15389l1877,15389,1877,14608,1442,14608,1442,15389xe" filled="true" fillcolor="#ffffff" stroked="false">
              <v:path arrowok="t"/>
              <v:fill type="solid"/>
            </v:shape>
            <w10:wrap type="none"/>
          </v:group>
        </w:pict>
      </w:r>
    </w:p>
    <w:p>
      <w:pPr>
        <w:pStyle w:val="Heading3"/>
        <w:spacing w:line="240" w:lineRule="auto" w:before="35"/>
        <w:ind w:left="140" w:right="609"/>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8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公司报告期无违规对外担保情况。</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left="140" w:right="609"/>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7" w:lineRule="auto"/>
        <w:ind w:left="140" w:right="93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pStyle w:val="BodyText"/>
        <w:spacing w:line="240" w:lineRule="auto" w:before="97"/>
        <w:ind w:left="0" w:right="706"/>
        <w:jc w:val="right"/>
      </w:pPr>
      <w:r>
        <w:rPr/>
        <w:t>单位：万元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877"/>
        <w:gridCol w:w="1953"/>
        <w:gridCol w:w="1982"/>
        <w:gridCol w:w="1922"/>
        <w:gridCol w:w="1848"/>
      </w:tblGrid>
      <w:tr>
        <w:trPr>
          <w:trHeight w:val="405"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70"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6"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宋体" w:hAnsi="宋体" w:cs="宋体" w:eastAsia="宋体" w:hint="default"/>
          <w:sz w:val="5"/>
          <w:szCs w:val="5"/>
        </w:rPr>
      </w:pPr>
    </w:p>
    <w:p>
      <w:pPr>
        <w:pStyle w:val="BodyText"/>
        <w:spacing w:line="240" w:lineRule="auto" w:before="44"/>
        <w:ind w:left="140" w:right="609"/>
        <w:jc w:val="left"/>
      </w:pPr>
      <w:r>
        <w:rPr/>
        <w:t>单项金额重大或安全性较低、流动性较差、不保本的高风险委托理财具体情况</w:t>
      </w:r>
    </w:p>
    <w:p>
      <w:pPr>
        <w:spacing w:line="240" w:lineRule="auto" w:before="13"/>
        <w:rPr>
          <w:rFonts w:ascii="宋体" w:hAnsi="宋体" w:cs="宋体" w:eastAsia="宋体" w:hint="default"/>
          <w:sz w:val="20"/>
          <w:szCs w:val="20"/>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15"/>
          <w:szCs w:val="15"/>
        </w:rPr>
      </w:pPr>
    </w:p>
    <w:p>
      <w:pPr>
        <w:pStyle w:val="BodyText"/>
        <w:spacing w:line="240" w:lineRule="auto" w:before="44"/>
        <w:ind w:left="0" w:right="706"/>
        <w:jc w:val="right"/>
      </w:pPr>
      <w:r>
        <w:rPr/>
        <w:t>单位：万元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706"/>
        <w:gridCol w:w="451"/>
        <w:gridCol w:w="616"/>
        <w:gridCol w:w="571"/>
        <w:gridCol w:w="571"/>
        <w:gridCol w:w="555"/>
        <w:gridCol w:w="556"/>
        <w:gridCol w:w="796"/>
        <w:gridCol w:w="1142"/>
        <w:gridCol w:w="705"/>
        <w:gridCol w:w="571"/>
        <w:gridCol w:w="570"/>
        <w:gridCol w:w="706"/>
        <w:gridCol w:w="420"/>
        <w:gridCol w:w="436"/>
        <w:gridCol w:w="420"/>
        <w:gridCol w:w="706"/>
      </w:tblGrid>
      <w:tr>
        <w:trPr>
          <w:trHeight w:val="1966" w:hRule="exact"/>
        </w:trPr>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21"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受托机</w:t>
            </w:r>
            <w:r>
              <w:rPr>
                <w:rFonts w:ascii="宋体" w:hAnsi="宋体" w:cs="宋体" w:eastAsia="宋体" w:hint="default"/>
                <w:spacing w:val="-30"/>
                <w:sz w:val="18"/>
                <w:szCs w:val="18"/>
              </w:rPr>
              <w:t> </w:t>
            </w:r>
            <w:r>
              <w:rPr>
                <w:rFonts w:ascii="宋体" w:hAnsi="宋体" w:cs="宋体" w:eastAsia="宋体" w:hint="default"/>
                <w:spacing w:val="40"/>
                <w:sz w:val="18"/>
                <w:szCs w:val="18"/>
              </w:rPr>
              <w:t>构名称</w:t>
            </w:r>
            <w:r>
              <w:rPr>
                <w:rFonts w:ascii="宋体" w:hAnsi="宋体" w:cs="宋体" w:eastAsia="宋体" w:hint="default"/>
                <w:spacing w:val="-30"/>
                <w:sz w:val="18"/>
                <w:szCs w:val="18"/>
              </w:rPr>
              <w:t> </w:t>
            </w:r>
            <w:r>
              <w:rPr>
                <w:rFonts w:ascii="宋体" w:hAnsi="宋体" w:cs="宋体" w:eastAsia="宋体" w:hint="default"/>
                <w:sz w:val="18"/>
                <w:szCs w:val="18"/>
              </w:rPr>
            </w:r>
          </w:p>
          <w:p>
            <w:pPr>
              <w:pStyle w:val="TableParagraph"/>
              <w:spacing w:line="314" w:lineRule="auto" w:before="18"/>
              <w:ind w:left="30" w:right="-61"/>
              <w:jc w:val="both"/>
              <w:rPr>
                <w:rFonts w:ascii="宋体" w:hAnsi="宋体" w:cs="宋体" w:eastAsia="宋体" w:hint="default"/>
                <w:sz w:val="18"/>
                <w:szCs w:val="18"/>
              </w:rPr>
            </w:pPr>
            <w:r>
              <w:rPr>
                <w:rFonts w:ascii="宋体" w:hAnsi="宋体" w:cs="宋体" w:eastAsia="宋体" w:hint="default"/>
                <w:spacing w:val="40"/>
                <w:sz w:val="18"/>
                <w:szCs w:val="18"/>
              </w:rPr>
              <w:t>（或受</w:t>
            </w:r>
            <w:r>
              <w:rPr>
                <w:rFonts w:ascii="宋体" w:hAnsi="宋体" w:cs="宋体" w:eastAsia="宋体" w:hint="default"/>
                <w:spacing w:val="-30"/>
                <w:sz w:val="18"/>
                <w:szCs w:val="18"/>
              </w:rPr>
              <w:t> </w:t>
            </w:r>
            <w:r>
              <w:rPr>
                <w:rFonts w:ascii="宋体" w:hAnsi="宋体" w:cs="宋体" w:eastAsia="宋体" w:hint="default"/>
                <w:spacing w:val="40"/>
                <w:sz w:val="18"/>
                <w:szCs w:val="18"/>
              </w:rPr>
              <w:t>托人姓</w:t>
            </w:r>
            <w:r>
              <w:rPr>
                <w:rFonts w:ascii="宋体" w:hAnsi="宋体" w:cs="宋体" w:eastAsia="宋体" w:hint="default"/>
                <w:spacing w:val="-30"/>
                <w:sz w:val="18"/>
                <w:szCs w:val="18"/>
              </w:rPr>
              <w:t> </w:t>
            </w:r>
            <w:r>
              <w:rPr>
                <w:rFonts w:ascii="宋体" w:hAnsi="宋体" w:cs="宋体" w:eastAsia="宋体" w:hint="default"/>
                <w:sz w:val="18"/>
                <w:szCs w:val="18"/>
              </w:rPr>
              <w:t>名）</w:t>
            </w:r>
          </w:p>
        </w:tc>
        <w:tc>
          <w:tcPr>
            <w:tcW w:w="4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 w:right="-16"/>
              <w:jc w:val="both"/>
              <w:rPr>
                <w:rFonts w:ascii="宋体" w:hAnsi="宋体" w:cs="宋体" w:eastAsia="宋体" w:hint="default"/>
                <w:sz w:val="18"/>
                <w:szCs w:val="18"/>
              </w:rPr>
            </w:pPr>
            <w:r>
              <w:rPr>
                <w:rFonts w:ascii="宋体" w:hAnsi="宋体" w:cs="宋体" w:eastAsia="宋体" w:hint="default"/>
                <w:spacing w:val="15"/>
                <w:sz w:val="18"/>
                <w:szCs w:val="18"/>
              </w:rPr>
              <w:t>受托</w:t>
            </w:r>
            <w:r>
              <w:rPr>
                <w:rFonts w:ascii="宋体" w:hAnsi="宋体" w:cs="宋体" w:eastAsia="宋体" w:hint="default"/>
                <w:spacing w:val="-60"/>
                <w:sz w:val="18"/>
                <w:szCs w:val="18"/>
              </w:rPr>
              <w:t> </w:t>
            </w:r>
            <w:r>
              <w:rPr>
                <w:rFonts w:ascii="宋体" w:hAnsi="宋体" w:cs="宋体" w:eastAsia="宋体" w:hint="default"/>
                <w:spacing w:val="15"/>
                <w:sz w:val="18"/>
                <w:szCs w:val="18"/>
              </w:rPr>
              <w:t>机构</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321" w:lineRule="auto" w:before="29"/>
              <w:ind w:left="30" w:right="-16"/>
              <w:jc w:val="both"/>
              <w:rPr>
                <w:rFonts w:ascii="宋体" w:hAnsi="宋体" w:cs="宋体" w:eastAsia="宋体" w:hint="default"/>
                <w:sz w:val="18"/>
                <w:szCs w:val="18"/>
              </w:rPr>
            </w:pPr>
            <w:r>
              <w:rPr>
                <w:rFonts w:ascii="宋体" w:hAnsi="宋体" w:cs="宋体" w:eastAsia="宋体" w:hint="default"/>
                <w:spacing w:val="15"/>
                <w:sz w:val="18"/>
                <w:szCs w:val="18"/>
              </w:rPr>
              <w:t>（或</w:t>
            </w:r>
            <w:r>
              <w:rPr>
                <w:rFonts w:ascii="宋体" w:hAnsi="宋体" w:cs="宋体" w:eastAsia="宋体" w:hint="default"/>
                <w:spacing w:val="-60"/>
                <w:sz w:val="18"/>
                <w:szCs w:val="18"/>
              </w:rPr>
              <w:t> </w:t>
            </w:r>
            <w:r>
              <w:rPr>
                <w:rFonts w:ascii="宋体" w:hAnsi="宋体" w:cs="宋体" w:eastAsia="宋体" w:hint="default"/>
                <w:spacing w:val="15"/>
                <w:sz w:val="18"/>
                <w:szCs w:val="18"/>
              </w:rPr>
              <w:t>受托</w:t>
            </w:r>
            <w:r>
              <w:rPr>
                <w:rFonts w:ascii="宋体" w:hAnsi="宋体" w:cs="宋体" w:eastAsia="宋体" w:hint="default"/>
                <w:spacing w:val="-60"/>
                <w:sz w:val="18"/>
                <w:szCs w:val="18"/>
              </w:rPr>
              <w:t> </w:t>
            </w:r>
            <w:r>
              <w:rPr>
                <w:rFonts w:ascii="宋体" w:hAnsi="宋体" w:cs="宋体" w:eastAsia="宋体" w:hint="default"/>
                <w:spacing w:val="15"/>
                <w:sz w:val="18"/>
                <w:szCs w:val="18"/>
              </w:rPr>
              <w:t>人）</w:t>
            </w:r>
            <w:r>
              <w:rPr>
                <w:rFonts w:ascii="宋体" w:hAnsi="宋体" w:cs="宋体" w:eastAsia="宋体" w:hint="default"/>
                <w:spacing w:val="-60"/>
                <w:sz w:val="18"/>
                <w:szCs w:val="18"/>
              </w:rPr>
              <w:t> </w:t>
            </w:r>
            <w:r>
              <w:rPr>
                <w:rFonts w:ascii="宋体" w:hAnsi="宋体" w:cs="宋体" w:eastAsia="宋体" w:hint="default"/>
                <w:sz w:val="18"/>
                <w:szCs w:val="18"/>
              </w:rPr>
              <w:t>类型</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30" w:right="28"/>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35"/>
              <w:jc w:val="center"/>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30" w:right="13"/>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来源</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15" w:right="14"/>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60"/>
                <w:sz w:val="18"/>
                <w:szCs w:val="18"/>
              </w:rPr>
              <w:t> </w:t>
            </w:r>
            <w:r>
              <w:rPr>
                <w:rFonts w:ascii="宋体" w:hAnsi="宋体" w:cs="宋体" w:eastAsia="宋体" w:hint="default"/>
                <w:sz w:val="18"/>
                <w:szCs w:val="18"/>
              </w:rPr>
              <w:t>始</w:t>
            </w:r>
            <w:r>
              <w:rPr>
                <w:rFonts w:ascii="宋体" w:hAnsi="宋体" w:cs="宋体" w:eastAsia="宋体" w:hint="default"/>
                <w:sz w:val="18"/>
                <w:szCs w:val="18"/>
              </w:rPr>
              <w:t> 日期</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30" w:right="0"/>
              <w:jc w:val="left"/>
              <w:rPr>
                <w:rFonts w:ascii="宋体" w:hAnsi="宋体" w:cs="宋体" w:eastAsia="宋体" w:hint="default"/>
                <w:sz w:val="18"/>
                <w:szCs w:val="18"/>
              </w:rPr>
            </w:pPr>
            <w:r>
              <w:rPr>
                <w:rFonts w:ascii="宋体" w:hAnsi="宋体" w:cs="宋体" w:eastAsia="宋体" w:hint="default"/>
                <w:sz w:val="18"/>
                <w:szCs w:val="18"/>
              </w:rPr>
              <w:t>终</w:t>
            </w:r>
            <w:r>
              <w:rPr>
                <w:rFonts w:ascii="宋体" w:hAnsi="宋体" w:cs="宋体" w:eastAsia="宋体" w:hint="default"/>
                <w:spacing w:val="60"/>
                <w:sz w:val="18"/>
                <w:szCs w:val="18"/>
              </w:rPr>
              <w:t> </w:t>
            </w:r>
            <w:r>
              <w:rPr>
                <w:rFonts w:ascii="宋体" w:hAnsi="宋体" w:cs="宋体" w:eastAsia="宋体" w:hint="default"/>
                <w:sz w:val="18"/>
                <w:szCs w:val="18"/>
              </w:rPr>
              <w:t>止</w:t>
            </w:r>
            <w:r>
              <w:rPr>
                <w:rFonts w:ascii="宋体" w:hAnsi="宋体" w:cs="宋体" w:eastAsia="宋体" w:hint="default"/>
                <w:sz w:val="18"/>
                <w:szCs w:val="18"/>
              </w:rPr>
              <w:t>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30" w:right="-31"/>
              <w:jc w:val="left"/>
              <w:rPr>
                <w:rFonts w:ascii="宋体" w:hAnsi="宋体" w:cs="宋体" w:eastAsia="宋体" w:hint="default"/>
                <w:sz w:val="18"/>
                <w:szCs w:val="18"/>
              </w:rPr>
            </w:pPr>
            <w:r>
              <w:rPr>
                <w:rFonts w:ascii="宋体" w:hAnsi="宋体" w:cs="宋体" w:eastAsia="宋体" w:hint="default"/>
                <w:spacing w:val="36"/>
                <w:sz w:val="18"/>
                <w:szCs w:val="18"/>
              </w:rPr>
              <w:t>报酬确定方</w:t>
            </w:r>
            <w:r>
              <w:rPr>
                <w:rFonts w:ascii="宋体" w:hAnsi="宋体" w:cs="宋体" w:eastAsia="宋体" w:hint="default"/>
                <w:spacing w:val="-45"/>
                <w:sz w:val="18"/>
                <w:szCs w:val="18"/>
              </w:rPr>
              <w:t> </w:t>
            </w:r>
            <w:r>
              <w:rPr>
                <w:rFonts w:ascii="宋体" w:hAnsi="宋体" w:cs="宋体" w:eastAsia="宋体" w:hint="default"/>
                <w:sz w:val="18"/>
                <w:szCs w:val="18"/>
              </w:rPr>
              <w:t>式</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29" w:right="-61"/>
              <w:jc w:val="both"/>
              <w:rPr>
                <w:rFonts w:ascii="宋体" w:hAnsi="宋体" w:cs="宋体" w:eastAsia="宋体" w:hint="default"/>
                <w:sz w:val="18"/>
                <w:szCs w:val="18"/>
              </w:rPr>
            </w:pPr>
            <w:r>
              <w:rPr>
                <w:rFonts w:ascii="宋体" w:hAnsi="宋体" w:cs="宋体" w:eastAsia="宋体" w:hint="default"/>
                <w:spacing w:val="40"/>
                <w:sz w:val="18"/>
                <w:szCs w:val="18"/>
              </w:rPr>
              <w:t>参考年</w:t>
            </w:r>
            <w:r>
              <w:rPr>
                <w:rFonts w:ascii="宋体" w:hAnsi="宋体" w:cs="宋体" w:eastAsia="宋体" w:hint="default"/>
                <w:spacing w:val="-30"/>
                <w:sz w:val="18"/>
                <w:szCs w:val="18"/>
              </w:rPr>
              <w:t> </w:t>
            </w:r>
            <w:r>
              <w:rPr>
                <w:rFonts w:ascii="宋体" w:hAnsi="宋体" w:cs="宋体" w:eastAsia="宋体" w:hint="default"/>
                <w:spacing w:val="40"/>
                <w:sz w:val="18"/>
                <w:szCs w:val="18"/>
              </w:rPr>
              <w:t>化收益</w:t>
            </w:r>
            <w:r>
              <w:rPr>
                <w:rFonts w:ascii="宋体" w:hAnsi="宋体" w:cs="宋体" w:eastAsia="宋体" w:hint="default"/>
                <w:spacing w:val="-30"/>
                <w:sz w:val="18"/>
                <w:szCs w:val="18"/>
              </w:rPr>
              <w:t> </w:t>
            </w:r>
            <w:r>
              <w:rPr>
                <w:rFonts w:ascii="宋体" w:hAnsi="宋体" w:cs="宋体" w:eastAsia="宋体" w:hint="default"/>
                <w:sz w:val="18"/>
                <w:szCs w:val="18"/>
              </w:rPr>
              <w:t>率</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60"/>
                <w:sz w:val="18"/>
                <w:szCs w:val="18"/>
              </w:rPr>
              <w:t> </w:t>
            </w:r>
            <w:r>
              <w:rPr>
                <w:rFonts w:ascii="宋体" w:hAnsi="宋体" w:cs="宋体" w:eastAsia="宋体" w:hint="default"/>
                <w:sz w:val="18"/>
                <w:szCs w:val="18"/>
              </w:rPr>
              <w:t>期</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60"/>
                <w:sz w:val="18"/>
                <w:szCs w:val="18"/>
              </w:rPr>
              <w:t> </w:t>
            </w:r>
            <w:r>
              <w:rPr>
                <w:rFonts w:ascii="宋体" w:hAnsi="宋体" w:cs="宋体" w:eastAsia="宋体" w:hint="default"/>
                <w:sz w:val="18"/>
                <w:szCs w:val="18"/>
              </w:rPr>
              <w:t>益</w:t>
            </w:r>
          </w:p>
          <w:p>
            <w:pPr>
              <w:pStyle w:val="TableParagraph"/>
              <w:spacing w:line="321" w:lineRule="auto" w:before="80"/>
              <w:ind w:left="30" w:right="14"/>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如</w:t>
            </w:r>
            <w:r>
              <w:rPr>
                <w:rFonts w:ascii="宋体" w:hAnsi="宋体" w:cs="宋体" w:eastAsia="宋体" w:hint="default"/>
                <w:sz w:val="18"/>
                <w:szCs w:val="18"/>
              </w:rPr>
              <w:t> 有</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告</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实</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60"/>
                <w:sz w:val="18"/>
                <w:szCs w:val="18"/>
              </w:rPr>
              <w:t> </w:t>
            </w:r>
            <w:r>
              <w:rPr>
                <w:rFonts w:ascii="宋体" w:hAnsi="宋体" w:cs="宋体" w:eastAsia="宋体" w:hint="default"/>
                <w:sz w:val="18"/>
                <w:szCs w:val="18"/>
              </w:rPr>
              <w:t>损</w:t>
            </w:r>
          </w:p>
          <w:p>
            <w:pPr>
              <w:pStyle w:val="TableParagraph"/>
              <w:spacing w:line="321" w:lineRule="auto" w:before="64"/>
              <w:ind w:left="30" w:right="14"/>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z w:val="18"/>
                <w:szCs w:val="18"/>
              </w:rPr>
              <w:t> 额</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30" w:right="-61"/>
              <w:jc w:val="both"/>
              <w:rPr>
                <w:rFonts w:ascii="宋体" w:hAnsi="宋体" w:cs="宋体" w:eastAsia="宋体" w:hint="default"/>
                <w:sz w:val="18"/>
                <w:szCs w:val="18"/>
              </w:rPr>
            </w:pPr>
            <w:r>
              <w:rPr>
                <w:rFonts w:ascii="宋体" w:hAnsi="宋体" w:cs="宋体" w:eastAsia="宋体" w:hint="default"/>
                <w:spacing w:val="40"/>
                <w:sz w:val="18"/>
                <w:szCs w:val="18"/>
              </w:rPr>
              <w:t>报告期</w:t>
            </w:r>
            <w:r>
              <w:rPr>
                <w:rFonts w:ascii="宋体" w:hAnsi="宋体" w:cs="宋体" w:eastAsia="宋体" w:hint="default"/>
                <w:spacing w:val="-30"/>
                <w:sz w:val="18"/>
                <w:szCs w:val="18"/>
              </w:rPr>
              <w:t> </w:t>
            </w:r>
            <w:r>
              <w:rPr>
                <w:rFonts w:ascii="宋体" w:hAnsi="宋体" w:cs="宋体" w:eastAsia="宋体" w:hint="default"/>
                <w:spacing w:val="40"/>
                <w:sz w:val="18"/>
                <w:szCs w:val="18"/>
              </w:rPr>
              <w:t>损益实</w:t>
            </w:r>
            <w:r>
              <w:rPr>
                <w:rFonts w:ascii="宋体" w:hAnsi="宋体" w:cs="宋体" w:eastAsia="宋体" w:hint="default"/>
                <w:spacing w:val="-30"/>
                <w:sz w:val="18"/>
                <w:szCs w:val="18"/>
              </w:rPr>
              <w:t> </w:t>
            </w:r>
            <w:r>
              <w:rPr>
                <w:rFonts w:ascii="宋体" w:hAnsi="宋体" w:cs="宋体" w:eastAsia="宋体" w:hint="default"/>
                <w:spacing w:val="40"/>
                <w:sz w:val="18"/>
                <w:szCs w:val="18"/>
              </w:rPr>
              <w:t>际收回</w:t>
            </w:r>
            <w:r>
              <w:rPr>
                <w:rFonts w:ascii="宋体" w:hAnsi="宋体" w:cs="宋体" w:eastAsia="宋体" w:hint="default"/>
                <w:spacing w:val="-30"/>
                <w:sz w:val="18"/>
                <w:szCs w:val="18"/>
              </w:rPr>
              <w:t> </w:t>
            </w:r>
            <w:r>
              <w:rPr>
                <w:rFonts w:ascii="宋体" w:hAnsi="宋体" w:cs="宋体" w:eastAsia="宋体" w:hint="default"/>
                <w:sz w:val="18"/>
                <w:szCs w:val="18"/>
              </w:rPr>
              <w:t>情况</w:t>
            </w:r>
          </w:p>
        </w:tc>
        <w:tc>
          <w:tcPr>
            <w:tcW w:w="4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5"/>
              <w:jc w:val="both"/>
              <w:rPr>
                <w:rFonts w:ascii="宋体" w:hAnsi="宋体" w:cs="宋体" w:eastAsia="宋体" w:hint="default"/>
                <w:sz w:val="18"/>
                <w:szCs w:val="18"/>
              </w:rPr>
            </w:pPr>
            <w:r>
              <w:rPr>
                <w:rFonts w:ascii="宋体" w:hAnsi="宋体" w:cs="宋体" w:eastAsia="宋体" w:hint="default"/>
                <w:spacing w:val="15"/>
                <w:sz w:val="18"/>
                <w:szCs w:val="18"/>
              </w:rPr>
              <w:t>计提 减值 准备 金额</w:t>
            </w:r>
            <w:r>
              <w:rPr>
                <w:rFonts w:ascii="宋体" w:hAnsi="宋体" w:cs="宋体" w:eastAsia="宋体" w:hint="default"/>
                <w:sz w:val="18"/>
                <w:szCs w:val="18"/>
              </w:rPr>
            </w:r>
          </w:p>
          <w:p>
            <w:pPr>
              <w:pStyle w:val="TableParagraph"/>
              <w:spacing w:line="321" w:lineRule="auto" w:before="22"/>
              <w:ind w:left="30" w:right="-15"/>
              <w:jc w:val="both"/>
              <w:rPr>
                <w:rFonts w:ascii="宋体" w:hAnsi="宋体" w:cs="宋体" w:eastAsia="宋体" w:hint="default"/>
                <w:sz w:val="18"/>
                <w:szCs w:val="18"/>
              </w:rPr>
            </w:pPr>
            <w:r>
              <w:rPr>
                <w:rFonts w:ascii="宋体" w:hAnsi="宋体" w:cs="宋体" w:eastAsia="宋体" w:hint="default"/>
                <w:spacing w:val="15"/>
                <w:sz w:val="18"/>
                <w:szCs w:val="18"/>
              </w:rPr>
              <w:t>（如 </w:t>
            </w:r>
            <w:r>
              <w:rPr>
                <w:rFonts w:ascii="宋体" w:hAnsi="宋体" w:cs="宋体" w:eastAsia="宋体" w:hint="default"/>
                <w:sz w:val="18"/>
                <w:szCs w:val="18"/>
              </w:rPr>
              <w:t>有）</w:t>
            </w: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30" w:right="0"/>
              <w:jc w:val="both"/>
              <w:rPr>
                <w:rFonts w:ascii="宋体" w:hAnsi="宋体" w:cs="宋体" w:eastAsia="宋体" w:hint="default"/>
                <w:sz w:val="18"/>
                <w:szCs w:val="18"/>
              </w:rPr>
            </w:pPr>
            <w:r>
              <w:rPr>
                <w:rFonts w:ascii="宋体" w:hAnsi="宋体" w:cs="宋体" w:eastAsia="宋体" w:hint="default"/>
                <w:spacing w:val="15"/>
                <w:sz w:val="18"/>
                <w:szCs w:val="18"/>
              </w:rPr>
              <w:t>是否 经过 法定 </w:t>
            </w:r>
            <w:r>
              <w:rPr>
                <w:rFonts w:ascii="宋体" w:hAnsi="宋体" w:cs="宋体" w:eastAsia="宋体" w:hint="default"/>
                <w:sz w:val="18"/>
                <w:szCs w:val="18"/>
              </w:rPr>
              <w:t>程序</w:t>
            </w:r>
          </w:p>
        </w:tc>
        <w:tc>
          <w:tcPr>
            <w:tcW w:w="4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30" w:right="-15"/>
              <w:jc w:val="both"/>
              <w:rPr>
                <w:rFonts w:ascii="宋体" w:hAnsi="宋体" w:cs="宋体" w:eastAsia="宋体" w:hint="default"/>
                <w:sz w:val="18"/>
                <w:szCs w:val="18"/>
              </w:rPr>
            </w:pPr>
            <w:r>
              <w:rPr>
                <w:rFonts w:ascii="宋体" w:hAnsi="宋体" w:cs="宋体" w:eastAsia="宋体" w:hint="default"/>
                <w:spacing w:val="15"/>
                <w:sz w:val="18"/>
                <w:szCs w:val="18"/>
              </w:rPr>
              <w:t>未来 是否 还有 委托 理财 </w:t>
            </w:r>
            <w:r>
              <w:rPr>
                <w:rFonts w:ascii="宋体" w:hAnsi="宋体" w:cs="宋体" w:eastAsia="宋体" w:hint="default"/>
                <w:sz w:val="18"/>
                <w:szCs w:val="18"/>
              </w:rPr>
              <w:t>计划</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30" w:right="-61"/>
              <w:jc w:val="left"/>
              <w:rPr>
                <w:rFonts w:ascii="宋体" w:hAnsi="宋体" w:cs="宋体" w:eastAsia="宋体" w:hint="default"/>
                <w:sz w:val="18"/>
                <w:szCs w:val="18"/>
              </w:rPr>
            </w:pPr>
            <w:r>
              <w:rPr>
                <w:rFonts w:ascii="宋体" w:hAnsi="宋体" w:cs="宋体" w:eastAsia="宋体" w:hint="default"/>
                <w:spacing w:val="40"/>
                <w:sz w:val="18"/>
                <w:szCs w:val="18"/>
              </w:rPr>
              <w:t>事项概</w:t>
            </w:r>
            <w:r>
              <w:rPr>
                <w:rFonts w:ascii="宋体" w:hAnsi="宋体" w:cs="宋体" w:eastAsia="宋体" w:hint="default"/>
                <w:spacing w:val="-30"/>
                <w:sz w:val="18"/>
                <w:szCs w:val="18"/>
              </w:rPr>
              <w:t> </w:t>
            </w:r>
            <w:r>
              <w:rPr>
                <w:rFonts w:ascii="宋体" w:hAnsi="宋体" w:cs="宋体" w:eastAsia="宋体" w:hint="default"/>
                <w:spacing w:val="40"/>
                <w:sz w:val="18"/>
                <w:szCs w:val="18"/>
              </w:rPr>
              <w:t>述及相</w:t>
            </w:r>
            <w:r>
              <w:rPr>
                <w:rFonts w:ascii="宋体" w:hAnsi="宋体" w:cs="宋体" w:eastAsia="宋体" w:hint="default"/>
                <w:spacing w:val="-30"/>
                <w:sz w:val="18"/>
                <w:szCs w:val="18"/>
              </w:rPr>
              <w:t> </w:t>
            </w:r>
            <w:r>
              <w:rPr>
                <w:rFonts w:ascii="宋体" w:hAnsi="宋体" w:cs="宋体" w:eastAsia="宋体" w:hint="default"/>
                <w:spacing w:val="40"/>
                <w:sz w:val="18"/>
                <w:szCs w:val="18"/>
              </w:rPr>
              <w:t>关查询</w:t>
            </w:r>
            <w:r>
              <w:rPr>
                <w:rFonts w:ascii="宋体" w:hAnsi="宋体" w:cs="宋体" w:eastAsia="宋体" w:hint="default"/>
                <w:spacing w:val="-30"/>
                <w:sz w:val="18"/>
                <w:szCs w:val="18"/>
              </w:rPr>
              <w:t> </w:t>
            </w:r>
            <w:r>
              <w:rPr>
                <w:rFonts w:ascii="宋体" w:hAnsi="宋体" w:cs="宋体" w:eastAsia="宋体" w:hint="default"/>
                <w:spacing w:val="-15"/>
                <w:sz w:val="18"/>
                <w:szCs w:val="18"/>
              </w:rPr>
              <w:t>索引（如</w:t>
            </w:r>
            <w:r>
              <w:rPr>
                <w:rFonts w:ascii="宋体" w:hAnsi="宋体" w:cs="宋体" w:eastAsia="宋体" w:hint="default"/>
                <w:sz w:val="18"/>
                <w:szCs w:val="18"/>
              </w:rPr>
              <w:t> 有）</w:t>
            </w:r>
          </w:p>
        </w:tc>
      </w:tr>
      <w:tr>
        <w:trPr>
          <w:trHeight w:val="1967"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中信银</w:t>
            </w:r>
            <w:r>
              <w:rPr>
                <w:rFonts w:ascii="宋体" w:hAnsi="宋体" w:cs="宋体" w:eastAsia="宋体" w:hint="default"/>
                <w:spacing w:val="-30"/>
                <w:sz w:val="18"/>
                <w:szCs w:val="18"/>
              </w:rPr>
              <w:t> </w:t>
            </w:r>
            <w:r>
              <w:rPr>
                <w:rFonts w:ascii="宋体" w:hAnsi="宋体" w:cs="宋体" w:eastAsia="宋体" w:hint="default"/>
                <w:spacing w:val="40"/>
                <w:sz w:val="18"/>
                <w:szCs w:val="18"/>
              </w:rPr>
              <w:t>行股份</w:t>
            </w:r>
            <w:r>
              <w:rPr>
                <w:rFonts w:ascii="宋体" w:hAnsi="宋体" w:cs="宋体" w:eastAsia="宋体" w:hint="default"/>
                <w:spacing w:val="-30"/>
                <w:sz w:val="18"/>
                <w:szCs w:val="18"/>
              </w:rPr>
              <w:t> </w:t>
            </w:r>
            <w:r>
              <w:rPr>
                <w:rFonts w:ascii="宋体" w:hAnsi="宋体" w:cs="宋体" w:eastAsia="宋体" w:hint="default"/>
                <w:spacing w:val="40"/>
                <w:sz w:val="18"/>
                <w:szCs w:val="18"/>
              </w:rPr>
              <w:t>有限公</w:t>
            </w:r>
            <w:r>
              <w:rPr>
                <w:rFonts w:ascii="宋体" w:hAnsi="宋体" w:cs="宋体" w:eastAsia="宋体" w:hint="default"/>
                <w:spacing w:val="-30"/>
                <w:sz w:val="18"/>
                <w:szCs w:val="18"/>
              </w:rPr>
              <w:t> </w:t>
            </w:r>
            <w:r>
              <w:rPr>
                <w:rFonts w:ascii="宋体" w:hAnsi="宋体" w:cs="宋体" w:eastAsia="宋体" w:hint="default"/>
                <w:spacing w:val="40"/>
                <w:sz w:val="18"/>
                <w:szCs w:val="18"/>
              </w:rPr>
              <w:t>司广州</w:t>
            </w:r>
            <w:r>
              <w:rPr>
                <w:rFonts w:ascii="宋体" w:hAnsi="宋体" w:cs="宋体" w:eastAsia="宋体" w:hint="default"/>
                <w:spacing w:val="-30"/>
                <w:sz w:val="18"/>
                <w:szCs w:val="18"/>
              </w:rPr>
              <w:t> </w:t>
            </w:r>
            <w:r>
              <w:rPr>
                <w:rFonts w:ascii="宋体" w:hAnsi="宋体" w:cs="宋体" w:eastAsia="宋体" w:hint="default"/>
                <w:sz w:val="18"/>
                <w:szCs w:val="18"/>
              </w:rPr>
              <w:t>分行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 w:right="13"/>
              <w:jc w:val="both"/>
              <w:rPr>
                <w:rFonts w:ascii="宋体" w:hAnsi="宋体" w:cs="宋体" w:eastAsia="宋体" w:hint="default"/>
                <w:sz w:val="18"/>
                <w:szCs w:val="18"/>
              </w:rPr>
            </w:pPr>
            <w:r>
              <w:rPr>
                <w:rFonts w:ascii="宋体" w:hAnsi="宋体" w:cs="宋体" w:eastAsia="宋体" w:hint="default"/>
                <w:sz w:val="18"/>
                <w:szCs w:val="18"/>
              </w:rPr>
              <w:t>保本浮 动</w:t>
            </w:r>
            <w:r>
              <w:rPr>
                <w:rFonts w:ascii="宋体" w:hAnsi="宋体" w:cs="宋体" w:eastAsia="宋体" w:hint="default"/>
                <w:spacing w:val="15"/>
                <w:sz w:val="18"/>
                <w:szCs w:val="18"/>
              </w:rPr>
              <w:t> </w:t>
            </w:r>
            <w:r>
              <w:rPr>
                <w:rFonts w:ascii="宋体" w:hAnsi="宋体" w:cs="宋体" w:eastAsia="宋体" w:hint="default"/>
                <w:sz w:val="18"/>
                <w:szCs w:val="18"/>
              </w:rPr>
              <w:t>收</w:t>
            </w:r>
            <w:r>
              <w:rPr>
                <w:rFonts w:ascii="宋体" w:hAnsi="宋体" w:cs="宋体" w:eastAsia="宋体" w:hint="default"/>
                <w:sz w:val="18"/>
                <w:szCs w:val="18"/>
              </w:rPr>
              <w:t> 益、封 闭式</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5"/>
              <w:jc w:val="center"/>
              <w:rPr>
                <w:rFonts w:ascii="宋体" w:hAnsi="宋体" w:cs="宋体" w:eastAsia="宋体" w:hint="default"/>
                <w:sz w:val="18"/>
                <w:szCs w:val="18"/>
              </w:rPr>
            </w:pPr>
            <w:r>
              <w:rPr>
                <w:rFonts w:ascii="宋体"/>
                <w:sz w:val="18"/>
              </w:rPr>
              <w:t>3,000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2018-</w:t>
            </w:r>
          </w:p>
          <w:p>
            <w:pPr>
              <w:pStyle w:val="TableParagraph"/>
              <w:spacing w:line="240" w:lineRule="auto" w:before="79"/>
              <w:ind w:left="15" w:right="0"/>
              <w:jc w:val="left"/>
              <w:rPr>
                <w:rFonts w:ascii="宋体" w:hAnsi="宋体" w:cs="宋体" w:eastAsia="宋体" w:hint="default"/>
                <w:sz w:val="18"/>
                <w:szCs w:val="18"/>
              </w:rPr>
            </w:pPr>
            <w:r>
              <w:rPr>
                <w:rFonts w:ascii="宋体"/>
                <w:sz w:val="18"/>
              </w:rPr>
              <w:t>09-21</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79"/>
              <w:ind w:left="30" w:right="0"/>
              <w:jc w:val="left"/>
              <w:rPr>
                <w:rFonts w:ascii="宋体" w:hAnsi="宋体" w:cs="宋体" w:eastAsia="宋体" w:hint="default"/>
                <w:sz w:val="18"/>
                <w:szCs w:val="18"/>
              </w:rPr>
            </w:pPr>
            <w:r>
              <w:rPr>
                <w:rFonts w:ascii="宋体"/>
                <w:sz w:val="18"/>
              </w:rPr>
              <w:t>01-07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3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1142" w:type="dxa"/>
            <w:tcBorders>
              <w:top w:val="single" w:sz="6" w:space="0" w:color="000000"/>
              <w:left w:val="single" w:sz="6" w:space="0" w:color="000000"/>
              <w:bottom w:val="single" w:sz="6" w:space="0" w:color="000000"/>
              <w:right w:val="single" w:sz="12" w:space="0" w:color="FFFFFF"/>
            </w:tcBorders>
          </w:tcPr>
          <w:p>
            <w:pPr>
              <w:pStyle w:val="TableParagraph"/>
              <w:spacing w:line="314" w:lineRule="auto" w:before="45"/>
              <w:ind w:left="30" w:right="-38"/>
              <w:jc w:val="both"/>
              <w:rPr>
                <w:rFonts w:ascii="宋体" w:hAnsi="宋体" w:cs="宋体" w:eastAsia="宋体" w:hint="default"/>
                <w:sz w:val="18"/>
                <w:szCs w:val="18"/>
              </w:rPr>
            </w:pPr>
            <w:r>
              <w:rPr>
                <w:rFonts w:ascii="宋体" w:hAnsi="宋体" w:cs="宋体" w:eastAsia="宋体" w:hint="default"/>
                <w:spacing w:val="36"/>
                <w:sz w:val="18"/>
                <w:szCs w:val="18"/>
              </w:rPr>
              <w:t>本金及收益</w:t>
            </w:r>
            <w:r>
              <w:rPr>
                <w:rFonts w:ascii="宋体" w:hAnsi="宋体" w:cs="宋体" w:eastAsia="宋体" w:hint="default"/>
                <w:spacing w:val="-45"/>
                <w:sz w:val="18"/>
                <w:szCs w:val="18"/>
              </w:rPr>
              <w:t> </w:t>
            </w:r>
            <w:r>
              <w:rPr>
                <w:rFonts w:ascii="宋体" w:hAnsi="宋体" w:cs="宋体" w:eastAsia="宋体" w:hint="default"/>
                <w:spacing w:val="36"/>
                <w:sz w:val="18"/>
                <w:szCs w:val="18"/>
              </w:rPr>
              <w:t>于产品到期</w:t>
            </w:r>
            <w:r>
              <w:rPr>
                <w:rFonts w:ascii="宋体" w:hAnsi="宋体" w:cs="宋体" w:eastAsia="宋体" w:hint="default"/>
                <w:spacing w:val="-45"/>
                <w:sz w:val="18"/>
                <w:szCs w:val="18"/>
              </w:rPr>
              <w:t> </w:t>
            </w:r>
            <w:r>
              <w:rPr>
                <w:rFonts w:ascii="宋体" w:hAnsi="宋体" w:cs="宋体" w:eastAsia="宋体" w:hint="default"/>
                <w:sz w:val="18"/>
                <w:szCs w:val="18"/>
              </w:rPr>
              <w:t>日后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个工作 </w:t>
            </w:r>
            <w:r>
              <w:rPr>
                <w:rFonts w:ascii="宋体" w:hAnsi="宋体" w:cs="宋体" w:eastAsia="宋体" w:hint="default"/>
                <w:spacing w:val="36"/>
                <w:sz w:val="18"/>
                <w:szCs w:val="18"/>
              </w:rPr>
              <w:t>日内根据实</w:t>
            </w:r>
            <w:r>
              <w:rPr>
                <w:rFonts w:ascii="宋体" w:hAnsi="宋体" w:cs="宋体" w:eastAsia="宋体" w:hint="default"/>
                <w:spacing w:val="-45"/>
                <w:sz w:val="18"/>
                <w:szCs w:val="18"/>
              </w:rPr>
              <w:t> </w:t>
            </w:r>
            <w:r>
              <w:rPr>
                <w:rFonts w:ascii="宋体" w:hAnsi="宋体" w:cs="宋体" w:eastAsia="宋体" w:hint="default"/>
                <w:spacing w:val="36"/>
                <w:sz w:val="18"/>
                <w:szCs w:val="18"/>
              </w:rPr>
              <w:t>际情况一次</w:t>
            </w:r>
            <w:r>
              <w:rPr>
                <w:rFonts w:ascii="宋体" w:hAnsi="宋体" w:cs="宋体" w:eastAsia="宋体" w:hint="default"/>
                <w:spacing w:val="-45"/>
                <w:sz w:val="18"/>
                <w:szCs w:val="18"/>
              </w:rPr>
              <w:t> </w:t>
            </w:r>
            <w:r>
              <w:rPr>
                <w:rFonts w:ascii="宋体" w:hAnsi="宋体" w:cs="宋体" w:eastAsia="宋体" w:hint="default"/>
                <w:sz w:val="18"/>
                <w:szCs w:val="18"/>
              </w:rPr>
              <w:t>性支付</w:t>
            </w:r>
          </w:p>
        </w:tc>
        <w:tc>
          <w:tcPr>
            <w:tcW w:w="705"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sz w:val="18"/>
              </w:rPr>
              <w:t>3.85%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2"/>
              <w:jc w:val="center"/>
              <w:rPr>
                <w:rFonts w:ascii="宋体" w:hAnsi="宋体" w:cs="宋体" w:eastAsia="宋体" w:hint="default"/>
                <w:sz w:val="18"/>
                <w:szCs w:val="18"/>
              </w:rPr>
            </w:pPr>
            <w:r>
              <w:rPr>
                <w:rFonts w:ascii="宋体"/>
                <w:sz w:val="18"/>
              </w:rPr>
              <w:t>32.44</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sz w:val="18"/>
              </w:rPr>
              <w:t>2.09</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sz w:val="18"/>
              </w:rPr>
              <w:t>32.24</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510" w:val="left" w:leader="none"/>
              </w:tabs>
              <w:spacing w:line="316" w:lineRule="auto"/>
              <w:ind w:left="30" w:right="-61"/>
              <w:jc w:val="left"/>
              <w:rPr>
                <w:rFonts w:ascii="宋体" w:hAnsi="宋体" w:cs="宋体" w:eastAsia="宋体" w:hint="default"/>
                <w:sz w:val="18"/>
                <w:szCs w:val="18"/>
              </w:rPr>
            </w:pPr>
            <w:r>
              <w:rPr>
                <w:rFonts w:ascii="宋体" w:hAnsi="宋体" w:cs="宋体" w:eastAsia="宋体" w:hint="default"/>
                <w:spacing w:val="40"/>
                <w:sz w:val="18"/>
                <w:szCs w:val="18"/>
              </w:rPr>
              <w:t>巨潮资</w:t>
            </w:r>
            <w:r>
              <w:rPr>
                <w:rFonts w:ascii="宋体" w:hAnsi="宋体" w:cs="宋体" w:eastAsia="宋体" w:hint="default"/>
                <w:spacing w:val="-30"/>
                <w:sz w:val="18"/>
                <w:szCs w:val="18"/>
              </w:rPr>
              <w:t> </w:t>
            </w:r>
            <w:r>
              <w:rPr>
                <w:rFonts w:ascii="宋体" w:hAnsi="宋体" w:cs="宋体" w:eastAsia="宋体" w:hint="default"/>
                <w:sz w:val="18"/>
                <w:szCs w:val="18"/>
              </w:rPr>
              <w:t>讯</w:t>
              <w:tab/>
              <w:t>：</w:t>
            </w:r>
            <w:r>
              <w:rPr>
                <w:rFonts w:ascii="宋体" w:hAnsi="宋体" w:cs="宋体" w:eastAsia="宋体" w:hint="default"/>
                <w:sz w:val="18"/>
                <w:szCs w:val="18"/>
              </w:rPr>
              <w:t> </w:t>
            </w:r>
            <w:r>
              <w:rPr>
                <w:rFonts w:ascii="宋体" w:hAnsi="宋体" w:cs="宋体" w:eastAsia="宋体" w:hint="default"/>
                <w:sz w:val="18"/>
                <w:szCs w:val="18"/>
              </w:rPr>
              <w:t>www.cni nfo.com</w:t>
            </w:r>
          </w:p>
          <w:p>
            <w:pPr>
              <w:pStyle w:val="TableParagraph"/>
              <w:spacing w:line="240" w:lineRule="auto" w:before="22"/>
              <w:ind w:left="30" w:right="0"/>
              <w:jc w:val="left"/>
              <w:rPr>
                <w:rFonts w:ascii="宋体" w:hAnsi="宋体" w:cs="宋体" w:eastAsia="宋体" w:hint="default"/>
                <w:sz w:val="18"/>
                <w:szCs w:val="18"/>
              </w:rPr>
            </w:pPr>
            <w:r>
              <w:rPr>
                <w:rFonts w:ascii="宋体"/>
                <w:sz w:val="18"/>
              </w:rPr>
              <w:t>.cn</w:t>
            </w:r>
          </w:p>
        </w:tc>
      </w:tr>
      <w:tr>
        <w:trPr>
          <w:trHeight w:val="1952"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中信银</w:t>
            </w:r>
            <w:r>
              <w:rPr>
                <w:rFonts w:ascii="宋体" w:hAnsi="宋体" w:cs="宋体" w:eastAsia="宋体" w:hint="default"/>
                <w:spacing w:val="-30"/>
                <w:sz w:val="18"/>
                <w:szCs w:val="18"/>
              </w:rPr>
              <w:t> </w:t>
            </w:r>
            <w:r>
              <w:rPr>
                <w:rFonts w:ascii="宋体" w:hAnsi="宋体" w:cs="宋体" w:eastAsia="宋体" w:hint="default"/>
                <w:spacing w:val="40"/>
                <w:sz w:val="18"/>
                <w:szCs w:val="18"/>
              </w:rPr>
              <w:t>行股份</w:t>
            </w:r>
            <w:r>
              <w:rPr>
                <w:rFonts w:ascii="宋体" w:hAnsi="宋体" w:cs="宋体" w:eastAsia="宋体" w:hint="default"/>
                <w:spacing w:val="-30"/>
                <w:sz w:val="18"/>
                <w:szCs w:val="18"/>
              </w:rPr>
              <w:t> </w:t>
            </w:r>
            <w:r>
              <w:rPr>
                <w:rFonts w:ascii="宋体" w:hAnsi="宋体" w:cs="宋体" w:eastAsia="宋体" w:hint="default"/>
                <w:spacing w:val="40"/>
                <w:sz w:val="18"/>
                <w:szCs w:val="18"/>
              </w:rPr>
              <w:t>有限公</w:t>
            </w:r>
            <w:r>
              <w:rPr>
                <w:rFonts w:ascii="宋体" w:hAnsi="宋体" w:cs="宋体" w:eastAsia="宋体" w:hint="default"/>
                <w:spacing w:val="-30"/>
                <w:sz w:val="18"/>
                <w:szCs w:val="18"/>
              </w:rPr>
              <w:t> </w:t>
            </w:r>
            <w:r>
              <w:rPr>
                <w:rFonts w:ascii="宋体" w:hAnsi="宋体" w:cs="宋体" w:eastAsia="宋体" w:hint="default"/>
                <w:spacing w:val="40"/>
                <w:sz w:val="18"/>
                <w:szCs w:val="18"/>
              </w:rPr>
              <w:t>司广州</w:t>
            </w:r>
            <w:r>
              <w:rPr>
                <w:rFonts w:ascii="宋体" w:hAnsi="宋体" w:cs="宋体" w:eastAsia="宋体" w:hint="default"/>
                <w:spacing w:val="-30"/>
                <w:sz w:val="18"/>
                <w:szCs w:val="18"/>
              </w:rPr>
              <w:t> </w:t>
            </w:r>
            <w:r>
              <w:rPr>
                <w:rFonts w:ascii="宋体" w:hAnsi="宋体" w:cs="宋体" w:eastAsia="宋体" w:hint="default"/>
                <w:sz w:val="18"/>
                <w:szCs w:val="18"/>
              </w:rPr>
              <w:t>分行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30" w:right="13"/>
              <w:jc w:val="both"/>
              <w:rPr>
                <w:rFonts w:ascii="宋体" w:hAnsi="宋体" w:cs="宋体" w:eastAsia="宋体" w:hint="default"/>
                <w:sz w:val="18"/>
                <w:szCs w:val="18"/>
              </w:rPr>
            </w:pPr>
            <w:r>
              <w:rPr>
                <w:rFonts w:ascii="宋体" w:hAnsi="宋体" w:cs="宋体" w:eastAsia="宋体" w:hint="default"/>
                <w:sz w:val="18"/>
                <w:szCs w:val="18"/>
              </w:rPr>
              <w:t>保本浮 动</w:t>
            </w:r>
            <w:r>
              <w:rPr>
                <w:rFonts w:ascii="宋体" w:hAnsi="宋体" w:cs="宋体" w:eastAsia="宋体" w:hint="default"/>
                <w:spacing w:val="15"/>
                <w:sz w:val="18"/>
                <w:szCs w:val="18"/>
              </w:rPr>
              <w:t> </w:t>
            </w:r>
            <w:r>
              <w:rPr>
                <w:rFonts w:ascii="宋体" w:hAnsi="宋体" w:cs="宋体" w:eastAsia="宋体" w:hint="default"/>
                <w:sz w:val="18"/>
                <w:szCs w:val="18"/>
              </w:rPr>
              <w:t>收</w:t>
            </w:r>
            <w:r>
              <w:rPr>
                <w:rFonts w:ascii="宋体" w:hAnsi="宋体" w:cs="宋体" w:eastAsia="宋体" w:hint="default"/>
                <w:sz w:val="18"/>
                <w:szCs w:val="18"/>
              </w:rPr>
              <w:t> 益、封 闭式</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45"/>
              <w:jc w:val="center"/>
              <w:rPr>
                <w:rFonts w:ascii="宋体" w:hAnsi="宋体" w:cs="宋体" w:eastAsia="宋体" w:hint="default"/>
                <w:sz w:val="18"/>
                <w:szCs w:val="18"/>
              </w:rPr>
            </w:pPr>
            <w:r>
              <w:rPr>
                <w:rFonts w:ascii="宋体"/>
                <w:sz w:val="18"/>
              </w:rPr>
              <w:t>2,000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2018-</w:t>
            </w:r>
          </w:p>
          <w:p>
            <w:pPr>
              <w:pStyle w:val="TableParagraph"/>
              <w:spacing w:line="240" w:lineRule="auto" w:before="80"/>
              <w:ind w:left="15" w:right="0"/>
              <w:jc w:val="left"/>
              <w:rPr>
                <w:rFonts w:ascii="宋体" w:hAnsi="宋体" w:cs="宋体" w:eastAsia="宋体" w:hint="default"/>
                <w:sz w:val="18"/>
                <w:szCs w:val="18"/>
              </w:rPr>
            </w:pPr>
            <w:r>
              <w:rPr>
                <w:rFonts w:ascii="宋体"/>
                <w:sz w:val="18"/>
              </w:rPr>
              <w:t>10-26</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80"/>
              <w:ind w:left="30" w:right="0"/>
              <w:jc w:val="left"/>
              <w:rPr>
                <w:rFonts w:ascii="宋体" w:hAnsi="宋体" w:cs="宋体" w:eastAsia="宋体" w:hint="default"/>
                <w:sz w:val="18"/>
                <w:szCs w:val="18"/>
              </w:rPr>
            </w:pPr>
            <w:r>
              <w:rPr>
                <w:rFonts w:ascii="宋体"/>
                <w:sz w:val="18"/>
              </w:rPr>
              <w:t>02-01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3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1142" w:type="dxa"/>
            <w:tcBorders>
              <w:top w:val="single" w:sz="6" w:space="0" w:color="000000"/>
              <w:left w:val="single" w:sz="6" w:space="0" w:color="000000"/>
              <w:bottom w:val="single" w:sz="6" w:space="0" w:color="000000"/>
              <w:right w:val="single" w:sz="12" w:space="0" w:color="FFFFFF"/>
            </w:tcBorders>
          </w:tcPr>
          <w:p>
            <w:pPr>
              <w:pStyle w:val="TableParagraph"/>
              <w:spacing w:line="314" w:lineRule="auto" w:before="44"/>
              <w:ind w:left="30" w:right="-38"/>
              <w:jc w:val="both"/>
              <w:rPr>
                <w:rFonts w:ascii="宋体" w:hAnsi="宋体" w:cs="宋体" w:eastAsia="宋体" w:hint="default"/>
                <w:sz w:val="18"/>
                <w:szCs w:val="18"/>
              </w:rPr>
            </w:pPr>
            <w:r>
              <w:rPr>
                <w:rFonts w:ascii="宋体" w:hAnsi="宋体" w:cs="宋体" w:eastAsia="宋体" w:hint="default"/>
                <w:spacing w:val="36"/>
                <w:sz w:val="18"/>
                <w:szCs w:val="18"/>
              </w:rPr>
              <w:t>本金及收益</w:t>
            </w:r>
            <w:r>
              <w:rPr>
                <w:rFonts w:ascii="宋体" w:hAnsi="宋体" w:cs="宋体" w:eastAsia="宋体" w:hint="default"/>
                <w:spacing w:val="-45"/>
                <w:sz w:val="18"/>
                <w:szCs w:val="18"/>
              </w:rPr>
              <w:t> </w:t>
            </w:r>
            <w:r>
              <w:rPr>
                <w:rFonts w:ascii="宋体" w:hAnsi="宋体" w:cs="宋体" w:eastAsia="宋体" w:hint="default"/>
                <w:spacing w:val="36"/>
                <w:sz w:val="18"/>
                <w:szCs w:val="18"/>
              </w:rPr>
              <w:t>于产品到期</w:t>
            </w:r>
            <w:r>
              <w:rPr>
                <w:rFonts w:ascii="宋体" w:hAnsi="宋体" w:cs="宋体" w:eastAsia="宋体" w:hint="default"/>
                <w:spacing w:val="-45"/>
                <w:sz w:val="18"/>
                <w:szCs w:val="18"/>
              </w:rPr>
              <w:t> </w:t>
            </w:r>
            <w:r>
              <w:rPr>
                <w:rFonts w:ascii="宋体" w:hAnsi="宋体" w:cs="宋体" w:eastAsia="宋体" w:hint="default"/>
                <w:sz w:val="18"/>
                <w:szCs w:val="18"/>
              </w:rPr>
              <w:t>日后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个工作 </w:t>
            </w:r>
            <w:r>
              <w:rPr>
                <w:rFonts w:ascii="宋体" w:hAnsi="宋体" w:cs="宋体" w:eastAsia="宋体" w:hint="default"/>
                <w:spacing w:val="36"/>
                <w:sz w:val="18"/>
                <w:szCs w:val="18"/>
              </w:rPr>
              <w:t>日内根据实</w:t>
            </w:r>
            <w:r>
              <w:rPr>
                <w:rFonts w:ascii="宋体" w:hAnsi="宋体" w:cs="宋体" w:eastAsia="宋体" w:hint="default"/>
                <w:spacing w:val="-45"/>
                <w:sz w:val="18"/>
                <w:szCs w:val="18"/>
              </w:rPr>
              <w:t> </w:t>
            </w:r>
            <w:r>
              <w:rPr>
                <w:rFonts w:ascii="宋体" w:hAnsi="宋体" w:cs="宋体" w:eastAsia="宋体" w:hint="default"/>
                <w:spacing w:val="36"/>
                <w:sz w:val="18"/>
                <w:szCs w:val="18"/>
              </w:rPr>
              <w:t>际情况一次</w:t>
            </w:r>
            <w:r>
              <w:rPr>
                <w:rFonts w:ascii="宋体" w:hAnsi="宋体" w:cs="宋体" w:eastAsia="宋体" w:hint="default"/>
                <w:spacing w:val="-45"/>
                <w:sz w:val="18"/>
                <w:szCs w:val="18"/>
              </w:rPr>
              <w:t> </w:t>
            </w:r>
            <w:r>
              <w:rPr>
                <w:rFonts w:ascii="宋体" w:hAnsi="宋体" w:cs="宋体" w:eastAsia="宋体" w:hint="default"/>
                <w:sz w:val="18"/>
                <w:szCs w:val="18"/>
              </w:rPr>
              <w:t>性支付</w:t>
            </w:r>
          </w:p>
        </w:tc>
        <w:tc>
          <w:tcPr>
            <w:tcW w:w="705"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sz w:val="18"/>
              </w:rPr>
              <w:t>3.90%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42"/>
              <w:jc w:val="center"/>
              <w:rPr>
                <w:rFonts w:ascii="宋体" w:hAnsi="宋体" w:cs="宋体" w:eastAsia="宋体" w:hint="default"/>
                <w:sz w:val="18"/>
                <w:szCs w:val="18"/>
              </w:rPr>
            </w:pPr>
            <w:r>
              <w:rPr>
                <w:rFonts w:ascii="宋体"/>
                <w:sz w:val="18"/>
              </w:rPr>
              <w:t>19.76</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sz w:val="18"/>
              </w:rPr>
              <w:t>6.45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sz w:val="18"/>
              </w:rPr>
              <w:t>19.76</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45" w:right="13"/>
              <w:jc w:val="both"/>
              <w:rPr>
                <w:rFonts w:ascii="宋体" w:hAnsi="宋体" w:cs="宋体" w:eastAsia="宋体" w:hint="default"/>
                <w:sz w:val="18"/>
                <w:szCs w:val="18"/>
              </w:rPr>
            </w:pPr>
            <w:r>
              <w:rPr>
                <w:rFonts w:ascii="宋体" w:hAnsi="宋体" w:cs="宋体" w:eastAsia="宋体" w:hint="default"/>
                <w:sz w:val="18"/>
                <w:szCs w:val="18"/>
              </w:rPr>
              <w:t>巨 潮 资 讯    ：</w:t>
            </w:r>
          </w:p>
          <w:p>
            <w:pPr>
              <w:pStyle w:val="TableParagraph"/>
              <w:spacing w:line="321" w:lineRule="auto" w:before="29"/>
              <w:ind w:left="-45" w:right="15"/>
              <w:jc w:val="both"/>
              <w:rPr>
                <w:rFonts w:ascii="宋体" w:hAnsi="宋体" w:cs="宋体" w:eastAsia="宋体" w:hint="default"/>
                <w:sz w:val="18"/>
                <w:szCs w:val="18"/>
              </w:rPr>
            </w:pPr>
            <w:r>
              <w:rPr>
                <w:rFonts w:ascii="宋体"/>
                <w:sz w:val="18"/>
              </w:rPr>
              <w:t>www.cnin fo.com.c n</w:t>
            </w:r>
          </w:p>
        </w:tc>
      </w:tr>
    </w:tbl>
    <w:p>
      <w:pPr>
        <w:spacing w:after="0" w:line="321" w:lineRule="auto"/>
        <w:jc w:val="both"/>
        <w:rPr>
          <w:rFonts w:ascii="宋体" w:hAnsi="宋体" w:cs="宋体" w:eastAsia="宋体" w:hint="default"/>
          <w:sz w:val="18"/>
          <w:szCs w:val="18"/>
        </w:rPr>
        <w:sectPr>
          <w:pgSz w:w="11910" w:h="16850"/>
          <w:pgMar w:header="776" w:footer="1026" w:top="1100" w:bottom="1220" w:left="580" w:right="0"/>
        </w:sectPr>
      </w:pPr>
    </w:p>
    <w:p>
      <w:pPr>
        <w:spacing w:line="240" w:lineRule="auto" w:before="8"/>
        <w:rPr>
          <w:rFonts w:ascii="Times New Roman" w:hAnsi="Times New Roman" w:cs="Times New Roman" w:eastAsia="Times New Roman" w:hint="default"/>
          <w:sz w:val="8"/>
          <w:szCs w:val="8"/>
        </w:rPr>
      </w:pPr>
      <w:r>
        <w:rPr/>
        <w:pict>
          <v:group style="position:absolute;margin-left:72.099998pt;margin-top:60.799999pt;width:21.8pt;height:46.55pt;mso-position-horizontal-relative:page;mso-position-vertical-relative:page;z-index:-1109584" coordorigin="1442,1216" coordsize="436,931">
            <v:shape style="position:absolute;left:1442;top:1216;width:436;height:931" coordorigin="1442,1216" coordsize="436,931" path="m1442,2147l1877,2147,1877,1216,1442,1216,1442,2147xe" filled="true" fillcolor="#ffffff" stroked="false">
              <v:path arrowok="t"/>
              <v:fill type="solid"/>
            </v:shape>
            <w10:wrap type="none"/>
          </v:group>
        </w:pict>
      </w:r>
      <w:r>
        <w:rPr/>
        <w:pict>
          <v:group style="position:absolute;margin-left:72.099998pt;margin-top:126.849998pt;width:21.8pt;height:78.850pt;mso-position-horizontal-relative:page;mso-position-vertical-relative:page;z-index:-1109560" coordorigin="1442,2537" coordsize="436,1577">
            <v:group style="position:absolute;left:1442;top:2537;width:436;height:946" coordorigin="1442,2537" coordsize="436,946">
              <v:shape style="position:absolute;left:1442;top:2537;width:436;height:946" coordorigin="1442,2537" coordsize="436,946" path="m1442,3483l1877,3483,1877,2537,1442,2537,1442,3483xe" filled="true" fillcolor="#ffffff" stroked="false">
                <v:path arrowok="t"/>
                <v:fill type="solid"/>
              </v:shape>
            </v:group>
            <v:group style="position:absolute;left:1442;top:3483;width:436;height:631" coordorigin="1442,3483" coordsize="436,631">
              <v:shape style="position:absolute;left:1442;top:3483;width:436;height:631" coordorigin="1442,3483" coordsize="436,631" path="m1442,4114l1877,4114,1877,3483,1442,3483,1442,4114xe" filled="true" fillcolor="#ffffff" stroked="false">
                <v:path arrowok="t"/>
                <v:fill type="solid"/>
              </v:shape>
            </v:group>
            <w10:wrap type="none"/>
          </v:group>
        </w:pict>
      </w:r>
      <w:r>
        <w:rPr/>
        <w:pict>
          <v:group style="position:absolute;margin-left:72.099998pt;margin-top:225.205002pt;width:21.8pt;height:31.55pt;mso-position-horizontal-relative:page;mso-position-vertical-relative:page;z-index:-1109536" coordorigin="1442,4504" coordsize="436,631">
            <v:shape style="position:absolute;left:1442;top:4504;width:436;height:631" coordorigin="1442,4504" coordsize="436,631" path="m1442,5135l1877,5135,1877,4504,1442,4504,1442,5135xe" filled="true" fillcolor="#ffffff" stroked="false">
              <v:path arrowok="t"/>
              <v:fill type="solid"/>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706"/>
        <w:gridCol w:w="451"/>
        <w:gridCol w:w="616"/>
        <w:gridCol w:w="571"/>
        <w:gridCol w:w="571"/>
        <w:gridCol w:w="555"/>
        <w:gridCol w:w="556"/>
        <w:gridCol w:w="796"/>
        <w:gridCol w:w="1142"/>
        <w:gridCol w:w="705"/>
        <w:gridCol w:w="571"/>
        <w:gridCol w:w="570"/>
        <w:gridCol w:w="706"/>
        <w:gridCol w:w="420"/>
        <w:gridCol w:w="436"/>
        <w:gridCol w:w="360"/>
        <w:gridCol w:w="766"/>
      </w:tblGrid>
      <w:tr>
        <w:trPr>
          <w:trHeight w:val="2282"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61"/>
              <w:jc w:val="both"/>
              <w:rPr>
                <w:rFonts w:ascii="宋体" w:hAnsi="宋体" w:cs="宋体" w:eastAsia="宋体" w:hint="default"/>
                <w:sz w:val="18"/>
                <w:szCs w:val="18"/>
              </w:rPr>
            </w:pPr>
            <w:r>
              <w:rPr>
                <w:rFonts w:ascii="宋体" w:hAnsi="宋体" w:cs="宋体" w:eastAsia="宋体" w:hint="default"/>
                <w:spacing w:val="40"/>
                <w:sz w:val="18"/>
                <w:szCs w:val="18"/>
              </w:rPr>
              <w:t>上海浦</w:t>
            </w:r>
            <w:r>
              <w:rPr>
                <w:rFonts w:ascii="宋体" w:hAnsi="宋体" w:cs="宋体" w:eastAsia="宋体" w:hint="default"/>
                <w:spacing w:val="-30"/>
                <w:sz w:val="18"/>
                <w:szCs w:val="18"/>
              </w:rPr>
              <w:t> </w:t>
            </w:r>
            <w:r>
              <w:rPr>
                <w:rFonts w:ascii="宋体" w:hAnsi="宋体" w:cs="宋体" w:eastAsia="宋体" w:hint="default"/>
                <w:spacing w:val="40"/>
                <w:sz w:val="18"/>
                <w:szCs w:val="18"/>
              </w:rPr>
              <w:t>东发展</w:t>
            </w:r>
            <w:r>
              <w:rPr>
                <w:rFonts w:ascii="宋体" w:hAnsi="宋体" w:cs="宋体" w:eastAsia="宋体" w:hint="default"/>
                <w:spacing w:val="-30"/>
                <w:sz w:val="18"/>
                <w:szCs w:val="18"/>
              </w:rPr>
              <w:t> </w:t>
            </w:r>
            <w:r>
              <w:rPr>
                <w:rFonts w:ascii="宋体" w:hAnsi="宋体" w:cs="宋体" w:eastAsia="宋体" w:hint="default"/>
                <w:spacing w:val="40"/>
                <w:sz w:val="18"/>
                <w:szCs w:val="18"/>
              </w:rPr>
              <w:t>银行股</w:t>
            </w:r>
            <w:r>
              <w:rPr>
                <w:rFonts w:ascii="宋体" w:hAnsi="宋体" w:cs="宋体" w:eastAsia="宋体" w:hint="default"/>
                <w:spacing w:val="-30"/>
                <w:sz w:val="18"/>
                <w:szCs w:val="18"/>
              </w:rPr>
              <w:t> </w:t>
            </w:r>
            <w:r>
              <w:rPr>
                <w:rFonts w:ascii="宋体" w:hAnsi="宋体" w:cs="宋体" w:eastAsia="宋体" w:hint="default"/>
                <w:spacing w:val="40"/>
                <w:sz w:val="18"/>
                <w:szCs w:val="18"/>
              </w:rPr>
              <w:t>份有限</w:t>
            </w:r>
            <w:r>
              <w:rPr>
                <w:rFonts w:ascii="宋体" w:hAnsi="宋体" w:cs="宋体" w:eastAsia="宋体" w:hint="default"/>
                <w:spacing w:val="-30"/>
                <w:sz w:val="18"/>
                <w:szCs w:val="18"/>
              </w:rPr>
              <w:t> </w:t>
            </w:r>
            <w:r>
              <w:rPr>
                <w:rFonts w:ascii="宋体" w:hAnsi="宋体" w:cs="宋体" w:eastAsia="宋体" w:hint="default"/>
                <w:spacing w:val="40"/>
                <w:sz w:val="18"/>
                <w:szCs w:val="18"/>
              </w:rPr>
              <w:t>公司广</w:t>
            </w:r>
            <w:r>
              <w:rPr>
                <w:rFonts w:ascii="宋体" w:hAnsi="宋体" w:cs="宋体" w:eastAsia="宋体" w:hint="default"/>
                <w:spacing w:val="-30"/>
                <w:sz w:val="18"/>
                <w:szCs w:val="18"/>
              </w:rPr>
              <w:t> </w:t>
            </w:r>
            <w:r>
              <w:rPr>
                <w:rFonts w:ascii="宋体" w:hAnsi="宋体" w:cs="宋体" w:eastAsia="宋体" w:hint="default"/>
                <w:spacing w:val="40"/>
                <w:sz w:val="18"/>
                <w:szCs w:val="18"/>
              </w:rPr>
              <w:t>州番禺</w:t>
            </w:r>
            <w:r>
              <w:rPr>
                <w:rFonts w:ascii="宋体" w:hAnsi="宋体" w:cs="宋体" w:eastAsia="宋体" w:hint="default"/>
                <w:spacing w:val="-30"/>
                <w:sz w:val="18"/>
                <w:szCs w:val="18"/>
              </w:rPr>
              <w:t> </w:t>
            </w:r>
            <w:r>
              <w:rPr>
                <w:rFonts w:ascii="宋体" w:hAnsi="宋体" w:cs="宋体" w:eastAsia="宋体" w:hint="default"/>
                <w:sz w:val="18"/>
                <w:szCs w:val="18"/>
              </w:rPr>
              <w:t>支行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4" w:lineRule="auto"/>
              <w:ind w:left="30" w:right="28"/>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sz w:val="18"/>
              </w:rPr>
              <w:t>2,000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sz w:val="18"/>
              </w:rPr>
              <w:t>2018-</w:t>
            </w:r>
          </w:p>
          <w:p>
            <w:pPr>
              <w:pStyle w:val="TableParagraph"/>
              <w:spacing w:line="240" w:lineRule="auto" w:before="64"/>
              <w:ind w:left="15" w:right="0"/>
              <w:jc w:val="left"/>
              <w:rPr>
                <w:rFonts w:ascii="宋体" w:hAnsi="宋体" w:cs="宋体" w:eastAsia="宋体" w:hint="default"/>
                <w:sz w:val="18"/>
                <w:szCs w:val="18"/>
              </w:rPr>
            </w:pPr>
            <w:r>
              <w:rPr>
                <w:rFonts w:ascii="宋体"/>
                <w:sz w:val="18"/>
              </w:rPr>
              <w:t>11-12</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64"/>
              <w:ind w:left="30" w:right="0"/>
              <w:jc w:val="left"/>
              <w:rPr>
                <w:rFonts w:ascii="宋体" w:hAnsi="宋体" w:cs="宋体" w:eastAsia="宋体" w:hint="default"/>
                <w:sz w:val="18"/>
                <w:szCs w:val="18"/>
              </w:rPr>
            </w:pPr>
            <w:r>
              <w:rPr>
                <w:rFonts w:ascii="宋体"/>
                <w:sz w:val="18"/>
              </w:rPr>
              <w:t>02-10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4" w:lineRule="auto"/>
              <w:ind w:left="30" w:right="3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1142" w:type="dxa"/>
            <w:tcBorders>
              <w:top w:val="single" w:sz="6" w:space="0" w:color="000000"/>
              <w:left w:val="single" w:sz="6" w:space="0" w:color="000000"/>
              <w:bottom w:val="single" w:sz="6" w:space="0" w:color="000000"/>
              <w:right w:val="single" w:sz="12"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30" w:right="-38"/>
              <w:jc w:val="both"/>
              <w:rPr>
                <w:rFonts w:ascii="宋体" w:hAnsi="宋体" w:cs="宋体" w:eastAsia="宋体" w:hint="default"/>
                <w:sz w:val="18"/>
                <w:szCs w:val="18"/>
              </w:rPr>
            </w:pPr>
            <w:r>
              <w:rPr>
                <w:rFonts w:ascii="宋体" w:hAnsi="宋体" w:cs="宋体" w:eastAsia="宋体" w:hint="default"/>
                <w:spacing w:val="36"/>
                <w:sz w:val="18"/>
                <w:szCs w:val="18"/>
              </w:rPr>
              <w:t>投资到期日</w:t>
            </w:r>
            <w:r>
              <w:rPr>
                <w:rFonts w:ascii="宋体" w:hAnsi="宋体" w:cs="宋体" w:eastAsia="宋体" w:hint="default"/>
                <w:spacing w:val="-45"/>
                <w:sz w:val="18"/>
                <w:szCs w:val="18"/>
              </w:rPr>
              <w:t> </w:t>
            </w:r>
            <w:r>
              <w:rPr>
                <w:rFonts w:ascii="宋体" w:hAnsi="宋体" w:cs="宋体" w:eastAsia="宋体" w:hint="default"/>
                <w:spacing w:val="36"/>
                <w:sz w:val="18"/>
                <w:szCs w:val="18"/>
              </w:rPr>
              <w:t>一次性返还</w:t>
            </w:r>
            <w:r>
              <w:rPr>
                <w:rFonts w:ascii="宋体" w:hAnsi="宋体" w:cs="宋体" w:eastAsia="宋体" w:hint="default"/>
                <w:spacing w:val="-45"/>
                <w:sz w:val="18"/>
                <w:szCs w:val="18"/>
              </w:rPr>
              <w:t> </w:t>
            </w:r>
            <w:r>
              <w:rPr>
                <w:rFonts w:ascii="宋体" w:hAnsi="宋体" w:cs="宋体" w:eastAsia="宋体" w:hint="default"/>
                <w:spacing w:val="36"/>
                <w:sz w:val="18"/>
                <w:szCs w:val="18"/>
              </w:rPr>
              <w:t>产品存款本</w:t>
            </w:r>
            <w:r>
              <w:rPr>
                <w:rFonts w:ascii="宋体" w:hAnsi="宋体" w:cs="宋体" w:eastAsia="宋体" w:hint="default"/>
                <w:spacing w:val="-45"/>
                <w:sz w:val="18"/>
                <w:szCs w:val="18"/>
              </w:rPr>
              <w:t> </w:t>
            </w:r>
            <w:r>
              <w:rPr>
                <w:rFonts w:ascii="宋体" w:hAnsi="宋体" w:cs="宋体" w:eastAsia="宋体" w:hint="default"/>
                <w:spacing w:val="36"/>
                <w:sz w:val="18"/>
                <w:szCs w:val="18"/>
              </w:rPr>
              <w:t>金和约定的</w:t>
            </w:r>
            <w:r>
              <w:rPr>
                <w:rFonts w:ascii="宋体" w:hAnsi="宋体" w:cs="宋体" w:eastAsia="宋体" w:hint="default"/>
                <w:spacing w:val="-45"/>
                <w:sz w:val="18"/>
                <w:szCs w:val="18"/>
              </w:rPr>
              <w:t> </w:t>
            </w:r>
            <w:r>
              <w:rPr>
                <w:rFonts w:ascii="宋体" w:hAnsi="宋体" w:cs="宋体" w:eastAsia="宋体" w:hint="default"/>
                <w:sz w:val="18"/>
                <w:szCs w:val="18"/>
              </w:rPr>
              <w:t>产品收益</w:t>
            </w:r>
          </w:p>
        </w:tc>
        <w:tc>
          <w:tcPr>
            <w:tcW w:w="705"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sz w:val="18"/>
              </w:rPr>
              <w:t>4.05%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sz w:val="18"/>
              </w:rPr>
              <w:t>18.84</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sz w:val="18"/>
              </w:rPr>
              <w:t>8.84</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sz w:val="18"/>
              </w:rPr>
              <w:t>19.1</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13"/>
              <w:jc w:val="both"/>
              <w:rPr>
                <w:rFonts w:ascii="宋体" w:hAnsi="宋体" w:cs="宋体" w:eastAsia="宋体" w:hint="default"/>
                <w:sz w:val="18"/>
                <w:szCs w:val="18"/>
              </w:rPr>
            </w:pPr>
            <w:r>
              <w:rPr>
                <w:rFonts w:ascii="宋体" w:hAnsi="宋体" w:cs="宋体" w:eastAsia="宋体" w:hint="default"/>
                <w:sz w:val="18"/>
                <w:szCs w:val="18"/>
              </w:rPr>
              <w:t>巨 潮 资 讯    ：</w:t>
            </w:r>
          </w:p>
          <w:p>
            <w:pPr>
              <w:pStyle w:val="TableParagraph"/>
              <w:spacing w:line="314" w:lineRule="auto" w:before="18"/>
              <w:ind w:left="15" w:right="15"/>
              <w:jc w:val="both"/>
              <w:rPr>
                <w:rFonts w:ascii="宋体" w:hAnsi="宋体" w:cs="宋体" w:eastAsia="宋体" w:hint="default"/>
                <w:sz w:val="18"/>
                <w:szCs w:val="18"/>
              </w:rPr>
            </w:pPr>
            <w:r>
              <w:rPr>
                <w:rFonts w:ascii="宋体"/>
                <w:sz w:val="18"/>
              </w:rPr>
              <w:t>www.cnin fo.com.c n</w:t>
            </w:r>
          </w:p>
        </w:tc>
      </w:tr>
      <w:tr>
        <w:trPr>
          <w:trHeight w:val="16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中国民</w:t>
            </w:r>
            <w:r>
              <w:rPr>
                <w:rFonts w:ascii="宋体" w:hAnsi="宋体" w:cs="宋体" w:eastAsia="宋体" w:hint="default"/>
                <w:spacing w:val="-30"/>
                <w:sz w:val="18"/>
                <w:szCs w:val="18"/>
              </w:rPr>
              <w:t> </w:t>
            </w:r>
            <w:r>
              <w:rPr>
                <w:rFonts w:ascii="宋体" w:hAnsi="宋体" w:cs="宋体" w:eastAsia="宋体" w:hint="default"/>
                <w:spacing w:val="40"/>
                <w:sz w:val="18"/>
                <w:szCs w:val="18"/>
              </w:rPr>
              <w:t>生银行</w:t>
            </w:r>
            <w:r>
              <w:rPr>
                <w:rFonts w:ascii="宋体" w:hAnsi="宋体" w:cs="宋体" w:eastAsia="宋体" w:hint="default"/>
                <w:spacing w:val="-30"/>
                <w:sz w:val="18"/>
                <w:szCs w:val="18"/>
              </w:rPr>
              <w:t> </w:t>
            </w:r>
            <w:r>
              <w:rPr>
                <w:rFonts w:ascii="宋体" w:hAnsi="宋体" w:cs="宋体" w:eastAsia="宋体" w:hint="default"/>
                <w:spacing w:val="40"/>
                <w:sz w:val="18"/>
                <w:szCs w:val="18"/>
              </w:rPr>
              <w:t>广州分</w:t>
            </w:r>
            <w:r>
              <w:rPr>
                <w:rFonts w:ascii="宋体" w:hAnsi="宋体" w:cs="宋体" w:eastAsia="宋体" w:hint="default"/>
                <w:spacing w:val="-30"/>
                <w:sz w:val="18"/>
                <w:szCs w:val="18"/>
              </w:rPr>
              <w:t> </w:t>
            </w:r>
            <w:r>
              <w:rPr>
                <w:rFonts w:ascii="宋体" w:hAnsi="宋体" w:cs="宋体" w:eastAsia="宋体" w:hint="default"/>
                <w:sz w:val="18"/>
                <w:szCs w:val="18"/>
              </w:rPr>
              <w:t>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2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sz w:val="18"/>
              </w:rPr>
              <w:t>600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sz w:val="18"/>
              </w:rPr>
              <w:t>2018-</w:t>
            </w:r>
          </w:p>
          <w:p>
            <w:pPr>
              <w:pStyle w:val="TableParagraph"/>
              <w:spacing w:line="240" w:lineRule="auto" w:before="80"/>
              <w:ind w:left="15" w:right="0"/>
              <w:jc w:val="left"/>
              <w:rPr>
                <w:rFonts w:ascii="宋体" w:hAnsi="宋体" w:cs="宋体" w:eastAsia="宋体" w:hint="default"/>
                <w:sz w:val="18"/>
                <w:szCs w:val="18"/>
              </w:rPr>
            </w:pPr>
            <w:r>
              <w:rPr>
                <w:rFonts w:ascii="宋体"/>
                <w:sz w:val="18"/>
              </w:rPr>
              <w:t>11-23</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80"/>
              <w:ind w:left="30" w:right="0"/>
              <w:jc w:val="left"/>
              <w:rPr>
                <w:rFonts w:ascii="宋体" w:hAnsi="宋体" w:cs="宋体" w:eastAsia="宋体" w:hint="default"/>
                <w:sz w:val="18"/>
                <w:szCs w:val="18"/>
              </w:rPr>
            </w:pPr>
            <w:r>
              <w:rPr>
                <w:rFonts w:ascii="宋体"/>
                <w:sz w:val="18"/>
              </w:rPr>
              <w:t>02-22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21" w:lineRule="auto"/>
              <w:ind w:left="30" w:right="3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1142" w:type="dxa"/>
            <w:tcBorders>
              <w:top w:val="single" w:sz="6" w:space="0" w:color="000000"/>
              <w:left w:val="single" w:sz="6" w:space="0" w:color="000000"/>
              <w:bottom w:val="single" w:sz="6" w:space="0" w:color="000000"/>
              <w:right w:val="single" w:sz="12" w:space="0" w:color="FFFFFF"/>
            </w:tcBorders>
          </w:tcPr>
          <w:p>
            <w:pPr>
              <w:pStyle w:val="TableParagraph"/>
              <w:spacing w:line="316" w:lineRule="auto" w:before="30"/>
              <w:ind w:left="30" w:right="-38"/>
              <w:jc w:val="both"/>
              <w:rPr>
                <w:rFonts w:ascii="宋体" w:hAnsi="宋体" w:cs="宋体" w:eastAsia="宋体" w:hint="default"/>
                <w:sz w:val="18"/>
                <w:szCs w:val="18"/>
              </w:rPr>
            </w:pPr>
            <w:r>
              <w:rPr>
                <w:rFonts w:ascii="宋体" w:hAnsi="宋体" w:cs="宋体" w:eastAsia="宋体" w:hint="default"/>
                <w:spacing w:val="36"/>
                <w:sz w:val="18"/>
                <w:szCs w:val="18"/>
              </w:rPr>
              <w:t>到期日后的</w:t>
            </w:r>
            <w:r>
              <w:rPr>
                <w:rFonts w:ascii="宋体" w:hAnsi="宋体" w:cs="宋体" w:eastAsia="宋体" w:hint="default"/>
                <w:spacing w:val="-45"/>
                <w:sz w:val="18"/>
                <w:szCs w:val="18"/>
              </w:rPr>
              <w:t> </w:t>
            </w:r>
            <w:r>
              <w:rPr>
                <w:rFonts w:ascii="宋体" w:hAnsi="宋体" w:cs="宋体" w:eastAsia="宋体" w:hint="default"/>
                <w:spacing w:val="36"/>
                <w:sz w:val="18"/>
                <w:szCs w:val="18"/>
              </w:rPr>
              <w:t>两个工作日</w:t>
            </w:r>
            <w:r>
              <w:rPr>
                <w:rFonts w:ascii="宋体" w:hAnsi="宋体" w:cs="宋体" w:eastAsia="宋体" w:hint="default"/>
                <w:spacing w:val="-45"/>
                <w:sz w:val="18"/>
                <w:szCs w:val="18"/>
              </w:rPr>
              <w:t> </w:t>
            </w:r>
            <w:r>
              <w:rPr>
                <w:rFonts w:ascii="宋体" w:hAnsi="宋体" w:cs="宋体" w:eastAsia="宋体" w:hint="default"/>
                <w:spacing w:val="36"/>
                <w:sz w:val="18"/>
                <w:szCs w:val="18"/>
              </w:rPr>
              <w:t>内支付结构</w:t>
            </w:r>
            <w:r>
              <w:rPr>
                <w:rFonts w:ascii="宋体" w:hAnsi="宋体" w:cs="宋体" w:eastAsia="宋体" w:hint="default"/>
                <w:spacing w:val="-45"/>
                <w:sz w:val="18"/>
                <w:szCs w:val="18"/>
              </w:rPr>
              <w:t> </w:t>
            </w:r>
            <w:r>
              <w:rPr>
                <w:rFonts w:ascii="宋体" w:hAnsi="宋体" w:cs="宋体" w:eastAsia="宋体" w:hint="default"/>
                <w:spacing w:val="36"/>
                <w:sz w:val="18"/>
                <w:szCs w:val="18"/>
              </w:rPr>
              <w:t>性存款本金</w:t>
            </w:r>
            <w:r>
              <w:rPr>
                <w:rFonts w:ascii="宋体" w:hAnsi="宋体" w:cs="宋体" w:eastAsia="宋体" w:hint="default"/>
                <w:spacing w:val="-45"/>
                <w:sz w:val="18"/>
                <w:szCs w:val="18"/>
              </w:rPr>
              <w:t> </w:t>
            </w:r>
            <w:r>
              <w:rPr>
                <w:rFonts w:ascii="宋体" w:hAnsi="宋体" w:cs="宋体" w:eastAsia="宋体" w:hint="default"/>
                <w:sz w:val="18"/>
                <w:szCs w:val="18"/>
              </w:rPr>
              <w:t>及收益</w:t>
            </w:r>
          </w:p>
        </w:tc>
        <w:tc>
          <w:tcPr>
            <w:tcW w:w="705"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4.01%</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sz w:val="18"/>
              </w:rPr>
              <w:t>5.66</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sz w:val="18"/>
              </w:rPr>
              <w:t>3.21</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sz w:val="18"/>
              </w:rPr>
              <w:t>5.57</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3"/>
              <w:jc w:val="both"/>
              <w:rPr>
                <w:rFonts w:ascii="宋体" w:hAnsi="宋体" w:cs="宋体" w:eastAsia="宋体" w:hint="default"/>
                <w:sz w:val="18"/>
                <w:szCs w:val="18"/>
              </w:rPr>
            </w:pPr>
            <w:r>
              <w:rPr>
                <w:rFonts w:ascii="宋体" w:hAnsi="宋体" w:cs="宋体" w:eastAsia="宋体" w:hint="default"/>
                <w:sz w:val="18"/>
                <w:szCs w:val="18"/>
              </w:rPr>
              <w:t>巨 潮 资 讯    ：</w:t>
            </w:r>
          </w:p>
          <w:p>
            <w:pPr>
              <w:pStyle w:val="TableParagraph"/>
              <w:spacing w:line="321" w:lineRule="auto" w:before="4"/>
              <w:ind w:left="15" w:right="15"/>
              <w:jc w:val="both"/>
              <w:rPr>
                <w:rFonts w:ascii="宋体" w:hAnsi="宋体" w:cs="宋体" w:eastAsia="宋体" w:hint="default"/>
                <w:sz w:val="18"/>
                <w:szCs w:val="18"/>
              </w:rPr>
            </w:pPr>
            <w:r>
              <w:rPr>
                <w:rFonts w:ascii="宋体"/>
                <w:sz w:val="18"/>
              </w:rPr>
              <w:t>www.cnin fo.com.c n</w:t>
            </w:r>
          </w:p>
        </w:tc>
      </w:tr>
    </w:tbl>
    <w:p>
      <w:pPr>
        <w:spacing w:after="0" w:line="321" w:lineRule="auto"/>
        <w:jc w:val="both"/>
        <w:rPr>
          <w:rFonts w:ascii="宋体" w:hAnsi="宋体" w:cs="宋体" w:eastAsia="宋体" w:hint="default"/>
          <w:sz w:val="18"/>
          <w:szCs w:val="18"/>
        </w:rPr>
        <w:sectPr>
          <w:pgSz w:w="11910" w:h="16850"/>
          <w:pgMar w:header="776" w:footer="1026" w:top="1100" w:bottom="1220" w:left="580" w:right="0"/>
        </w:sectPr>
      </w:pPr>
    </w:p>
    <w:tbl>
      <w:tblPr>
        <w:tblW w:w="0" w:type="auto"/>
        <w:jc w:val="left"/>
        <w:tblInd w:w="126" w:type="dxa"/>
        <w:tblLayout w:type="fixed"/>
        <w:tblCellMar>
          <w:top w:w="0" w:type="dxa"/>
          <w:left w:w="0" w:type="dxa"/>
          <w:bottom w:w="0" w:type="dxa"/>
          <w:right w:w="0" w:type="dxa"/>
        </w:tblCellMar>
        <w:tblLook w:val="01E0"/>
      </w:tblPr>
      <w:tblGrid>
        <w:gridCol w:w="706"/>
        <w:gridCol w:w="451"/>
        <w:gridCol w:w="616"/>
        <w:gridCol w:w="571"/>
        <w:gridCol w:w="571"/>
        <w:gridCol w:w="555"/>
        <w:gridCol w:w="556"/>
        <w:gridCol w:w="796"/>
        <w:gridCol w:w="1142"/>
        <w:gridCol w:w="705"/>
        <w:gridCol w:w="571"/>
        <w:gridCol w:w="570"/>
        <w:gridCol w:w="706"/>
        <w:gridCol w:w="420"/>
        <w:gridCol w:w="436"/>
        <w:gridCol w:w="360"/>
        <w:gridCol w:w="766"/>
      </w:tblGrid>
      <w:tr>
        <w:trPr>
          <w:trHeight w:val="113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4"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兴业银</w:t>
            </w:r>
            <w:r>
              <w:rPr>
                <w:rFonts w:ascii="宋体" w:hAnsi="宋体" w:cs="宋体" w:eastAsia="宋体" w:hint="default"/>
                <w:spacing w:val="-30"/>
                <w:sz w:val="18"/>
                <w:szCs w:val="18"/>
              </w:rPr>
              <w:t> </w:t>
            </w:r>
            <w:r>
              <w:rPr>
                <w:rFonts w:ascii="宋体" w:hAnsi="宋体" w:cs="宋体" w:eastAsia="宋体" w:hint="default"/>
                <w:spacing w:val="40"/>
                <w:sz w:val="18"/>
                <w:szCs w:val="18"/>
              </w:rPr>
              <w:t>行股份</w:t>
            </w:r>
            <w:r>
              <w:rPr>
                <w:rFonts w:ascii="宋体" w:hAnsi="宋体" w:cs="宋体" w:eastAsia="宋体" w:hint="default"/>
                <w:spacing w:val="-30"/>
                <w:sz w:val="18"/>
                <w:szCs w:val="18"/>
              </w:rPr>
              <w:t> </w:t>
            </w:r>
            <w:r>
              <w:rPr>
                <w:rFonts w:ascii="宋体" w:hAnsi="宋体" w:cs="宋体" w:eastAsia="宋体" w:hint="default"/>
                <w:spacing w:val="40"/>
                <w:sz w:val="18"/>
                <w:szCs w:val="18"/>
              </w:rPr>
              <w:t>有限公</w:t>
            </w:r>
            <w:r>
              <w:rPr>
                <w:rFonts w:ascii="宋体" w:hAnsi="宋体" w:cs="宋体" w:eastAsia="宋体" w:hint="default"/>
                <w:spacing w:val="-30"/>
                <w:sz w:val="18"/>
                <w:szCs w:val="18"/>
              </w:rPr>
              <w:t> </w:t>
            </w:r>
            <w:r>
              <w:rPr>
                <w:rFonts w:ascii="宋体" w:hAnsi="宋体" w:cs="宋体" w:eastAsia="宋体" w:hint="default"/>
                <w:spacing w:val="40"/>
                <w:sz w:val="18"/>
                <w:szCs w:val="18"/>
              </w:rPr>
              <w:t>司深圳</w:t>
            </w:r>
            <w:r>
              <w:rPr>
                <w:rFonts w:ascii="宋体" w:hAnsi="宋体" w:cs="宋体" w:eastAsia="宋体" w:hint="default"/>
                <w:spacing w:val="-30"/>
                <w:sz w:val="18"/>
                <w:szCs w:val="18"/>
              </w:rPr>
              <w:t> </w:t>
            </w:r>
            <w:r>
              <w:rPr>
                <w:rFonts w:ascii="宋体" w:hAnsi="宋体" w:cs="宋体" w:eastAsia="宋体" w:hint="default"/>
                <w:spacing w:val="40"/>
                <w:sz w:val="18"/>
                <w:szCs w:val="18"/>
              </w:rPr>
              <w:t>中心区</w:t>
            </w:r>
            <w:r>
              <w:rPr>
                <w:rFonts w:ascii="宋体" w:hAnsi="宋体" w:cs="宋体" w:eastAsia="宋体" w:hint="default"/>
                <w:spacing w:val="-30"/>
                <w:sz w:val="18"/>
                <w:szCs w:val="18"/>
              </w:rPr>
              <w:t> </w:t>
            </w:r>
            <w:r>
              <w:rPr>
                <w:rFonts w:ascii="宋体" w:hAnsi="宋体" w:cs="宋体" w:eastAsia="宋体" w:hint="default"/>
                <w:sz w:val="18"/>
                <w:szCs w:val="18"/>
              </w:rPr>
              <w:t>支行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30" w:right="13"/>
              <w:jc w:val="both"/>
              <w:rPr>
                <w:rFonts w:ascii="宋体" w:hAnsi="宋体" w:cs="宋体" w:eastAsia="宋体" w:hint="default"/>
                <w:sz w:val="18"/>
                <w:szCs w:val="18"/>
              </w:rPr>
            </w:pPr>
            <w:r>
              <w:rPr>
                <w:rFonts w:ascii="宋体" w:hAnsi="宋体" w:cs="宋体" w:eastAsia="宋体" w:hint="default"/>
                <w:sz w:val="18"/>
                <w:szCs w:val="18"/>
              </w:rPr>
              <w:t>【保本 开</w:t>
            </w:r>
            <w:r>
              <w:rPr>
                <w:rFonts w:ascii="宋体" w:hAnsi="宋体" w:cs="宋体" w:eastAsia="宋体" w:hint="default"/>
                <w:spacing w:val="15"/>
                <w:sz w:val="18"/>
                <w:szCs w:val="18"/>
              </w:rPr>
              <w:t> </w:t>
            </w:r>
            <w:r>
              <w:rPr>
                <w:rFonts w:ascii="宋体" w:hAnsi="宋体" w:cs="宋体" w:eastAsia="宋体" w:hint="default"/>
                <w:sz w:val="18"/>
                <w:szCs w:val="18"/>
              </w:rPr>
              <w:t>放</w:t>
            </w:r>
            <w:r>
              <w:rPr>
                <w:rFonts w:ascii="宋体" w:hAnsi="宋体" w:cs="宋体" w:eastAsia="宋体" w:hint="default"/>
                <w:sz w:val="18"/>
                <w:szCs w:val="18"/>
              </w:rPr>
              <w:t> 式】理 财产品</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sz w:val="18"/>
              </w:rPr>
              <w:t>500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2019-</w:t>
            </w:r>
          </w:p>
          <w:p>
            <w:pPr>
              <w:pStyle w:val="TableParagraph"/>
              <w:spacing w:line="240" w:lineRule="auto" w:before="79"/>
              <w:ind w:left="15" w:right="0"/>
              <w:jc w:val="left"/>
              <w:rPr>
                <w:rFonts w:ascii="宋体" w:hAnsi="宋体" w:cs="宋体" w:eastAsia="宋体" w:hint="default"/>
                <w:sz w:val="18"/>
                <w:szCs w:val="18"/>
              </w:rPr>
            </w:pPr>
            <w:r>
              <w:rPr>
                <w:rFonts w:ascii="宋体"/>
                <w:sz w:val="18"/>
              </w:rPr>
              <w:t>10-21</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79"/>
              <w:ind w:left="30" w:right="0"/>
              <w:jc w:val="left"/>
              <w:rPr>
                <w:rFonts w:ascii="宋体" w:hAnsi="宋体" w:cs="宋体" w:eastAsia="宋体" w:hint="default"/>
                <w:sz w:val="18"/>
                <w:szCs w:val="18"/>
              </w:rPr>
            </w:pPr>
            <w:r>
              <w:rPr>
                <w:rFonts w:ascii="宋体"/>
                <w:sz w:val="18"/>
              </w:rPr>
              <w:t>11-21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0"/>
              <w:jc w:val="both"/>
              <w:rPr>
                <w:rFonts w:ascii="宋体" w:hAnsi="宋体" w:cs="宋体" w:eastAsia="宋体" w:hint="default"/>
                <w:sz w:val="18"/>
                <w:szCs w:val="18"/>
              </w:rPr>
            </w:pPr>
            <w:r>
              <w:rPr>
                <w:rFonts w:ascii="宋体" w:hAnsi="宋体" w:cs="宋体" w:eastAsia="宋体" w:hint="default"/>
                <w:sz w:val="18"/>
                <w:szCs w:val="18"/>
              </w:rPr>
              <w:t>银 行</w:t>
            </w:r>
            <w:r>
              <w:rPr>
                <w:rFonts w:ascii="宋体" w:hAnsi="宋体" w:cs="宋体" w:eastAsia="宋体" w:hint="default"/>
                <w:spacing w:val="30"/>
                <w:sz w:val="18"/>
                <w:szCs w:val="18"/>
              </w:rPr>
              <w:t> </w:t>
            </w:r>
            <w:r>
              <w:rPr>
                <w:rFonts w:ascii="宋体" w:hAnsi="宋体" w:cs="宋体" w:eastAsia="宋体" w:hint="default"/>
                <w:sz w:val="18"/>
                <w:szCs w:val="18"/>
              </w:rPr>
              <w:t>存</w:t>
            </w:r>
            <w:r>
              <w:rPr>
                <w:rFonts w:ascii="宋体" w:hAnsi="宋体" w:cs="宋体" w:eastAsia="宋体" w:hint="default"/>
                <w:sz w:val="18"/>
                <w:szCs w:val="18"/>
              </w:rPr>
              <w:t> 款、债券 逆回购、 货币基金 等货币市 场工具及 其它银行 间和交易 所资金融 通工具， 国债、政 策性金融 债、央行 票据、短 期 融</w:t>
            </w:r>
            <w:r>
              <w:rPr>
                <w:rFonts w:ascii="宋体" w:hAnsi="宋体" w:cs="宋体" w:eastAsia="宋体" w:hint="default"/>
                <w:spacing w:val="30"/>
                <w:sz w:val="18"/>
                <w:szCs w:val="18"/>
              </w:rPr>
              <w:t> </w:t>
            </w:r>
            <w:r>
              <w:rPr>
                <w:rFonts w:ascii="宋体" w:hAnsi="宋体" w:cs="宋体" w:eastAsia="宋体" w:hint="default"/>
                <w:sz w:val="18"/>
                <w:szCs w:val="18"/>
              </w:rPr>
              <w:t>资</w:t>
            </w:r>
            <w:r>
              <w:rPr>
                <w:rFonts w:ascii="宋体" w:hAnsi="宋体" w:cs="宋体" w:eastAsia="宋体" w:hint="default"/>
                <w:sz w:val="18"/>
                <w:szCs w:val="18"/>
              </w:rPr>
              <w:t> 券、超短 期 融</w:t>
            </w:r>
            <w:r>
              <w:rPr>
                <w:rFonts w:ascii="宋体" w:hAnsi="宋体" w:cs="宋体" w:eastAsia="宋体" w:hint="default"/>
                <w:spacing w:val="30"/>
                <w:sz w:val="18"/>
                <w:szCs w:val="18"/>
              </w:rPr>
              <w:t> </w:t>
            </w:r>
            <w:r>
              <w:rPr>
                <w:rFonts w:ascii="宋体" w:hAnsi="宋体" w:cs="宋体" w:eastAsia="宋体" w:hint="default"/>
                <w:sz w:val="18"/>
                <w:szCs w:val="18"/>
              </w:rPr>
              <w:t>资</w:t>
            </w:r>
            <w:r>
              <w:rPr>
                <w:rFonts w:ascii="宋体" w:hAnsi="宋体" w:cs="宋体" w:eastAsia="宋体" w:hint="default"/>
                <w:sz w:val="18"/>
                <w:szCs w:val="18"/>
              </w:rPr>
              <w:t> 券、中期 票据、企 业债、公 司债、非 公开定向 债务融资 工具、资 产支持证 券、可转 债、次级 债等银行 间、交易 所市场债 券及债务 融 资</w:t>
            </w:r>
            <w:r>
              <w:rPr>
                <w:rFonts w:ascii="宋体" w:hAnsi="宋体" w:cs="宋体" w:eastAsia="宋体" w:hint="default"/>
                <w:spacing w:val="30"/>
                <w:sz w:val="18"/>
                <w:szCs w:val="18"/>
              </w:rPr>
              <w:t> </w:t>
            </w:r>
            <w:r>
              <w:rPr>
                <w:rFonts w:ascii="宋体" w:hAnsi="宋体" w:cs="宋体" w:eastAsia="宋体" w:hint="default"/>
                <w:sz w:val="18"/>
                <w:szCs w:val="18"/>
              </w:rPr>
              <w:t>工</w:t>
            </w:r>
            <w:r>
              <w:rPr>
                <w:rFonts w:ascii="宋体" w:hAnsi="宋体" w:cs="宋体" w:eastAsia="宋体" w:hint="default"/>
                <w:sz w:val="18"/>
                <w:szCs w:val="18"/>
              </w:rPr>
              <w:t> 具，其它 固定收益 类短期投 资工具等</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30" w:right="-31"/>
              <w:jc w:val="both"/>
              <w:rPr>
                <w:rFonts w:ascii="宋体" w:hAnsi="宋体" w:cs="宋体" w:eastAsia="宋体" w:hint="default"/>
                <w:sz w:val="18"/>
                <w:szCs w:val="18"/>
              </w:rPr>
            </w:pPr>
            <w:r>
              <w:rPr>
                <w:rFonts w:ascii="宋体" w:hAnsi="宋体" w:cs="宋体" w:eastAsia="宋体" w:hint="default"/>
                <w:spacing w:val="36"/>
                <w:sz w:val="18"/>
                <w:szCs w:val="18"/>
              </w:rPr>
              <w:t>当客户持有</w:t>
            </w:r>
            <w:r>
              <w:rPr>
                <w:rFonts w:ascii="宋体" w:hAnsi="宋体" w:cs="宋体" w:eastAsia="宋体" w:hint="default"/>
                <w:spacing w:val="-45"/>
                <w:sz w:val="18"/>
                <w:szCs w:val="18"/>
              </w:rPr>
              <w:t> </w:t>
            </w:r>
            <w:r>
              <w:rPr>
                <w:rFonts w:ascii="宋体" w:hAnsi="宋体" w:cs="宋体" w:eastAsia="宋体" w:hint="default"/>
                <w:spacing w:val="36"/>
                <w:sz w:val="18"/>
                <w:szCs w:val="18"/>
              </w:rPr>
              <w:t>本理财产品</w:t>
            </w:r>
            <w:r>
              <w:rPr>
                <w:rFonts w:ascii="宋体" w:hAnsi="宋体" w:cs="宋体" w:eastAsia="宋体" w:hint="default"/>
                <w:spacing w:val="-45"/>
                <w:sz w:val="18"/>
                <w:szCs w:val="18"/>
              </w:rPr>
              <w:t> </w:t>
            </w:r>
            <w:r>
              <w:rPr>
                <w:rFonts w:ascii="宋体" w:hAnsi="宋体" w:cs="宋体" w:eastAsia="宋体" w:hint="default"/>
                <w:spacing w:val="36"/>
                <w:sz w:val="18"/>
                <w:szCs w:val="18"/>
              </w:rPr>
              <w:t>一个投资周</w:t>
            </w:r>
            <w:r>
              <w:rPr>
                <w:rFonts w:ascii="宋体" w:hAnsi="宋体" w:cs="宋体" w:eastAsia="宋体" w:hint="default"/>
                <w:spacing w:val="-45"/>
                <w:sz w:val="18"/>
                <w:szCs w:val="18"/>
              </w:rPr>
              <w:t> </w:t>
            </w:r>
            <w:r>
              <w:rPr>
                <w:rFonts w:ascii="宋体" w:hAnsi="宋体" w:cs="宋体" w:eastAsia="宋体" w:hint="default"/>
                <w:sz w:val="18"/>
                <w:szCs w:val="18"/>
              </w:rPr>
              <w:t>期期满后，自</w:t>
            </w:r>
            <w:r>
              <w:rPr>
                <w:rFonts w:ascii="宋体" w:hAnsi="宋体" w:cs="宋体" w:eastAsia="宋体" w:hint="default"/>
                <w:sz w:val="18"/>
                <w:szCs w:val="18"/>
              </w:rPr>
              <w:t> </w:t>
            </w:r>
            <w:r>
              <w:rPr>
                <w:rFonts w:ascii="宋体" w:hAnsi="宋体" w:cs="宋体" w:eastAsia="宋体" w:hint="default"/>
                <w:spacing w:val="36"/>
                <w:sz w:val="18"/>
                <w:szCs w:val="18"/>
              </w:rPr>
              <w:t>动赎回退出</w:t>
            </w:r>
            <w:r>
              <w:rPr>
                <w:rFonts w:ascii="宋体" w:hAnsi="宋体" w:cs="宋体" w:eastAsia="宋体" w:hint="default"/>
                <w:spacing w:val="-45"/>
                <w:sz w:val="18"/>
                <w:szCs w:val="18"/>
              </w:rPr>
              <w:t> </w:t>
            </w:r>
            <w:r>
              <w:rPr>
                <w:rFonts w:ascii="宋体" w:hAnsi="宋体" w:cs="宋体" w:eastAsia="宋体" w:hint="default"/>
                <w:spacing w:val="36"/>
                <w:sz w:val="18"/>
                <w:szCs w:val="18"/>
              </w:rPr>
              <w:t>本理财产品</w:t>
            </w:r>
            <w:r>
              <w:rPr>
                <w:rFonts w:ascii="宋体" w:hAnsi="宋体" w:cs="宋体" w:eastAsia="宋体" w:hint="default"/>
                <w:spacing w:val="-45"/>
                <w:sz w:val="18"/>
                <w:szCs w:val="18"/>
              </w:rPr>
              <w:t> </w:t>
            </w:r>
            <w:r>
              <w:rPr>
                <w:rFonts w:ascii="宋体" w:hAnsi="宋体" w:cs="宋体" w:eastAsia="宋体" w:hint="default"/>
                <w:sz w:val="18"/>
                <w:szCs w:val="18"/>
              </w:rPr>
              <w:t>运作，兴业银</w:t>
            </w:r>
            <w:r>
              <w:rPr>
                <w:rFonts w:ascii="宋体" w:hAnsi="宋体" w:cs="宋体" w:eastAsia="宋体" w:hint="default"/>
                <w:sz w:val="18"/>
                <w:szCs w:val="18"/>
              </w:rPr>
              <w:t> </w:t>
            </w:r>
            <w:r>
              <w:rPr>
                <w:rFonts w:ascii="宋体" w:hAnsi="宋体" w:cs="宋体" w:eastAsia="宋体" w:hint="default"/>
                <w:spacing w:val="36"/>
                <w:sz w:val="18"/>
                <w:szCs w:val="18"/>
              </w:rPr>
              <w:t>行于投资周</w:t>
            </w:r>
            <w:r>
              <w:rPr>
                <w:rFonts w:ascii="宋体" w:hAnsi="宋体" w:cs="宋体" w:eastAsia="宋体" w:hint="default"/>
                <w:spacing w:val="-45"/>
                <w:sz w:val="18"/>
                <w:szCs w:val="18"/>
              </w:rPr>
              <w:t> </w:t>
            </w:r>
            <w:r>
              <w:rPr>
                <w:rFonts w:ascii="宋体" w:hAnsi="宋体" w:cs="宋体" w:eastAsia="宋体" w:hint="default"/>
                <w:sz w:val="18"/>
                <w:szCs w:val="18"/>
              </w:rPr>
              <w:t>期终止日，将</w:t>
            </w:r>
            <w:r>
              <w:rPr>
                <w:rFonts w:ascii="宋体" w:hAnsi="宋体" w:cs="宋体" w:eastAsia="宋体" w:hint="default"/>
                <w:sz w:val="18"/>
                <w:szCs w:val="18"/>
              </w:rPr>
              <w:t> </w:t>
            </w:r>
            <w:r>
              <w:rPr>
                <w:rFonts w:ascii="宋体" w:hAnsi="宋体" w:cs="宋体" w:eastAsia="宋体" w:hint="default"/>
                <w:spacing w:val="36"/>
                <w:sz w:val="18"/>
                <w:szCs w:val="18"/>
              </w:rPr>
              <w:t>客户本金和</w:t>
            </w:r>
            <w:r>
              <w:rPr>
                <w:rFonts w:ascii="宋体" w:hAnsi="宋体" w:cs="宋体" w:eastAsia="宋体" w:hint="default"/>
                <w:spacing w:val="-45"/>
                <w:sz w:val="18"/>
                <w:szCs w:val="18"/>
              </w:rPr>
              <w:t> </w:t>
            </w:r>
            <w:r>
              <w:rPr>
                <w:rFonts w:ascii="宋体" w:hAnsi="宋体" w:cs="宋体" w:eastAsia="宋体" w:hint="default"/>
                <w:sz w:val="18"/>
                <w:szCs w:val="18"/>
              </w:rPr>
              <w:t>收益（如有）</w:t>
            </w:r>
            <w:r>
              <w:rPr>
                <w:rFonts w:ascii="宋体" w:hAnsi="宋体" w:cs="宋体" w:eastAsia="宋体" w:hint="default"/>
                <w:sz w:val="18"/>
                <w:szCs w:val="18"/>
              </w:rPr>
              <w:t> </w:t>
            </w:r>
            <w:r>
              <w:rPr>
                <w:rFonts w:ascii="宋体" w:hAnsi="宋体" w:cs="宋体" w:eastAsia="宋体" w:hint="default"/>
                <w:spacing w:val="36"/>
                <w:sz w:val="18"/>
                <w:szCs w:val="18"/>
              </w:rPr>
              <w:t>划转至客户</w:t>
            </w:r>
            <w:r>
              <w:rPr>
                <w:rFonts w:ascii="宋体" w:hAnsi="宋体" w:cs="宋体" w:eastAsia="宋体" w:hint="default"/>
                <w:spacing w:val="-45"/>
                <w:sz w:val="18"/>
                <w:szCs w:val="18"/>
              </w:rPr>
              <w:t> </w:t>
            </w:r>
            <w:r>
              <w:rPr>
                <w:rFonts w:ascii="宋体" w:hAnsi="宋体" w:cs="宋体" w:eastAsia="宋体" w:hint="default"/>
                <w:sz w:val="18"/>
                <w:szCs w:val="18"/>
              </w:rPr>
              <w:t>指定账户。</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sz w:val="18"/>
              </w:rPr>
              <w:t>2.90%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sz w:val="18"/>
              </w:rPr>
              <w:t>1.23</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33"/>
              <w:jc w:val="center"/>
              <w:rPr>
                <w:rFonts w:ascii="宋体" w:hAnsi="宋体" w:cs="宋体" w:eastAsia="宋体" w:hint="default"/>
                <w:sz w:val="18"/>
                <w:szCs w:val="18"/>
              </w:rPr>
            </w:pPr>
            <w:r>
              <w:rPr>
                <w:rFonts w:ascii="宋体"/>
                <w:sz w:val="18"/>
              </w:rPr>
              <w:t>1.23</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sz w:val="18"/>
              </w:rPr>
              <w:t>1.23</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8"/>
              <w:ind w:left="15" w:right="13"/>
              <w:jc w:val="both"/>
              <w:rPr>
                <w:rFonts w:ascii="宋体" w:hAnsi="宋体" w:cs="宋体" w:eastAsia="宋体" w:hint="default"/>
                <w:sz w:val="18"/>
                <w:szCs w:val="18"/>
              </w:rPr>
            </w:pPr>
            <w:r>
              <w:rPr>
                <w:rFonts w:ascii="宋体" w:hAnsi="宋体" w:cs="宋体" w:eastAsia="宋体" w:hint="default"/>
                <w:sz w:val="18"/>
                <w:szCs w:val="18"/>
              </w:rPr>
              <w:t>巨 潮 资 讯    ：</w:t>
            </w:r>
          </w:p>
          <w:p>
            <w:pPr>
              <w:pStyle w:val="TableParagraph"/>
              <w:spacing w:line="321" w:lineRule="auto" w:before="29"/>
              <w:ind w:left="15" w:right="15"/>
              <w:jc w:val="both"/>
              <w:rPr>
                <w:rFonts w:ascii="宋体" w:hAnsi="宋体" w:cs="宋体" w:eastAsia="宋体" w:hint="default"/>
                <w:sz w:val="18"/>
                <w:szCs w:val="18"/>
              </w:rPr>
            </w:pPr>
            <w:r>
              <w:rPr>
                <w:rFonts w:ascii="宋体"/>
                <w:sz w:val="18"/>
              </w:rPr>
              <w:t>www.cnin fo.com.c n</w:t>
            </w:r>
          </w:p>
        </w:tc>
      </w:tr>
      <w:tr>
        <w:trPr>
          <w:trHeight w:val="1967"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30" w:right="-61"/>
              <w:jc w:val="both"/>
              <w:rPr>
                <w:rFonts w:ascii="宋体" w:hAnsi="宋体" w:cs="宋体" w:eastAsia="宋体" w:hint="default"/>
                <w:sz w:val="18"/>
                <w:szCs w:val="18"/>
              </w:rPr>
            </w:pPr>
            <w:r>
              <w:rPr>
                <w:rFonts w:ascii="宋体" w:hAnsi="宋体" w:cs="宋体" w:eastAsia="宋体" w:hint="default"/>
                <w:spacing w:val="40"/>
                <w:sz w:val="18"/>
                <w:szCs w:val="18"/>
              </w:rPr>
              <w:t>中信银</w:t>
            </w:r>
            <w:r>
              <w:rPr>
                <w:rFonts w:ascii="宋体" w:hAnsi="宋体" w:cs="宋体" w:eastAsia="宋体" w:hint="default"/>
                <w:spacing w:val="-30"/>
                <w:sz w:val="18"/>
                <w:szCs w:val="18"/>
              </w:rPr>
              <w:t> </w:t>
            </w:r>
            <w:r>
              <w:rPr>
                <w:rFonts w:ascii="宋体" w:hAnsi="宋体" w:cs="宋体" w:eastAsia="宋体" w:hint="default"/>
                <w:spacing w:val="40"/>
                <w:sz w:val="18"/>
                <w:szCs w:val="18"/>
              </w:rPr>
              <w:t>行股份</w:t>
            </w:r>
            <w:r>
              <w:rPr>
                <w:rFonts w:ascii="宋体" w:hAnsi="宋体" w:cs="宋体" w:eastAsia="宋体" w:hint="default"/>
                <w:spacing w:val="-30"/>
                <w:sz w:val="18"/>
                <w:szCs w:val="18"/>
              </w:rPr>
              <w:t> </w:t>
            </w:r>
            <w:r>
              <w:rPr>
                <w:rFonts w:ascii="宋体" w:hAnsi="宋体" w:cs="宋体" w:eastAsia="宋体" w:hint="default"/>
                <w:spacing w:val="40"/>
                <w:sz w:val="18"/>
                <w:szCs w:val="18"/>
              </w:rPr>
              <w:t>有限公</w:t>
            </w:r>
            <w:r>
              <w:rPr>
                <w:rFonts w:ascii="宋体" w:hAnsi="宋体" w:cs="宋体" w:eastAsia="宋体" w:hint="default"/>
                <w:spacing w:val="-30"/>
                <w:sz w:val="18"/>
                <w:szCs w:val="18"/>
              </w:rPr>
              <w:t> </w:t>
            </w:r>
            <w:r>
              <w:rPr>
                <w:rFonts w:ascii="宋体" w:hAnsi="宋体" w:cs="宋体" w:eastAsia="宋体" w:hint="default"/>
                <w:spacing w:val="40"/>
                <w:sz w:val="18"/>
                <w:szCs w:val="18"/>
              </w:rPr>
              <w:t>司广州</w:t>
            </w:r>
            <w:r>
              <w:rPr>
                <w:rFonts w:ascii="宋体" w:hAnsi="宋体" w:cs="宋体" w:eastAsia="宋体" w:hint="default"/>
                <w:spacing w:val="-30"/>
                <w:sz w:val="18"/>
                <w:szCs w:val="18"/>
              </w:rPr>
              <w:t> </w:t>
            </w:r>
            <w:r>
              <w:rPr>
                <w:rFonts w:ascii="宋体" w:hAnsi="宋体" w:cs="宋体" w:eastAsia="宋体" w:hint="default"/>
                <w:sz w:val="18"/>
                <w:szCs w:val="18"/>
              </w:rPr>
              <w:t>分行</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银行</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30" w:right="13"/>
              <w:jc w:val="both"/>
              <w:rPr>
                <w:rFonts w:ascii="宋体" w:hAnsi="宋体" w:cs="宋体" w:eastAsia="宋体" w:hint="default"/>
                <w:sz w:val="18"/>
                <w:szCs w:val="18"/>
              </w:rPr>
            </w:pPr>
            <w:r>
              <w:rPr>
                <w:rFonts w:ascii="宋体" w:hAnsi="宋体" w:cs="宋体" w:eastAsia="宋体" w:hint="default"/>
                <w:sz w:val="18"/>
                <w:szCs w:val="18"/>
              </w:rPr>
              <w:t>保本浮 动</w:t>
            </w:r>
            <w:r>
              <w:rPr>
                <w:rFonts w:ascii="宋体" w:hAnsi="宋体" w:cs="宋体" w:eastAsia="宋体" w:hint="default"/>
                <w:spacing w:val="15"/>
                <w:sz w:val="18"/>
                <w:szCs w:val="18"/>
              </w:rPr>
              <w:t> </w:t>
            </w:r>
            <w:r>
              <w:rPr>
                <w:rFonts w:ascii="宋体" w:hAnsi="宋体" w:cs="宋体" w:eastAsia="宋体" w:hint="default"/>
                <w:sz w:val="18"/>
                <w:szCs w:val="18"/>
              </w:rPr>
              <w:t>收</w:t>
            </w:r>
            <w:r>
              <w:rPr>
                <w:rFonts w:ascii="宋体" w:hAnsi="宋体" w:cs="宋体" w:eastAsia="宋体" w:hint="default"/>
                <w:sz w:val="18"/>
                <w:szCs w:val="18"/>
              </w:rPr>
              <w:t> 益、封 闭式</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3,900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30" w:right="13"/>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0"/>
                <w:sz w:val="18"/>
                <w:szCs w:val="18"/>
              </w:rPr>
              <w:t> </w:t>
            </w:r>
            <w:r>
              <w:rPr>
                <w:rFonts w:ascii="宋体" w:hAnsi="宋体" w:cs="宋体" w:eastAsia="宋体" w:hint="default"/>
                <w:sz w:val="18"/>
                <w:szCs w:val="18"/>
              </w:rPr>
              <w:t>集</w:t>
            </w:r>
            <w:r>
              <w:rPr>
                <w:rFonts w:ascii="宋体" w:hAnsi="宋体" w:cs="宋体" w:eastAsia="宋体" w:hint="default"/>
                <w:sz w:val="18"/>
                <w:szCs w:val="18"/>
              </w:rPr>
              <w:t> 资金</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sz w:val="18"/>
              </w:rPr>
              <w:t>2018-</w:t>
            </w:r>
          </w:p>
          <w:p>
            <w:pPr>
              <w:pStyle w:val="TableParagraph"/>
              <w:spacing w:line="240" w:lineRule="auto" w:before="64"/>
              <w:ind w:left="15" w:right="0"/>
              <w:jc w:val="left"/>
              <w:rPr>
                <w:rFonts w:ascii="宋体" w:hAnsi="宋体" w:cs="宋体" w:eastAsia="宋体" w:hint="default"/>
                <w:sz w:val="18"/>
                <w:szCs w:val="18"/>
              </w:rPr>
            </w:pPr>
            <w:r>
              <w:rPr>
                <w:rFonts w:ascii="宋体"/>
                <w:sz w:val="18"/>
              </w:rPr>
              <w:t>12-07</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sz w:val="18"/>
              </w:rPr>
              <w:t>2019-</w:t>
            </w:r>
          </w:p>
          <w:p>
            <w:pPr>
              <w:pStyle w:val="TableParagraph"/>
              <w:spacing w:line="240" w:lineRule="auto" w:before="64"/>
              <w:ind w:left="30" w:right="0"/>
              <w:jc w:val="left"/>
              <w:rPr>
                <w:rFonts w:ascii="宋体" w:hAnsi="宋体" w:cs="宋体" w:eastAsia="宋体" w:hint="default"/>
                <w:sz w:val="18"/>
                <w:szCs w:val="18"/>
              </w:rPr>
            </w:pPr>
            <w:r>
              <w:rPr>
                <w:rFonts w:ascii="宋体"/>
                <w:sz w:val="18"/>
              </w:rPr>
              <w:t>03-20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4" w:lineRule="auto"/>
              <w:ind w:left="30" w:right="3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1142" w:type="dxa"/>
            <w:tcBorders>
              <w:top w:val="single" w:sz="6" w:space="0" w:color="000000"/>
              <w:left w:val="single" w:sz="6" w:space="0" w:color="000000"/>
              <w:bottom w:val="single" w:sz="6" w:space="0" w:color="000000"/>
              <w:right w:val="single" w:sz="12" w:space="0" w:color="FFFFFF"/>
            </w:tcBorders>
          </w:tcPr>
          <w:p>
            <w:pPr>
              <w:pStyle w:val="TableParagraph"/>
              <w:spacing w:line="319" w:lineRule="auto" w:before="30"/>
              <w:ind w:left="30" w:right="-38"/>
              <w:jc w:val="both"/>
              <w:rPr>
                <w:rFonts w:ascii="宋体" w:hAnsi="宋体" w:cs="宋体" w:eastAsia="宋体" w:hint="default"/>
                <w:sz w:val="18"/>
                <w:szCs w:val="18"/>
              </w:rPr>
            </w:pPr>
            <w:r>
              <w:rPr>
                <w:rFonts w:ascii="宋体" w:hAnsi="宋体" w:cs="宋体" w:eastAsia="宋体" w:hint="default"/>
                <w:spacing w:val="36"/>
                <w:sz w:val="18"/>
                <w:szCs w:val="18"/>
              </w:rPr>
              <w:t>本金及收益</w:t>
            </w:r>
            <w:r>
              <w:rPr>
                <w:rFonts w:ascii="宋体" w:hAnsi="宋体" w:cs="宋体" w:eastAsia="宋体" w:hint="default"/>
                <w:spacing w:val="-45"/>
                <w:sz w:val="18"/>
                <w:szCs w:val="18"/>
              </w:rPr>
              <w:t> </w:t>
            </w:r>
            <w:r>
              <w:rPr>
                <w:rFonts w:ascii="宋体" w:hAnsi="宋体" w:cs="宋体" w:eastAsia="宋体" w:hint="default"/>
                <w:spacing w:val="36"/>
                <w:sz w:val="18"/>
                <w:szCs w:val="18"/>
              </w:rPr>
              <w:t>于产品到期</w:t>
            </w:r>
            <w:r>
              <w:rPr>
                <w:rFonts w:ascii="宋体" w:hAnsi="宋体" w:cs="宋体" w:eastAsia="宋体" w:hint="default"/>
                <w:spacing w:val="-45"/>
                <w:sz w:val="18"/>
                <w:szCs w:val="18"/>
              </w:rPr>
              <w:t> </w:t>
            </w:r>
            <w:r>
              <w:rPr>
                <w:rFonts w:ascii="宋体" w:hAnsi="宋体" w:cs="宋体" w:eastAsia="宋体" w:hint="default"/>
                <w:sz w:val="18"/>
                <w:szCs w:val="18"/>
              </w:rPr>
              <w:t>日后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个工作 </w:t>
            </w:r>
            <w:r>
              <w:rPr>
                <w:rFonts w:ascii="宋体" w:hAnsi="宋体" w:cs="宋体" w:eastAsia="宋体" w:hint="default"/>
                <w:spacing w:val="36"/>
                <w:sz w:val="18"/>
                <w:szCs w:val="18"/>
              </w:rPr>
              <w:t>日内根据实</w:t>
            </w:r>
            <w:r>
              <w:rPr>
                <w:rFonts w:ascii="宋体" w:hAnsi="宋体" w:cs="宋体" w:eastAsia="宋体" w:hint="default"/>
                <w:spacing w:val="-45"/>
                <w:sz w:val="18"/>
                <w:szCs w:val="18"/>
              </w:rPr>
              <w:t> </w:t>
            </w:r>
            <w:r>
              <w:rPr>
                <w:rFonts w:ascii="宋体" w:hAnsi="宋体" w:cs="宋体" w:eastAsia="宋体" w:hint="default"/>
                <w:spacing w:val="36"/>
                <w:sz w:val="18"/>
                <w:szCs w:val="18"/>
              </w:rPr>
              <w:t>际情况一次</w:t>
            </w:r>
            <w:r>
              <w:rPr>
                <w:rFonts w:ascii="宋体" w:hAnsi="宋体" w:cs="宋体" w:eastAsia="宋体" w:hint="default"/>
                <w:spacing w:val="-45"/>
                <w:sz w:val="18"/>
                <w:szCs w:val="18"/>
              </w:rPr>
              <w:t> </w:t>
            </w:r>
            <w:r>
              <w:rPr>
                <w:rFonts w:ascii="宋体" w:hAnsi="宋体" w:cs="宋体" w:eastAsia="宋体" w:hint="default"/>
                <w:sz w:val="18"/>
                <w:szCs w:val="18"/>
              </w:rPr>
              <w:t>性支付</w:t>
            </w:r>
          </w:p>
        </w:tc>
        <w:tc>
          <w:tcPr>
            <w:tcW w:w="705" w:type="dxa"/>
            <w:tcBorders>
              <w:top w:val="single" w:sz="6" w:space="0" w:color="000000"/>
              <w:left w:val="single" w:sz="12" w:space="0" w:color="FFFFFF"/>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sz w:val="18"/>
              </w:rPr>
              <w:t>3.95%</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41.01</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3"/>
              <w:jc w:val="center"/>
              <w:rPr>
                <w:rFonts w:ascii="宋体" w:hAnsi="宋体" w:cs="宋体" w:eastAsia="宋体" w:hint="default"/>
                <w:sz w:val="18"/>
                <w:szCs w:val="18"/>
              </w:rPr>
            </w:pPr>
            <w:r>
              <w:rPr>
                <w:rFonts w:ascii="宋体"/>
                <w:sz w:val="18"/>
              </w:rPr>
              <w:t>31.46</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41.01</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3"/>
              <w:jc w:val="both"/>
              <w:rPr>
                <w:rFonts w:ascii="宋体" w:hAnsi="宋体" w:cs="宋体" w:eastAsia="宋体" w:hint="default"/>
                <w:sz w:val="18"/>
                <w:szCs w:val="18"/>
              </w:rPr>
            </w:pPr>
            <w:r>
              <w:rPr>
                <w:rFonts w:ascii="宋体" w:hAnsi="宋体" w:cs="宋体" w:eastAsia="宋体" w:hint="default"/>
                <w:sz w:val="18"/>
                <w:szCs w:val="18"/>
              </w:rPr>
              <w:t>巨 潮 资 讯    ：</w:t>
            </w:r>
          </w:p>
          <w:p>
            <w:pPr>
              <w:pStyle w:val="TableParagraph"/>
              <w:spacing w:line="321" w:lineRule="auto" w:before="31"/>
              <w:ind w:left="15" w:right="15"/>
              <w:jc w:val="both"/>
              <w:rPr>
                <w:rFonts w:ascii="宋体" w:hAnsi="宋体" w:cs="宋体" w:eastAsia="宋体" w:hint="default"/>
                <w:sz w:val="18"/>
                <w:szCs w:val="18"/>
              </w:rPr>
            </w:pPr>
            <w:r>
              <w:rPr>
                <w:rFonts w:ascii="宋体"/>
                <w:sz w:val="18"/>
              </w:rPr>
              <w:t>www.cnin fo.com.c n</w:t>
            </w:r>
          </w:p>
        </w:tc>
      </w:tr>
      <w:tr>
        <w:trPr>
          <w:trHeight w:val="705" w:hRule="exact"/>
        </w:trPr>
        <w:tc>
          <w:tcPr>
            <w:tcW w:w="177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12,00</w:t>
            </w:r>
          </w:p>
          <w:p>
            <w:pPr>
              <w:pStyle w:val="TableParagraph"/>
              <w:spacing w:line="240" w:lineRule="auto" w:before="80"/>
              <w:ind w:left="30" w:right="0"/>
              <w:jc w:val="left"/>
              <w:rPr>
                <w:rFonts w:ascii="宋体" w:hAnsi="宋体" w:cs="宋体" w:eastAsia="宋体" w:hint="default"/>
                <w:sz w:val="18"/>
                <w:szCs w:val="18"/>
              </w:rPr>
            </w:pPr>
            <w:r>
              <w:rPr>
                <w:rFonts w:ascii="宋体"/>
                <w:sz w:val="18"/>
              </w:rPr>
              <w:t>0</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5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 w:right="0"/>
              <w:jc w:val="left"/>
              <w:rPr>
                <w:rFonts w:ascii="宋体" w:hAnsi="宋体" w:cs="宋体" w:eastAsia="宋体" w:hint="default"/>
                <w:sz w:val="18"/>
                <w:szCs w:val="18"/>
              </w:rPr>
            </w:pPr>
            <w:r>
              <w:rPr>
                <w:rFonts w:ascii="宋体"/>
                <w:sz w:val="18"/>
              </w:rPr>
              <w:t>--</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118.9</w:t>
            </w:r>
          </w:p>
          <w:p>
            <w:pPr>
              <w:pStyle w:val="TableParagraph"/>
              <w:spacing w:line="240" w:lineRule="auto" w:before="80"/>
              <w:ind w:left="30" w:right="0"/>
              <w:jc w:val="left"/>
              <w:rPr>
                <w:rFonts w:ascii="宋体" w:hAnsi="宋体" w:cs="宋体" w:eastAsia="宋体" w:hint="default"/>
                <w:sz w:val="18"/>
                <w:szCs w:val="18"/>
              </w:rPr>
            </w:pPr>
            <w:r>
              <w:rPr>
                <w:rFonts w:ascii="宋体"/>
                <w:sz w:val="18"/>
              </w:rPr>
              <w:t>4</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43"/>
              <w:jc w:val="center"/>
              <w:rPr>
                <w:rFonts w:ascii="宋体" w:hAnsi="宋体" w:cs="宋体" w:eastAsia="宋体" w:hint="default"/>
                <w:sz w:val="18"/>
                <w:szCs w:val="18"/>
              </w:rPr>
            </w:pPr>
            <w:r>
              <w:rPr>
                <w:rFonts w:ascii="宋体"/>
                <w:sz w:val="18"/>
              </w:rPr>
              <w:t>53.28</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420"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sz w:val="18"/>
              </w:rPr>
              <w:t>--</w:t>
            </w:r>
          </w:p>
        </w:tc>
      </w:tr>
    </w:tbl>
    <w:p>
      <w:pPr>
        <w:rPr>
          <w:sz w:val="2"/>
          <w:szCs w:val="2"/>
        </w:rPr>
      </w:pPr>
      <w:r>
        <w:rPr/>
        <w:pict>
          <v:group style="position:absolute;margin-left:72.099998pt;margin-top:60.799999pt;width:21.8pt;height:273.25pt;mso-position-horizontal-relative:page;mso-position-vertical-relative:page;z-index:-1109512" coordorigin="1442,1216" coordsize="436,5465">
            <v:shape style="position:absolute;left:1442;top:1216;width:436;height:5465" coordorigin="1442,1216" coordsize="436,5465" path="m1442,6681l1877,6681,1877,1216,1442,1216,1442,6681xe" filled="true" fillcolor="#ffffff" stroked="false">
              <v:path arrowok="t"/>
              <v:fill type="solid"/>
            </v:shape>
            <w10:wrap type="none"/>
          </v:group>
        </w:pict>
      </w:r>
      <w:r>
        <w:rPr/>
        <w:pict>
          <v:group style="position:absolute;margin-left:72.099998pt;margin-top:353.549988pt;width:21.8pt;height:312.3pt;mso-position-horizontal-relative:page;mso-position-vertical-relative:page;z-index:-1109488" coordorigin="1442,7071" coordsize="436,6246">
            <v:group style="position:absolute;left:1442;top:7071;width:436;height:5465" coordorigin="1442,7071" coordsize="436,5465">
              <v:shape style="position:absolute;left:1442;top:7071;width:436;height:5465" coordorigin="1442,7071" coordsize="436,5465" path="m1442,12536l1877,12536,1877,7071,1442,7071,1442,12536xe" filled="true" fillcolor="#ffffff" stroked="false">
                <v:path arrowok="t"/>
                <v:fill type="solid"/>
              </v:shape>
            </v:group>
            <v:group style="position:absolute;left:1442;top:12536;width:436;height:781" coordorigin="1442,12536" coordsize="436,781">
              <v:shape style="position:absolute;left:1442;top:12536;width:436;height:781" coordorigin="1442,12536" coordsize="436,781" path="m1442,13317l1877,13317,1877,12536,1442,12536,1442,13317xe" filled="true" fillcolor="#ffffff" stroked="false">
                <v:path arrowok="t"/>
                <v:fill type="solid"/>
              </v:shape>
            </v:group>
            <w10:wrap type="none"/>
          </v:group>
        </w:pict>
      </w:r>
      <w:r>
        <w:rPr/>
        <w:pict>
          <v:group style="position:absolute;margin-left:72.099998pt;margin-top:686.099976pt;width:21.8pt;height:39.050pt;mso-position-horizontal-relative:page;mso-position-vertical-relative:page;z-index:-1109464" coordorigin="1442,13722" coordsize="436,781">
            <v:shape style="position:absolute;left:1442;top:13722;width:436;height:781" coordorigin="1442,13722" coordsize="436,781" path="m1442,14503l1877,14503,1877,13722,1442,13722,1442,14503xe" filled="true" fillcolor="#ffffff" stroked="false">
              <v:path arrowok="t"/>
              <v:fill type="solid"/>
            </v:shape>
            <w10:wrap type="none"/>
          </v:group>
        </w:pict>
      </w:r>
      <w:r>
        <w:rPr/>
        <w:pict>
          <v:shape style="position:absolute;margin-left:504.630005pt;margin-top:725.150024pt;width:17.262757pt;height:35.25pt;mso-position-horizontal-relative:page;mso-position-vertical-relative:page;z-index:1768" type="#_x0000_t75" stroked="false">
            <v:imagedata r:id="rId13" o:title=""/>
          </v:shape>
        </w:pict>
      </w:r>
    </w:p>
    <w:p>
      <w:pPr>
        <w:spacing w:after="0"/>
        <w:rPr>
          <w:sz w:val="2"/>
          <w:szCs w:val="2"/>
        </w:rPr>
        <w:sectPr>
          <w:pgSz w:w="11910" w:h="16850"/>
          <w:pgMar w:header="776" w:footer="1026" w:top="1200" w:bottom="1220" w:left="580" w:right="0"/>
        </w:sectPr>
      </w:pPr>
    </w:p>
    <w:p>
      <w:pPr>
        <w:spacing w:line="240" w:lineRule="auto" w:before="4"/>
        <w:rPr>
          <w:rFonts w:ascii="Times New Roman" w:hAnsi="Times New Roman" w:cs="Times New Roman" w:eastAsia="Times New Roman" w:hint="default"/>
          <w:sz w:val="11"/>
          <w:szCs w:val="11"/>
        </w:rPr>
      </w:pPr>
    </w:p>
    <w:p>
      <w:pPr>
        <w:pStyle w:val="BodyText"/>
        <w:spacing w:line="240" w:lineRule="auto" w:before="44"/>
        <w:ind w:left="140" w:right="609"/>
        <w:jc w:val="left"/>
      </w:pPr>
      <w:r>
        <w:rPr/>
        <w:t>委托理财出现预期无法收回本金或存在其他可能导致减值的情形</w:t>
      </w:r>
    </w:p>
    <w:p>
      <w:pPr>
        <w:spacing w:line="240" w:lineRule="auto" w:before="0"/>
        <w:rPr>
          <w:rFonts w:ascii="宋体" w:hAnsi="宋体" w:cs="宋体" w:eastAsia="宋体" w:hint="default"/>
          <w:sz w:val="21"/>
          <w:szCs w:val="21"/>
        </w:rPr>
      </w:pPr>
    </w:p>
    <w:p>
      <w:pPr>
        <w:pStyle w:val="BodyText"/>
        <w:spacing w:line="240" w:lineRule="auto"/>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left="140" w:right="609"/>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left="140" w:right="8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公司报告期不存在委托贷款。</w:t>
      </w:r>
    </w:p>
    <w:p>
      <w:pPr>
        <w:spacing w:line="240" w:lineRule="auto" w:before="9"/>
        <w:rPr>
          <w:rFonts w:ascii="宋体" w:hAnsi="宋体" w:cs="宋体" w:eastAsia="宋体" w:hint="default"/>
          <w:sz w:val="25"/>
          <w:szCs w:val="25"/>
        </w:rPr>
      </w:pPr>
    </w:p>
    <w:p>
      <w:pPr>
        <w:pStyle w:val="Heading3"/>
        <w:spacing w:line="240" w:lineRule="auto"/>
        <w:ind w:left="140" w:right="609"/>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631"/>
        <w:gridCol w:w="646"/>
        <w:gridCol w:w="646"/>
        <w:gridCol w:w="630"/>
        <w:gridCol w:w="646"/>
        <w:gridCol w:w="631"/>
        <w:gridCol w:w="646"/>
        <w:gridCol w:w="646"/>
        <w:gridCol w:w="630"/>
        <w:gridCol w:w="646"/>
        <w:gridCol w:w="631"/>
        <w:gridCol w:w="646"/>
        <w:gridCol w:w="631"/>
        <w:gridCol w:w="645"/>
        <w:gridCol w:w="631"/>
      </w:tblGrid>
      <w:tr>
        <w:trPr>
          <w:trHeight w:val="2282" w:hRule="exact"/>
        </w:trPr>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45" w:right="28"/>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45" w:right="45"/>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25" w:right="44" w:hanging="181"/>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30"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45"/>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4" w:lineRule="auto" w:before="22"/>
              <w:ind w:left="30" w:right="15" w:hanging="14"/>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4"/>
                <w:sz w:val="18"/>
                <w:szCs w:val="18"/>
              </w:rPr>
              <w:t>元）（如</w:t>
            </w:r>
            <w:r>
              <w:rPr>
                <w:rFonts w:ascii="宋体" w:hAnsi="宋体" w:cs="宋体" w:eastAsia="宋体" w:hint="default"/>
                <w:sz w:val="18"/>
                <w:szCs w:val="18"/>
              </w:rPr>
              <w:t> 有）</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28"/>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4" w:lineRule="auto" w:before="22"/>
              <w:ind w:left="30" w:right="0" w:hanging="15"/>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4"/>
                <w:sz w:val="18"/>
                <w:szCs w:val="18"/>
              </w:rPr>
              <w:t>元）（如</w:t>
            </w:r>
            <w:r>
              <w:rPr>
                <w:rFonts w:ascii="宋体" w:hAnsi="宋体" w:cs="宋体" w:eastAsia="宋体" w:hint="default"/>
                <w:sz w:val="18"/>
                <w:szCs w:val="18"/>
              </w:rPr>
              <w:t> 有）</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44" w:right="44"/>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21" w:lineRule="auto" w:before="4"/>
              <w:ind w:left="135"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21" w:lineRule="auto" w:before="4"/>
              <w:ind w:left="135" w:right="135"/>
              <w:jc w:val="left"/>
              <w:rPr>
                <w:rFonts w:ascii="宋体" w:hAnsi="宋体" w:cs="宋体" w:eastAsia="宋体" w:hint="default"/>
                <w:sz w:val="18"/>
                <w:szCs w:val="18"/>
              </w:rPr>
            </w:pPr>
            <w:r>
              <w:rPr>
                <w:rFonts w:ascii="宋体" w:hAnsi="宋体" w:cs="宋体" w:eastAsia="宋体" w:hint="default"/>
                <w:sz w:val="18"/>
                <w:szCs w:val="18"/>
              </w:rPr>
              <w:t>（如 有）</w:t>
            </w:r>
          </w:p>
        </w:tc>
        <w:tc>
          <w:tcPr>
            <w:tcW w:w="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10" w:right="43"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45" w:right="4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45" w:right="2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25" w:right="43" w:hanging="181"/>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45" w:right="29"/>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25"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25" w:right="30"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82"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30" w:right="43"/>
              <w:jc w:val="both"/>
              <w:rPr>
                <w:rFonts w:ascii="宋体" w:hAnsi="宋体" w:cs="宋体" w:eastAsia="宋体" w:hint="default"/>
                <w:sz w:val="18"/>
                <w:szCs w:val="18"/>
              </w:rPr>
            </w:pPr>
            <w:r>
              <w:rPr>
                <w:rFonts w:ascii="宋体" w:hAnsi="宋体" w:cs="宋体" w:eastAsia="宋体" w:hint="default"/>
                <w:sz w:val="18"/>
                <w:szCs w:val="18"/>
              </w:rPr>
              <w:t>重庆浩 云公共 安全物 联网技 术有限 公司</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30" w:right="60"/>
              <w:jc w:val="both"/>
              <w:rPr>
                <w:rFonts w:ascii="宋体" w:hAnsi="宋体" w:cs="宋体" w:eastAsia="宋体" w:hint="default"/>
                <w:sz w:val="18"/>
                <w:szCs w:val="18"/>
              </w:rPr>
            </w:pPr>
            <w:r>
              <w:rPr>
                <w:rFonts w:ascii="宋体" w:hAnsi="宋体" w:cs="宋体" w:eastAsia="宋体" w:hint="default"/>
                <w:sz w:val="18"/>
                <w:szCs w:val="18"/>
              </w:rPr>
              <w:t>重庆市 公安局 渝北区 分局</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9" w:right="59"/>
              <w:jc w:val="both"/>
              <w:rPr>
                <w:rFonts w:ascii="宋体" w:hAnsi="宋体" w:cs="宋体" w:eastAsia="宋体" w:hint="default"/>
                <w:sz w:val="18"/>
                <w:szCs w:val="18"/>
              </w:rPr>
            </w:pPr>
            <w:r>
              <w:rPr>
                <w:rFonts w:ascii="宋体" w:hAnsi="宋体" w:cs="宋体" w:eastAsia="宋体" w:hint="default"/>
                <w:sz w:val="18"/>
                <w:szCs w:val="18"/>
              </w:rPr>
              <w:t>提供符 合使用 要求的 设备、 安装及 技术等 服务</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5" w:right="5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23,911.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0" w:right="44"/>
              <w:jc w:val="left"/>
              <w:rPr>
                <w:rFonts w:ascii="宋体" w:hAnsi="宋体" w:cs="宋体" w:eastAsia="宋体" w:hint="default"/>
                <w:sz w:val="18"/>
                <w:szCs w:val="18"/>
              </w:rPr>
            </w:pPr>
            <w:r>
              <w:rPr>
                <w:rFonts w:ascii="宋体" w:hAnsi="宋体" w:cs="宋体" w:eastAsia="宋体" w:hint="default"/>
                <w:sz w:val="18"/>
                <w:szCs w:val="18"/>
              </w:rPr>
              <w:t>执行 中，已 累计确 认收入</w:t>
            </w:r>
          </w:p>
          <w:p>
            <w:pPr>
              <w:pStyle w:val="TableParagraph"/>
              <w:spacing w:line="240" w:lineRule="auto" w:before="79"/>
              <w:ind w:left="30" w:right="0"/>
              <w:jc w:val="left"/>
              <w:rPr>
                <w:rFonts w:ascii="Times New Roman" w:hAnsi="Times New Roman" w:cs="Times New Roman" w:eastAsia="Times New Roman" w:hint="default"/>
                <w:sz w:val="18"/>
                <w:szCs w:val="18"/>
              </w:rPr>
            </w:pPr>
            <w:r>
              <w:rPr>
                <w:rFonts w:ascii="Times New Roman"/>
                <w:sz w:val="18"/>
              </w:rPr>
              <w:t>14,549.</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 </w:t>
            </w:r>
            <w:r>
              <w:rPr>
                <w:rFonts w:ascii="宋体" w:hAnsi="宋体" w:cs="宋体" w:eastAsia="宋体" w:hint="default"/>
                <w:sz w:val="18"/>
                <w:szCs w:val="18"/>
              </w:rPr>
              <w:t>万元</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9"/>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364" w:lineRule="auto" w:before="88"/>
              <w:ind w:left="30" w:right="19"/>
              <w:jc w:val="left"/>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spacing w:val="-43"/>
                <w:sz w:val="18"/>
              </w:rPr>
              <w:t> </w:t>
            </w:r>
            <w:r>
              <w:rPr>
                <w:rFonts w:ascii="Times New Roman"/>
                <w:spacing w:val="-43"/>
                <w:sz w:val="18"/>
              </w:rPr>
            </w:r>
            <w:r>
              <w:rPr>
                <w:rFonts w:ascii="Times New Roman"/>
                <w:sz w:val="18"/>
              </w:rPr>
              <w:t>ww.cni</w:t>
            </w:r>
            <w:r>
              <w:rPr>
                <w:rFonts w:ascii="Times New Roman"/>
                <w:sz w:val="18"/>
              </w:rPr>
              <w:t> nfo.co </w:t>
            </w:r>
            <w:r>
              <w:rPr>
                <w:rFonts w:ascii="Times New Roman"/>
                <w:spacing w:val="-3"/>
                <w:sz w:val="18"/>
              </w:rPr>
              <w:t>m.cn</w:t>
            </w:r>
          </w:p>
        </w:tc>
      </w:tr>
      <w:tr>
        <w:trPr>
          <w:trHeight w:val="2583" w:hRule="exact"/>
        </w:trPr>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30" w:right="43"/>
              <w:jc w:val="both"/>
              <w:rPr>
                <w:rFonts w:ascii="宋体" w:hAnsi="宋体" w:cs="宋体" w:eastAsia="宋体" w:hint="default"/>
                <w:sz w:val="18"/>
                <w:szCs w:val="18"/>
              </w:rPr>
            </w:pPr>
            <w:r>
              <w:rPr>
                <w:rFonts w:ascii="宋体" w:hAnsi="宋体" w:cs="宋体" w:eastAsia="宋体" w:hint="default"/>
                <w:sz w:val="18"/>
                <w:szCs w:val="18"/>
              </w:rPr>
              <w:t>浩云科 技股份 有限公 司</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30" w:right="60"/>
              <w:jc w:val="both"/>
              <w:rPr>
                <w:rFonts w:ascii="宋体" w:hAnsi="宋体" w:cs="宋体" w:eastAsia="宋体" w:hint="default"/>
                <w:sz w:val="18"/>
                <w:szCs w:val="18"/>
              </w:rPr>
            </w:pPr>
            <w:r>
              <w:rPr>
                <w:rFonts w:ascii="宋体" w:hAnsi="宋体" w:cs="宋体" w:eastAsia="宋体" w:hint="default"/>
                <w:sz w:val="18"/>
                <w:szCs w:val="18"/>
              </w:rPr>
              <w:t>北京市 公安局 通州分 局</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29" w:right="59"/>
              <w:jc w:val="both"/>
              <w:rPr>
                <w:rFonts w:ascii="宋体" w:hAnsi="宋体" w:cs="宋体" w:eastAsia="宋体" w:hint="default"/>
                <w:sz w:val="18"/>
                <w:szCs w:val="18"/>
              </w:rPr>
            </w:pPr>
            <w:r>
              <w:rPr>
                <w:rFonts w:ascii="宋体" w:hAnsi="宋体" w:cs="宋体" w:eastAsia="宋体" w:hint="default"/>
                <w:sz w:val="18"/>
                <w:szCs w:val="18"/>
              </w:rPr>
              <w:t>北京市 通州区 公共安 全视频 监控建 设联网 应用项 目</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6"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7" w:lineRule="auto"/>
              <w:ind w:left="15" w:right="5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8,560.6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44"/>
              <w:jc w:val="left"/>
              <w:rPr>
                <w:rFonts w:ascii="宋体" w:hAnsi="宋体" w:cs="宋体" w:eastAsia="宋体" w:hint="default"/>
                <w:sz w:val="18"/>
                <w:szCs w:val="18"/>
              </w:rPr>
            </w:pPr>
            <w:r>
              <w:rPr>
                <w:rFonts w:ascii="宋体" w:hAnsi="宋体" w:cs="宋体" w:eastAsia="宋体" w:hint="default"/>
                <w:sz w:val="18"/>
                <w:szCs w:val="18"/>
              </w:rPr>
              <w:t>执行 中，已 累计确 认收 入：</w:t>
            </w:r>
          </w:p>
          <w:p>
            <w:pPr>
              <w:pStyle w:val="TableParagraph"/>
              <w:spacing w:line="240" w:lineRule="auto" w:before="81"/>
              <w:ind w:left="30" w:right="0"/>
              <w:jc w:val="left"/>
              <w:rPr>
                <w:rFonts w:ascii="Times New Roman" w:hAnsi="Times New Roman" w:cs="Times New Roman" w:eastAsia="Times New Roman" w:hint="default"/>
                <w:sz w:val="18"/>
                <w:szCs w:val="18"/>
              </w:rPr>
            </w:pPr>
            <w:r>
              <w:rPr>
                <w:rFonts w:ascii="Times New Roman"/>
                <w:sz w:val="18"/>
              </w:rPr>
              <w:t>4,302.0</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万元</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7" w:lineRule="auto"/>
              <w:ind w:left="30" w:right="19"/>
              <w:jc w:val="left"/>
              <w:rPr>
                <w:rFonts w:ascii="宋体" w:hAnsi="宋体" w:cs="宋体" w:eastAsia="宋体" w:hint="default"/>
                <w:sz w:val="18"/>
                <w:szCs w:val="18"/>
              </w:rPr>
            </w:pPr>
            <w:r>
              <w:rPr>
                <w:rFonts w:ascii="宋体" w:hAnsi="宋体" w:cs="宋体" w:eastAsia="宋体" w:hint="default"/>
                <w:sz w:val="18"/>
                <w:szCs w:val="18"/>
              </w:rPr>
              <w:t>巨潮资 讯：</w:t>
            </w:r>
          </w:p>
          <w:p>
            <w:pPr>
              <w:pStyle w:val="TableParagraph"/>
              <w:spacing w:line="364" w:lineRule="auto" w:before="86"/>
              <w:ind w:left="30" w:right="19"/>
              <w:jc w:val="left"/>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spacing w:val="-43"/>
                <w:sz w:val="18"/>
              </w:rPr>
              <w:t> </w:t>
            </w:r>
            <w:r>
              <w:rPr>
                <w:rFonts w:ascii="Times New Roman"/>
                <w:spacing w:val="-43"/>
                <w:sz w:val="18"/>
              </w:rPr>
            </w:r>
            <w:r>
              <w:rPr>
                <w:rFonts w:ascii="Times New Roman"/>
                <w:sz w:val="18"/>
              </w:rPr>
              <w:t>ww.cni</w:t>
            </w:r>
            <w:r>
              <w:rPr>
                <w:rFonts w:ascii="Times New Roman"/>
                <w:sz w:val="18"/>
              </w:rPr>
              <w:t> nfo.co </w:t>
            </w:r>
            <w:r>
              <w:rPr>
                <w:rFonts w:ascii="Times New Roman"/>
                <w:spacing w:val="-3"/>
                <w:sz w:val="18"/>
              </w:rPr>
              <w:t>m.cn</w:t>
            </w:r>
          </w:p>
        </w:tc>
      </w:tr>
    </w:tbl>
    <w:p>
      <w:pPr>
        <w:spacing w:line="240" w:lineRule="auto" w:before="10"/>
        <w:rPr>
          <w:rFonts w:ascii="宋体" w:hAnsi="宋体" w:cs="宋体" w:eastAsia="宋体" w:hint="default"/>
          <w:sz w:val="24"/>
          <w:szCs w:val="24"/>
        </w:rPr>
      </w:pPr>
    </w:p>
    <w:p>
      <w:pPr>
        <w:pStyle w:val="Heading2"/>
        <w:spacing w:line="240" w:lineRule="auto" w:before="26"/>
        <w:ind w:left="140" w:right="609"/>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left="140" w:right="609"/>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501" w:right="609"/>
        <w:jc w:val="left"/>
      </w:pPr>
      <w:r>
        <w:rPr/>
        <w:t>公司自成立以来，始终秉持</w:t>
      </w:r>
      <w:r>
        <w:rPr>
          <w:rFonts w:ascii="Times New Roman" w:hAnsi="Times New Roman" w:cs="Times New Roman" w:eastAsia="Times New Roman" w:hint="default"/>
        </w:rPr>
        <w:t>“</w:t>
      </w:r>
      <w:r>
        <w:rPr/>
        <w:t>以创新满足客户需求，实现企业价值，创造社会文明</w:t>
      </w:r>
      <w:r>
        <w:rPr>
          <w:rFonts w:ascii="Times New Roman" w:hAnsi="Times New Roman" w:cs="Times New Roman" w:eastAsia="Times New Roman" w:hint="default"/>
        </w:rPr>
        <w:t>”</w:t>
      </w:r>
      <w:r>
        <w:rPr/>
        <w:t>的核心价值观，不断创新、精益求精，追求企</w:t>
      </w:r>
    </w:p>
    <w:p>
      <w:pPr>
        <w:spacing w:after="0" w:line="240" w:lineRule="auto"/>
        <w:jc w:val="left"/>
        <w:sectPr>
          <w:pgSz w:w="11910" w:h="16850"/>
          <w:pgMar w:header="776" w:footer="1026" w:top="1100" w:bottom="1220" w:left="580" w:right="0"/>
        </w:sectPr>
      </w:pPr>
    </w:p>
    <w:p>
      <w:pPr>
        <w:spacing w:line="240" w:lineRule="auto" w:before="2"/>
        <w:rPr>
          <w:rFonts w:ascii="宋体" w:hAnsi="宋体" w:cs="宋体" w:eastAsia="宋体" w:hint="default"/>
          <w:sz w:val="11"/>
          <w:szCs w:val="11"/>
        </w:rPr>
      </w:pPr>
    </w:p>
    <w:p>
      <w:pPr>
        <w:pStyle w:val="BodyText"/>
        <w:spacing w:line="448" w:lineRule="auto" w:before="44"/>
        <w:ind w:left="140" w:right="730"/>
        <w:jc w:val="left"/>
      </w:pPr>
      <w:r>
        <w:rPr/>
        <w:t>业、社会与环境的和谐发展。</w:t>
      </w:r>
      <w:r>
        <w:rPr>
          <w:rFonts w:ascii="Times New Roman" w:hAnsi="Times New Roman" w:cs="Times New Roman" w:eastAsia="Times New Roman" w:hint="default"/>
        </w:rPr>
        <w:t>2019</w:t>
      </w:r>
      <w:r>
        <w:rPr/>
        <w:t>年，公司业绩继续保持稳步增长，为公司股东交上了一份满意的答卷，同时，公司也积极承担对员</w:t>
      </w:r>
      <w:r>
        <w:rPr>
          <w:spacing w:val="-87"/>
        </w:rPr>
        <w:t> </w:t>
      </w:r>
      <w:r>
        <w:rPr/>
        <w:t>工、客户、债权人、社会等其他利益相关者的责任。</w:t>
      </w:r>
    </w:p>
    <w:p>
      <w:pPr>
        <w:pStyle w:val="BodyText"/>
        <w:spacing w:line="482" w:lineRule="auto" w:before="73"/>
        <w:ind w:left="140" w:right="737" w:firstLine="360"/>
        <w:jc w:val="both"/>
      </w:pPr>
      <w:r>
        <w:rPr/>
        <w:t>在保障股东权益方面，公司严格按照《公司法》、《证券法》、《深圳证券交易所创业板上市公司规范运作指引》等有关法律、 法规及规范性文件的要求，不断提升和完善法人治理结构，强化规范运作；及时、准确、真实、完整地进行信息披露，充分保障股东 权益；严格落实《招股说明书》和《公司章程》中关于利润分配的规定，使股东切实共享公司发展的经营成果。</w:t>
      </w:r>
    </w:p>
    <w:p>
      <w:pPr>
        <w:pStyle w:val="BodyText"/>
        <w:spacing w:line="470" w:lineRule="auto" w:before="48"/>
        <w:ind w:left="140" w:right="708" w:firstLine="360"/>
        <w:jc w:val="both"/>
      </w:pPr>
      <w:r>
        <w:rPr/>
        <w:t>在保障员工权益方面，公司一直坚持以人为本的人才理念，重视保护职工利益，严格遵守劳动法等有关规定，与职工签订劳动合 同，为员工购买</w:t>
      </w:r>
      <w:r>
        <w:rPr>
          <w:rFonts w:ascii="Times New Roman" w:hAnsi="Times New Roman" w:cs="Times New Roman" w:eastAsia="Times New Roman" w:hint="default"/>
        </w:rPr>
        <w:t>“</w:t>
      </w:r>
      <w:r>
        <w:rPr/>
        <w:t>五险一金</w:t>
      </w:r>
      <w:r>
        <w:rPr>
          <w:rFonts w:ascii="Times New Roman" w:hAnsi="Times New Roman" w:cs="Times New Roman" w:eastAsia="Times New Roman" w:hint="default"/>
        </w:rPr>
        <w:t>”</w:t>
      </w:r>
      <w:r>
        <w:rPr/>
        <w:t>，并结合市场行情和公司自身特点制定有竞争力的薪酬，同时公司上市后积极筹划并实施了三期股权激励</w:t>
      </w:r>
      <w:r>
        <w:rPr>
          <w:spacing w:val="-84"/>
        </w:rPr>
        <w:t> </w:t>
      </w:r>
      <w:r>
        <w:rPr/>
        <w:t>计划，让员工共享公司发展成果，实现员工与公司的双赢；公司注重员工素质提升，结合员工能力素质及培训需求情况，除了每月开</w:t>
      </w:r>
      <w:r>
        <w:rPr>
          <w:spacing w:val="-86"/>
        </w:rPr>
        <w:t> </w:t>
      </w:r>
      <w:r>
        <w:rPr>
          <w:spacing w:val="-86"/>
        </w:rPr>
      </w:r>
      <w:r>
        <w:rPr>
          <w:spacing w:val="-2"/>
        </w:rPr>
        <w:t>展新员工培训外，还不定期组织管理干部管理水平提升培训、业务转岗培训、</w:t>
      </w:r>
      <w:r>
        <w:rPr>
          <w:rFonts w:ascii="Times New Roman" w:hAnsi="Times New Roman" w:cs="Times New Roman" w:eastAsia="Times New Roman" w:hint="default"/>
          <w:spacing w:val="-2"/>
        </w:rPr>
        <w:t>CT1</w:t>
      </w:r>
      <w:r>
        <w:rPr>
          <w:spacing w:val="-2"/>
        </w:rPr>
        <w:t>和</w:t>
      </w:r>
      <w:r>
        <w:rPr>
          <w:rFonts w:ascii="Times New Roman" w:hAnsi="Times New Roman" w:cs="Times New Roman" w:eastAsia="Times New Roman" w:hint="default"/>
          <w:spacing w:val="-2"/>
        </w:rPr>
        <w:t>CT2</w:t>
      </w:r>
      <w:r>
        <w:rPr>
          <w:spacing w:val="-2"/>
        </w:rPr>
        <w:t>培训、业务培训、技术类培训、工程售后类培</w:t>
      </w:r>
    </w:p>
    <w:p>
      <w:pPr>
        <w:pStyle w:val="BodyText"/>
        <w:spacing w:line="240" w:lineRule="auto" w:before="25"/>
        <w:ind w:left="140" w:right="609"/>
        <w:jc w:val="left"/>
        <w:rPr>
          <w:rFonts w:ascii="Times New Roman" w:hAnsi="Times New Roman" w:cs="Times New Roman" w:eastAsia="Times New Roman" w:hint="default"/>
        </w:rPr>
      </w:pPr>
      <w:r>
        <w:rPr/>
        <w:t>训等各类培训，持续提高员工综合素质及管理干部管理水平；公司提倡企业文化，坚持为员工提供宿舍、休闲团建会所以及</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8"/>
          <w:szCs w:val="18"/>
        </w:rPr>
      </w:pPr>
    </w:p>
    <w:p>
      <w:pPr>
        <w:pStyle w:val="BodyText"/>
        <w:spacing w:line="240" w:lineRule="auto"/>
        <w:ind w:left="140" w:right="609"/>
        <w:jc w:val="left"/>
      </w:pPr>
      <w:r>
        <w:rPr/>
        <w:t>班车等各项生活便利。</w:t>
      </w:r>
    </w:p>
    <w:p>
      <w:pPr>
        <w:spacing w:line="240" w:lineRule="auto" w:before="7"/>
        <w:rPr>
          <w:rFonts w:ascii="宋体" w:hAnsi="宋体" w:cs="宋体" w:eastAsia="宋体" w:hint="default"/>
          <w:sz w:val="17"/>
          <w:szCs w:val="17"/>
        </w:rPr>
      </w:pPr>
    </w:p>
    <w:p>
      <w:pPr>
        <w:pStyle w:val="BodyText"/>
        <w:spacing w:line="448" w:lineRule="auto"/>
        <w:ind w:left="140" w:right="755" w:firstLine="360"/>
        <w:jc w:val="both"/>
      </w:pPr>
      <w:r>
        <w:rPr/>
        <w:t>在保障客户权益方面，公司始终践行</w:t>
      </w:r>
      <w:r>
        <w:rPr>
          <w:rFonts w:ascii="Times New Roman" w:hAnsi="Times New Roman" w:cs="Times New Roman" w:eastAsia="Times New Roman" w:hint="default"/>
        </w:rPr>
        <w:t>“</w:t>
      </w:r>
      <w:r>
        <w:rPr/>
        <w:t>客户是中心，服务是价值</w:t>
      </w:r>
      <w:r>
        <w:rPr>
          <w:rFonts w:ascii="Times New Roman" w:hAnsi="Times New Roman" w:cs="Times New Roman" w:eastAsia="Times New Roman" w:hint="default"/>
        </w:rPr>
        <w:t>”</w:t>
      </w:r>
      <w:r>
        <w:rPr/>
        <w:t>的企业文化，在研发上不断创新，在产品质量上精益求精，在服 务上超客户预期，持续提升客户对公司产品和服务的满意度，适度加强客户粘性，誓与客户共同成长。</w:t>
      </w:r>
    </w:p>
    <w:p>
      <w:pPr>
        <w:pStyle w:val="BodyText"/>
        <w:spacing w:line="475" w:lineRule="auto" w:before="88"/>
        <w:ind w:left="140" w:right="746" w:firstLine="360"/>
        <w:jc w:val="both"/>
      </w:pPr>
      <w:r>
        <w:rPr/>
        <w:t>在保障供应商及债权人权益方面，公司始终坚持诚信为本，主动听取供应商和债权人的建议和意见，严格执行签署的各项合约； 同时公司提倡恪守商业道德，严格防范商业贿赂，让供应商将主要精力放在产品质量、供货的高效及服务的优质上，力争实现双赢局 面。</w:t>
      </w:r>
    </w:p>
    <w:p>
      <w:pPr>
        <w:pStyle w:val="BodyText"/>
        <w:spacing w:line="475" w:lineRule="auto" w:before="53"/>
        <w:ind w:left="140" w:right="746" w:firstLine="360"/>
        <w:jc w:val="both"/>
      </w:pPr>
      <w:r>
        <w:rPr/>
        <w:t>在保障社会等其他利益相关者权益方面，公司始终将依法经营作为公司运行的基本原则，注重企业经济效益与社会效益的同步共 赢；公司严格遵守国家法律、法规、政策的规定，始终依法经营，积极纳税，支持地方经济的发展。</w:t>
      </w:r>
    </w:p>
    <w:p>
      <w:pPr>
        <w:spacing w:line="240" w:lineRule="auto" w:before="8"/>
        <w:rPr>
          <w:rFonts w:ascii="宋体" w:hAnsi="宋体" w:cs="宋体" w:eastAsia="宋体" w:hint="default"/>
          <w:sz w:val="26"/>
          <w:szCs w:val="26"/>
        </w:rPr>
      </w:pPr>
    </w:p>
    <w:p>
      <w:pPr>
        <w:pStyle w:val="Heading3"/>
        <w:spacing w:line="240" w:lineRule="auto"/>
        <w:ind w:left="140" w:right="609"/>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140" w:right="609"/>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left="140" w:right="609"/>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2"/>
          <w:szCs w:val="22"/>
        </w:rPr>
      </w:pPr>
    </w:p>
    <w:p>
      <w:pPr>
        <w:pStyle w:val="BodyText"/>
        <w:spacing w:line="520" w:lineRule="auto" w:before="192"/>
        <w:ind w:left="140" w:right="6130"/>
        <w:jc w:val="left"/>
      </w:pPr>
      <w:r>
        <w:rPr/>
        <w:t>上市公司及其子公司是否属于环境保护部门公布的重点排污单位 否</w:t>
      </w:r>
    </w:p>
    <w:p>
      <w:pPr>
        <w:pStyle w:val="BodyText"/>
        <w:spacing w:line="475" w:lineRule="auto" w:before="79"/>
        <w:ind w:left="140" w:right="730"/>
        <w:jc w:val="left"/>
      </w:pPr>
      <w:r>
        <w:rPr/>
        <w:t>公司及其子公司不属于环境保护部门公布的重点排污单位。公司及子公司在日常经营中认真执行有关环保方面的各项法律、法规及规 范性文件的规定和要求，报告期内未发生因违法违规而受到处罚的情况。</w:t>
      </w:r>
    </w:p>
    <w:p>
      <w:pPr>
        <w:spacing w:after="0" w:line="475" w:lineRule="auto"/>
        <w:jc w:val="left"/>
        <w:sectPr>
          <w:pgSz w:w="11910" w:h="16850"/>
          <w:pgMar w:header="776" w:footer="1026" w:top="1100" w:bottom="1220" w:left="580" w:right="0"/>
        </w:sectPr>
      </w:pPr>
    </w:p>
    <w:p>
      <w:pPr>
        <w:spacing w:line="240" w:lineRule="auto" w:before="6"/>
        <w:rPr>
          <w:rFonts w:ascii="宋体" w:hAnsi="宋体" w:cs="宋体" w:eastAsia="宋体" w:hint="default"/>
          <w:sz w:val="9"/>
          <w:szCs w:val="9"/>
        </w:rPr>
      </w:pPr>
    </w:p>
    <w:p>
      <w:pPr>
        <w:pStyle w:val="Heading2"/>
        <w:spacing w:line="240" w:lineRule="auto" w:before="26"/>
        <w:ind w:left="140" w:right="609"/>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21"/>
          <w:szCs w:val="21"/>
        </w:rPr>
      </w:pPr>
    </w:p>
    <w:p>
      <w:pPr>
        <w:pStyle w:val="BodyText"/>
        <w:spacing w:line="453" w:lineRule="auto"/>
        <w:ind w:left="140" w:right="676"/>
        <w:jc w:val="left"/>
      </w:pPr>
      <w:r>
        <w:rPr>
          <w:rFonts w:ascii="Times New Roman" w:hAnsi="Times New Roman" w:cs="Times New Roman" w:eastAsia="Times New Roman" w:hint="default"/>
        </w:rPr>
        <w:t>1</w:t>
      </w:r>
      <w:r>
        <w:rPr/>
        <w:t>、报告期内，公司接到持股</w:t>
      </w:r>
      <w:r>
        <w:rPr>
          <w:rFonts w:ascii="Times New Roman" w:hAnsi="Times New Roman" w:cs="Times New Roman" w:eastAsia="Times New Roman" w:hint="default"/>
        </w:rPr>
        <w:t>5%</w:t>
      </w:r>
      <w:r>
        <w:rPr/>
        <w:t>以上股东雷洪文先生通知，获悉雷洪文先生所持有公司的部分股份被质押的事项并及时予以了公告， 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日披露于巨潮资讯网的相关公告（公告编号：</w:t>
      </w:r>
      <w:r>
        <w:rPr>
          <w:rFonts w:ascii="Times New Roman" w:hAnsi="Times New Roman" w:cs="Times New Roman" w:eastAsia="Times New Roman" w:hint="default"/>
        </w:rPr>
        <w:t>2019-004</w:t>
      </w:r>
      <w:r>
        <w:rPr/>
        <w:t>）。</w:t>
      </w:r>
      <w:r>
        <w:rPr>
          <w:spacing w:val="-85"/>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日，公司召开第三届董事会第十六次会议和第三届监事会第十五次会议，审议通过了《关于签署投资并购补充协议的 议案》，同意公司与广东冠网信息科技有限公司（以下简称</w:t>
      </w:r>
      <w:r>
        <w:rPr>
          <w:rFonts w:ascii="Times New Roman" w:hAnsi="Times New Roman" w:cs="Times New Roman" w:eastAsia="Times New Roman" w:hint="default"/>
        </w:rPr>
        <w:t>“</w:t>
      </w:r>
      <w:r>
        <w:rPr/>
        <w:t>冠网科技</w:t>
      </w:r>
      <w:r>
        <w:rPr>
          <w:rFonts w:ascii="Times New Roman" w:hAnsi="Times New Roman" w:cs="Times New Roman" w:eastAsia="Times New Roman" w:hint="default"/>
        </w:rPr>
        <w:t>”</w:t>
      </w:r>
      <w:r>
        <w:rPr/>
        <w:t>）、王庆、胡海涛、曹义峰、廖永建、邓杰、广州新启企业管</w:t>
      </w:r>
      <w:r>
        <w:rPr>
          <w:spacing w:val="-78"/>
        </w:rPr>
        <w:t> </w:t>
      </w:r>
      <w:r>
        <w:rPr/>
        <w:t>理合伙企业（有限合伙）签署投资并购补充协议书，约定公司不对冠网科技进行增资，而由公司直接以支付现金方式购买广州新启持 </w:t>
      </w:r>
      <w:r>
        <w:rPr>
          <w:spacing w:val="-2"/>
        </w:rPr>
        <w:t>有的冠网科技</w:t>
      </w:r>
      <w:r>
        <w:rPr>
          <w:rFonts w:ascii="Times New Roman" w:hAnsi="Times New Roman" w:cs="Times New Roman" w:eastAsia="Times New Roman" w:hint="default"/>
          <w:spacing w:val="-2"/>
        </w:rPr>
        <w:t>53.00%</w:t>
      </w:r>
      <w:r>
        <w:rPr>
          <w:spacing w:val="-2"/>
        </w:rPr>
        <w:t>的股权，独立董事对该事项发表了同意的独立意见，具体内容详见公司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14</w:t>
      </w:r>
      <w:r>
        <w:rPr>
          <w:spacing w:val="-2"/>
        </w:rPr>
        <w:t>日披露于巨潮资讯网的相关公</w:t>
      </w:r>
      <w:r>
        <w:rPr>
          <w:spacing w:val="-29"/>
        </w:rPr>
        <w:t> </w:t>
      </w:r>
      <w:r>
        <w:rPr>
          <w:spacing w:val="-29"/>
        </w:rPr>
      </w:r>
      <w:r>
        <w:rPr/>
        <w:t>告（公告编号：</w:t>
      </w:r>
      <w:r>
        <w:rPr>
          <w:rFonts w:ascii="Times New Roman" w:hAnsi="Times New Roman" w:cs="Times New Roman" w:eastAsia="Times New Roman" w:hint="default"/>
        </w:rPr>
        <w:t>2019-005</w:t>
      </w:r>
      <w:r>
        <w:rPr/>
        <w:t>；</w:t>
      </w:r>
      <w:r>
        <w:rPr>
          <w:rFonts w:ascii="Times New Roman" w:hAnsi="Times New Roman" w:cs="Times New Roman" w:eastAsia="Times New Roman" w:hint="default"/>
        </w:rPr>
        <w:t>2019-006</w:t>
      </w:r>
      <w:r>
        <w:rPr/>
        <w:t>；</w:t>
      </w:r>
      <w:r>
        <w:rPr>
          <w:rFonts w:ascii="Times New Roman" w:hAnsi="Times New Roman" w:cs="Times New Roman" w:eastAsia="Times New Roman" w:hint="default"/>
        </w:rPr>
        <w:t>2019-007</w:t>
      </w:r>
      <w:r>
        <w:rPr/>
        <w:t>）。 </w:t>
      </w:r>
      <w:r>
        <w:rPr>
          <w:rFonts w:ascii="Times New Roman" w:hAnsi="Times New Roman" w:cs="Times New Roman" w:eastAsia="Times New Roman" w:hint="default"/>
          <w:spacing w:val="-1"/>
        </w:rPr>
        <w:t>3</w:t>
      </w:r>
      <w:r>
        <w:rPr>
          <w:spacing w:val="-1"/>
        </w:rPr>
        <w:t>、报告期内，公司接到控股股东茅庆江先生通知，获悉茅庆江先生所持有公司的部分股份质押展期及补充质押的事项并及时予以了公</w:t>
      </w:r>
      <w:r>
        <w:rPr/>
        <w:t> 告，具体内容详见公司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日披露于巨潮资讯网的相关公告（公告编号：</w:t>
      </w:r>
      <w:r>
        <w:rPr>
          <w:rFonts w:ascii="Times New Roman" w:hAnsi="Times New Roman" w:cs="Times New Roman" w:eastAsia="Times New Roman" w:hint="default"/>
        </w:rPr>
        <w:t>2019-011</w:t>
      </w:r>
      <w:r>
        <w:rPr/>
        <w:t>）。</w:t>
      </w:r>
      <w:r>
        <w:rPr>
          <w:spacing w:val="-85"/>
        </w:rPr>
        <w:t> </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日，公司召开第三届董事会第十七次会议和第三届监事会第十六次会议，审议通过了《关于向激励对象授予</w:t>
      </w:r>
      <w:r>
        <w:rPr>
          <w:rFonts w:ascii="Times New Roman" w:hAnsi="Times New Roman" w:cs="Times New Roman" w:eastAsia="Times New Roman" w:hint="default"/>
          <w:spacing w:val="-1"/>
        </w:rPr>
        <w:t>2018</w:t>
      </w:r>
      <w:r>
        <w:rPr>
          <w:spacing w:val="-1"/>
        </w:rPr>
        <w:t>年股权</w:t>
      </w:r>
      <w:r>
        <w:rPr>
          <w:spacing w:val="-76"/>
        </w:rPr>
        <w:t> </w:t>
      </w:r>
      <w:r>
        <w:rPr>
          <w:spacing w:val="-3"/>
        </w:rPr>
        <w:t>激励计划预留部分限制性股票的议案》，认为公司</w:t>
      </w:r>
      <w:r>
        <w:rPr>
          <w:rFonts w:ascii="Times New Roman" w:hAnsi="Times New Roman" w:cs="Times New Roman" w:eastAsia="Times New Roman" w:hint="default"/>
          <w:spacing w:val="-3"/>
        </w:rPr>
        <w:t>2018</w:t>
      </w:r>
      <w:r>
        <w:rPr>
          <w:spacing w:val="-3"/>
        </w:rPr>
        <w:t>年股权激励计划规定的预留部分限制性股票的授予条件已经成就，同意确定</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日为</w:t>
      </w:r>
      <w:r>
        <w:rPr>
          <w:rFonts w:ascii="Times New Roman" w:hAnsi="Times New Roman" w:cs="Times New Roman" w:eastAsia="Times New Roman" w:hint="default"/>
        </w:rPr>
        <w:t>2018</w:t>
      </w:r>
      <w:r>
        <w:rPr/>
        <w:t>年股权激励计划预留部分限制性股票的授予日，授予价格为</w:t>
      </w:r>
      <w:r>
        <w:rPr>
          <w:rFonts w:ascii="Times New Roman" w:hAnsi="Times New Roman" w:cs="Times New Roman" w:eastAsia="Times New Roman" w:hint="default"/>
        </w:rPr>
        <w:t>5.94</w:t>
      </w:r>
      <w:r>
        <w:rPr/>
        <w:t>元</w:t>
      </w:r>
      <w:r>
        <w:rPr>
          <w:rFonts w:ascii="Times New Roman" w:hAnsi="Times New Roman" w:cs="Times New Roman" w:eastAsia="Times New Roman" w:hint="default"/>
        </w:rPr>
        <w:t>/</w:t>
      </w:r>
      <w:r>
        <w:rPr/>
        <w:t>股，合计授予</w:t>
      </w:r>
      <w:r>
        <w:rPr>
          <w:rFonts w:ascii="Times New Roman" w:hAnsi="Times New Roman" w:cs="Times New Roman" w:eastAsia="Times New Roman" w:hint="default"/>
        </w:rPr>
        <w:t>22</w:t>
      </w:r>
      <w:r>
        <w:rPr/>
        <w:t>名激励对象</w:t>
      </w:r>
      <w:r>
        <w:rPr>
          <w:rFonts w:ascii="Times New Roman" w:hAnsi="Times New Roman" w:cs="Times New Roman" w:eastAsia="Times New Roman" w:hint="default"/>
        </w:rPr>
        <w:t>96.50</w:t>
      </w:r>
      <w:r>
        <w:rPr/>
        <w:t>万股限制性股票，</w:t>
      </w:r>
      <w:r>
        <w:rPr>
          <w:spacing w:val="-75"/>
        </w:rPr>
        <w:t> </w:t>
      </w:r>
      <w:r>
        <w:rPr>
          <w:spacing w:val="-75"/>
        </w:rPr>
      </w:r>
      <w:r>
        <w:rPr/>
        <w:t>监事会对本次授予激励对象名单进行了审核并发表了核实意见，独立董事对该事项发表了同意的独立意见，律师事务所和独立财务顾</w:t>
      </w:r>
    </w:p>
    <w:p>
      <w:pPr>
        <w:pStyle w:val="BodyText"/>
        <w:spacing w:line="240" w:lineRule="auto" w:before="85"/>
        <w:ind w:left="140" w:right="609"/>
        <w:jc w:val="left"/>
      </w:pPr>
      <w:r>
        <w:rPr/>
        <w:t>问分别就前述授予事项出具了法律意见书和独立财务顾问报告。</w:t>
      </w:r>
    </w:p>
    <w:p>
      <w:pPr>
        <w:spacing w:line="240" w:lineRule="auto" w:before="7"/>
        <w:rPr>
          <w:rFonts w:ascii="宋体" w:hAnsi="宋体" w:cs="宋体" w:eastAsia="宋体" w:hint="default"/>
          <w:sz w:val="17"/>
          <w:szCs w:val="17"/>
        </w:rPr>
      </w:pPr>
    </w:p>
    <w:p>
      <w:pPr>
        <w:pStyle w:val="BodyText"/>
        <w:spacing w:line="240" w:lineRule="auto"/>
        <w:ind w:left="140" w:right="60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2018</w:t>
      </w:r>
      <w:r>
        <w:rPr/>
        <w:t>年股票期权与限制性股票激励计划预留部分的激励对象姓名及职务在公司内部的公示期满，公司监事会于</w:t>
      </w:r>
    </w:p>
    <w:p>
      <w:pPr>
        <w:spacing w:line="240" w:lineRule="auto" w:before="7"/>
        <w:rPr>
          <w:rFonts w:ascii="宋体" w:hAnsi="宋体" w:cs="宋体" w:eastAsia="宋体" w:hint="default"/>
          <w:sz w:val="16"/>
          <w:szCs w:val="16"/>
        </w:rPr>
      </w:pPr>
    </w:p>
    <w:p>
      <w:pPr>
        <w:pStyle w:val="BodyText"/>
        <w:spacing w:line="240" w:lineRule="auto"/>
        <w:ind w:left="140" w:right="60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日发表了相关审核意见及公示情况说明。</w:t>
      </w:r>
    </w:p>
    <w:p>
      <w:pPr>
        <w:spacing w:line="240" w:lineRule="auto" w:before="7"/>
        <w:rPr>
          <w:rFonts w:ascii="宋体" w:hAnsi="宋体" w:cs="宋体" w:eastAsia="宋体" w:hint="default"/>
          <w:sz w:val="16"/>
          <w:szCs w:val="16"/>
        </w:rPr>
      </w:pPr>
    </w:p>
    <w:p>
      <w:pPr>
        <w:pStyle w:val="BodyText"/>
        <w:spacing w:line="453" w:lineRule="auto"/>
        <w:ind w:left="140" w:right="76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日，公司办理完毕</w:t>
      </w:r>
      <w:r>
        <w:rPr>
          <w:rFonts w:ascii="Times New Roman" w:hAnsi="Times New Roman" w:cs="Times New Roman" w:eastAsia="Times New Roman" w:hint="default"/>
        </w:rPr>
        <w:t>2018</w:t>
      </w:r>
      <w:r>
        <w:rPr/>
        <w:t>年股票期权与限制性股票激励计划预留部分的合计</w:t>
      </w:r>
      <w:r>
        <w:rPr>
          <w:rFonts w:ascii="Times New Roman" w:hAnsi="Times New Roman" w:cs="Times New Roman" w:eastAsia="Times New Roman" w:hint="default"/>
        </w:rPr>
        <w:t>96.50</w:t>
      </w:r>
      <w:r>
        <w:rPr/>
        <w:t>万股限制性股票的授予登记工作，相关限</w:t>
      </w:r>
      <w:r>
        <w:rPr>
          <w:spacing w:val="-83"/>
        </w:rPr>
        <w:t> </w:t>
      </w:r>
      <w:r>
        <w:rPr/>
        <w:t>制性股票的上市日期为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 上述具体内容详见公司分别于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日披露于巨潮资讯网的相关公告（公告编号：</w:t>
      </w:r>
      <w:r>
        <w:rPr>
          <w:rFonts w:ascii="Times New Roman" w:hAnsi="Times New Roman" w:cs="Times New Roman" w:eastAsia="Times New Roman" w:hint="default"/>
        </w:rPr>
        <w:t>2019-017</w:t>
      </w:r>
      <w:r>
        <w:rPr/>
        <w:t>；</w:t>
      </w:r>
      <w:r>
        <w:rPr>
          <w:spacing w:val="-84"/>
        </w:rPr>
        <w:t> </w:t>
      </w:r>
      <w:r>
        <w:rPr>
          <w:rFonts w:ascii="Times New Roman" w:hAnsi="Times New Roman" w:cs="Times New Roman" w:eastAsia="Times New Roman" w:hint="default"/>
        </w:rPr>
        <w:t>2019-018</w:t>
      </w:r>
      <w:r>
        <w:rPr/>
        <w:t>；</w:t>
      </w:r>
      <w:r>
        <w:rPr>
          <w:rFonts w:ascii="Times New Roman" w:hAnsi="Times New Roman" w:cs="Times New Roman" w:eastAsia="Times New Roman" w:hint="default"/>
        </w:rPr>
        <w:t>2019-019</w:t>
      </w:r>
      <w:r>
        <w:rPr/>
        <w:t>；</w:t>
      </w:r>
      <w:r>
        <w:rPr>
          <w:rFonts w:ascii="Times New Roman" w:hAnsi="Times New Roman" w:cs="Times New Roman" w:eastAsia="Times New Roman" w:hint="default"/>
        </w:rPr>
        <w:t>2019-023</w:t>
      </w:r>
      <w:r>
        <w:rPr/>
        <w:t>；</w:t>
      </w:r>
      <w:r>
        <w:rPr>
          <w:rFonts w:ascii="Times New Roman" w:hAnsi="Times New Roman" w:cs="Times New Roman" w:eastAsia="Times New Roman" w:hint="default"/>
        </w:rPr>
        <w:t>2019-050</w:t>
      </w:r>
      <w:r>
        <w:rPr/>
        <w:t>）。</w:t>
      </w:r>
    </w:p>
    <w:p>
      <w:pPr>
        <w:pStyle w:val="BodyText"/>
        <w:spacing w:line="448" w:lineRule="auto" w:before="38"/>
        <w:ind w:left="140" w:right="705"/>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日，公司接到控股股东、实际控制人茅庆江先生的《股份减持计划告知函》，其计划在减持计划公告之日起</w:t>
      </w:r>
      <w:r>
        <w:rPr>
          <w:rFonts w:ascii="Times New Roman" w:hAnsi="Times New Roman" w:cs="Times New Roman" w:eastAsia="Times New Roman" w:hint="default"/>
        </w:rPr>
        <w:t>3</w:t>
      </w:r>
      <w:r>
        <w:rPr/>
        <w:t>个交易日</w:t>
      </w:r>
      <w:r>
        <w:rPr>
          <w:spacing w:val="-80"/>
        </w:rPr>
        <w:t> </w:t>
      </w:r>
      <w:r>
        <w:rPr>
          <w:spacing w:val="-1"/>
        </w:rPr>
        <w:t>后的</w:t>
      </w:r>
      <w:r>
        <w:rPr>
          <w:rFonts w:ascii="Times New Roman" w:hAnsi="Times New Roman" w:cs="Times New Roman" w:eastAsia="Times New Roman" w:hint="default"/>
          <w:spacing w:val="-1"/>
        </w:rPr>
        <w:t>3</w:t>
      </w:r>
      <w:r>
        <w:rPr>
          <w:spacing w:val="-1"/>
        </w:rPr>
        <w:t>个月内通过协议转让方式减持本公司股份合计不超过</w:t>
      </w:r>
      <w:r>
        <w:rPr>
          <w:rFonts w:ascii="Times New Roman" w:hAnsi="Times New Roman" w:cs="Times New Roman" w:eastAsia="Times New Roman" w:hint="default"/>
          <w:spacing w:val="-1"/>
        </w:rPr>
        <w:t>21,578,200</w:t>
      </w:r>
      <w:r>
        <w:rPr>
          <w:spacing w:val="-1"/>
        </w:rPr>
        <w:t>股（占公司总股本</w:t>
      </w:r>
      <w:r>
        <w:rPr>
          <w:rFonts w:ascii="Times New Roman" w:hAnsi="Times New Roman" w:cs="Times New Roman" w:eastAsia="Times New Roman" w:hint="default"/>
          <w:spacing w:val="-1"/>
        </w:rPr>
        <w:t>408,490,226</w:t>
      </w:r>
      <w:r>
        <w:rPr>
          <w:spacing w:val="-1"/>
        </w:rPr>
        <w:t>股的</w:t>
      </w:r>
      <w:r>
        <w:rPr>
          <w:rFonts w:ascii="Times New Roman" w:hAnsi="Times New Roman" w:cs="Times New Roman" w:eastAsia="Times New Roman" w:hint="default"/>
          <w:spacing w:val="-1"/>
        </w:rPr>
        <w:t>5.2824%</w:t>
      </w:r>
      <w:r>
        <w:rPr>
          <w:spacing w:val="-1"/>
        </w:rPr>
        <w:t>），本次减持计划，拟</w:t>
      </w:r>
      <w:r>
        <w:rPr>
          <w:spacing w:val="-83"/>
        </w:rPr>
        <w:t> </w:t>
      </w:r>
      <w:r>
        <w:rPr>
          <w:spacing w:val="-83"/>
        </w:rPr>
      </w:r>
      <w:r>
        <w:rPr/>
        <w:t>接受协议转让股份的对象为粤科智泓。</w:t>
      </w:r>
    </w:p>
    <w:p>
      <w:pPr>
        <w:pStyle w:val="BodyText"/>
        <w:spacing w:line="448" w:lineRule="auto" w:before="88"/>
        <w:ind w:left="140" w:right="71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日，公司收到控股股东、实际控制人茅庆江先生和粤科智泓的通知，获悉双方于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日签署了股份转让协议，协</w:t>
      </w:r>
      <w:r>
        <w:rPr>
          <w:spacing w:val="-82"/>
        </w:rPr>
        <w:t> </w:t>
      </w:r>
      <w:r>
        <w:rPr/>
        <w:t>议约定由茅庆江先生将其直接持有的公司</w:t>
      </w:r>
      <w:r>
        <w:rPr>
          <w:rFonts w:ascii="Times New Roman" w:hAnsi="Times New Roman" w:cs="Times New Roman" w:eastAsia="Times New Roman" w:hint="default"/>
        </w:rPr>
        <w:t>20,420,500</w:t>
      </w:r>
      <w:r>
        <w:rPr/>
        <w:t>股（占公司总股本的</w:t>
      </w:r>
      <w:r>
        <w:rPr>
          <w:rFonts w:ascii="Times New Roman" w:hAnsi="Times New Roman" w:cs="Times New Roman" w:eastAsia="Times New Roman" w:hint="default"/>
        </w:rPr>
        <w:t>5.00%</w:t>
      </w:r>
      <w:r>
        <w:rPr/>
        <w:t>）无限售流通股份通过协议转让给粤科智泓，转让价格</w:t>
      </w:r>
      <w:r>
        <w:rPr>
          <w:spacing w:val="-79"/>
        </w:rPr>
        <w:t> </w:t>
      </w:r>
      <w:r>
        <w:rPr>
          <w:spacing w:val="-79"/>
        </w:rPr>
      </w:r>
      <w:r>
        <w:rPr/>
        <w:t>为</w:t>
      </w:r>
      <w:r>
        <w:rPr>
          <w:rFonts w:ascii="Times New Roman" w:hAnsi="Times New Roman" w:cs="Times New Roman" w:eastAsia="Times New Roman" w:hint="default"/>
        </w:rPr>
        <w:t>12.67</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日，公司接到控股股东、实际控制人茅庆江先生和股东粤科智泓的通知，其协议转让公司部分股份事宜已于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日在中国证券登记结算有限责任公司深圳分公司办理完成过户登记手续。</w:t>
      </w:r>
    </w:p>
    <w:p>
      <w:pPr>
        <w:spacing w:after="0" w:line="448" w:lineRule="auto"/>
        <w:jc w:val="left"/>
        <w:sectPr>
          <w:pgSz w:w="11910" w:h="16850"/>
          <w:pgMar w:header="776" w:footer="1026" w:top="1100" w:bottom="1220" w:left="580" w:right="0"/>
        </w:sectPr>
      </w:pPr>
    </w:p>
    <w:p>
      <w:pPr>
        <w:spacing w:line="240" w:lineRule="auto" w:before="2"/>
        <w:rPr>
          <w:rFonts w:ascii="宋体" w:hAnsi="宋体" w:cs="宋体" w:eastAsia="宋体" w:hint="default"/>
          <w:sz w:val="11"/>
          <w:szCs w:val="11"/>
        </w:rPr>
      </w:pPr>
    </w:p>
    <w:p>
      <w:pPr>
        <w:pStyle w:val="BodyText"/>
        <w:spacing w:line="240" w:lineRule="auto" w:before="44"/>
        <w:ind w:left="140" w:right="609"/>
        <w:jc w:val="left"/>
      </w:pPr>
      <w:r>
        <w:rPr/>
        <w:t>上述具体内容详见公司分别于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日披露于巨潮资讯网的相关公告（公告编号：</w:t>
      </w:r>
      <w:r>
        <w:rPr>
          <w:rFonts w:ascii="Times New Roman" w:hAnsi="Times New Roman" w:cs="Times New Roman" w:eastAsia="Times New Roman" w:hint="default"/>
        </w:rPr>
        <w:t>2019-021</w:t>
      </w:r>
      <w:r>
        <w:rPr/>
        <w:t>；</w:t>
      </w:r>
    </w:p>
    <w:p>
      <w:pPr>
        <w:spacing w:line="240" w:lineRule="auto" w:before="6"/>
        <w:rPr>
          <w:rFonts w:ascii="宋体" w:hAnsi="宋体" w:cs="宋体" w:eastAsia="宋体" w:hint="default"/>
          <w:sz w:val="16"/>
          <w:szCs w:val="16"/>
        </w:rPr>
      </w:pPr>
    </w:p>
    <w:p>
      <w:pPr>
        <w:pStyle w:val="BodyText"/>
        <w:spacing w:line="240" w:lineRule="auto"/>
        <w:ind w:left="140" w:right="609"/>
        <w:jc w:val="left"/>
      </w:pPr>
      <w:r>
        <w:rPr>
          <w:rFonts w:ascii="Times New Roman" w:hAnsi="Times New Roman" w:cs="Times New Roman" w:eastAsia="Times New Roman" w:hint="default"/>
        </w:rPr>
        <w:t>2019-022</w:t>
      </w:r>
      <w:r>
        <w:rPr/>
        <w:t>；</w:t>
      </w:r>
      <w:r>
        <w:rPr>
          <w:rFonts w:ascii="Times New Roman" w:hAnsi="Times New Roman" w:cs="Times New Roman" w:eastAsia="Times New Roman" w:hint="default"/>
        </w:rPr>
        <w:t>2019-024</w:t>
      </w:r>
      <w:r>
        <w:rPr/>
        <w:t>）。</w:t>
      </w:r>
    </w:p>
    <w:p>
      <w:pPr>
        <w:spacing w:line="240" w:lineRule="auto" w:before="7"/>
        <w:rPr>
          <w:rFonts w:ascii="宋体" w:hAnsi="宋体" w:cs="宋体" w:eastAsia="宋体" w:hint="default"/>
          <w:sz w:val="16"/>
          <w:szCs w:val="16"/>
        </w:rPr>
      </w:pPr>
    </w:p>
    <w:p>
      <w:pPr>
        <w:pStyle w:val="BodyText"/>
        <w:spacing w:line="451" w:lineRule="auto"/>
        <w:ind w:left="140" w:right="705"/>
        <w:jc w:val="left"/>
      </w:pPr>
      <w:r>
        <w:rPr>
          <w:rFonts w:ascii="Times New Roman" w:hAnsi="Times New Roman" w:cs="Times New Roman" w:eastAsia="Times New Roman" w:hint="default"/>
          <w:spacing w:val="-1"/>
        </w:rPr>
        <w:t>6</w:t>
      </w:r>
      <w:r>
        <w:rPr>
          <w:spacing w:val="-1"/>
        </w:rPr>
        <w:t>、报告期内，公司接到控股股东茅庆江先生通知，获悉茅庆江先生所持有公司的部分股份质押延期购回的事项并及时予以了公告，具</w:t>
      </w:r>
      <w:r>
        <w:rPr>
          <w:spacing w:val="-80"/>
        </w:rPr>
        <w:t> </w:t>
      </w:r>
      <w:r>
        <w:rPr>
          <w:spacing w:val="-80"/>
        </w:rPr>
      </w:r>
      <w:r>
        <w:rPr/>
        <w:t>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日披露于巨潮资讯网的相关公告（公告编号：</w:t>
      </w:r>
      <w:r>
        <w:rPr>
          <w:rFonts w:ascii="Times New Roman" w:hAnsi="Times New Roman" w:cs="Times New Roman" w:eastAsia="Times New Roman" w:hint="default"/>
        </w:rPr>
        <w:t>2019-051</w:t>
      </w:r>
      <w:r>
        <w:rPr/>
        <w:t>）。</w:t>
      </w:r>
      <w:r>
        <w:rPr>
          <w:spacing w:val="-85"/>
        </w:rPr>
        <w:t> </w:t>
      </w:r>
      <w:r>
        <w:rPr>
          <w:rFonts w:ascii="Times New Roman" w:hAnsi="Times New Roman" w:cs="Times New Roman" w:eastAsia="Times New Roman" w:hint="default"/>
          <w:spacing w:val="-1"/>
        </w:rPr>
        <w:t>7</w:t>
      </w:r>
      <w:r>
        <w:rPr>
          <w:spacing w:val="-1"/>
        </w:rPr>
        <w:t>、报告期内，公司接到控股股东茅庆江先生通知，获悉茅庆江先生所持有公司的部分股份质押延期购回的事项并及时予以了公告，具</w:t>
      </w:r>
      <w:r>
        <w:rPr/>
        <w:t> 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日披露于巨潮资讯网的相关公告（公告编号：</w:t>
      </w:r>
      <w:r>
        <w:rPr>
          <w:rFonts w:ascii="Times New Roman" w:hAnsi="Times New Roman" w:cs="Times New Roman" w:eastAsia="Times New Roman" w:hint="default"/>
        </w:rPr>
        <w:t>2019-061</w:t>
      </w:r>
      <w:r>
        <w:rPr/>
        <w:t>）。</w:t>
      </w:r>
      <w:r>
        <w:rPr>
          <w:spacing w:val="-85"/>
        </w:rPr>
        <w:t> </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日，公司披露了《</w:t>
      </w:r>
      <w:r>
        <w:rPr>
          <w:rFonts w:ascii="Times New Roman" w:hAnsi="Times New Roman" w:cs="Times New Roman" w:eastAsia="Times New Roman" w:hint="default"/>
          <w:spacing w:val="-4"/>
        </w:rPr>
        <w:t>2018</w:t>
      </w:r>
      <w:r>
        <w:rPr>
          <w:spacing w:val="-4"/>
        </w:rPr>
        <w:t>年年度权益分派实施公告》，具体内容详见公司</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日披露于巨潮资讯网的相关公告（公</w:t>
      </w:r>
      <w:r>
        <w:rPr>
          <w:spacing w:val="-51"/>
        </w:rPr>
        <w:t> </w:t>
      </w:r>
      <w:r>
        <w:rPr>
          <w:spacing w:val="-51"/>
        </w:rPr>
      </w:r>
      <w:r>
        <w:rPr/>
        <w:t>告编号：</w:t>
      </w:r>
      <w:r>
        <w:rPr>
          <w:rFonts w:ascii="Times New Roman" w:hAnsi="Times New Roman" w:cs="Times New Roman" w:eastAsia="Times New Roman" w:hint="default"/>
        </w:rPr>
        <w:t>2019-063</w:t>
      </w:r>
      <w:r>
        <w:rPr/>
        <w:t>）。 </w:t>
      </w:r>
      <w:r>
        <w:rPr>
          <w:rFonts w:ascii="Times New Roman" w:hAnsi="Times New Roman" w:cs="Times New Roman" w:eastAsia="Times New Roman" w:hint="default"/>
          <w:spacing w:val="-1"/>
        </w:rPr>
        <w:t>9</w:t>
      </w:r>
      <w:r>
        <w:rPr>
          <w:spacing w:val="-1"/>
        </w:rPr>
        <w:t>、报告期内，公司接到控股股东茅庆江先生通知，获悉茅庆江先生所持有公司的部分股份办理了质押及解除质押业务的事项并及时予</w:t>
      </w:r>
      <w:r>
        <w:rPr/>
        <w:t> 以了公告，具体内容详见公司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日披露于巨潮资讯网的相关公告（公告编号：</w:t>
      </w:r>
      <w:r>
        <w:rPr>
          <w:rFonts w:ascii="Times New Roman" w:hAnsi="Times New Roman" w:cs="Times New Roman" w:eastAsia="Times New Roman" w:hint="default"/>
        </w:rPr>
        <w:t>2019-094</w:t>
      </w:r>
      <w:r>
        <w:rPr/>
        <w:t>）。</w:t>
      </w:r>
      <w:r>
        <w:rPr>
          <w:spacing w:val="-84"/>
        </w:rPr>
        <w:t> </w:t>
      </w:r>
      <w:r>
        <w:rPr>
          <w:rFonts w:ascii="Times New Roman" w:hAnsi="Times New Roman" w:cs="Times New Roman" w:eastAsia="Times New Roman" w:hint="default"/>
          <w:spacing w:val="-1"/>
        </w:rPr>
        <w:t>10</w:t>
      </w:r>
      <w:r>
        <w:rPr>
          <w:spacing w:val="-1"/>
        </w:rPr>
        <w:t>、报告期内，公司实施完毕《关于回购公司股份预案的议案》，截至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日，公司通过股份回购专用证券账户以集中竞价方</w:t>
      </w:r>
      <w:r>
        <w:rPr>
          <w:spacing w:val="-82"/>
        </w:rPr>
        <w:t> </w:t>
      </w:r>
      <w:r>
        <w:rPr>
          <w:spacing w:val="-82"/>
        </w:rPr>
      </w:r>
      <w:r>
        <w:rPr/>
        <w:t>式累计回购公司股份</w:t>
      </w:r>
      <w:r>
        <w:rPr>
          <w:rFonts w:ascii="Times New Roman" w:hAnsi="Times New Roman" w:cs="Times New Roman" w:eastAsia="Times New Roman" w:hint="default"/>
        </w:rPr>
        <w:t>5,704,800</w:t>
      </w:r>
      <w:r>
        <w:rPr/>
        <w:t>股，占公司总股本的</w:t>
      </w:r>
      <w:r>
        <w:rPr>
          <w:rFonts w:ascii="Times New Roman" w:hAnsi="Times New Roman" w:cs="Times New Roman" w:eastAsia="Times New Roman" w:hint="default"/>
        </w:rPr>
        <w:t>0.82%</w:t>
      </w:r>
      <w:r>
        <w:rPr/>
        <w:t>，最高成交价为</w:t>
      </w:r>
      <w:r>
        <w:rPr>
          <w:rFonts w:ascii="Times New Roman" w:hAnsi="Times New Roman" w:cs="Times New Roman" w:eastAsia="Times New Roman" w:hint="default"/>
        </w:rPr>
        <w:t>10.59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股，累计支付的总金额为</w:t>
      </w:r>
      <w:r>
        <w:rPr>
          <w:spacing w:val="-80"/>
        </w:rPr>
        <w:t> </w:t>
      </w:r>
      <w:r>
        <w:rPr>
          <w:spacing w:val="-80"/>
        </w:rPr>
      </w:r>
      <w:r>
        <w:rPr>
          <w:rFonts w:ascii="Times New Roman" w:hAnsi="Times New Roman" w:cs="Times New Roman" w:eastAsia="Times New Roman" w:hint="default"/>
        </w:rPr>
        <w:t>51,486,420.57</w:t>
      </w:r>
      <w:r>
        <w:rPr/>
        <w:t>元（不含交易费用），具体内容详见公司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日披露于巨潮资讯网的相关公告（公告编号：</w:t>
      </w:r>
      <w:r>
        <w:rPr>
          <w:rFonts w:ascii="Times New Roman" w:hAnsi="Times New Roman" w:cs="Times New Roman" w:eastAsia="Times New Roman" w:hint="default"/>
        </w:rPr>
        <w:t>2019-106</w:t>
      </w:r>
      <w:r>
        <w:rPr/>
        <w:t>）。</w:t>
      </w:r>
    </w:p>
    <w:p>
      <w:pPr>
        <w:pStyle w:val="BodyText"/>
        <w:spacing w:line="451" w:lineRule="auto" w:before="55"/>
        <w:ind w:left="140" w:right="706"/>
        <w:jc w:val="left"/>
      </w:pPr>
      <w:r>
        <w:rPr>
          <w:rFonts w:ascii="Times New Roman" w:hAnsi="Times New Roman" w:cs="Times New Roman" w:eastAsia="Times New Roman" w:hint="default"/>
          <w:spacing w:val="-1"/>
        </w:rPr>
        <w:t>11</w:t>
      </w:r>
      <w:r>
        <w:rPr>
          <w:spacing w:val="-1"/>
        </w:rPr>
        <w:t>、报告期内，公司接到持股</w:t>
      </w:r>
      <w:r>
        <w:rPr>
          <w:rFonts w:ascii="Times New Roman" w:hAnsi="Times New Roman" w:cs="Times New Roman" w:eastAsia="Times New Roman" w:hint="default"/>
          <w:spacing w:val="-1"/>
        </w:rPr>
        <w:t>5%</w:t>
      </w:r>
      <w:r>
        <w:rPr>
          <w:spacing w:val="-1"/>
        </w:rPr>
        <w:t>以上股东雷洪文先生通知，获悉雷洪文先生所持有公司的部分股份办理了解除质押业务的事项并及时</w:t>
      </w:r>
      <w:r>
        <w:rPr>
          <w:spacing w:val="-60"/>
        </w:rPr>
        <w:t> </w:t>
      </w:r>
      <w:r>
        <w:rPr>
          <w:spacing w:val="-60"/>
        </w:rPr>
      </w:r>
      <w:r>
        <w:rPr/>
        <w:t>予以了公告，具体内容详见公司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日披露于巨潮资讯网的相关公告（公告编号：</w:t>
      </w:r>
      <w:r>
        <w:rPr>
          <w:rFonts w:ascii="Times New Roman" w:hAnsi="Times New Roman" w:cs="Times New Roman" w:eastAsia="Times New Roman" w:hint="default"/>
        </w:rPr>
        <w:t>2019-120</w:t>
      </w:r>
      <w:r>
        <w:rPr/>
        <w:t>）。</w:t>
      </w:r>
      <w:r>
        <w:rPr>
          <w:spacing w:val="-84"/>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日，公司与华为技术有限公司经友好协商签订了《合作协议》，旨在金融智能物联行业内就基础硬件、云计算、大 数据、人工智能等方面进行全方位的合作，以共同推动银行智能物联业务发展。具体内容详见公司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日披露于巨潮资讯网</w:t>
      </w:r>
      <w:r>
        <w:rPr>
          <w:spacing w:val="-81"/>
        </w:rPr>
        <w:t> </w:t>
      </w:r>
      <w:r>
        <w:rPr/>
        <w:t>的相关公告（公告编号：</w:t>
      </w:r>
      <w:r>
        <w:rPr>
          <w:rFonts w:ascii="Times New Roman" w:hAnsi="Times New Roman" w:cs="Times New Roman" w:eastAsia="Times New Roman" w:hint="default"/>
        </w:rPr>
        <w:t>2019-122</w:t>
      </w:r>
      <w:r>
        <w:rPr/>
        <w:t>）。 </w:t>
      </w:r>
      <w:r>
        <w:rPr>
          <w:rFonts w:ascii="Times New Roman" w:hAnsi="Times New Roman" w:cs="Times New Roman" w:eastAsia="Times New Roman" w:hint="default"/>
          <w:spacing w:val="-1"/>
        </w:rPr>
        <w:t>13</w:t>
      </w:r>
      <w:r>
        <w:rPr>
          <w:spacing w:val="-1"/>
        </w:rPr>
        <w:t>、报告期内，公司接到持股</w:t>
      </w:r>
      <w:r>
        <w:rPr>
          <w:rFonts w:ascii="Times New Roman" w:hAnsi="Times New Roman" w:cs="Times New Roman" w:eastAsia="Times New Roman" w:hint="default"/>
          <w:spacing w:val="-1"/>
        </w:rPr>
        <w:t>5%</w:t>
      </w:r>
      <w:r>
        <w:rPr>
          <w:spacing w:val="-1"/>
        </w:rPr>
        <w:t>以上股东雷洪文先生通知，获悉雷洪文先生因个人资金使用安排，于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日通过深圳证券交</w:t>
      </w:r>
      <w:r>
        <w:rPr>
          <w:spacing w:val="-50"/>
        </w:rPr>
        <w:t> </w:t>
      </w:r>
      <w:r>
        <w:rPr>
          <w:spacing w:val="-50"/>
        </w:rPr>
      </w:r>
      <w:r>
        <w:rPr/>
        <w:t>易所交易系统以大宗交易方式减持其持有的公司部分无限售流通股股份并及时予以了公告，具体内容详见公司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日披露于</w:t>
      </w:r>
      <w:r>
        <w:rPr>
          <w:spacing w:val="-80"/>
        </w:rPr>
        <w:t> </w:t>
      </w:r>
      <w:r>
        <w:rPr/>
        <w:t>巨潮资讯网的相关公告（公告编号：</w:t>
      </w:r>
      <w:r>
        <w:rPr>
          <w:rFonts w:ascii="Times New Roman" w:hAnsi="Times New Roman" w:cs="Times New Roman" w:eastAsia="Times New Roman" w:hint="default"/>
        </w:rPr>
        <w:t>2019-123</w:t>
      </w:r>
      <w:r>
        <w:rPr/>
        <w:t>）。</w:t>
      </w:r>
    </w:p>
    <w:p>
      <w:pPr>
        <w:spacing w:line="240" w:lineRule="auto" w:before="1"/>
        <w:rPr>
          <w:rFonts w:ascii="宋体" w:hAnsi="宋体" w:cs="宋体" w:eastAsia="宋体" w:hint="default"/>
          <w:sz w:val="23"/>
          <w:szCs w:val="23"/>
        </w:rPr>
      </w:pPr>
    </w:p>
    <w:p>
      <w:pPr>
        <w:pStyle w:val="Heading2"/>
        <w:spacing w:line="240" w:lineRule="auto"/>
        <w:ind w:left="140" w:right="609"/>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left="140" w:right="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240" w:lineRule="auto"/>
        <w:ind w:left="140" w:right="609"/>
        <w:jc w:val="left"/>
      </w:pPr>
      <w:r>
        <w:rPr>
          <w:rFonts w:ascii="Times New Roman" w:hAnsi="Times New Roman" w:cs="Times New Roman" w:eastAsia="Times New Roman" w:hint="default"/>
        </w:rPr>
        <w:t>1</w:t>
      </w:r>
      <w:r>
        <w:rPr/>
        <w:t>、深圳市润安科技发展有限公司（以下简称</w:t>
      </w:r>
      <w:r>
        <w:rPr>
          <w:rFonts w:ascii="Times New Roman" w:hAnsi="Times New Roman" w:cs="Times New Roman" w:eastAsia="Times New Roman" w:hint="default"/>
        </w:rPr>
        <w:t>“</w:t>
      </w:r>
      <w:r>
        <w:rPr/>
        <w:t>润安科技</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6"/>
          <w:szCs w:val="16"/>
        </w:rPr>
      </w:pPr>
    </w:p>
    <w:p>
      <w:pPr>
        <w:pStyle w:val="BodyText"/>
        <w:spacing w:line="456" w:lineRule="auto"/>
        <w:ind w:left="140" w:right="708" w:firstLine="30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日，公司召开第三届董事会第十四次会议，审议通过了《关于向控股子公司提供财务资助的议案》，同意公司以自有</w:t>
      </w:r>
      <w:r>
        <w:rPr/>
        <w:t> </w:t>
      </w:r>
      <w:r>
        <w:rPr>
          <w:spacing w:val="-1"/>
        </w:rPr>
        <w:t>资金向润安科技提供总额度不超过</w:t>
      </w:r>
      <w:r>
        <w:rPr>
          <w:rFonts w:ascii="Times New Roman" w:hAnsi="Times New Roman" w:cs="Times New Roman" w:eastAsia="Times New Roman" w:hint="default"/>
          <w:spacing w:val="-1"/>
        </w:rPr>
        <w:t>3,000</w:t>
      </w:r>
      <w:r>
        <w:rPr>
          <w:spacing w:val="-1"/>
        </w:rPr>
        <w:t>万元（含）人民币的财务资助，借款期限不超过</w:t>
      </w:r>
      <w:r>
        <w:rPr>
          <w:rFonts w:ascii="Times New Roman" w:hAnsi="Times New Roman" w:cs="Times New Roman" w:eastAsia="Times New Roman" w:hint="default"/>
          <w:spacing w:val="-1"/>
        </w:rPr>
        <w:t>12</w:t>
      </w:r>
      <w:r>
        <w:rPr>
          <w:spacing w:val="-1"/>
        </w:rPr>
        <w:t>个月（自每一笔款项实际汇入控股子公司账</w:t>
      </w:r>
      <w:r>
        <w:rPr>
          <w:spacing w:val="-37"/>
        </w:rPr>
        <w:t> </w:t>
      </w:r>
      <w:r>
        <w:rPr>
          <w:spacing w:val="-37"/>
        </w:rPr>
      </w:r>
      <w:r>
        <w:rPr/>
        <w:t>户之日起算）。</w:t>
      </w:r>
    </w:p>
    <w:p>
      <w:pPr>
        <w:pStyle w:val="BodyText"/>
        <w:spacing w:line="240" w:lineRule="auto" w:before="68"/>
        <w:ind w:left="441" w:right="60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日和</w:t>
      </w:r>
      <w:r>
        <w:rPr>
          <w:spacing w:val="-1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日，公司与润安科技签署了《借款合同》并及时发布了相关进展公告。</w:t>
      </w:r>
    </w:p>
    <w:p>
      <w:pPr>
        <w:spacing w:line="240" w:lineRule="auto" w:before="7"/>
        <w:rPr>
          <w:rFonts w:ascii="宋体" w:hAnsi="宋体" w:cs="宋体" w:eastAsia="宋体" w:hint="default"/>
          <w:sz w:val="16"/>
          <w:szCs w:val="16"/>
        </w:rPr>
      </w:pPr>
    </w:p>
    <w:p>
      <w:pPr>
        <w:pStyle w:val="BodyText"/>
        <w:spacing w:line="240" w:lineRule="auto"/>
        <w:ind w:left="441" w:right="60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日，公司召开第三届董事会第十八次会议，审议通过了《关于公司为控股子公司向银行申请授信提供担保的议案》，</w:t>
      </w:r>
    </w:p>
    <w:p>
      <w:pPr>
        <w:spacing w:after="0" w:line="240" w:lineRule="auto"/>
        <w:jc w:val="left"/>
        <w:sectPr>
          <w:pgSz w:w="11910" w:h="16850"/>
          <w:pgMar w:header="776" w:footer="1026" w:top="1100" w:bottom="1220" w:left="580" w:right="0"/>
        </w:sectPr>
      </w:pPr>
    </w:p>
    <w:p>
      <w:pPr>
        <w:spacing w:line="240" w:lineRule="auto" w:before="2"/>
        <w:rPr>
          <w:rFonts w:ascii="宋体" w:hAnsi="宋体" w:cs="宋体" w:eastAsia="宋体" w:hint="default"/>
          <w:sz w:val="11"/>
          <w:szCs w:val="11"/>
        </w:rPr>
      </w:pPr>
    </w:p>
    <w:p>
      <w:pPr>
        <w:pStyle w:val="BodyText"/>
        <w:spacing w:line="448" w:lineRule="auto" w:before="44"/>
        <w:ind w:left="140" w:right="820"/>
        <w:jc w:val="left"/>
      </w:pPr>
      <w:r>
        <w:rPr/>
        <w:t>同意公司为控股子公司润安科技向银行申请额度为人民币</w:t>
      </w:r>
      <w:r>
        <w:rPr>
          <w:rFonts w:ascii="Times New Roman" w:hAnsi="Times New Roman" w:cs="Times New Roman" w:eastAsia="Times New Roman" w:hint="default"/>
        </w:rPr>
        <w:t>3,000</w:t>
      </w:r>
      <w:r>
        <w:rPr/>
        <w:t>万元的授信额度事项提供最高本金限额为人民币</w:t>
      </w:r>
      <w:r>
        <w:rPr>
          <w:rFonts w:ascii="Times New Roman" w:hAnsi="Times New Roman" w:cs="Times New Roman" w:eastAsia="Times New Roman" w:hint="default"/>
        </w:rPr>
        <w:t>3,000</w:t>
      </w:r>
      <w:r>
        <w:rPr/>
        <w:t>万元的连带责任</w:t>
      </w:r>
      <w:r>
        <w:rPr>
          <w:spacing w:val="-80"/>
        </w:rPr>
        <w:t> </w:t>
      </w:r>
      <w:r>
        <w:rPr/>
        <w:t>信用担保，担保期限为前述授信额度范围内实际融资项下债务履行期限届满起</w:t>
      </w:r>
      <w:r>
        <w:rPr>
          <w:rFonts w:ascii="Times New Roman" w:hAnsi="Times New Roman" w:cs="Times New Roman" w:eastAsia="Times New Roman" w:hint="default"/>
        </w:rPr>
        <w:t>2</w:t>
      </w:r>
      <w:r>
        <w:rPr/>
        <w:t>年。</w:t>
      </w:r>
    </w:p>
    <w:p>
      <w:pPr>
        <w:pStyle w:val="BodyText"/>
        <w:spacing w:line="240" w:lineRule="auto" w:before="43"/>
        <w:ind w:left="365" w:right="609"/>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日，公司与银行签署了《最高额保证合同》并及时发布了相关进展公告。</w:t>
      </w:r>
    </w:p>
    <w:p>
      <w:pPr>
        <w:spacing w:line="240" w:lineRule="auto" w:before="9"/>
        <w:rPr>
          <w:rFonts w:ascii="宋体" w:hAnsi="宋体" w:cs="宋体" w:eastAsia="宋体" w:hint="default"/>
          <w:sz w:val="17"/>
          <w:szCs w:val="17"/>
        </w:rPr>
      </w:pPr>
    </w:p>
    <w:p>
      <w:pPr>
        <w:pStyle w:val="BodyText"/>
        <w:spacing w:line="448" w:lineRule="auto"/>
        <w:ind w:left="365" w:right="775"/>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日，公司向银行出具了《最高额不可撤销担保书》并及时发布了相关进展公告。</w:t>
      </w:r>
      <w:r>
        <w:rPr>
          <w:spacing w:val="-85"/>
        </w:rPr>
        <w:t> </w:t>
      </w:r>
      <w:r>
        <w:rPr>
          <w:spacing w:val="-85"/>
        </w:rPr>
      </w:r>
      <w:r>
        <w:rPr/>
        <w:t>上述内容详见公司分别于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日披露于巨潮资讯网的相</w:t>
      </w:r>
    </w:p>
    <w:p>
      <w:pPr>
        <w:pStyle w:val="BodyText"/>
        <w:spacing w:line="240" w:lineRule="auto" w:before="43"/>
        <w:ind w:left="140" w:right="609"/>
        <w:jc w:val="left"/>
      </w:pPr>
      <w:r>
        <w:rPr/>
        <w:t>关公告（公告编号：</w:t>
      </w:r>
      <w:r>
        <w:rPr>
          <w:rFonts w:ascii="Times New Roman" w:hAnsi="Times New Roman" w:cs="Times New Roman" w:eastAsia="Times New Roman" w:hint="default"/>
        </w:rPr>
        <w:t>2018-059</w:t>
      </w:r>
      <w:r>
        <w:rPr/>
        <w:t>；</w:t>
      </w:r>
      <w:r>
        <w:rPr>
          <w:rFonts w:ascii="Times New Roman" w:hAnsi="Times New Roman" w:cs="Times New Roman" w:eastAsia="Times New Roman" w:hint="default"/>
        </w:rPr>
        <w:t>2019-026</w:t>
      </w:r>
      <w:r>
        <w:rPr/>
        <w:t>；</w:t>
      </w:r>
      <w:r>
        <w:rPr>
          <w:rFonts w:ascii="Times New Roman" w:hAnsi="Times New Roman" w:cs="Times New Roman" w:eastAsia="Times New Roman" w:hint="default"/>
        </w:rPr>
        <w:t>2019-029</w:t>
      </w:r>
      <w:r>
        <w:rPr/>
        <w:t>；</w:t>
      </w:r>
      <w:r>
        <w:rPr>
          <w:rFonts w:ascii="Times New Roman" w:hAnsi="Times New Roman" w:cs="Times New Roman" w:eastAsia="Times New Roman" w:hint="default"/>
        </w:rPr>
        <w:t>2019-073</w:t>
      </w:r>
      <w:r>
        <w:rPr/>
        <w:t>；</w:t>
      </w:r>
      <w:r>
        <w:rPr>
          <w:rFonts w:ascii="Times New Roman" w:hAnsi="Times New Roman" w:cs="Times New Roman" w:eastAsia="Times New Roman" w:hint="default"/>
        </w:rPr>
        <w:t>2019-107</w:t>
      </w:r>
      <w:r>
        <w:rPr/>
        <w:t>）。</w:t>
      </w:r>
    </w:p>
    <w:p>
      <w:pPr>
        <w:spacing w:line="240" w:lineRule="auto" w:before="7"/>
        <w:rPr>
          <w:rFonts w:ascii="宋体" w:hAnsi="宋体" w:cs="宋体" w:eastAsia="宋体" w:hint="default"/>
          <w:sz w:val="16"/>
          <w:szCs w:val="16"/>
        </w:rPr>
      </w:pPr>
    </w:p>
    <w:p>
      <w:pPr>
        <w:pStyle w:val="BodyText"/>
        <w:spacing w:line="456" w:lineRule="auto"/>
        <w:ind w:left="140" w:right="704" w:firstLine="225"/>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日，润安科技收到广东省住房和城乡建设厅颁发的建筑业企业资质证书（</w:t>
      </w:r>
      <w:r>
        <w:rPr>
          <w:rFonts w:ascii="Times New Roman" w:hAnsi="Times New Roman" w:cs="Times New Roman" w:eastAsia="Times New Roman" w:hint="default"/>
          <w:spacing w:val="-2"/>
        </w:rPr>
        <w:t>“</w:t>
      </w:r>
      <w:r>
        <w:rPr>
          <w:spacing w:val="-2"/>
        </w:rPr>
        <w:t>电子与智能化工程专业承包壹级资质</w:t>
      </w:r>
      <w:r>
        <w:rPr>
          <w:rFonts w:ascii="Times New Roman" w:hAnsi="Times New Roman" w:cs="Times New Roman" w:eastAsia="Times New Roman" w:hint="default"/>
          <w:spacing w:val="-2"/>
        </w:rPr>
        <w:t>”</w:t>
      </w:r>
      <w:r>
        <w:rPr>
          <w:spacing w:val="-2"/>
        </w:rPr>
        <w:t>），具</w:t>
      </w:r>
      <w:r>
        <w:rPr/>
        <w:t> 体内容见公司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日披露于巨潮资讯网的相关公告（公告编号：</w:t>
      </w:r>
      <w:r>
        <w:rPr>
          <w:rFonts w:ascii="Times New Roman" w:hAnsi="Times New Roman" w:cs="Times New Roman" w:eastAsia="Times New Roman" w:hint="default"/>
        </w:rPr>
        <w:t>2019-069</w:t>
      </w:r>
      <w:r>
        <w:rPr/>
        <w:t>）。</w:t>
      </w:r>
      <w:r>
        <w:rPr>
          <w:spacing w:val="-86"/>
        </w:rPr>
        <w:t> </w:t>
      </w:r>
      <w:r>
        <w:rPr>
          <w:rFonts w:ascii="Times New Roman" w:hAnsi="Times New Roman" w:cs="Times New Roman" w:eastAsia="Times New Roman" w:hint="default"/>
        </w:rPr>
        <w:t>2</w:t>
      </w:r>
      <w:r>
        <w:rPr/>
        <w:t>、湖北浩威保安服务有限公司（原名：武汉浩立威保安服务有限公司，以下简称</w:t>
      </w:r>
      <w:r>
        <w:rPr>
          <w:rFonts w:ascii="Times New Roman" w:hAnsi="Times New Roman" w:cs="Times New Roman" w:eastAsia="Times New Roman" w:hint="default"/>
        </w:rPr>
        <w:t>“</w:t>
      </w:r>
      <w:r>
        <w:rPr/>
        <w:t>湖北浩威</w:t>
      </w:r>
      <w:r>
        <w:rPr>
          <w:rFonts w:ascii="Times New Roman" w:hAnsi="Times New Roman" w:cs="Times New Roman" w:eastAsia="Times New Roman" w:hint="default"/>
        </w:rPr>
        <w:t>”</w:t>
      </w:r>
      <w:r>
        <w:rPr/>
        <w:t>）</w:t>
      </w:r>
    </w:p>
    <w:p>
      <w:pPr>
        <w:pStyle w:val="BodyText"/>
        <w:spacing w:line="448" w:lineRule="auto" w:before="37"/>
        <w:ind w:left="140" w:right="708" w:firstLine="300"/>
        <w:jc w:val="both"/>
      </w:pPr>
      <w:r>
        <w:rPr>
          <w:spacing w:val="-2"/>
        </w:rPr>
        <w:t>原武汉浩立威保安服务有限公司（以下简称</w:t>
      </w:r>
      <w:r>
        <w:rPr>
          <w:rFonts w:ascii="Times New Roman" w:hAnsi="Times New Roman" w:cs="Times New Roman" w:eastAsia="Times New Roman" w:hint="default"/>
          <w:spacing w:val="-2"/>
        </w:rPr>
        <w:t>“</w:t>
      </w:r>
      <w:r>
        <w:rPr>
          <w:spacing w:val="-2"/>
        </w:rPr>
        <w:t>浩立威</w:t>
      </w:r>
      <w:r>
        <w:rPr>
          <w:rFonts w:ascii="Times New Roman" w:hAnsi="Times New Roman" w:cs="Times New Roman" w:eastAsia="Times New Roman" w:hint="default"/>
          <w:spacing w:val="-2"/>
        </w:rPr>
        <w:t>”</w:t>
      </w:r>
      <w:r>
        <w:rPr>
          <w:spacing w:val="-2"/>
        </w:rPr>
        <w:t>）为公司全资设立的子公司，鉴于浩立威成立后未能如期实际开展业务，为优</w:t>
      </w:r>
      <w:r>
        <w:rPr/>
        <w:t> </w:t>
      </w:r>
      <w:r>
        <w:rPr>
          <w:spacing w:val="-1"/>
        </w:rPr>
        <w:t>化公司资产结构，降低运营成本，公司于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月经总经理办公会议决议将其</w:t>
      </w:r>
      <w:r>
        <w:rPr>
          <w:rFonts w:ascii="Times New Roman" w:hAnsi="Times New Roman" w:cs="Times New Roman" w:eastAsia="Times New Roman" w:hint="default"/>
          <w:spacing w:val="-1"/>
        </w:rPr>
        <w:t>81%</w:t>
      </w:r>
      <w:r>
        <w:rPr>
          <w:spacing w:val="-1"/>
        </w:rPr>
        <w:t>股权转让给梁钰萍、李超、罗军和胡曼华，并各方</w:t>
      </w:r>
      <w:r>
        <w:rPr>
          <w:spacing w:val="-52"/>
        </w:rPr>
        <w:t> </w:t>
      </w:r>
      <w:r>
        <w:rPr>
          <w:spacing w:val="-52"/>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日签署了《股权转让协议书》。后经浩立威股东会决议将浩立威更名为湖北浩威，公司于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月收到由武汉市洪山</w:t>
      </w:r>
      <w:r>
        <w:rPr>
          <w:spacing w:val="-82"/>
        </w:rPr>
        <w:t> </w:t>
      </w:r>
      <w:r>
        <w:rPr/>
        <w:t>区行政审批局下发的《准予变更登记通知书》和《营业执照》，至此，浩立威股权转让及更名手续已全部办理完毕。</w:t>
      </w:r>
    </w:p>
    <w:p>
      <w:pPr>
        <w:pStyle w:val="BodyText"/>
        <w:spacing w:line="475" w:lineRule="auto" w:before="88"/>
        <w:ind w:left="441" w:right="609"/>
        <w:jc w:val="left"/>
      </w:pPr>
      <w:r>
        <w:rPr/>
        <w:t>本次股权转让将使公司合并报表范围发生相应变化，但不会对公司合并报表和财务情况产生实质性影响。</w:t>
      </w:r>
      <w:r>
        <w:rPr>
          <w:spacing w:val="-81"/>
        </w:rPr>
        <w:t> </w:t>
      </w:r>
      <w:r>
        <w:rPr>
          <w:spacing w:val="-81"/>
        </w:rPr>
      </w:r>
      <w:r>
        <w:rPr>
          <w:spacing w:val="-2"/>
        </w:rPr>
        <w:t>根据《公司章程》和公司《对外投资管理制度》的规定，本次股权转让事项在公司总经理的审批权限范围内，无需提交公司董事会</w:t>
      </w:r>
    </w:p>
    <w:p>
      <w:pPr>
        <w:pStyle w:val="BodyText"/>
        <w:spacing w:line="240" w:lineRule="auto" w:before="53"/>
        <w:ind w:left="140" w:right="609"/>
        <w:jc w:val="left"/>
      </w:pPr>
      <w:r>
        <w:rPr/>
        <w:t>和股东大会审议。</w:t>
      </w:r>
    </w:p>
    <w:p>
      <w:pPr>
        <w:spacing w:line="240" w:lineRule="auto" w:before="8"/>
        <w:rPr>
          <w:rFonts w:ascii="宋体" w:hAnsi="宋体" w:cs="宋体" w:eastAsia="宋体" w:hint="default"/>
          <w:sz w:val="17"/>
          <w:szCs w:val="17"/>
        </w:rPr>
      </w:pPr>
    </w:p>
    <w:p>
      <w:pPr>
        <w:pStyle w:val="BodyText"/>
        <w:spacing w:line="458" w:lineRule="auto"/>
        <w:ind w:left="441" w:right="609" w:hanging="301"/>
        <w:jc w:val="left"/>
      </w:pPr>
      <w:r>
        <w:rPr>
          <w:rFonts w:ascii="Times New Roman" w:hAnsi="Times New Roman" w:cs="Times New Roman" w:eastAsia="Times New Roman" w:hint="default"/>
        </w:rPr>
        <w:t>3</w:t>
      </w:r>
      <w:r>
        <w:rPr/>
        <w:t>、甲壳云计算有限公司（以下简称</w:t>
      </w:r>
      <w:r>
        <w:rPr>
          <w:rFonts w:ascii="Times New Roman" w:hAnsi="Times New Roman" w:cs="Times New Roman" w:eastAsia="Times New Roman" w:hint="default"/>
        </w:rPr>
        <w:t>“</w:t>
      </w:r>
      <w:r>
        <w:rPr/>
        <w:t>甲壳云</w:t>
      </w:r>
      <w:r>
        <w:rPr>
          <w:rFonts w:ascii="Times New Roman" w:hAnsi="Times New Roman" w:cs="Times New Roman" w:eastAsia="Times New Roman" w:hint="default"/>
        </w:rPr>
        <w:t>”</w:t>
      </w:r>
      <w:r>
        <w:rPr/>
        <w:t>）</w:t>
      </w:r>
      <w:r>
        <w:rPr>
          <w:spacing w:val="-82"/>
        </w:rPr>
        <w:t> </w:t>
      </w:r>
      <w:r>
        <w:rPr/>
        <w:t>报告期内，因业务发展需要，公司出资人民币</w:t>
      </w:r>
      <w:r>
        <w:rPr>
          <w:rFonts w:ascii="Times New Roman" w:hAnsi="Times New Roman" w:cs="Times New Roman" w:eastAsia="Times New Roman" w:hint="default"/>
        </w:rPr>
        <w:t>5,100</w:t>
      </w:r>
      <w:r>
        <w:rPr/>
        <w:t>万元与钟英华合资设立控股子公司甲壳云，公司持股比例为</w:t>
      </w:r>
      <w:r>
        <w:rPr>
          <w:rFonts w:ascii="Times New Roman" w:hAnsi="Times New Roman" w:cs="Times New Roman" w:eastAsia="Times New Roman" w:hint="default"/>
        </w:rPr>
        <w:t>51.00%</w:t>
      </w:r>
      <w:r>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月，甲壳云办理完毕工商注册登记手续并领取了《营业执照》。 公司本次对外投资事项属于公司总经理权限范围，无需提交公司董事会和股东大会审议。 </w:t>
      </w:r>
      <w:r>
        <w:rPr>
          <w:spacing w:val="-2"/>
        </w:rPr>
        <w:t>上述在重庆设立控股子公司甲壳云，有利于公司业务主线之一的公共安全业务的稳步推进，有利于培育公司新的利润增长点，巩固</w:t>
      </w:r>
    </w:p>
    <w:p>
      <w:pPr>
        <w:pStyle w:val="BodyText"/>
        <w:spacing w:line="240" w:lineRule="auto" w:before="66"/>
        <w:ind w:left="140" w:right="609"/>
        <w:jc w:val="left"/>
      </w:pPr>
      <w:r>
        <w:rPr/>
        <w:t>和提升公司的市场竞争力，增强公司的持续经营能力。</w:t>
      </w:r>
    </w:p>
    <w:p>
      <w:pPr>
        <w:spacing w:line="240" w:lineRule="auto" w:before="8"/>
        <w:rPr>
          <w:rFonts w:ascii="宋体" w:hAnsi="宋体" w:cs="宋体" w:eastAsia="宋体" w:hint="default"/>
          <w:sz w:val="17"/>
          <w:szCs w:val="17"/>
        </w:rPr>
      </w:pPr>
    </w:p>
    <w:p>
      <w:pPr>
        <w:pStyle w:val="BodyText"/>
        <w:spacing w:line="453" w:lineRule="auto"/>
        <w:ind w:left="501" w:right="3789" w:hanging="361"/>
        <w:jc w:val="left"/>
      </w:pPr>
      <w:r>
        <w:rPr>
          <w:rFonts w:ascii="Times New Roman" w:hAnsi="Times New Roman" w:cs="Times New Roman" w:eastAsia="Times New Roman" w:hint="default"/>
        </w:rPr>
        <w:t>4</w:t>
      </w:r>
      <w:r>
        <w:rPr/>
        <w:t>、信泽云（武汉）计算机软件有限公司（以下简称</w:t>
      </w:r>
      <w:r>
        <w:rPr>
          <w:rFonts w:ascii="Times New Roman" w:hAnsi="Times New Roman" w:cs="Times New Roman" w:eastAsia="Times New Roman" w:hint="default"/>
        </w:rPr>
        <w:t>“</w:t>
      </w:r>
      <w:r>
        <w:rPr/>
        <w:t>信泽云</w:t>
      </w:r>
      <w:r>
        <w:rPr>
          <w:rFonts w:ascii="Times New Roman" w:hAnsi="Times New Roman" w:cs="Times New Roman" w:eastAsia="Times New Roman" w:hint="default"/>
        </w:rPr>
        <w:t>”</w:t>
      </w:r>
      <w:r>
        <w:rPr/>
        <w:t>）</w:t>
      </w:r>
      <w:r>
        <w:rPr>
          <w:spacing w:val="-79"/>
        </w:rPr>
        <w:t> </w:t>
      </w:r>
      <w:r>
        <w:rPr/>
        <w:t>报告期内，因业务发展需要，公司出资人民币</w:t>
      </w:r>
      <w:r>
        <w:rPr>
          <w:rFonts w:ascii="Times New Roman" w:hAnsi="Times New Roman" w:cs="Times New Roman" w:eastAsia="Times New Roman" w:hint="default"/>
        </w:rPr>
        <w:t>1,000</w:t>
      </w:r>
      <w:r>
        <w:rPr/>
        <w:t>万元设立全资子公司信泽云。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月，信泽云办理完毕工商注册登记手续并领取了《营业执照》。 公司本次对外投资事项属于公司总经理权限范围，无需提交公司董事会和股东大会审议。</w:t>
      </w:r>
    </w:p>
    <w:p>
      <w:pPr>
        <w:spacing w:after="0" w:line="453" w:lineRule="auto"/>
        <w:jc w:val="left"/>
        <w:sectPr>
          <w:pgSz w:w="11910" w:h="16850"/>
          <w:pgMar w:header="776" w:footer="1026" w:top="1100" w:bottom="1220" w:left="580" w:right="0"/>
        </w:sectPr>
      </w:pPr>
    </w:p>
    <w:p>
      <w:pPr>
        <w:spacing w:line="240" w:lineRule="auto" w:before="1"/>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40" w:right="0"/>
        <w:jc w:val="left"/>
        <w:rPr>
          <w:b w:val="0"/>
          <w:bCs w:val="0"/>
        </w:rPr>
      </w:pPr>
      <w:bookmarkStart w:name="第六节股份变动及股东情况" w:id="103"/>
      <w:bookmarkEnd w:id="103"/>
      <w:r>
        <w:rPr>
          <w:b w:val="0"/>
          <w:bCs w:val="0"/>
        </w:rPr>
      </w:r>
      <w:bookmarkStart w:name="_bookmark5" w:id="104"/>
      <w:bookmarkEnd w:id="104"/>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8"/>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10"/>
        <w:jc w:val="right"/>
      </w:pPr>
      <w:r>
        <w:rPr/>
        <w:t>单位：股</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390"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6"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10"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41.42%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965,000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116,386,3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44</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-15,187,7</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102,163,6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271,360,5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39.20%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41.42%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965,000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116,386,3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44</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-15,187,7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102,163,6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271,360,5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39.20%</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169,196,9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41.42%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965,000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116,386,3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44</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-15,187,7</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102,163,6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271,360,5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39.20%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239,293,2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58.58%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444,600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166,778,9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14,443,99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181,667,5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420,960,8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60.80%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239,293,2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58.58%</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444,600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166,778,9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14,443,99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181,667,5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420,960,8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60.80%</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408,490,2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1,409,600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283,165,3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04</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-743,716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283,831,1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692,321,4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股份变动的原因</w:t>
      </w:r>
    </w:p>
    <w:p>
      <w:pPr>
        <w:spacing w:line="240" w:lineRule="auto" w:before="13"/>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453" w:lineRule="auto"/>
        <w:ind w:right="1107"/>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日，因部分员工辞职使其不具备股权激励资格，公司回购注销其持有的共</w:t>
      </w:r>
      <w:r>
        <w:rPr>
          <w:rFonts w:ascii="Times New Roman" w:hAnsi="Times New Roman" w:cs="Times New Roman" w:eastAsia="Times New Roman" w:hint="default"/>
          <w:spacing w:val="-1"/>
        </w:rPr>
        <w:t>84,761</w:t>
      </w:r>
      <w:r>
        <w:rPr>
          <w:spacing w:val="-1"/>
        </w:rPr>
        <w:t>股股票，并于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7</w:t>
      </w:r>
      <w:r>
        <w:rPr>
          <w:spacing w:val="-1"/>
        </w:rPr>
        <w:t>日</w:t>
      </w:r>
      <w:r>
        <w:rPr>
          <w:spacing w:val="-66"/>
        </w:rPr>
        <w:t> </w:t>
      </w:r>
      <w:r>
        <w:rPr/>
        <w:t>办理完成回购注销手续。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日，经公司第三届董事会第十七次会议、第三届监事会第十六次会议审议通过了《关于向激励对象授予</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年股权激励计划预留部分限制性股票的议案》，同意拟向</w:t>
      </w:r>
      <w:r>
        <w:rPr>
          <w:rFonts w:ascii="Times New Roman" w:hAnsi="Times New Roman" w:cs="Times New Roman" w:eastAsia="Times New Roman" w:hint="default"/>
        </w:rPr>
        <w:t>22</w:t>
      </w:r>
      <w:r>
        <w:rPr/>
        <w:t>名激励对象合计授予</w:t>
      </w:r>
      <w:r>
        <w:rPr>
          <w:rFonts w:ascii="Times New Roman" w:hAnsi="Times New Roman" w:cs="Times New Roman" w:eastAsia="Times New Roman" w:hint="default"/>
        </w:rPr>
        <w:t>96.50</w:t>
      </w:r>
      <w:r>
        <w:rPr/>
        <w:t>万股限制性股票，并确定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日为</w:t>
      </w:r>
      <w:r>
        <w:rPr>
          <w:rFonts w:ascii="Times New Roman" w:hAnsi="Times New Roman" w:cs="Times New Roman" w:eastAsia="Times New Roman" w:hint="default"/>
        </w:rPr>
        <w:t>2018</w:t>
      </w:r>
      <w:r>
        <w:rPr/>
        <w:t>年股权激励计划预留部分限制性股票的授予日。上述限制性股票已于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日上市。</w:t>
      </w:r>
      <w:r>
        <w:rPr>
          <w:spacing w:val="-84"/>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日，经公司第三届董事会第十八次会议、第三届监事会第十七次会议审议通过了《关于</w:t>
      </w:r>
      <w:r>
        <w:rPr>
          <w:rFonts w:ascii="Times New Roman" w:hAnsi="Times New Roman" w:cs="Times New Roman" w:eastAsia="Times New Roman" w:hint="default"/>
        </w:rPr>
        <w:t>&lt;2018</w:t>
      </w:r>
      <w:r>
        <w:rPr/>
        <w:t>年度利润分配</w:t>
      </w:r>
      <w:r>
        <w:rPr>
          <w:spacing w:val="-80"/>
        </w:rPr>
        <w:t> </w:t>
      </w:r>
      <w:r>
        <w:rPr/>
        <w:t>及资本公积金转增股本预案</w:t>
      </w:r>
      <w:r>
        <w:rPr>
          <w:rFonts w:ascii="Times New Roman" w:hAnsi="Times New Roman" w:cs="Times New Roman" w:eastAsia="Times New Roman" w:hint="default"/>
        </w:rPr>
        <w:t>&gt;</w:t>
      </w:r>
      <w:r>
        <w:rPr/>
        <w:t>的议案》，同意以截至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408,405,465</w:t>
      </w:r>
      <w:r>
        <w:rPr/>
        <w:t>股扣除截至本公告披露之日回购专</w:t>
      </w:r>
      <w:r>
        <w:rPr>
          <w:spacing w:val="-81"/>
        </w:rPr>
        <w:t> </w:t>
      </w:r>
      <w:r>
        <w:rPr>
          <w:spacing w:val="-1"/>
        </w:rPr>
        <w:t>户持有股份</w:t>
      </w:r>
      <w:r>
        <w:rPr>
          <w:rFonts w:ascii="Times New Roman" w:hAnsi="Times New Roman" w:cs="Times New Roman" w:eastAsia="Times New Roman" w:hint="default"/>
          <w:spacing w:val="-1"/>
        </w:rPr>
        <w:t>3,883,600</w:t>
      </w:r>
      <w:r>
        <w:rPr>
          <w:spacing w:val="-1"/>
        </w:rPr>
        <w:t>股后股本</w:t>
      </w:r>
      <w:r>
        <w:rPr>
          <w:rFonts w:ascii="Times New Roman" w:hAnsi="Times New Roman" w:cs="Times New Roman" w:eastAsia="Times New Roman" w:hint="default"/>
          <w:spacing w:val="-1"/>
        </w:rPr>
        <w:t>404,521,865</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0.5</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w:t>
      </w:r>
      <w:r>
        <w:rPr>
          <w:spacing w:val="-77"/>
        </w:rPr>
        <w:t> </w:t>
      </w:r>
      <w:r>
        <w:rPr>
          <w:spacing w:val="-77"/>
        </w:rPr>
      </w:r>
      <w:r>
        <w:rPr>
          <w:rFonts w:ascii="Times New Roman" w:hAnsi="Times New Roman" w:cs="Times New Roman" w:eastAsia="Times New Roman" w:hint="default"/>
        </w:rPr>
        <w:t>20,226,093.25</w:t>
      </w:r>
      <w:r>
        <w:rPr/>
        <w:t>元（含税），剩余未分配利润结转以后年度；同时，以资本公积金向全体股东每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股，合计转增股份</w:t>
      </w:r>
    </w:p>
    <w:p>
      <w:pPr>
        <w:spacing w:after="0" w:line="453" w:lineRule="auto"/>
        <w:jc w:val="left"/>
        <w:sectPr>
          <w:footerReference w:type="default" r:id="rId14"/>
          <w:pgSz w:w="11910" w:h="16850"/>
          <w:pgMar w:footer="1026" w:header="776" w:top="1100" w:bottom="1220" w:left="1000" w:right="0"/>
          <w:pgNumType w:start="63"/>
        </w:sectPr>
      </w:pPr>
    </w:p>
    <w:p>
      <w:pPr>
        <w:spacing w:line="240" w:lineRule="auto" w:before="6"/>
        <w:rPr>
          <w:rFonts w:ascii="宋体" w:hAnsi="宋体" w:cs="宋体" w:eastAsia="宋体" w:hint="default"/>
          <w:sz w:val="29"/>
          <w:szCs w:val="29"/>
        </w:rPr>
      </w:pPr>
    </w:p>
    <w:p>
      <w:pPr>
        <w:pStyle w:val="BodyText"/>
        <w:spacing w:line="448" w:lineRule="auto" w:before="44"/>
        <w:ind w:right="0"/>
        <w:jc w:val="left"/>
      </w:pPr>
      <w:r>
        <w:rPr>
          <w:spacing w:val="-2"/>
        </w:rPr>
        <w:t>数量为</w:t>
      </w:r>
      <w:r>
        <w:rPr>
          <w:rFonts w:ascii="Times New Roman" w:hAnsi="Times New Roman" w:cs="Times New Roman" w:eastAsia="Times New Roman" w:hint="default"/>
          <w:spacing w:val="-2"/>
        </w:rPr>
        <w:t>283,165,305</w:t>
      </w:r>
      <w:r>
        <w:rPr>
          <w:spacing w:val="-2"/>
        </w:rPr>
        <w:t>股。董事会审议利润分配预案后至权益分派实施公告确定的股权登记日前公司股本发生变动的，将按照分</w:t>
      </w:r>
      <w:r>
        <w:rPr>
          <w:spacing w:val="-59"/>
        </w:rPr>
        <w:t> </w:t>
      </w:r>
      <w:r>
        <w:rPr>
          <w:spacing w:val="-59"/>
        </w:rPr>
      </w:r>
      <w:r>
        <w:rPr/>
        <w:t>配总额不变的原则对各分配比例进行调整。</w:t>
      </w:r>
    </w:p>
    <w:p>
      <w:pPr>
        <w:pStyle w:val="BodyText"/>
        <w:spacing w:line="240" w:lineRule="auto" w:before="73"/>
        <w:ind w:left="44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日，公司召开的</w:t>
      </w:r>
      <w:r>
        <w:rPr>
          <w:rFonts w:ascii="Times New Roman" w:hAnsi="Times New Roman" w:cs="Times New Roman" w:eastAsia="Times New Roman" w:hint="default"/>
        </w:rPr>
        <w:t>2018</w:t>
      </w:r>
      <w:r>
        <w:rPr/>
        <w:t>年年度股东大会审议通过了前述议案并授权董事会办理相关事项。</w:t>
      </w:r>
    </w:p>
    <w:p>
      <w:pPr>
        <w:spacing w:line="240" w:lineRule="auto" w:before="9"/>
        <w:rPr>
          <w:rFonts w:ascii="宋体" w:hAnsi="宋体" w:cs="宋体" w:eastAsia="宋体" w:hint="default"/>
          <w:sz w:val="17"/>
          <w:szCs w:val="17"/>
        </w:rPr>
      </w:pPr>
    </w:p>
    <w:p>
      <w:pPr>
        <w:pStyle w:val="BodyText"/>
        <w:spacing w:line="240" w:lineRule="auto"/>
        <w:ind w:left="0" w:right="927"/>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年股权激励计划预留部分限制性股票上市，公司可参与</w:t>
      </w:r>
      <w:r>
        <w:rPr>
          <w:rFonts w:ascii="Times New Roman" w:hAnsi="Times New Roman" w:cs="Times New Roman" w:eastAsia="Times New Roman" w:hint="default"/>
        </w:rPr>
        <w:t>2018</w:t>
      </w:r>
      <w:r>
        <w:rPr/>
        <w:t>年年度利润分配的股份数量变更为</w:t>
      </w:r>
    </w:p>
    <w:p>
      <w:pPr>
        <w:spacing w:line="240" w:lineRule="auto" w:before="6"/>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405,486,865</w:t>
      </w:r>
      <w:r>
        <w:rPr/>
        <w:t>股，按照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的原则，公司</w:t>
      </w:r>
      <w:r>
        <w:rPr>
          <w:rFonts w:ascii="Times New Roman" w:hAnsi="Times New Roman" w:cs="Times New Roman" w:eastAsia="Times New Roman" w:hint="default"/>
        </w:rPr>
        <w:t>2018</w:t>
      </w:r>
      <w:r>
        <w:rPr/>
        <w:t>年年度权益分配方案变更为：以公司现有总股本剔除已回购股份后</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405,486,865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0.498810</w:t>
      </w:r>
      <w:r>
        <w:rPr/>
        <w:t>元人民币现金（含税）；同时，以资本公积金向全体股东每</w:t>
      </w:r>
      <w:r>
        <w:rPr>
          <w:rFonts w:ascii="Times New Roman" w:hAnsi="Times New Roman" w:cs="Times New Roman" w:eastAsia="Times New Roman" w:hint="default"/>
        </w:rPr>
        <w:t>10</w:t>
      </w:r>
      <w:r>
        <w:rPr/>
        <w:t>股转增</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6.983341</w:t>
      </w:r>
      <w:r>
        <w:rPr/>
        <w:t>股。上述分派方案已于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p>
    <w:p>
      <w:pPr>
        <w:spacing w:line="240" w:lineRule="auto" w:before="7"/>
        <w:rPr>
          <w:rFonts w:ascii="宋体" w:hAnsi="宋体" w:cs="宋体" w:eastAsia="宋体" w:hint="default"/>
          <w:sz w:val="16"/>
          <w:szCs w:val="16"/>
        </w:rPr>
      </w:pPr>
    </w:p>
    <w:p>
      <w:pPr>
        <w:pStyle w:val="BodyText"/>
        <w:spacing w:line="451" w:lineRule="auto"/>
        <w:ind w:right="111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日，公司第二期激励计划首次授予限制性股票第三个解锁期和预留部分限制性股票第二个解锁期解锁条件达 成，</w:t>
      </w:r>
      <w:r>
        <w:rPr>
          <w:rFonts w:ascii="Times New Roman" w:hAnsi="Times New Roman" w:cs="Times New Roman" w:eastAsia="Times New Roman" w:hint="default"/>
        </w:rPr>
        <w:t>57</w:t>
      </w:r>
      <w:r>
        <w:rPr/>
        <w:t>名激励对象持有的共</w:t>
      </w:r>
      <w:r>
        <w:rPr>
          <w:rFonts w:ascii="Times New Roman" w:hAnsi="Times New Roman" w:cs="Times New Roman" w:eastAsia="Times New Roman" w:hint="default"/>
        </w:rPr>
        <w:t>1,050,981</w:t>
      </w:r>
      <w:r>
        <w:rPr/>
        <w:t>股股票上市流通。</w:t>
      </w:r>
      <w:r>
        <w:rPr>
          <w:spacing w:val="-87"/>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2018</w:t>
      </w:r>
      <w:r>
        <w:rPr/>
        <w:t>年股权激励计划首次授予限制性股票第一个考核期解除限售条件达成，</w:t>
      </w:r>
      <w:r>
        <w:rPr>
          <w:rFonts w:ascii="Times New Roman" w:hAnsi="Times New Roman" w:cs="Times New Roman" w:eastAsia="Times New Roman" w:hint="default"/>
        </w:rPr>
        <w:t>181</w:t>
      </w:r>
      <w:r>
        <w:rPr/>
        <w:t>名激励对象持有的</w:t>
      </w:r>
      <w:r>
        <w:rPr>
          <w:spacing w:val="-83"/>
        </w:rPr>
        <w:t> </w:t>
      </w:r>
      <w:r>
        <w:rPr/>
        <w:t>共</w:t>
      </w:r>
      <w:r>
        <w:rPr>
          <w:rFonts w:ascii="Times New Roman" w:hAnsi="Times New Roman" w:cs="Times New Roman" w:eastAsia="Times New Roman" w:hint="default"/>
        </w:rPr>
        <w:t>9,993,650</w:t>
      </w:r>
      <w:r>
        <w:rPr/>
        <w:t>股股票上市流通。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2018</w:t>
      </w:r>
      <w:r>
        <w:rPr/>
        <w:t>年股权激励计划授予期权第一个行权期行权条件达成，</w:t>
      </w:r>
      <w:r>
        <w:rPr>
          <w:rFonts w:ascii="Times New Roman" w:hAnsi="Times New Roman" w:cs="Times New Roman" w:eastAsia="Times New Roman" w:hint="default"/>
        </w:rPr>
        <w:t>4</w:t>
      </w:r>
      <w:r>
        <w:rPr/>
        <w:t>名激励对象行权共</w:t>
      </w:r>
      <w:r>
        <w:rPr>
          <w:rFonts w:ascii="Times New Roman" w:hAnsi="Times New Roman" w:cs="Times New Roman" w:eastAsia="Times New Roman" w:hint="default"/>
        </w:rPr>
        <w:t>444,600</w:t>
      </w:r>
      <w:r>
        <w:rPr/>
        <w:t>股。</w:t>
      </w:r>
    </w:p>
    <w:p>
      <w:pPr>
        <w:pStyle w:val="BodyText"/>
        <w:spacing w:line="468" w:lineRule="auto" w:before="41"/>
        <w:ind w:right="1164"/>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日，因部分员工辞职使其不具备股权激励资格，公司回购注销其持有的共</w:t>
      </w:r>
      <w:r>
        <w:rPr>
          <w:rFonts w:ascii="Times New Roman" w:hAnsi="Times New Roman" w:cs="Times New Roman" w:eastAsia="Times New Roman" w:hint="default"/>
        </w:rPr>
        <w:t>68,550</w:t>
      </w:r>
      <w:r>
        <w:rPr/>
        <w:t>股股票，并于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37"/>
        </w:rPr>
        <w:t> </w:t>
      </w:r>
      <w:r>
        <w:rPr/>
        <w:t>日办理完成回购注销手续。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日，因部分员工辞职使其不具备股权激励资格，公司回购注销其持有的共</w:t>
      </w:r>
      <w:r>
        <w:rPr>
          <w:rFonts w:ascii="Times New Roman" w:hAnsi="Times New Roman" w:cs="Times New Roman" w:eastAsia="Times New Roman" w:hint="default"/>
        </w:rPr>
        <w:t>590,405</w:t>
      </w:r>
      <w:r>
        <w:rPr/>
        <w:t>股股票，并于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p>
    <w:p>
      <w:pPr>
        <w:pStyle w:val="BodyText"/>
        <w:spacing w:line="240" w:lineRule="auto" w:before="26"/>
        <w:ind w:right="0"/>
        <w:jc w:val="left"/>
      </w:pPr>
      <w:r>
        <w:rPr>
          <w:rFonts w:ascii="Times New Roman" w:hAnsi="Times New Roman" w:cs="Times New Roman" w:eastAsia="Times New Roman" w:hint="default"/>
        </w:rPr>
        <w:t>10</w:t>
      </w:r>
      <w:r>
        <w:rPr/>
        <w:t>日办理完成回购注销手续。</w:t>
      </w:r>
    </w:p>
    <w:p>
      <w:pPr>
        <w:spacing w:line="240" w:lineRule="auto" w:before="7"/>
        <w:rPr>
          <w:rFonts w:ascii="宋体" w:hAnsi="宋体" w:cs="宋体" w:eastAsia="宋体" w:hint="default"/>
          <w:sz w:val="16"/>
          <w:szCs w:val="16"/>
        </w:rPr>
      </w:pPr>
    </w:p>
    <w:p>
      <w:pPr>
        <w:pStyle w:val="BodyText"/>
        <w:spacing w:line="448" w:lineRule="auto"/>
        <w:ind w:right="0"/>
        <w:jc w:val="left"/>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10</w:t>
      </w:r>
      <w:r>
        <w:rPr>
          <w:spacing w:val="-1"/>
        </w:rPr>
        <w:t>日，监事陈文芳通过二级市场集合竞价买入</w:t>
      </w:r>
      <w:r>
        <w:rPr>
          <w:rFonts w:ascii="Times New Roman" w:hAnsi="Times New Roman" w:cs="Times New Roman" w:eastAsia="Times New Roman" w:hint="default"/>
          <w:spacing w:val="-1"/>
        </w:rPr>
        <w:t>2</w:t>
      </w:r>
      <w:r>
        <w:rPr>
          <w:spacing w:val="-1"/>
        </w:rPr>
        <w:t>万股，其中</w:t>
      </w:r>
      <w:r>
        <w:rPr>
          <w:rFonts w:ascii="Times New Roman" w:hAnsi="Times New Roman" w:cs="Times New Roman" w:eastAsia="Times New Roman" w:hint="default"/>
          <w:spacing w:val="-1"/>
        </w:rPr>
        <w:t>1.5</w:t>
      </w:r>
      <w:r>
        <w:rPr>
          <w:spacing w:val="-1"/>
        </w:rPr>
        <w:t>万股因其董监高身份性质由无限售条件股份变成</w:t>
      </w:r>
      <w:r>
        <w:rPr>
          <w:spacing w:val="-73"/>
        </w:rPr>
        <w:t> </w:t>
      </w:r>
      <w:r>
        <w:rPr/>
        <w:t>有限售条件股份。</w:t>
      </w:r>
    </w:p>
    <w:p>
      <w:pPr>
        <w:pStyle w:val="BodyText"/>
        <w:spacing w:line="240" w:lineRule="auto" w:before="118"/>
        <w:ind w:right="0"/>
        <w:jc w:val="left"/>
      </w:pPr>
      <w:r>
        <w:rPr/>
        <w:t>股份变动的批准情况</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448" w:lineRule="auto"/>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日，经公司第三届董事会第十三次会议、第三届监事会第十三次会议审议通过了《关于回购注销部分限制性</w:t>
      </w:r>
      <w:r>
        <w:rPr>
          <w:spacing w:val="-35"/>
        </w:rPr>
        <w:t> </w:t>
      </w:r>
      <w:r>
        <w:rPr>
          <w:spacing w:val="-35"/>
        </w:rPr>
      </w:r>
      <w:r>
        <w:rPr/>
        <w:t>股票的议案》，同意公司回购并注销</w:t>
      </w:r>
      <w:r>
        <w:rPr>
          <w:rFonts w:ascii="Times New Roman" w:hAnsi="Times New Roman" w:cs="Times New Roman" w:eastAsia="Times New Roman" w:hint="default"/>
        </w:rPr>
        <w:t>7</w:t>
      </w:r>
      <w:r>
        <w:rPr/>
        <w:t>名离职激励对象已授予但尚未解锁的合计</w:t>
      </w:r>
      <w:r>
        <w:rPr>
          <w:rFonts w:ascii="Times New Roman" w:hAnsi="Times New Roman" w:cs="Times New Roman" w:eastAsia="Times New Roman" w:hint="default"/>
        </w:rPr>
        <w:t>84,761</w:t>
      </w:r>
      <w:r>
        <w:rPr/>
        <w:t>股限制性股票。公司独立董事对前述</w:t>
      </w:r>
      <w:r>
        <w:rPr>
          <w:spacing w:val="-83"/>
        </w:rPr>
        <w:t> </w:t>
      </w:r>
      <w:r>
        <w:rPr/>
        <w:t>事项发表了独立意见，广东信达律师事务所出具了法律意见书。</w:t>
      </w:r>
    </w:p>
    <w:p>
      <w:pPr>
        <w:pStyle w:val="BodyText"/>
        <w:spacing w:line="456" w:lineRule="auto" w:before="88"/>
        <w:ind w:right="110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日，经公司第三届董事会第十七次会议、第三届监事会第十六次会议审议通过了《关于向激励对象授予</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年股权激励计划预留部分限制性股票的议案》，同意拟向</w:t>
      </w:r>
      <w:r>
        <w:rPr>
          <w:rFonts w:ascii="Times New Roman" w:hAnsi="Times New Roman" w:cs="Times New Roman" w:eastAsia="Times New Roman" w:hint="default"/>
        </w:rPr>
        <w:t>22</w:t>
      </w:r>
      <w:r>
        <w:rPr/>
        <w:t>名激励对象合计授予</w:t>
      </w:r>
      <w:r>
        <w:rPr>
          <w:rFonts w:ascii="Times New Roman" w:hAnsi="Times New Roman" w:cs="Times New Roman" w:eastAsia="Times New Roman" w:hint="default"/>
        </w:rPr>
        <w:t>96.50</w:t>
      </w:r>
      <w:r>
        <w:rPr/>
        <w:t>万股限制性股票。公司独立董事对前</w:t>
      </w:r>
      <w:r>
        <w:rPr>
          <w:spacing w:val="-83"/>
        </w:rPr>
        <w:t> </w:t>
      </w:r>
      <w:r>
        <w:rPr/>
        <w:t>述事项发表了独立意见，广东信达律师事务所出具了法律意见书。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日，经公司第三届董事会第十八次会议、第三届监事会第十七次会议审议通过了《关于</w:t>
      </w:r>
      <w:r>
        <w:rPr>
          <w:rFonts w:ascii="Times New Roman" w:hAnsi="Times New Roman" w:cs="Times New Roman" w:eastAsia="Times New Roman" w:hint="default"/>
        </w:rPr>
        <w:t>&lt;2018</w:t>
      </w:r>
      <w:r>
        <w:rPr/>
        <w:t>年度利润分配</w:t>
      </w:r>
      <w:r>
        <w:rPr>
          <w:spacing w:val="-80"/>
        </w:rPr>
        <w:t> </w:t>
      </w:r>
      <w:r>
        <w:rPr/>
        <w:t>及资本公积金转增股本预案</w:t>
      </w:r>
      <w:r>
        <w:rPr>
          <w:rFonts w:ascii="Times New Roman" w:hAnsi="Times New Roman" w:cs="Times New Roman" w:eastAsia="Times New Roman" w:hint="default"/>
        </w:rPr>
        <w:t>&gt;</w:t>
      </w:r>
      <w:r>
        <w:rPr/>
        <w:t>的议案》，同意以截至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408,405,465</w:t>
      </w:r>
      <w:r>
        <w:rPr/>
        <w:t>股扣除截至本公告披露之日回购专</w:t>
      </w:r>
      <w:r>
        <w:rPr>
          <w:spacing w:val="-81"/>
        </w:rPr>
        <w:t> </w:t>
      </w:r>
      <w:r>
        <w:rPr>
          <w:spacing w:val="-1"/>
        </w:rPr>
        <w:t>户持有股份</w:t>
      </w:r>
      <w:r>
        <w:rPr>
          <w:rFonts w:ascii="Times New Roman" w:hAnsi="Times New Roman" w:cs="Times New Roman" w:eastAsia="Times New Roman" w:hint="default"/>
          <w:spacing w:val="-1"/>
        </w:rPr>
        <w:t>3,883,600</w:t>
      </w:r>
      <w:r>
        <w:rPr>
          <w:spacing w:val="-1"/>
        </w:rPr>
        <w:t>股后股本</w:t>
      </w:r>
      <w:r>
        <w:rPr>
          <w:rFonts w:ascii="Times New Roman" w:hAnsi="Times New Roman" w:cs="Times New Roman" w:eastAsia="Times New Roman" w:hint="default"/>
          <w:spacing w:val="-1"/>
        </w:rPr>
        <w:t>404,521,865</w:t>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0.5</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w:t>
      </w:r>
    </w:p>
    <w:p>
      <w:pPr>
        <w:spacing w:after="0" w:line="456"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48" w:lineRule="auto" w:before="44"/>
        <w:ind w:right="1136"/>
        <w:jc w:val="both"/>
      </w:pPr>
      <w:r>
        <w:rPr>
          <w:rFonts w:ascii="Times New Roman" w:hAnsi="Times New Roman" w:cs="Times New Roman" w:eastAsia="Times New Roman" w:hint="default"/>
        </w:rPr>
        <w:t>20,226,093.25</w:t>
      </w:r>
      <w:r>
        <w:rPr/>
        <w:t>元（含税），剩余未分配利润结转以后年度；同时，以资本公积金向全体股东每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股，合计转增股份</w:t>
      </w:r>
      <w:r>
        <w:rPr>
          <w:spacing w:val="-83"/>
        </w:rPr>
        <w:t> </w:t>
      </w:r>
      <w:r>
        <w:rPr>
          <w:spacing w:val="-2"/>
        </w:rPr>
        <w:t>数量为</w:t>
      </w:r>
      <w:r>
        <w:rPr>
          <w:rFonts w:ascii="Times New Roman" w:hAnsi="Times New Roman" w:cs="Times New Roman" w:eastAsia="Times New Roman" w:hint="default"/>
          <w:spacing w:val="-2"/>
        </w:rPr>
        <w:t>283,165,305</w:t>
      </w:r>
      <w:r>
        <w:rPr>
          <w:spacing w:val="-2"/>
        </w:rPr>
        <w:t>股。董事会审议利润分配预案后至权益分派实施公告确定的股权登记日前公司股本发生变动的，将按照分</w:t>
      </w:r>
      <w:r>
        <w:rPr>
          <w:spacing w:val="-59"/>
        </w:rPr>
        <w:t> </w:t>
      </w:r>
      <w:r>
        <w:rPr>
          <w:spacing w:val="-59"/>
        </w:rPr>
      </w:r>
      <w:r>
        <w:rPr/>
        <w:t>配总额不变的原则对各分配比例进行调整。</w:t>
      </w:r>
    </w:p>
    <w:p>
      <w:pPr>
        <w:pStyle w:val="BodyText"/>
        <w:spacing w:line="240" w:lineRule="auto" w:before="88"/>
        <w:ind w:left="44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日，公司召开的</w:t>
      </w:r>
      <w:r>
        <w:rPr>
          <w:rFonts w:ascii="Times New Roman" w:hAnsi="Times New Roman" w:cs="Times New Roman" w:eastAsia="Times New Roman" w:hint="default"/>
        </w:rPr>
        <w:t>2018</w:t>
      </w:r>
      <w:r>
        <w:rPr/>
        <w:t>年年度股东大会审议通过了前述议案并授权董事会办理相关事项。</w:t>
      </w:r>
    </w:p>
    <w:p>
      <w:pPr>
        <w:spacing w:line="240" w:lineRule="auto" w:before="6"/>
        <w:rPr>
          <w:rFonts w:ascii="宋体" w:hAnsi="宋体" w:cs="宋体" w:eastAsia="宋体" w:hint="default"/>
          <w:sz w:val="16"/>
          <w:szCs w:val="16"/>
        </w:rPr>
      </w:pPr>
    </w:p>
    <w:p>
      <w:pPr>
        <w:pStyle w:val="BodyText"/>
        <w:spacing w:line="240" w:lineRule="auto"/>
        <w:ind w:left="0" w:right="927"/>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年股权激励计划预留部分限制性股票上市，公司可参与</w:t>
      </w:r>
      <w:r>
        <w:rPr>
          <w:rFonts w:ascii="Times New Roman" w:hAnsi="Times New Roman" w:cs="Times New Roman" w:eastAsia="Times New Roman" w:hint="default"/>
        </w:rPr>
        <w:t>2018</w:t>
      </w:r>
      <w:r>
        <w:rPr/>
        <w:t>年年度利润分配的股份数量变更为</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405,486,865</w:t>
      </w:r>
      <w:r>
        <w:rPr/>
        <w:t>股，按照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的原则，公司</w:t>
      </w:r>
      <w:r>
        <w:rPr>
          <w:rFonts w:ascii="Times New Roman" w:hAnsi="Times New Roman" w:cs="Times New Roman" w:eastAsia="Times New Roman" w:hint="default"/>
        </w:rPr>
        <w:t>2018</w:t>
      </w:r>
      <w:r>
        <w:rPr/>
        <w:t>年年度权益分配方案变更为：以公司现有总股本剔除已回购股份后</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405,486,865</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0.498810</w:t>
      </w:r>
      <w:r>
        <w:rPr/>
        <w:t>元人民币现金（含税）；同时，以资本公积金向全体股东每</w:t>
      </w:r>
      <w:r>
        <w:rPr>
          <w:rFonts w:ascii="Times New Roman" w:hAnsi="Times New Roman" w:cs="Times New Roman" w:eastAsia="Times New Roman" w:hint="default"/>
        </w:rPr>
        <w:t>10</w:t>
      </w:r>
      <w:r>
        <w:rPr/>
        <w:t>股转增</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6.983341</w:t>
      </w:r>
      <w:r>
        <w:rPr/>
        <w:t>股。</w:t>
      </w:r>
    </w:p>
    <w:p>
      <w:pPr>
        <w:spacing w:line="240" w:lineRule="auto" w:before="9"/>
        <w:rPr>
          <w:rFonts w:ascii="宋体" w:hAnsi="宋体" w:cs="宋体" w:eastAsia="宋体" w:hint="default"/>
          <w:sz w:val="17"/>
          <w:szCs w:val="17"/>
        </w:rPr>
      </w:pPr>
    </w:p>
    <w:p>
      <w:pPr>
        <w:pStyle w:val="BodyText"/>
        <w:spacing w:line="460" w:lineRule="auto"/>
        <w:ind w:right="108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日，经公司第三届董事会第二十次会议、第三届监事会第十九次会议审议通过了《关于公司第二期激励计划 </w:t>
      </w:r>
      <w:r>
        <w:rPr>
          <w:spacing w:val="-2"/>
        </w:rPr>
        <w:t>首次授予的限制性股票第三个解锁期可解锁的议案》和《关于公司第二期激励计划预留部分的限制性股票第二个解锁期可解</w:t>
      </w:r>
      <w:r>
        <w:rPr>
          <w:spacing w:val="-72"/>
        </w:rPr>
        <w:t> </w:t>
      </w:r>
      <w:r>
        <w:rPr>
          <w:spacing w:val="-72"/>
        </w:rPr>
      </w:r>
      <w:r>
        <w:rPr>
          <w:spacing w:val="-1"/>
        </w:rPr>
        <w:t>锁的议案》，同意公司按照相关规定为</w:t>
      </w:r>
      <w:r>
        <w:rPr>
          <w:rFonts w:ascii="Times New Roman" w:hAnsi="Times New Roman" w:cs="Times New Roman" w:eastAsia="Times New Roman" w:hint="default"/>
          <w:spacing w:val="-1"/>
        </w:rPr>
        <w:t>57</w:t>
      </w:r>
      <w:r>
        <w:rPr>
          <w:spacing w:val="-1"/>
        </w:rPr>
        <w:t>名激励对象办理解锁相关事宜。公司独立董事对前述事项发表了独立意见，广东信</w:t>
      </w:r>
      <w:r>
        <w:rPr/>
        <w:t> 达律师事务所出具了法律意见书。 </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6</w:t>
      </w:r>
      <w:r>
        <w:rPr>
          <w:spacing w:val="-1"/>
        </w:rPr>
        <w:t>日和</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24</w:t>
      </w:r>
      <w:r>
        <w:rPr>
          <w:spacing w:val="-1"/>
        </w:rPr>
        <w:t>日，分别经公司第三届董事会第二十次会议、第三届监事会第十九次会议审议通过了《关于</w:t>
      </w:r>
      <w:r>
        <w:rPr/>
        <w:t> </w:t>
      </w:r>
      <w:r>
        <w:rPr>
          <w:spacing w:val="-2"/>
        </w:rPr>
        <w:t>回购注销部分限制性股票的议案》和公司第三届董事会第二十一次会议审议通过了《关于调整公司第二期股权激励计划相关</w:t>
      </w:r>
      <w:r>
        <w:rPr>
          <w:spacing w:val="-72"/>
        </w:rPr>
        <w:t> </w:t>
      </w:r>
      <w:r>
        <w:rPr>
          <w:spacing w:val="-72"/>
        </w:rPr>
      </w:r>
      <w:r>
        <w:rPr/>
        <w:t>事项的议案》，同意公司回购并注销</w:t>
      </w:r>
      <w:r>
        <w:rPr>
          <w:rFonts w:ascii="Times New Roman" w:hAnsi="Times New Roman" w:cs="Times New Roman" w:eastAsia="Times New Roman" w:hint="default"/>
        </w:rPr>
        <w:t>3</w:t>
      </w:r>
      <w:r>
        <w:rPr/>
        <w:t>名离职激励对象已授予但尚未解锁的合计</w:t>
      </w:r>
      <w:r>
        <w:rPr>
          <w:rFonts w:ascii="Times New Roman" w:hAnsi="Times New Roman" w:cs="Times New Roman" w:eastAsia="Times New Roman" w:hint="default"/>
        </w:rPr>
        <w:t>68,550</w:t>
      </w:r>
      <w:r>
        <w:rPr/>
        <w:t>股限制性股票。公司独立董事对前述</w:t>
      </w:r>
      <w:r>
        <w:rPr>
          <w:spacing w:val="-83"/>
        </w:rPr>
        <w:t> </w:t>
      </w:r>
      <w:r>
        <w:rPr/>
        <w:t>事项发表了独立意见，广东信达律师事务所出具了法律意见书。 </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日，经公司第三届董事会第二十二次会议、第三届监事会第二十一次会议审议通过了《关于公司</w:t>
      </w:r>
      <w:r>
        <w:rPr>
          <w:rFonts w:ascii="Times New Roman" w:hAnsi="Times New Roman" w:cs="Times New Roman" w:eastAsia="Times New Roman" w:hint="default"/>
          <w:spacing w:val="-1"/>
        </w:rPr>
        <w:t>2018</w:t>
      </w:r>
      <w:r>
        <w:rPr>
          <w:spacing w:val="-1"/>
        </w:rPr>
        <w:t>年股权</w:t>
      </w:r>
      <w:r>
        <w:rPr>
          <w:spacing w:val="-83"/>
        </w:rPr>
        <w:t> </w:t>
      </w:r>
      <w:r>
        <w:rPr>
          <w:spacing w:val="-1"/>
        </w:rPr>
        <w:t>激励计划第一个考核期可行权</w:t>
      </w:r>
      <w:r>
        <w:rPr>
          <w:rFonts w:ascii="Times New Roman" w:hAnsi="Times New Roman" w:cs="Times New Roman" w:eastAsia="Times New Roman" w:hint="default"/>
          <w:spacing w:val="-1"/>
        </w:rPr>
        <w:t>/</w:t>
      </w:r>
      <w:r>
        <w:rPr>
          <w:spacing w:val="-1"/>
        </w:rPr>
        <w:t>解除限售的议案》和《关于回购注销部分限制性股票的议案》，同意公司按照相关规定为</w:t>
      </w:r>
      <w:r>
        <w:rPr>
          <w:rFonts w:ascii="Times New Roman" w:hAnsi="Times New Roman" w:cs="Times New Roman" w:eastAsia="Times New Roman" w:hint="default"/>
          <w:spacing w:val="-1"/>
        </w:rPr>
        <w:t>181</w:t>
      </w:r>
      <w:r>
        <w:rPr>
          <w:rFonts w:ascii="Times New Roman" w:hAnsi="Times New Roman" w:cs="Times New Roman" w:eastAsia="Times New Roman" w:hint="default"/>
          <w:spacing w:val="-29"/>
        </w:rPr>
        <w:t> </w:t>
      </w:r>
      <w:r>
        <w:rPr/>
        <w:t>名激励对象办理解锁相关事宜、为</w:t>
      </w:r>
      <w:r>
        <w:rPr>
          <w:rFonts w:ascii="Times New Roman" w:hAnsi="Times New Roman" w:cs="Times New Roman" w:eastAsia="Times New Roman" w:hint="default"/>
        </w:rPr>
        <w:t>10</w:t>
      </w:r>
      <w:r>
        <w:rPr/>
        <w:t>名激励对象办理行权相关事宜；同意公司回购并注销</w:t>
      </w:r>
      <w:r>
        <w:rPr>
          <w:rFonts w:ascii="Times New Roman" w:hAnsi="Times New Roman" w:cs="Times New Roman" w:eastAsia="Times New Roman" w:hint="default"/>
        </w:rPr>
        <w:t>7</w:t>
      </w:r>
      <w:r>
        <w:rPr/>
        <w:t>名离职激励对象已授予但尚未解</w:t>
      </w:r>
      <w:r>
        <w:rPr>
          <w:spacing w:val="-82"/>
        </w:rPr>
        <w:t> </w:t>
      </w:r>
      <w:r>
        <w:rPr/>
        <w:t>锁的合计</w:t>
      </w:r>
      <w:r>
        <w:rPr>
          <w:rFonts w:ascii="Times New Roman" w:hAnsi="Times New Roman" w:cs="Times New Roman" w:eastAsia="Times New Roman" w:hint="default"/>
        </w:rPr>
        <w:t>590,405</w:t>
      </w:r>
      <w:r>
        <w:rPr/>
        <w:t>股限制性股票。公司独立董事对前述事项发表了独立意见，广东信达律师事务所出具了法律意见书。 股份变动的过户情况</w:t>
      </w:r>
    </w:p>
    <w:p>
      <w:pPr>
        <w:pStyle w:val="BodyText"/>
        <w:spacing w:line="240" w:lineRule="auto" w:before="10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、经公司申请，中国证券登记结算公司深圳分公司已于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日为公司办理完毕限制性股票股份回购注销工作。</w:t>
      </w:r>
    </w:p>
    <w:p>
      <w:pPr>
        <w:spacing w:line="240" w:lineRule="auto" w:before="9"/>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w:t>
      </w:r>
      <w:r>
        <w:rPr/>
        <w:t>、经公司申请，中国证券登记结算公司深圳分公司已于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日为公司办理完毕限制性股票股份登记工作。</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、经公司申请，中国证券登记结算公司深圳分公司已于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日为公司办理完毕权益分派股份登记工作。</w:t>
      </w:r>
    </w:p>
    <w:p>
      <w:pPr>
        <w:spacing w:line="240" w:lineRule="auto" w:before="7"/>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、经公司申请，中国证券登记结算公司深圳分公司已于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日为公司办理完毕限制性股票股份回购注销工作。</w:t>
      </w:r>
    </w:p>
    <w:p>
      <w:pPr>
        <w:spacing w:line="240" w:lineRule="auto" w:before="7"/>
        <w:rPr>
          <w:rFonts w:ascii="宋体" w:hAnsi="宋体" w:cs="宋体" w:eastAsia="宋体" w:hint="default"/>
          <w:sz w:val="16"/>
          <w:szCs w:val="16"/>
        </w:rPr>
      </w:pPr>
    </w:p>
    <w:p>
      <w:pPr>
        <w:pStyle w:val="BodyText"/>
        <w:spacing w:line="477" w:lineRule="auto"/>
        <w:ind w:right="1299"/>
        <w:jc w:val="left"/>
      </w:pPr>
      <w:r>
        <w:rPr>
          <w:rFonts w:ascii="Times New Roman" w:hAnsi="Times New Roman" w:cs="Times New Roman" w:eastAsia="Times New Roman" w:hint="default"/>
        </w:rPr>
        <w:t>5</w:t>
      </w:r>
      <w:r>
        <w:rPr/>
        <w:t>、经公司申请，中国证券登记结算公司深圳分公司已于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日为公司办理完毕限制性股票股份回购注销工作。</w:t>
      </w:r>
      <w:r>
        <w:rPr>
          <w:spacing w:val="-85"/>
        </w:rPr>
        <w:t> </w:t>
      </w:r>
      <w:r>
        <w:rPr/>
        <w:t>股份回购的实施进展情况</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48" w:lineRule="auto" w:before="44"/>
        <w:ind w:right="1104"/>
        <w:jc w:val="left"/>
      </w:pPr>
      <w:r>
        <w:rPr/>
        <w:t>本报告期内，公司通过股份回购专用证券账户以集中竞价方式累计回购公司股份</w:t>
      </w:r>
      <w:r>
        <w:rPr>
          <w:rFonts w:ascii="Times New Roman" w:hAnsi="Times New Roman" w:cs="Times New Roman" w:eastAsia="Times New Roman" w:hint="default"/>
        </w:rPr>
        <w:t>5,704,800</w:t>
      </w:r>
      <w:r>
        <w:rPr/>
        <w:t>股，占公司总股本的</w:t>
      </w:r>
      <w:r>
        <w:rPr>
          <w:rFonts w:ascii="Times New Roman" w:hAnsi="Times New Roman" w:cs="Times New Roman" w:eastAsia="Times New Roman" w:hint="default"/>
        </w:rPr>
        <w:t>0.82%</w:t>
      </w:r>
      <w:r>
        <w:rPr/>
        <w:t>，最高</w:t>
      </w:r>
      <w:r>
        <w:rPr>
          <w:spacing w:val="-80"/>
        </w:rPr>
        <w:t> </w:t>
      </w:r>
      <w:r>
        <w:rPr/>
        <w:t>成交价为</w:t>
      </w:r>
      <w:r>
        <w:rPr>
          <w:rFonts w:ascii="Times New Roman" w:hAnsi="Times New Roman" w:cs="Times New Roman" w:eastAsia="Times New Roman" w:hint="default"/>
        </w:rPr>
        <w:t>10.59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6.18</w:t>
      </w:r>
      <w:r>
        <w:rPr/>
        <w:t>元</w:t>
      </w:r>
      <w:r>
        <w:rPr>
          <w:rFonts w:ascii="Times New Roman" w:hAnsi="Times New Roman" w:cs="Times New Roman" w:eastAsia="Times New Roman" w:hint="default"/>
        </w:rPr>
        <w:t>/</w:t>
      </w:r>
      <w:r>
        <w:rPr/>
        <w:t>股，累计支付的总金额为</w:t>
      </w:r>
      <w:r>
        <w:rPr>
          <w:rFonts w:ascii="Times New Roman" w:hAnsi="Times New Roman" w:cs="Times New Roman" w:eastAsia="Times New Roman" w:hint="default"/>
        </w:rPr>
        <w:t>51,486,420.57</w:t>
      </w:r>
      <w:r>
        <w:rPr/>
        <w:t>元（不含交易费用）。截至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 </w:t>
      </w:r>
      <w:r>
        <w:rPr/>
        <w:t>日，公司本次股份回购事项实施完毕。</w:t>
      </w:r>
    </w:p>
    <w:p>
      <w:pPr>
        <w:pStyle w:val="BodyText"/>
        <w:spacing w:line="240" w:lineRule="auto" w:before="118"/>
        <w:ind w:right="0"/>
        <w:jc w:val="left"/>
      </w:pPr>
      <w:r>
        <w:rPr/>
        <w:t>采用集中竞价方式减持回购股份的实施进展情况</w:t>
      </w:r>
    </w:p>
    <w:p>
      <w:pPr>
        <w:spacing w:line="240" w:lineRule="auto" w:before="11"/>
        <w:rPr>
          <w:rFonts w:ascii="宋体" w:hAnsi="宋体" w:cs="宋体" w:eastAsia="宋体" w:hint="default"/>
          <w:sz w:val="19"/>
          <w:szCs w:val="19"/>
        </w:rPr>
      </w:pPr>
    </w:p>
    <w:p>
      <w:pPr>
        <w:pStyle w:val="BodyText"/>
        <w:spacing w:line="491" w:lineRule="auto"/>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484" w:lineRule="auto" w:before="8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本报告期内股份变动对公司最近一年和最近一期基本每股收益、稀释每股收益及归属于公司普通股股东的每股净资影响具体</w:t>
      </w:r>
      <w:r>
        <w:rPr>
          <w:spacing w:val="-58"/>
        </w:rPr>
        <w:t> </w:t>
      </w:r>
      <w:r>
        <w:rPr>
          <w:spacing w:val="-58"/>
        </w:rPr>
      </w:r>
      <w:r>
        <w:rPr/>
        <w:t>指标详见</w:t>
      </w:r>
      <w:r>
        <w:rPr>
          <w:rFonts w:ascii="Times New Roman" w:hAnsi="Times New Roman" w:cs="Times New Roman" w:eastAsia="Times New Roman" w:hint="default"/>
        </w:rPr>
        <w:t>“</w:t>
      </w:r>
      <w:r>
        <w:rPr/>
        <w:t>第二节公司简介和主要财务指标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四、主要会计数据和财务指标</w:t>
      </w:r>
      <w:r>
        <w:rPr>
          <w:rFonts w:ascii="Times New Roman" w:hAnsi="Times New Roman" w:cs="Times New Roman" w:eastAsia="Times New Roman" w:hint="default"/>
        </w:rPr>
        <w:t>”</w:t>
      </w:r>
      <w:r>
        <w:rPr/>
        <w:t>。</w:t>
      </w:r>
      <w:r>
        <w:rPr>
          <w:spacing w:val="-74"/>
        </w:rPr>
        <w:t> </w:t>
      </w:r>
      <w:r>
        <w:rPr/>
        <w:t>公司认为必要或证券监管机构要求披露的其他内容</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3"/>
        <w:rPr>
          <w:rFonts w:ascii="宋体" w:hAnsi="宋体" w:cs="宋体" w:eastAsia="宋体" w:hint="default"/>
          <w:sz w:val="19"/>
          <w:szCs w:val="19"/>
        </w:rPr>
      </w:pPr>
    </w:p>
    <w:p>
      <w:pPr>
        <w:pStyle w:val="BodyText"/>
        <w:spacing w:line="240" w:lineRule="auto"/>
        <w:ind w:left="0" w:right="1110"/>
        <w:jc w:val="right"/>
      </w:pPr>
      <w:r>
        <w:rPr/>
        <w:t>单位：股</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0" w:right="11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1" w:right="119"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10" w:right="59" w:hanging="451"/>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107,891,197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75,344,102</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183,235,299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5"/>
              <w:jc w:val="center"/>
              <w:rPr>
                <w:rFonts w:ascii="宋体" w:hAnsi="宋体" w:cs="宋体" w:eastAsia="宋体" w:hint="default"/>
                <w:sz w:val="18"/>
                <w:szCs w:val="18"/>
              </w:rPr>
            </w:pPr>
            <w:r>
              <w:rPr>
                <w:rFonts w:ascii="宋体" w:hAnsi="宋体" w:cs="宋体" w:eastAsia="宋体" w:hint="default"/>
                <w:sz w:val="18"/>
                <w:szCs w:val="18"/>
              </w:rPr>
              <w:t>董监高锁定股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2020/1/1</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11,582,320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3,414,358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28,167,962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4"/>
              <w:jc w:val="center"/>
              <w:rPr>
                <w:rFonts w:ascii="宋体" w:hAnsi="宋体" w:cs="宋体" w:eastAsia="宋体" w:hint="default"/>
                <w:sz w:val="18"/>
                <w:szCs w:val="18"/>
              </w:rPr>
            </w:pPr>
            <w:r>
              <w:rPr>
                <w:rFonts w:ascii="宋体" w:hAnsi="宋体" w:cs="宋体" w:eastAsia="宋体" w:hint="default"/>
                <w:sz w:val="18"/>
                <w:szCs w:val="18"/>
              </w:rPr>
              <w:t>董监高锁定股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2020/1/1</w:t>
            </w:r>
          </w:p>
        </w:tc>
      </w:tr>
      <w:tr>
        <w:trPr>
          <w:trHeight w:val="16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13,013,074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9,225,060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366,899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21,871,235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74"/>
              <w:jc w:val="both"/>
              <w:rPr>
                <w:rFonts w:ascii="宋体" w:hAnsi="宋体" w:cs="宋体" w:eastAsia="宋体" w:hint="default"/>
                <w:sz w:val="18"/>
                <w:szCs w:val="18"/>
              </w:rPr>
            </w:pPr>
            <w:r>
              <w:rPr>
                <w:rFonts w:ascii="宋体" w:hAnsi="宋体" w:cs="宋体" w:eastAsia="宋体" w:hint="default"/>
                <w:sz w:val="18"/>
                <w:szCs w:val="18"/>
              </w:rPr>
              <w:t>董监高锁定股 及股权激励未 解锁股份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2020/1/1</w:t>
            </w:r>
            <w:r>
              <w:rPr>
                <w:rFonts w:ascii="宋体" w:hAnsi="宋体" w:cs="宋体" w:eastAsia="宋体" w:hint="default"/>
                <w:spacing w:val="-4"/>
                <w:sz w:val="18"/>
                <w:szCs w:val="18"/>
              </w:rPr>
              <w:t>、根据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公司《限制性 股票激励计</w:t>
            </w:r>
          </w:p>
          <w:p>
            <w:pPr>
              <w:pStyle w:val="TableParagraph"/>
              <w:spacing w:line="321" w:lineRule="auto" w:before="37"/>
              <w:ind w:left="30" w:right="89"/>
              <w:jc w:val="left"/>
              <w:rPr>
                <w:rFonts w:ascii="宋体" w:hAnsi="宋体" w:cs="宋体" w:eastAsia="宋体" w:hint="default"/>
                <w:sz w:val="18"/>
                <w:szCs w:val="18"/>
              </w:rPr>
            </w:pPr>
            <w:r>
              <w:rPr>
                <w:rFonts w:ascii="宋体" w:hAnsi="宋体" w:cs="宋体" w:eastAsia="宋体" w:hint="default"/>
                <w:sz w:val="18"/>
                <w:szCs w:val="18"/>
              </w:rPr>
              <w:t>划》的相关规 定进行解锁</w:t>
            </w:r>
          </w:p>
        </w:tc>
      </w:tr>
      <w:tr>
        <w:trPr>
          <w:trHeight w:val="165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13,013,074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9,225,060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366,899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21,871,235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74"/>
              <w:jc w:val="both"/>
              <w:rPr>
                <w:rFonts w:ascii="宋体" w:hAnsi="宋体" w:cs="宋体" w:eastAsia="宋体" w:hint="default"/>
                <w:sz w:val="18"/>
                <w:szCs w:val="18"/>
              </w:rPr>
            </w:pPr>
            <w:r>
              <w:rPr>
                <w:rFonts w:ascii="宋体" w:hAnsi="宋体" w:cs="宋体" w:eastAsia="宋体" w:hint="default"/>
                <w:sz w:val="18"/>
                <w:szCs w:val="18"/>
              </w:rPr>
              <w:t>董监高锁定股 及股权激励未 解锁股份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30"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2020/1/1</w:t>
            </w:r>
            <w:r>
              <w:rPr>
                <w:rFonts w:ascii="宋体" w:hAnsi="宋体" w:cs="宋体" w:eastAsia="宋体" w:hint="default"/>
                <w:spacing w:val="-4"/>
                <w:sz w:val="18"/>
                <w:szCs w:val="18"/>
              </w:rPr>
              <w:t>、根据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公司《限制性 股票激励计</w:t>
            </w:r>
          </w:p>
          <w:p>
            <w:pPr>
              <w:pStyle w:val="TableParagraph"/>
              <w:spacing w:line="321" w:lineRule="auto" w:before="36"/>
              <w:ind w:left="30" w:right="89"/>
              <w:jc w:val="left"/>
              <w:rPr>
                <w:rFonts w:ascii="宋体" w:hAnsi="宋体" w:cs="宋体" w:eastAsia="宋体" w:hint="default"/>
                <w:sz w:val="18"/>
                <w:szCs w:val="18"/>
              </w:rPr>
            </w:pPr>
            <w:r>
              <w:rPr>
                <w:rFonts w:ascii="宋体" w:hAnsi="宋体" w:cs="宋体" w:eastAsia="宋体" w:hint="default"/>
                <w:sz w:val="18"/>
                <w:szCs w:val="18"/>
              </w:rPr>
              <w:t>划》的相关规 定进行解锁</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1,215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15,848</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17,063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center"/>
              <w:rPr>
                <w:rFonts w:ascii="宋体" w:hAnsi="宋体" w:cs="宋体" w:eastAsia="宋体" w:hint="default"/>
                <w:sz w:val="18"/>
                <w:szCs w:val="18"/>
              </w:rPr>
            </w:pPr>
            <w:r>
              <w:rPr>
                <w:rFonts w:ascii="宋体" w:hAnsi="宋体" w:cs="宋体" w:eastAsia="宋体" w:hint="default"/>
                <w:sz w:val="18"/>
                <w:szCs w:val="18"/>
              </w:rPr>
              <w:t>董监高锁定股</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2020/1/1</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李丹</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1,440,232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1,005,763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978,398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1,467,597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股权激励未解 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89"/>
              <w:jc w:val="both"/>
              <w:rPr>
                <w:rFonts w:ascii="宋体" w:hAnsi="宋体" w:cs="宋体" w:eastAsia="宋体" w:hint="default"/>
                <w:sz w:val="18"/>
                <w:szCs w:val="18"/>
              </w:rPr>
            </w:pPr>
            <w:r>
              <w:rPr>
                <w:rFonts w:ascii="宋体" w:hAnsi="宋体" w:cs="宋体" w:eastAsia="宋体" w:hint="default"/>
                <w:sz w:val="18"/>
                <w:szCs w:val="18"/>
              </w:rPr>
              <w:t>根据公司《限 制性股票激励 计划》的相关 规定进行解锁</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钟裕山</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1,440,232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1,005,763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978,398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1,467,597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30" w:right="74"/>
              <w:jc w:val="left"/>
              <w:rPr>
                <w:rFonts w:ascii="宋体" w:hAnsi="宋体" w:cs="宋体" w:eastAsia="宋体" w:hint="default"/>
                <w:sz w:val="18"/>
                <w:szCs w:val="18"/>
              </w:rPr>
            </w:pPr>
            <w:r>
              <w:rPr>
                <w:rFonts w:ascii="宋体" w:hAnsi="宋体" w:cs="宋体" w:eastAsia="宋体" w:hint="default"/>
                <w:sz w:val="18"/>
                <w:szCs w:val="18"/>
              </w:rPr>
              <w:t>股权激励未解 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89"/>
              <w:jc w:val="both"/>
              <w:rPr>
                <w:rFonts w:ascii="宋体" w:hAnsi="宋体" w:cs="宋体" w:eastAsia="宋体" w:hint="default"/>
                <w:sz w:val="18"/>
                <w:szCs w:val="18"/>
              </w:rPr>
            </w:pPr>
            <w:r>
              <w:rPr>
                <w:rFonts w:ascii="宋体" w:hAnsi="宋体" w:cs="宋体" w:eastAsia="宋体" w:hint="default"/>
                <w:sz w:val="18"/>
                <w:szCs w:val="18"/>
              </w:rPr>
              <w:t>根据公司《限 制性股票激励 计划》的相关 规定进行解锁</w:t>
            </w:r>
          </w:p>
        </w:tc>
      </w:tr>
      <w:tr>
        <w:trPr>
          <w:trHeight w:val="13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龙中胜</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810,130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565,741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550,348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825,523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 w:right="74"/>
              <w:jc w:val="left"/>
              <w:rPr>
                <w:rFonts w:ascii="宋体" w:hAnsi="宋体" w:cs="宋体" w:eastAsia="宋体" w:hint="default"/>
                <w:sz w:val="18"/>
                <w:szCs w:val="18"/>
              </w:rPr>
            </w:pPr>
            <w:r>
              <w:rPr>
                <w:rFonts w:ascii="宋体" w:hAnsi="宋体" w:cs="宋体" w:eastAsia="宋体" w:hint="default"/>
                <w:sz w:val="18"/>
                <w:szCs w:val="18"/>
              </w:rPr>
              <w:t>股权激励未解 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89"/>
              <w:jc w:val="both"/>
              <w:rPr>
                <w:rFonts w:ascii="宋体" w:hAnsi="宋体" w:cs="宋体" w:eastAsia="宋体" w:hint="default"/>
                <w:sz w:val="18"/>
                <w:szCs w:val="18"/>
              </w:rPr>
            </w:pPr>
            <w:r>
              <w:rPr>
                <w:rFonts w:ascii="宋体" w:hAnsi="宋体" w:cs="宋体" w:eastAsia="宋体" w:hint="default"/>
                <w:sz w:val="18"/>
                <w:szCs w:val="18"/>
              </w:rPr>
              <w:t>根据公司《限 制性股票激励 计划》的相关 规定进行解锁</w:t>
            </w:r>
          </w:p>
        </w:tc>
      </w:tr>
      <w:tr>
        <w:trPr>
          <w:trHeight w:val="16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540,087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514,748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366,899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687,936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30" w:right="74"/>
              <w:jc w:val="both"/>
              <w:rPr>
                <w:rFonts w:ascii="宋体" w:hAnsi="宋体" w:cs="宋体" w:eastAsia="宋体" w:hint="default"/>
                <w:sz w:val="18"/>
                <w:szCs w:val="18"/>
              </w:rPr>
            </w:pPr>
            <w:r>
              <w:rPr>
                <w:rFonts w:ascii="宋体" w:hAnsi="宋体" w:cs="宋体" w:eastAsia="宋体" w:hint="default"/>
                <w:sz w:val="18"/>
                <w:szCs w:val="18"/>
              </w:rPr>
              <w:t>董监高锁定股 及股权激励未 解锁股份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30"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2020/1/1</w:t>
            </w:r>
            <w:r>
              <w:rPr>
                <w:rFonts w:ascii="宋体" w:hAnsi="宋体" w:cs="宋体" w:eastAsia="宋体" w:hint="default"/>
                <w:spacing w:val="-4"/>
                <w:sz w:val="18"/>
                <w:szCs w:val="18"/>
              </w:rPr>
              <w:t>、根据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公司《限制性 股票激励计 划》的相关规 定进行解锁</w:t>
            </w:r>
          </w:p>
        </w:tc>
      </w:tr>
      <w:tr>
        <w:trPr>
          <w:trHeight w:val="165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108,017</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102,950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73,380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137,587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30" w:right="74"/>
              <w:jc w:val="both"/>
              <w:rPr>
                <w:rFonts w:ascii="宋体" w:hAnsi="宋体" w:cs="宋体" w:eastAsia="宋体" w:hint="default"/>
                <w:sz w:val="18"/>
                <w:szCs w:val="18"/>
              </w:rPr>
            </w:pPr>
            <w:r>
              <w:rPr>
                <w:rFonts w:ascii="宋体" w:hAnsi="宋体" w:cs="宋体" w:eastAsia="宋体" w:hint="default"/>
                <w:sz w:val="18"/>
                <w:szCs w:val="18"/>
              </w:rPr>
              <w:t>董监高锁定股 及股权激励未 解锁股份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30" w:right="2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2020/1/1</w:t>
            </w:r>
            <w:r>
              <w:rPr>
                <w:rFonts w:ascii="宋体" w:hAnsi="宋体" w:cs="宋体" w:eastAsia="宋体" w:hint="default"/>
                <w:spacing w:val="-4"/>
                <w:sz w:val="18"/>
                <w:szCs w:val="18"/>
              </w:rPr>
              <w:t>、根据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公司《限制性 股票激励计 划》的相关规 定进行解锁</w:t>
            </w:r>
          </w:p>
        </w:tc>
      </w:tr>
      <w:tr>
        <w:trPr>
          <w:trHeight w:val="133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89"/>
              <w:jc w:val="both"/>
              <w:rPr>
                <w:rFonts w:ascii="宋体" w:hAnsi="宋体" w:cs="宋体" w:eastAsia="宋体" w:hint="default"/>
                <w:sz w:val="18"/>
                <w:szCs w:val="18"/>
              </w:rPr>
            </w:pPr>
            <w:r>
              <w:rPr>
                <w:rFonts w:ascii="宋体" w:hAnsi="宋体" w:cs="宋体" w:eastAsia="宋体" w:hint="default"/>
                <w:sz w:val="18"/>
                <w:szCs w:val="18"/>
              </w:rPr>
              <w:t>公司中层管理 人员、核心人 员</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10,939,702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9,219,268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8,547,405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11,611,565</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股权激励未解 锁股份</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89"/>
              <w:jc w:val="both"/>
              <w:rPr>
                <w:rFonts w:ascii="宋体" w:hAnsi="宋体" w:cs="宋体" w:eastAsia="宋体" w:hint="default"/>
                <w:sz w:val="18"/>
                <w:szCs w:val="18"/>
              </w:rPr>
            </w:pPr>
            <w:r>
              <w:rPr>
                <w:rFonts w:ascii="宋体" w:hAnsi="宋体" w:cs="宋体" w:eastAsia="宋体" w:hint="default"/>
                <w:sz w:val="18"/>
                <w:szCs w:val="18"/>
              </w:rPr>
              <w:t>根据公司《限 制性股票激励 计划》的相关 规定进行解锁</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169,196,960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117,806,623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15,642,984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271,360,599</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24"/>
          <w:szCs w:val="24"/>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412"/>
        <w:gridCol w:w="1292"/>
        <w:gridCol w:w="1307"/>
        <w:gridCol w:w="1291"/>
        <w:gridCol w:w="1292"/>
        <w:gridCol w:w="1307"/>
        <w:gridCol w:w="1682"/>
      </w:tblGrid>
      <w:tr>
        <w:trPr>
          <w:trHeight w:val="7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20" w:right="74"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65" w:right="14" w:hanging="436"/>
              <w:jc w:val="left"/>
              <w:rPr>
                <w:rFonts w:ascii="宋体" w:hAnsi="宋体" w:cs="宋体" w:eastAsia="宋体" w:hint="default"/>
                <w:sz w:val="18"/>
                <w:szCs w:val="18"/>
              </w:rPr>
            </w:pPr>
            <w:r>
              <w:rPr>
                <w:rFonts w:ascii="宋体" w:hAnsi="宋体" w:cs="宋体" w:eastAsia="宋体" w:hint="default"/>
                <w:spacing w:val="-3"/>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65" w:right="104"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年激励计划 预留部分限制性 股票</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965,000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965,000</w:t>
            </w:r>
          </w:p>
        </w:tc>
        <w:tc>
          <w:tcPr>
            <w:tcW w:w="16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9582"/>
      </w:tblGrid>
      <w:tr>
        <w:trPr>
          <w:trHeight w:val="405" w:hRule="exact"/>
        </w:trPr>
        <w:tc>
          <w:tcPr>
            <w:tcW w:w="9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390" w:hRule="exact"/>
        </w:trPr>
        <w:tc>
          <w:tcPr>
            <w:tcW w:w="9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10"/>
        <w:rPr>
          <w:rFonts w:ascii="宋体" w:hAnsi="宋体" w:cs="宋体" w:eastAsia="宋体" w:hint="default"/>
          <w:sz w:val="5"/>
          <w:szCs w:val="5"/>
        </w:rPr>
      </w:pPr>
    </w:p>
    <w:p>
      <w:pPr>
        <w:pStyle w:val="BodyText"/>
        <w:spacing w:line="240" w:lineRule="auto" w:before="44"/>
        <w:ind w:right="0"/>
        <w:jc w:val="both"/>
      </w:pPr>
      <w:r>
        <w:rPr/>
        <w:t>报告期内证券发行（不含优先股）情况的说明</w:t>
      </w:r>
    </w:p>
    <w:p>
      <w:pPr>
        <w:spacing w:line="240" w:lineRule="auto" w:before="2"/>
        <w:rPr>
          <w:rFonts w:ascii="宋体" w:hAnsi="宋体" w:cs="宋体" w:eastAsia="宋体" w:hint="default"/>
          <w:sz w:val="22"/>
          <w:szCs w:val="22"/>
        </w:rPr>
      </w:pPr>
    </w:p>
    <w:p>
      <w:pPr>
        <w:pStyle w:val="BodyText"/>
        <w:spacing w:line="448" w:lineRule="auto"/>
        <w:ind w:right="1126"/>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日，经公司第三届董事会第十七次会议、第三届监事会第十六次会议审议通过了《关于向激励对象授予</w:t>
      </w:r>
      <w:r>
        <w:rPr>
          <w:rFonts w:ascii="Times New Roman" w:hAnsi="Times New Roman" w:cs="Times New Roman" w:eastAsia="Times New Roman" w:hint="default"/>
          <w:spacing w:val="-2"/>
        </w:rPr>
        <w:t>2018</w:t>
      </w:r>
      <w:r>
        <w:rPr>
          <w:spacing w:val="-2"/>
        </w:rPr>
        <w:t>年股</w:t>
      </w:r>
      <w:r>
        <w:rPr>
          <w:spacing w:val="-56"/>
        </w:rPr>
        <w:t> </w:t>
      </w:r>
      <w:r>
        <w:rPr/>
        <w:t>权激励计划预留部分限制性股票的议案》，同意拟向</w:t>
      </w:r>
      <w:r>
        <w:rPr>
          <w:rFonts w:ascii="Times New Roman" w:hAnsi="Times New Roman" w:cs="Times New Roman" w:eastAsia="Times New Roman" w:hint="default"/>
        </w:rPr>
        <w:t>22</w:t>
      </w:r>
      <w:r>
        <w:rPr/>
        <w:t>名激励对象合计授予</w:t>
      </w:r>
      <w:r>
        <w:rPr>
          <w:rFonts w:ascii="Times New Roman" w:hAnsi="Times New Roman" w:cs="Times New Roman" w:eastAsia="Times New Roman" w:hint="default"/>
        </w:rPr>
        <w:t>96.50</w:t>
      </w:r>
      <w:r>
        <w:rPr/>
        <w:t>万股限制性股票，并确定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日为</w:t>
      </w:r>
      <w:r>
        <w:rPr>
          <w:spacing w:val="-81"/>
        </w:rPr>
        <w:t> </w:t>
      </w:r>
      <w:r>
        <w:rPr>
          <w:rFonts w:ascii="Times New Roman" w:hAnsi="Times New Roman" w:cs="Times New Roman" w:eastAsia="Times New Roman" w:hint="default"/>
        </w:rPr>
        <w:t>2018</w:t>
      </w:r>
      <w:r>
        <w:rPr/>
        <w:t>年股权激励计划预留部分限制性股票的授予日。上述限制性股票已于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日上市。</w:t>
      </w:r>
    </w:p>
    <w:p>
      <w:pPr>
        <w:pStyle w:val="BodyText"/>
        <w:spacing w:line="453" w:lineRule="auto" w:before="43"/>
        <w:ind w:right="1036"/>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日，经公司第三届董事会第二十一次会议、第三届监事会第二十次会议审议通过了《关于调整公司</w:t>
      </w:r>
      <w:r>
        <w:rPr>
          <w:rFonts w:ascii="Times New Roman" w:hAnsi="Times New Roman" w:cs="Times New Roman" w:eastAsia="Times New Roman" w:hint="default"/>
        </w:rPr>
        <w:t>2018</w:t>
      </w:r>
      <w:r>
        <w:rPr/>
        <w:t>年股权</w:t>
      </w:r>
      <w:r>
        <w:rPr>
          <w:spacing w:val="-81"/>
        </w:rPr>
        <w:t> </w:t>
      </w:r>
      <w:r>
        <w:rPr/>
        <w:t>激励计划相关事项的议案》，对</w:t>
      </w:r>
      <w:r>
        <w:rPr>
          <w:rFonts w:ascii="Times New Roman" w:hAnsi="Times New Roman" w:cs="Times New Roman" w:eastAsia="Times New Roman" w:hint="default"/>
        </w:rPr>
        <w:t>2018</w:t>
      </w:r>
      <w:r>
        <w:rPr/>
        <w:t>年股权激励计划的授予数量、授予价格进行了调整，将授予总数由</w:t>
      </w:r>
      <w:r>
        <w:rPr>
          <w:rFonts w:ascii="Times New Roman" w:hAnsi="Times New Roman" w:cs="Times New Roman" w:eastAsia="Times New Roman" w:hint="default"/>
        </w:rPr>
        <w:t>1,657.9619</w:t>
      </w:r>
      <w:r>
        <w:rPr/>
        <w:t>万股调整</w:t>
      </w:r>
      <w:r>
        <w:rPr>
          <w:spacing w:val="-80"/>
        </w:rPr>
        <w:t> </w:t>
      </w:r>
      <w:r>
        <w:rPr>
          <w:spacing w:val="-2"/>
        </w:rPr>
        <w:t>为</w:t>
      </w:r>
      <w:r>
        <w:rPr>
          <w:rFonts w:ascii="Times New Roman" w:hAnsi="Times New Roman" w:cs="Times New Roman" w:eastAsia="Times New Roman" w:hint="default"/>
          <w:spacing w:val="-2"/>
        </w:rPr>
        <w:t>2,815.7732</w:t>
      </w:r>
      <w:r>
        <w:rPr>
          <w:spacing w:val="-2"/>
        </w:rPr>
        <w:t>万股，其中，首次授予限制性股票的数量由</w:t>
      </w:r>
      <w:r>
        <w:rPr>
          <w:rFonts w:ascii="Times New Roman" w:hAnsi="Times New Roman" w:cs="Times New Roman" w:eastAsia="Times New Roman" w:hint="default"/>
          <w:spacing w:val="-2"/>
        </w:rPr>
        <w:t>1,561.4619</w:t>
      </w:r>
      <w:r>
        <w:rPr>
          <w:spacing w:val="-2"/>
        </w:rPr>
        <w:t>万股调整为</w:t>
      </w:r>
      <w:r>
        <w:rPr>
          <w:rFonts w:ascii="Times New Roman" w:hAnsi="Times New Roman" w:cs="Times New Roman" w:eastAsia="Times New Roman" w:hint="default"/>
          <w:spacing w:val="-2"/>
        </w:rPr>
        <w:t>2,651.8838</w:t>
      </w:r>
      <w:r>
        <w:rPr>
          <w:spacing w:val="-2"/>
        </w:rPr>
        <w:t>万股，首次授予价格由</w:t>
      </w:r>
      <w:r>
        <w:rPr>
          <w:rFonts w:ascii="Times New Roman" w:hAnsi="Times New Roman" w:cs="Times New Roman" w:eastAsia="Times New Roman" w:hint="default"/>
          <w:spacing w:val="-2"/>
        </w:rPr>
        <w:t>5.681</w:t>
      </w:r>
      <w:r>
        <w:rPr>
          <w:spacing w:val="-2"/>
        </w:rPr>
        <w:t>元</w:t>
      </w:r>
      <w:r>
        <w:rPr>
          <w:rFonts w:ascii="Times New Roman" w:hAnsi="Times New Roman" w:cs="Times New Roman" w:eastAsia="Times New Roman" w:hint="default"/>
          <w:spacing w:val="-2"/>
        </w:rPr>
        <w:t>/</w:t>
      </w:r>
      <w:r>
        <w:rPr>
          <w:spacing w:val="-2"/>
        </w:rPr>
        <w:t>股调</w:t>
      </w:r>
      <w:r>
        <w:rPr>
          <w:spacing w:val="-32"/>
        </w:rPr>
        <w:t> </w:t>
      </w:r>
      <w:r>
        <w:rPr>
          <w:spacing w:val="-1"/>
        </w:rPr>
        <w:t>整为</w:t>
      </w:r>
      <w:r>
        <w:rPr>
          <w:rFonts w:ascii="Times New Roman" w:hAnsi="Times New Roman" w:cs="Times New Roman" w:eastAsia="Times New Roman" w:hint="default"/>
          <w:spacing w:val="-1"/>
        </w:rPr>
        <w:t>3.33</w:t>
      </w:r>
      <w:r>
        <w:rPr>
          <w:spacing w:val="-1"/>
        </w:rPr>
        <w:t>元</w:t>
      </w:r>
      <w:r>
        <w:rPr>
          <w:rFonts w:ascii="Times New Roman" w:hAnsi="Times New Roman" w:cs="Times New Roman" w:eastAsia="Times New Roman" w:hint="default"/>
          <w:spacing w:val="-1"/>
        </w:rPr>
        <w:t>/</w:t>
      </w:r>
      <w:r>
        <w:rPr>
          <w:spacing w:val="-1"/>
        </w:rPr>
        <w:t>股；预留部分限制性股票数量由</w:t>
      </w:r>
      <w:r>
        <w:rPr>
          <w:rFonts w:ascii="Times New Roman" w:hAnsi="Times New Roman" w:cs="Times New Roman" w:eastAsia="Times New Roman" w:hint="default"/>
          <w:spacing w:val="-1"/>
        </w:rPr>
        <w:t>96.50</w:t>
      </w:r>
      <w:r>
        <w:rPr>
          <w:spacing w:val="-1"/>
        </w:rPr>
        <w:t>万股调整为</w:t>
      </w:r>
      <w:r>
        <w:rPr>
          <w:rFonts w:ascii="Times New Roman" w:hAnsi="Times New Roman" w:cs="Times New Roman" w:eastAsia="Times New Roman" w:hint="default"/>
          <w:spacing w:val="-1"/>
        </w:rPr>
        <w:t>163.8894</w:t>
      </w:r>
      <w:r>
        <w:rPr>
          <w:spacing w:val="-1"/>
        </w:rPr>
        <w:t>万股，预留部分授予价格由</w:t>
      </w:r>
      <w:r>
        <w:rPr>
          <w:rFonts w:ascii="Times New Roman" w:hAnsi="Times New Roman" w:cs="Times New Roman" w:eastAsia="Times New Roman" w:hint="default"/>
          <w:spacing w:val="-1"/>
        </w:rPr>
        <w:t>5.94</w:t>
      </w:r>
      <w:r>
        <w:rPr>
          <w:spacing w:val="-1"/>
        </w:rPr>
        <w:t>元</w:t>
      </w:r>
      <w:r>
        <w:rPr>
          <w:rFonts w:ascii="Times New Roman" w:hAnsi="Times New Roman" w:cs="Times New Roman" w:eastAsia="Times New Roman" w:hint="default"/>
          <w:spacing w:val="-1"/>
        </w:rPr>
        <w:t>/</w:t>
      </w:r>
      <w:r>
        <w:rPr>
          <w:spacing w:val="-1"/>
        </w:rPr>
        <w:t>股调整为</w:t>
      </w:r>
      <w:r>
        <w:rPr>
          <w:rFonts w:ascii="Times New Roman" w:hAnsi="Times New Roman" w:cs="Times New Roman" w:eastAsia="Times New Roman" w:hint="default"/>
          <w:spacing w:val="-1"/>
        </w:rPr>
        <w:t>3.48</w:t>
      </w:r>
      <w:r>
        <w:rPr>
          <w:spacing w:val="-1"/>
        </w:rPr>
        <w:t>元</w:t>
      </w:r>
      <w:r>
        <w:rPr>
          <w:rFonts w:ascii="Times New Roman" w:hAnsi="Times New Roman" w:cs="Times New Roman" w:eastAsia="Times New Roman" w:hint="default"/>
          <w:spacing w:val="-1"/>
        </w:rPr>
        <w:t>/</w:t>
      </w:r>
      <w:r>
        <w:rPr>
          <w:spacing w:val="-1"/>
        </w:rPr>
        <w:t>股。</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21"/>
          <w:szCs w:val="21"/>
        </w:rPr>
      </w:pPr>
    </w:p>
    <w:p>
      <w:pPr>
        <w:pStyle w:val="BodyText"/>
        <w:spacing w:line="456" w:lineRule="auto"/>
        <w:ind w:right="1172"/>
        <w:jc w:val="both"/>
      </w:pPr>
      <w:r>
        <w:rPr/>
        <w:t>（</w:t>
      </w:r>
      <w:r>
        <w:rPr>
          <w:rFonts w:ascii="宋体" w:hAnsi="宋体" w:cs="宋体" w:eastAsia="宋体"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日，公司对离职的激励对象所持已获授但尚未解锁的限制性股票共计</w:t>
      </w:r>
      <w:r>
        <w:rPr>
          <w:rFonts w:ascii="Times New Roman" w:hAnsi="Times New Roman" w:cs="Times New Roman" w:eastAsia="Times New Roman" w:hint="default"/>
        </w:rPr>
        <w:t>84,761</w:t>
      </w:r>
      <w:r>
        <w:rPr/>
        <w:t>股进行回购注销，公司股份总</w:t>
      </w:r>
      <w:r>
        <w:rPr>
          <w:spacing w:val="-84"/>
        </w:rPr>
        <w:t> </w:t>
      </w:r>
      <w:r>
        <w:rPr/>
        <w:t>数由</w:t>
      </w:r>
      <w:r>
        <w:rPr>
          <w:rFonts w:ascii="Times New Roman" w:hAnsi="Times New Roman" w:cs="Times New Roman" w:eastAsia="Times New Roman" w:hint="default"/>
        </w:rPr>
        <w:t>408,490,226</w:t>
      </w:r>
      <w:r>
        <w:rPr/>
        <w:t>股减少至</w:t>
      </w:r>
      <w:r>
        <w:rPr>
          <w:rFonts w:ascii="Times New Roman" w:hAnsi="Times New Roman" w:cs="Times New Roman" w:eastAsia="Times New Roman" w:hint="default"/>
        </w:rPr>
        <w:t>408,405,465</w:t>
      </w:r>
      <w:r>
        <w:rPr/>
        <w:t>股，公司股本结构由限售股股东占比</w:t>
      </w:r>
      <w:r>
        <w:rPr>
          <w:rFonts w:ascii="Times New Roman" w:hAnsi="Times New Roman" w:cs="Times New Roman" w:eastAsia="Times New Roman" w:hint="default"/>
        </w:rPr>
        <w:t>40.58%</w:t>
      </w:r>
      <w:r>
        <w:rPr/>
        <w:t>，无限售条件流通股股东占比</w:t>
      </w:r>
      <w:r>
        <w:rPr>
          <w:rFonts w:ascii="Times New Roman" w:hAnsi="Times New Roman" w:cs="Times New Roman" w:eastAsia="Times New Roman" w:hint="default"/>
        </w:rPr>
        <w:t>59.42%</w:t>
      </w:r>
      <w:r>
        <w:rPr/>
        <w:t>，变</w:t>
      </w:r>
      <w:r>
        <w:rPr>
          <w:spacing w:val="-81"/>
        </w:rPr>
        <w:t> </w:t>
      </w:r>
      <w:r>
        <w:rPr/>
        <w:t>为限售股股东占比</w:t>
      </w:r>
      <w:r>
        <w:rPr>
          <w:rFonts w:ascii="Times New Roman" w:hAnsi="Times New Roman" w:cs="Times New Roman" w:eastAsia="Times New Roman" w:hint="default"/>
        </w:rPr>
        <w:t>40.57%</w:t>
      </w:r>
      <w:r>
        <w:rPr/>
        <w:t>，无限售条件流通股股东占比</w:t>
      </w:r>
      <w:r>
        <w:rPr>
          <w:rFonts w:ascii="Times New Roman" w:hAnsi="Times New Roman" w:cs="Times New Roman" w:eastAsia="Times New Roman" w:hint="default"/>
        </w:rPr>
        <w:t>59.43%</w:t>
      </w:r>
      <w:r>
        <w:rPr/>
        <w:t>。</w:t>
      </w:r>
    </w:p>
    <w:p>
      <w:pPr>
        <w:pStyle w:val="BodyText"/>
        <w:spacing w:line="448" w:lineRule="auto" w:before="36"/>
        <w:ind w:right="1128"/>
        <w:jc w:val="both"/>
      </w:pPr>
      <w:r>
        <w:rPr/>
        <w:t>（</w:t>
      </w:r>
      <w:r>
        <w:rPr>
          <w:rFonts w:ascii="宋体" w:hAnsi="宋体" w:cs="宋体" w:eastAsia="宋体"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日，公司完成</w:t>
      </w:r>
      <w:r>
        <w:rPr>
          <w:rFonts w:ascii="Times New Roman" w:hAnsi="Times New Roman" w:cs="Times New Roman" w:eastAsia="Times New Roman" w:hint="default"/>
        </w:rPr>
        <w:t>2018</w:t>
      </w:r>
      <w:r>
        <w:rPr/>
        <w:t>年限制性股票预留部分的上市流通事项，向激励对象授予了</w:t>
      </w:r>
      <w:r>
        <w:rPr>
          <w:rFonts w:ascii="Times New Roman" w:hAnsi="Times New Roman" w:cs="Times New Roman" w:eastAsia="Times New Roman" w:hint="default"/>
        </w:rPr>
        <w:t>965,000</w:t>
      </w:r>
      <w:r>
        <w:rPr/>
        <w:t>股限制性股票，全</w:t>
      </w:r>
      <w:r>
        <w:rPr>
          <w:spacing w:val="-84"/>
        </w:rPr>
        <w:t> </w:t>
      </w:r>
      <w:r>
        <w:rPr>
          <w:spacing w:val="-2"/>
        </w:rPr>
        <w:t>部为有条件限售股。本次授予事项完成后，公司总股本由</w:t>
      </w:r>
      <w:r>
        <w:rPr>
          <w:rFonts w:ascii="Times New Roman" w:hAnsi="Times New Roman" w:cs="Times New Roman" w:eastAsia="Times New Roman" w:hint="default"/>
          <w:spacing w:val="-2"/>
        </w:rPr>
        <w:t>408,405,465</w:t>
      </w:r>
      <w:r>
        <w:rPr>
          <w:spacing w:val="-2"/>
        </w:rPr>
        <w:t>股增加至</w:t>
      </w:r>
      <w:r>
        <w:rPr>
          <w:rFonts w:ascii="Times New Roman" w:hAnsi="Times New Roman" w:cs="Times New Roman" w:eastAsia="Times New Roman" w:hint="default"/>
          <w:spacing w:val="-2"/>
        </w:rPr>
        <w:t>409,370,465</w:t>
      </w:r>
      <w:r>
        <w:rPr>
          <w:spacing w:val="-2"/>
        </w:rPr>
        <w:t>股，公司股本结构由限售股股东占</w:t>
      </w:r>
      <w:r>
        <w:rPr>
          <w:spacing w:val="-43"/>
        </w:rPr>
        <w:t> </w:t>
      </w:r>
      <w:r>
        <w:rPr>
          <w:spacing w:val="-43"/>
        </w:rPr>
      </w:r>
      <w:r>
        <w:rPr/>
        <w:t>比</w:t>
      </w:r>
      <w:r>
        <w:rPr>
          <w:rFonts w:ascii="Times New Roman" w:hAnsi="Times New Roman" w:cs="Times New Roman" w:eastAsia="Times New Roman" w:hint="default"/>
        </w:rPr>
        <w:t>40.57%</w:t>
      </w:r>
      <w:r>
        <w:rPr/>
        <w:t>，无限售条件流通股股东占比</w:t>
      </w:r>
      <w:r>
        <w:rPr>
          <w:rFonts w:ascii="Times New Roman" w:hAnsi="Times New Roman" w:cs="Times New Roman" w:eastAsia="Times New Roman" w:hint="default"/>
        </w:rPr>
        <w:t>59.43%</w:t>
      </w:r>
      <w:r>
        <w:rPr/>
        <w:t>，变为限售股股东占比</w:t>
      </w:r>
      <w:r>
        <w:rPr>
          <w:rFonts w:ascii="Times New Roman" w:hAnsi="Times New Roman" w:cs="Times New Roman" w:eastAsia="Times New Roman" w:hint="default"/>
        </w:rPr>
        <w:t>40.71%</w:t>
      </w:r>
      <w:r>
        <w:rPr/>
        <w:t>，无限售条件流通股股东占比</w:t>
      </w:r>
      <w:r>
        <w:rPr>
          <w:rFonts w:ascii="Times New Roman" w:hAnsi="Times New Roman" w:cs="Times New Roman" w:eastAsia="Times New Roman" w:hint="default"/>
        </w:rPr>
        <w:t>59.29%</w:t>
      </w:r>
      <w:r>
        <w:rPr/>
        <w:t>。</w:t>
      </w:r>
    </w:p>
    <w:p>
      <w:pPr>
        <w:pStyle w:val="BodyText"/>
        <w:spacing w:line="456" w:lineRule="auto" w:before="43"/>
        <w:ind w:right="0"/>
        <w:jc w:val="left"/>
      </w:pPr>
      <w:r>
        <w:rPr>
          <w:spacing w:val="-1"/>
        </w:rPr>
        <w:t>（</w:t>
      </w:r>
      <w:r>
        <w:rPr>
          <w:rFonts w:ascii="宋体" w:hAnsi="宋体" w:cs="宋体" w:eastAsia="宋体"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日，公司实施完毕</w:t>
      </w:r>
      <w:r>
        <w:rPr>
          <w:rFonts w:ascii="Times New Roman" w:hAnsi="Times New Roman" w:cs="Times New Roman" w:eastAsia="Times New Roman" w:hint="default"/>
          <w:spacing w:val="-1"/>
        </w:rPr>
        <w:t>2018</w:t>
      </w:r>
      <w:r>
        <w:rPr>
          <w:spacing w:val="-1"/>
        </w:rPr>
        <w:t>年度利润分配方案，公司总股本从</w:t>
      </w:r>
      <w:r>
        <w:rPr>
          <w:rFonts w:ascii="Times New Roman" w:hAnsi="Times New Roman" w:cs="Times New Roman" w:eastAsia="Times New Roman" w:hint="default"/>
          <w:spacing w:val="-1"/>
        </w:rPr>
        <w:t>409,370,465</w:t>
      </w:r>
      <w:r>
        <w:rPr>
          <w:spacing w:val="-1"/>
        </w:rPr>
        <w:t>股变更为</w:t>
      </w:r>
      <w:r>
        <w:rPr>
          <w:rFonts w:ascii="Times New Roman" w:hAnsi="Times New Roman" w:cs="Times New Roman" w:eastAsia="Times New Roman" w:hint="default"/>
          <w:spacing w:val="-1"/>
        </w:rPr>
        <w:t>692,535,769</w:t>
      </w:r>
      <w:r>
        <w:rPr>
          <w:spacing w:val="-1"/>
        </w:rPr>
        <w:t>股，因回购的股</w:t>
      </w:r>
      <w:r>
        <w:rPr>
          <w:spacing w:val="-73"/>
        </w:rPr>
        <w:t> </w:t>
      </w:r>
      <w:r>
        <w:rPr>
          <w:spacing w:val="-73"/>
        </w:rPr>
      </w:r>
      <w:r>
        <w:rPr/>
        <w:t>份不参与公司</w:t>
      </w:r>
      <w:r>
        <w:rPr>
          <w:rFonts w:ascii="Times New Roman" w:hAnsi="Times New Roman" w:cs="Times New Roman" w:eastAsia="Times New Roman" w:hint="default"/>
        </w:rPr>
        <w:t>2018</w:t>
      </w:r>
      <w:r>
        <w:rPr/>
        <w:t>年度的权益分派，故公司股本结构由限售股股东占比</w:t>
      </w:r>
      <w:r>
        <w:rPr>
          <w:rFonts w:ascii="Times New Roman" w:hAnsi="Times New Roman" w:cs="Times New Roman" w:eastAsia="Times New Roman" w:hint="default"/>
        </w:rPr>
        <w:t>40.71%</w:t>
      </w:r>
      <w:r>
        <w:rPr/>
        <w:t>，无限售条件流通股股东占比</w:t>
      </w:r>
      <w:r>
        <w:rPr>
          <w:rFonts w:ascii="Times New Roman" w:hAnsi="Times New Roman" w:cs="Times New Roman" w:eastAsia="Times New Roman" w:hint="default"/>
        </w:rPr>
        <w:t>59.29%</w:t>
      </w:r>
      <w:r>
        <w:rPr/>
        <w:t>，变为</w:t>
      </w:r>
      <w:r>
        <w:rPr>
          <w:spacing w:val="-82"/>
        </w:rPr>
        <w:t> </w:t>
      </w:r>
      <w:r>
        <w:rPr/>
        <w:t>限售股股东占比</w:t>
      </w:r>
      <w:r>
        <w:rPr>
          <w:rFonts w:ascii="Times New Roman" w:hAnsi="Times New Roman" w:cs="Times New Roman" w:eastAsia="Times New Roman" w:hint="default"/>
        </w:rPr>
        <w:t>40.87%</w:t>
      </w:r>
      <w:r>
        <w:rPr/>
        <w:t>，无限售条件流通股股东占比</w:t>
      </w:r>
      <w:r>
        <w:rPr>
          <w:rFonts w:ascii="Times New Roman" w:hAnsi="Times New Roman" w:cs="Times New Roman" w:eastAsia="Times New Roman" w:hint="default"/>
        </w:rPr>
        <w:t>59.13%</w:t>
      </w:r>
      <w:r>
        <w:rPr/>
        <w:t>。</w:t>
      </w:r>
    </w:p>
    <w:p>
      <w:pPr>
        <w:pStyle w:val="BodyText"/>
        <w:spacing w:line="448" w:lineRule="auto" w:before="36"/>
        <w:ind w:right="1126"/>
        <w:jc w:val="both"/>
      </w:pPr>
      <w:r>
        <w:rPr/>
        <w:t>（</w:t>
      </w:r>
      <w:r>
        <w:rPr>
          <w:rFonts w:ascii="宋体" w:hAnsi="宋体" w:cs="宋体" w:eastAsia="宋体"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日，公司第二期激励计划首次授予限制性股票第三个解锁期解锁条件达成，公司为</w:t>
      </w:r>
      <w:r>
        <w:rPr>
          <w:rFonts w:ascii="Times New Roman" w:hAnsi="Times New Roman" w:cs="Times New Roman" w:eastAsia="Times New Roman" w:hint="default"/>
        </w:rPr>
        <w:t>57</w:t>
      </w:r>
      <w:r>
        <w:rPr/>
        <w:t>名激励对象办理相关</w:t>
      </w:r>
      <w:r>
        <w:rPr>
          <w:spacing w:val="-83"/>
        </w:rPr>
        <w:t> </w:t>
      </w:r>
      <w:r>
        <w:rPr/>
        <w:t>解锁手续，公司股本结构由限售股股东占比</w:t>
      </w:r>
      <w:r>
        <w:rPr>
          <w:rFonts w:ascii="Times New Roman" w:hAnsi="Times New Roman" w:cs="Times New Roman" w:eastAsia="Times New Roman" w:hint="default"/>
        </w:rPr>
        <w:t>40.87%</w:t>
      </w:r>
      <w:r>
        <w:rPr/>
        <w:t>，无限售条件流通股股东占比</w:t>
      </w:r>
      <w:r>
        <w:rPr>
          <w:rFonts w:ascii="Times New Roman" w:hAnsi="Times New Roman" w:cs="Times New Roman" w:eastAsia="Times New Roman" w:hint="default"/>
        </w:rPr>
        <w:t>59.13%</w:t>
      </w:r>
      <w:r>
        <w:rPr/>
        <w:t>，变为限售股股东占比</w:t>
      </w:r>
      <w:r>
        <w:rPr>
          <w:rFonts w:ascii="Times New Roman" w:hAnsi="Times New Roman" w:cs="Times New Roman" w:eastAsia="Times New Roman" w:hint="default"/>
        </w:rPr>
        <w:t>40.72%</w:t>
      </w:r>
      <w:r>
        <w:rPr/>
        <w:t>，无</w:t>
      </w:r>
      <w:r>
        <w:rPr>
          <w:spacing w:val="-82"/>
        </w:rPr>
        <w:t> </w:t>
      </w:r>
      <w:r>
        <w:rPr/>
        <w:t>限售条件流通股股东占比</w:t>
      </w:r>
      <w:r>
        <w:rPr>
          <w:rFonts w:ascii="Times New Roman" w:hAnsi="Times New Roman" w:cs="Times New Roman" w:eastAsia="Times New Roman" w:hint="default"/>
        </w:rPr>
        <w:t>59.28%</w:t>
      </w:r>
      <w:r>
        <w:rPr/>
        <w:t>。</w:t>
      </w:r>
    </w:p>
    <w:p>
      <w:pPr>
        <w:pStyle w:val="BodyText"/>
        <w:spacing w:line="448" w:lineRule="auto" w:before="58"/>
        <w:ind w:right="0"/>
        <w:jc w:val="left"/>
      </w:pPr>
      <w:r>
        <w:rPr/>
        <w:t>（</w:t>
      </w:r>
      <w:r>
        <w:rPr>
          <w:rFonts w:ascii="宋体" w:hAnsi="宋体" w:cs="宋体" w:eastAsia="宋体"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2018</w:t>
      </w:r>
      <w:r>
        <w:rPr/>
        <w:t>年股权激励计划首次授予限制性股票第一个解锁期解锁条件达成，公司为</w:t>
      </w:r>
      <w:r>
        <w:rPr>
          <w:rFonts w:ascii="Times New Roman" w:hAnsi="Times New Roman" w:cs="Times New Roman" w:eastAsia="Times New Roman" w:hint="default"/>
        </w:rPr>
        <w:t>181</w:t>
      </w:r>
      <w:r>
        <w:rPr/>
        <w:t>名激励对象办</w:t>
      </w:r>
      <w:r>
        <w:rPr>
          <w:spacing w:val="-83"/>
        </w:rPr>
        <w:t> </w:t>
      </w:r>
      <w:r>
        <w:rPr>
          <w:spacing w:val="-4"/>
        </w:rPr>
        <w:t>理相关解锁手续，公司股本结构由限售股股东占比</w:t>
      </w:r>
      <w:r>
        <w:rPr>
          <w:rFonts w:ascii="Times New Roman" w:hAnsi="Times New Roman" w:cs="Times New Roman" w:eastAsia="Times New Roman" w:hint="default"/>
          <w:spacing w:val="-4"/>
        </w:rPr>
        <w:t>40.72%</w:t>
      </w:r>
      <w:r>
        <w:rPr>
          <w:spacing w:val="-4"/>
        </w:rPr>
        <w:t>，无限售条件流通股股东占比</w:t>
      </w:r>
      <w:r>
        <w:rPr>
          <w:rFonts w:ascii="Times New Roman" w:hAnsi="Times New Roman" w:cs="Times New Roman" w:eastAsia="Times New Roman" w:hint="default"/>
          <w:spacing w:val="-4"/>
        </w:rPr>
        <w:t>59.28%</w:t>
      </w:r>
      <w:r>
        <w:rPr>
          <w:spacing w:val="-4"/>
        </w:rPr>
        <w:t>，变为限售股股东占比</w:t>
      </w:r>
      <w:r>
        <w:rPr>
          <w:rFonts w:ascii="Times New Roman" w:hAnsi="Times New Roman" w:cs="Times New Roman" w:eastAsia="Times New Roman" w:hint="default"/>
          <w:spacing w:val="-4"/>
        </w:rPr>
        <w:t>39.28%</w:t>
      </w:r>
      <w:r>
        <w:rPr>
          <w:spacing w:val="-4"/>
        </w:rPr>
        <w:t>，</w:t>
      </w:r>
      <w:r>
        <w:rPr>
          <w:spacing w:val="-53"/>
        </w:rPr>
        <w:t> </w:t>
      </w:r>
      <w:r>
        <w:rPr/>
        <w:t>无限售条件流通股股东占比</w:t>
      </w:r>
      <w:r>
        <w:rPr>
          <w:rFonts w:ascii="Times New Roman" w:hAnsi="Times New Roman" w:cs="Times New Roman" w:eastAsia="Times New Roman" w:hint="default"/>
        </w:rPr>
        <w:t>60.72%</w:t>
      </w:r>
      <w:r>
        <w:rPr/>
        <w:t>。</w:t>
      </w:r>
    </w:p>
    <w:p>
      <w:pPr>
        <w:pStyle w:val="BodyText"/>
        <w:spacing w:line="240" w:lineRule="auto" w:before="42"/>
        <w:ind w:right="0"/>
        <w:jc w:val="both"/>
      </w:pPr>
      <w:r>
        <w:rPr/>
        <w:t>（</w:t>
      </w:r>
      <w:r>
        <w:rPr>
          <w:rFonts w:ascii="宋体" w:hAnsi="宋体" w:cs="宋体" w:eastAsia="宋体"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2018</w:t>
      </w:r>
      <w:r>
        <w:rPr/>
        <w:t>年股权激励计划中</w:t>
      </w:r>
      <w:r>
        <w:rPr>
          <w:rFonts w:ascii="Times New Roman" w:hAnsi="Times New Roman" w:cs="Times New Roman" w:eastAsia="Times New Roman" w:hint="default"/>
        </w:rPr>
        <w:t>4</w:t>
      </w:r>
      <w:r>
        <w:rPr/>
        <w:t>名激励对象完成第一个行权期行权事项，公司总股本由</w:t>
      </w:r>
      <w:r>
        <w:rPr>
          <w:rFonts w:ascii="Times New Roman" w:hAnsi="Times New Roman" w:cs="Times New Roman" w:eastAsia="Times New Roman" w:hint="default"/>
        </w:rPr>
        <w:t>692,535,769</w:t>
      </w:r>
      <w:r>
        <w:rPr/>
        <w:t>股增</w:t>
      </w:r>
    </w:p>
    <w:p>
      <w:pPr>
        <w:spacing w:after="0" w:line="240" w:lineRule="auto"/>
        <w:jc w:val="both"/>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both"/>
      </w:pPr>
      <w:r>
        <w:rPr/>
        <w:t>加至</w:t>
      </w:r>
      <w:r>
        <w:rPr>
          <w:rFonts w:ascii="Times New Roman" w:hAnsi="Times New Roman" w:cs="Times New Roman" w:eastAsia="Times New Roman" w:hint="default"/>
        </w:rPr>
        <w:t>692,980,369</w:t>
      </w:r>
      <w:r>
        <w:rPr/>
        <w:t>股，公司股本结构由限售股股东占比</w:t>
      </w:r>
      <w:r>
        <w:rPr>
          <w:rFonts w:ascii="Times New Roman" w:hAnsi="Times New Roman" w:cs="Times New Roman" w:eastAsia="Times New Roman" w:hint="default"/>
        </w:rPr>
        <w:t>39.28%</w:t>
      </w:r>
      <w:r>
        <w:rPr/>
        <w:t>，无限售条件流通股股东占比</w:t>
      </w:r>
      <w:r>
        <w:rPr>
          <w:rFonts w:ascii="Times New Roman" w:hAnsi="Times New Roman" w:cs="Times New Roman" w:eastAsia="Times New Roman" w:hint="default"/>
        </w:rPr>
        <w:t>60.72%</w:t>
      </w:r>
      <w:r>
        <w:rPr/>
        <w:t>，变为限售股股东占比</w:t>
      </w:r>
    </w:p>
    <w:p>
      <w:pPr>
        <w:spacing w:line="240" w:lineRule="auto" w:before="7"/>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39.25%</w:t>
      </w:r>
      <w:r>
        <w:rPr/>
        <w:t>，无限售条件流通股股东占比</w:t>
      </w:r>
      <w:r>
        <w:rPr>
          <w:rFonts w:ascii="Times New Roman" w:hAnsi="Times New Roman" w:cs="Times New Roman" w:eastAsia="Times New Roman" w:hint="default"/>
        </w:rPr>
        <w:t>60.75%</w:t>
      </w:r>
      <w:r>
        <w:rPr/>
        <w:t>。</w:t>
      </w:r>
    </w:p>
    <w:p>
      <w:pPr>
        <w:spacing w:line="240" w:lineRule="auto" w:before="7"/>
        <w:rPr>
          <w:rFonts w:ascii="宋体" w:hAnsi="宋体" w:cs="宋体" w:eastAsia="宋体" w:hint="default"/>
          <w:sz w:val="16"/>
          <w:szCs w:val="16"/>
        </w:rPr>
      </w:pPr>
    </w:p>
    <w:p>
      <w:pPr>
        <w:pStyle w:val="BodyText"/>
        <w:spacing w:line="456" w:lineRule="auto"/>
        <w:ind w:right="1127"/>
        <w:jc w:val="both"/>
      </w:pPr>
      <w:r>
        <w:rPr>
          <w:spacing w:val="-1"/>
        </w:rPr>
        <w:t>（</w:t>
      </w:r>
      <w:r>
        <w:rPr>
          <w:rFonts w:ascii="宋体" w:hAnsi="宋体" w:cs="宋体" w:eastAsia="宋体" w:hint="default"/>
          <w:spacing w:val="-1"/>
        </w:rPr>
        <w:t>7</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w:t>
      </w:r>
      <w:r>
        <w:rPr>
          <w:spacing w:val="-1"/>
        </w:rPr>
        <w:t>日，公司对离职的激励对象所持已获授但尚未解锁的限制性股票共计</w:t>
      </w:r>
      <w:r>
        <w:rPr>
          <w:rFonts w:ascii="Times New Roman" w:hAnsi="Times New Roman" w:cs="Times New Roman" w:eastAsia="Times New Roman" w:hint="default"/>
          <w:spacing w:val="-1"/>
        </w:rPr>
        <w:t>68,550</w:t>
      </w:r>
      <w:r>
        <w:rPr>
          <w:spacing w:val="-1"/>
        </w:rPr>
        <w:t>股进行回购注销，公司股份总</w:t>
      </w:r>
      <w:r>
        <w:rPr>
          <w:spacing w:val="-69"/>
        </w:rPr>
        <w:t> </w:t>
      </w:r>
      <w:r>
        <w:rPr>
          <w:spacing w:val="-69"/>
        </w:rPr>
      </w:r>
      <w:r>
        <w:rPr/>
        <w:t>数由</w:t>
      </w:r>
      <w:r>
        <w:rPr>
          <w:rFonts w:ascii="Times New Roman" w:hAnsi="Times New Roman" w:cs="Times New Roman" w:eastAsia="Times New Roman" w:hint="default"/>
        </w:rPr>
        <w:t>692,980,369</w:t>
      </w:r>
      <w:r>
        <w:rPr/>
        <w:t>股减少至</w:t>
      </w:r>
      <w:r>
        <w:rPr>
          <w:rFonts w:ascii="Times New Roman" w:hAnsi="Times New Roman" w:cs="Times New Roman" w:eastAsia="Times New Roman" w:hint="default"/>
        </w:rPr>
        <w:t>692,911,819</w:t>
      </w:r>
      <w:r>
        <w:rPr/>
        <w:t>股，公司股本结构由限售股股东占比</w:t>
      </w:r>
      <w:r>
        <w:rPr>
          <w:rFonts w:ascii="Times New Roman" w:hAnsi="Times New Roman" w:cs="Times New Roman" w:eastAsia="Times New Roman" w:hint="default"/>
        </w:rPr>
        <w:t>39.25%</w:t>
      </w:r>
      <w:r>
        <w:rPr/>
        <w:t>，无限售条件流通股股东占比</w:t>
      </w:r>
      <w:r>
        <w:rPr>
          <w:rFonts w:ascii="Times New Roman" w:hAnsi="Times New Roman" w:cs="Times New Roman" w:eastAsia="Times New Roman" w:hint="default"/>
        </w:rPr>
        <w:t>60.75%</w:t>
      </w:r>
      <w:r>
        <w:rPr/>
        <w:t>，变</w:t>
      </w:r>
      <w:r>
        <w:rPr>
          <w:spacing w:val="-81"/>
        </w:rPr>
        <w:t> </w:t>
      </w:r>
      <w:r>
        <w:rPr/>
        <w:t>为限售股股东占比</w:t>
      </w:r>
      <w:r>
        <w:rPr>
          <w:rFonts w:ascii="Times New Roman" w:hAnsi="Times New Roman" w:cs="Times New Roman" w:eastAsia="Times New Roman" w:hint="default"/>
        </w:rPr>
        <w:t>39.25%</w:t>
      </w:r>
      <w:r>
        <w:rPr/>
        <w:t>，无限售条件流通股股东占比</w:t>
      </w:r>
      <w:r>
        <w:rPr>
          <w:rFonts w:ascii="Times New Roman" w:hAnsi="Times New Roman" w:cs="Times New Roman" w:eastAsia="Times New Roman" w:hint="default"/>
        </w:rPr>
        <w:t>60.75%</w:t>
      </w:r>
      <w:r>
        <w:rPr/>
        <w:t>。</w:t>
      </w:r>
    </w:p>
    <w:p>
      <w:pPr>
        <w:pStyle w:val="BodyText"/>
        <w:spacing w:line="448" w:lineRule="auto" w:before="37"/>
        <w:ind w:right="1126"/>
        <w:jc w:val="both"/>
      </w:pPr>
      <w:r>
        <w:rPr>
          <w:spacing w:val="-1"/>
        </w:rPr>
        <w:t>（</w:t>
      </w:r>
      <w:r>
        <w:rPr>
          <w:rFonts w:ascii="宋体" w:hAnsi="宋体" w:cs="宋体" w:eastAsia="宋体" w:hint="default"/>
          <w:spacing w:val="-1"/>
        </w:rPr>
        <w:t>8</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日，公司对离职的激励对象所持已获授但尚未解锁的限制性股票共计</w:t>
      </w:r>
      <w:r>
        <w:rPr>
          <w:rFonts w:ascii="Times New Roman" w:hAnsi="Times New Roman" w:cs="Times New Roman" w:eastAsia="Times New Roman" w:hint="default"/>
          <w:spacing w:val="-1"/>
        </w:rPr>
        <w:t>590,405</w:t>
      </w:r>
      <w:r>
        <w:rPr>
          <w:spacing w:val="-1"/>
        </w:rPr>
        <w:t>股进行回购注销，公司股份</w:t>
      </w:r>
      <w:r>
        <w:rPr>
          <w:spacing w:val="-67"/>
        </w:rPr>
        <w:t> </w:t>
      </w:r>
      <w:r>
        <w:rPr>
          <w:spacing w:val="-67"/>
        </w:rPr>
      </w:r>
      <w:r>
        <w:rPr/>
        <w:t>总数由</w:t>
      </w:r>
      <w:r>
        <w:rPr>
          <w:rFonts w:ascii="Times New Roman" w:hAnsi="Times New Roman" w:cs="Times New Roman" w:eastAsia="Times New Roman" w:hint="default"/>
        </w:rPr>
        <w:t>692,911,819</w:t>
      </w:r>
      <w:r>
        <w:rPr/>
        <w:t>股减少至</w:t>
      </w:r>
      <w:r>
        <w:rPr>
          <w:rFonts w:ascii="Times New Roman" w:hAnsi="Times New Roman" w:cs="Times New Roman" w:eastAsia="Times New Roman" w:hint="default"/>
        </w:rPr>
        <w:t>692,321,414</w:t>
      </w:r>
      <w:r>
        <w:rPr/>
        <w:t>股，公司股本结构由限售股股东占比</w:t>
      </w:r>
      <w:r>
        <w:rPr>
          <w:rFonts w:ascii="Times New Roman" w:hAnsi="Times New Roman" w:cs="Times New Roman" w:eastAsia="Times New Roman" w:hint="default"/>
        </w:rPr>
        <w:t>39.25%</w:t>
      </w:r>
      <w:r>
        <w:rPr/>
        <w:t>，无限售条件流通股股东占比</w:t>
      </w:r>
      <w:r>
        <w:rPr>
          <w:rFonts w:ascii="Times New Roman" w:hAnsi="Times New Roman" w:cs="Times New Roman" w:eastAsia="Times New Roman" w:hint="default"/>
        </w:rPr>
        <w:t>60.75%</w:t>
      </w:r>
      <w:r>
        <w:rPr/>
        <w:t>，</w:t>
      </w:r>
      <w:r>
        <w:rPr>
          <w:spacing w:val="-83"/>
        </w:rPr>
        <w:t> </w:t>
      </w:r>
      <w:r>
        <w:rPr/>
        <w:t>变为限售股股东占比</w:t>
      </w:r>
      <w:r>
        <w:rPr>
          <w:rFonts w:ascii="Times New Roman" w:hAnsi="Times New Roman" w:cs="Times New Roman" w:eastAsia="Times New Roman" w:hint="default"/>
        </w:rPr>
        <w:t>39.20%</w:t>
      </w:r>
      <w:r>
        <w:rPr/>
        <w:t>，无限售条件流通股股东占比</w:t>
      </w:r>
      <w:r>
        <w:rPr>
          <w:rFonts w:ascii="Times New Roman" w:hAnsi="Times New Roman" w:cs="Times New Roman" w:eastAsia="Times New Roman" w:hint="default"/>
        </w:rPr>
        <w:t>60.80%</w:t>
      </w:r>
      <w:r>
        <w:rPr/>
        <w:t>。</w:t>
      </w:r>
    </w:p>
    <w:p>
      <w:pPr>
        <w:pStyle w:val="BodyText"/>
        <w:spacing w:line="448" w:lineRule="auto" w:before="58"/>
        <w:ind w:right="1127"/>
        <w:jc w:val="both"/>
      </w:pPr>
      <w:r>
        <w:rPr>
          <w:spacing w:val="-5"/>
        </w:rPr>
        <w:t>（</w:t>
      </w:r>
      <w:r>
        <w:rPr>
          <w:rFonts w:ascii="宋体" w:hAnsi="宋体" w:cs="宋体" w:eastAsia="宋体" w:hint="default"/>
          <w:spacing w:val="-5"/>
        </w:rPr>
        <w:t>9</w:t>
      </w:r>
      <w:r>
        <w:rPr>
          <w:spacing w:val="-5"/>
        </w:rPr>
        <w:t>）报告期末，公司总资产为</w:t>
      </w:r>
      <w:r>
        <w:rPr>
          <w:rFonts w:ascii="Times New Roman" w:hAnsi="Times New Roman" w:cs="Times New Roman" w:eastAsia="Times New Roman" w:hint="default"/>
          <w:spacing w:val="-5"/>
        </w:rPr>
        <w:t>1,810,459,986.30</w:t>
      </w:r>
      <w:r>
        <w:rPr>
          <w:spacing w:val="-5"/>
        </w:rPr>
        <w:t>元，比年初增长了</w:t>
      </w:r>
      <w:r>
        <w:rPr>
          <w:rFonts w:ascii="Times New Roman" w:hAnsi="Times New Roman" w:cs="Times New Roman" w:eastAsia="Times New Roman" w:hint="default"/>
          <w:spacing w:val="-5"/>
        </w:rPr>
        <w:t>12.45%</w:t>
      </w:r>
      <w:r>
        <w:rPr>
          <w:spacing w:val="-5"/>
        </w:rPr>
        <w:t>，其中，归属于上市公司股东的净资产</w:t>
      </w:r>
      <w:r>
        <w:rPr>
          <w:rFonts w:ascii="Times New Roman" w:hAnsi="Times New Roman" w:cs="Times New Roman" w:eastAsia="Times New Roman" w:hint="default"/>
          <w:spacing w:val="-5"/>
        </w:rPr>
        <w:t>1,427,717,932.36</w:t>
      </w:r>
      <w:r>
        <w:rPr>
          <w:rFonts w:ascii="Times New Roman" w:hAnsi="Times New Roman" w:cs="Times New Roman" w:eastAsia="Times New Roman" w:hint="default"/>
          <w:spacing w:val="-29"/>
        </w:rPr>
        <w:t> </w:t>
      </w:r>
      <w:r>
        <w:rPr/>
        <w:t>元，比年初增长了</w:t>
      </w:r>
      <w:r>
        <w:rPr>
          <w:rFonts w:ascii="Times New Roman" w:hAnsi="Times New Roman" w:cs="Times New Roman" w:eastAsia="Times New Roman" w:hint="default"/>
        </w:rPr>
        <w:t>13.52 %</w:t>
      </w:r>
      <w:r>
        <w:rPr/>
        <w:t>。公司负债为</w:t>
      </w:r>
      <w:r>
        <w:rPr>
          <w:rFonts w:ascii="Times New Roman" w:hAnsi="Times New Roman" w:cs="Times New Roman" w:eastAsia="Times New Roman" w:hint="default"/>
        </w:rPr>
        <w:t>292,016,873.88</w:t>
      </w:r>
      <w:r>
        <w:rPr/>
        <w:t>元，比年初增长了</w:t>
      </w:r>
      <w:r>
        <w:rPr>
          <w:rFonts w:ascii="Times New Roman" w:hAnsi="Times New Roman" w:cs="Times New Roman" w:eastAsia="Times New Roman" w:hint="default"/>
        </w:rPr>
        <w:t>2.66</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right="0"/>
        <w:jc w:val="both"/>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10"/>
        <w:jc w:val="right"/>
      </w:pPr>
      <w:r>
        <w:rPr/>
        <w:pict>
          <v:group style="position:absolute;margin-left:329.649994pt;margin-top:82.421707pt;width:53.35pt;height:31.55pt;mso-position-horizontal-relative:page;mso-position-vertical-relative:paragraph;z-index:-1109392" coordorigin="6593,1648" coordsize="1067,631">
            <v:shape style="position:absolute;left:6593;top:1648;width:1067;height:631" coordorigin="6593,1648" coordsize="1067,631" path="m6593,2279l7659,2279,7659,1648,6593,1648,6593,2279xe" filled="true" fillcolor="#ffffff" stroked="false">
              <v:path arrowok="t"/>
              <v:fill type="solid"/>
            </v:shape>
            <w10:wrap type="none"/>
          </v:group>
        </w:pict>
      </w:r>
      <w:r>
        <w:rPr/>
        <w:t>单位：股</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02"/>
        <w:gridCol w:w="1205"/>
        <w:gridCol w:w="924"/>
        <w:gridCol w:w="1074"/>
        <w:gridCol w:w="1055"/>
        <w:gridCol w:w="1066"/>
        <w:gridCol w:w="923"/>
        <w:gridCol w:w="1063"/>
        <w:gridCol w:w="1070"/>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5"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34,103</w:t>
            </w:r>
          </w:p>
        </w:tc>
        <w:tc>
          <w:tcPr>
            <w:tcW w:w="92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29"/>
              <w:ind w:left="11"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4" w:type="dxa"/>
            <w:vMerge w:val="restart"/>
            <w:tcBorders>
              <w:top w:val="single" w:sz="6"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30,475</w:t>
            </w:r>
          </w:p>
        </w:tc>
        <w:tc>
          <w:tcPr>
            <w:tcW w:w="1055"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29"/>
              <w:ind w:left="11" w:right="-52"/>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37"/>
              <w:ind w:left="11" w:right="-8"/>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val="restart"/>
            <w:tcBorders>
              <w:top w:val="single" w:sz="6" w:space="0" w:color="000000"/>
              <w:left w:val="single" w:sz="18"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98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070"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321"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right w:val="single" w:sz="12" w:space="0" w:color="000000"/>
            </w:tcBorders>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12" w:space="0" w:color="000000"/>
              <w:right w:val="single" w:sz="12" w:space="0" w:color="000000"/>
            </w:tcBorders>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18" w:space="0" w:color="D2D2D2"/>
              <w:right w:val="single" w:sz="12" w:space="0" w:color="D2D2D2"/>
            </w:tcBorders>
          </w:tcPr>
          <w:p>
            <w:pPr/>
          </w:p>
        </w:tc>
        <w:tc>
          <w:tcPr>
            <w:tcW w:w="1986"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22" w:right="56"/>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vMerge/>
            <w:tcBorders>
              <w:left w:val="single" w:sz="12" w:space="0" w:color="D2D2D2"/>
              <w:right w:val="single" w:sz="6" w:space="0" w:color="000000"/>
            </w:tcBorders>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12" w:space="0" w:color="000000"/>
            </w:tcBorders>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12" w:space="0" w:color="000000"/>
              <w:bottom w:val="single" w:sz="6" w:space="0" w:color="000000"/>
              <w:right w:val="single" w:sz="12" w:space="0" w:color="000000"/>
            </w:tcBorders>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18" w:space="0" w:color="D2D2D2"/>
              <w:bottom w:val="single" w:sz="6" w:space="0" w:color="000000"/>
              <w:right w:val="single" w:sz="12" w:space="0" w:color="D2D2D2"/>
            </w:tcBorders>
          </w:tcPr>
          <w:p>
            <w:pPr/>
          </w:p>
        </w:tc>
        <w:tc>
          <w:tcPr>
            <w:tcW w:w="198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70" w:type="dxa"/>
            <w:vMerge/>
            <w:tcBorders>
              <w:left w:val="single" w:sz="12" w:space="0" w:color="D2D2D2"/>
              <w:bottom w:val="single" w:sz="6" w:space="0" w:color="000000"/>
              <w:right w:val="single" w:sz="6" w:space="0" w:color="000000"/>
            </w:tcBorders>
          </w:tcPr>
          <w:p>
            <w:pPr/>
          </w:p>
        </w:tc>
      </w:tr>
      <w:tr>
        <w:trPr>
          <w:trHeight w:val="383"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80"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5" w:type="dxa"/>
            <w:vMerge w:val="restart"/>
            <w:tcBorders>
              <w:top w:val="single" w:sz="6" w:space="0" w:color="000000"/>
              <w:left w:val="single" w:sz="6" w:space="0" w:color="000000"/>
              <w:right w:val="single" w:sz="6" w:space="0" w:color="000000"/>
            </w:tcBorders>
            <w:shd w:val="clear" w:color="auto" w:fill="D2D2D2"/>
          </w:tcPr>
          <w:p>
            <w:pP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67" w:right="8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97"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4" w:right="93"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56"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right w:val="single" w:sz="6" w:space="0" w:color="000000"/>
            </w:tcBorders>
            <w:shd w:val="clear" w:color="auto" w:fill="D2D2D2"/>
          </w:tcPr>
          <w:p>
            <w:pPr/>
          </w:p>
        </w:tc>
      </w:tr>
      <w:tr>
        <w:trPr>
          <w:trHeight w:val="135" w:hRule="exact"/>
        </w:trPr>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bottom w:val="single" w:sz="6" w:space="0" w:color="000000"/>
              <w:right w:val="single" w:sz="6" w:space="0" w:color="000000"/>
            </w:tcBorders>
            <w:shd w:val="clear" w:color="auto" w:fill="D2D2D2"/>
          </w:tcPr>
          <w:p>
            <w:pPr/>
          </w:p>
        </w:tc>
      </w:tr>
      <w:tr>
        <w:trPr>
          <w:trHeight w:val="255"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left="16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1205" w:type="dxa"/>
            <w:vMerge w:val="restart"/>
            <w:tcBorders>
              <w:top w:val="nil" w:sz="6" w:space="0" w:color="auto"/>
              <w:left w:val="single" w:sz="6" w:space="0" w:color="000000"/>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tcBorders>
              <w:left w:val="single" w:sz="6" w:space="0" w:color="000000"/>
              <w:right w:val="single" w:sz="6" w:space="0" w:color="000000"/>
            </w:tcBorders>
            <w:shd w:val="clear" w:color="auto" w:fill="D2D2D2"/>
          </w:tcPr>
          <w:p>
            <w:pPr/>
          </w:p>
        </w:tc>
        <w:tc>
          <w:tcPr>
            <w:tcW w:w="1070" w:type="dxa"/>
            <w:vMerge/>
            <w:tcBorders>
              <w:left w:val="single" w:sz="6" w:space="0" w:color="000000"/>
              <w:right w:val="single" w:sz="6" w:space="0" w:color="000000"/>
            </w:tcBorders>
            <w:shd w:val="clear" w:color="auto" w:fill="D2D2D2"/>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923" w:type="dxa"/>
            <w:vMerge/>
            <w:tcBorders>
              <w:left w:val="single" w:sz="6" w:space="0" w:color="000000"/>
              <w:bottom w:val="single" w:sz="6" w:space="0" w:color="000000"/>
              <w:right w:val="single" w:sz="6" w:space="0" w:color="000000"/>
            </w:tcBorders>
            <w:shd w:val="clear" w:color="auto" w:fill="D2D2D2"/>
          </w:tcPr>
          <w:p>
            <w:pPr/>
          </w:p>
        </w:tc>
        <w:tc>
          <w:tcPr>
            <w:tcW w:w="1063" w:type="dxa"/>
            <w:vMerge/>
            <w:tcBorders>
              <w:left w:val="single" w:sz="6" w:space="0" w:color="000000"/>
              <w:bottom w:val="single" w:sz="6" w:space="0" w:color="000000"/>
              <w:right w:val="single" w:sz="6" w:space="0" w:color="000000"/>
            </w:tcBorders>
            <w:shd w:val="clear" w:color="auto" w:fill="D2D2D2"/>
          </w:tcPr>
          <w:p>
            <w:pPr/>
          </w:p>
        </w:tc>
        <w:tc>
          <w:tcPr>
            <w:tcW w:w="1070"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30.28%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209,632,900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 w:right="0"/>
              <w:jc w:val="left"/>
              <w:rPr>
                <w:rFonts w:ascii="Times New Roman" w:hAnsi="Times New Roman" w:cs="Times New Roman" w:eastAsia="Times New Roman" w:hint="default"/>
                <w:sz w:val="18"/>
                <w:szCs w:val="18"/>
              </w:rPr>
            </w:pPr>
            <w:r>
              <w:rPr>
                <w:rFonts w:ascii="Times New Roman"/>
                <w:sz w:val="18"/>
              </w:rPr>
              <w:t>65,777,971.0</w:t>
            </w:r>
          </w:p>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183,235,299</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26,397,601</w:t>
            </w:r>
          </w:p>
        </w:tc>
        <w:tc>
          <w:tcPr>
            <w:tcW w:w="1063"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13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0" w:type="dxa"/>
            <w:tcBorders>
              <w:top w:val="single" w:sz="54" w:space="0" w:color="D2D2D2"/>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90,737,832</w:t>
            </w:r>
          </w:p>
        </w:tc>
      </w:tr>
      <w:tr>
        <w:trPr>
          <w:trHeight w:val="133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89"/>
              <w:jc w:val="both"/>
              <w:rPr>
                <w:rFonts w:ascii="宋体" w:hAnsi="宋体" w:cs="宋体" w:eastAsia="宋体" w:hint="default"/>
                <w:sz w:val="18"/>
                <w:szCs w:val="18"/>
              </w:rPr>
            </w:pPr>
            <w:r>
              <w:rPr>
                <w:rFonts w:ascii="宋体" w:hAnsi="宋体" w:cs="宋体" w:eastAsia="宋体" w:hint="default"/>
                <w:sz w:val="18"/>
                <w:szCs w:val="18"/>
              </w:rPr>
              <w:t>广东粤科智泓 创业投资合伙 企业（有限合 伙）</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 w:right="78"/>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34,680,831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34,680,831.0</w:t>
            </w:r>
          </w:p>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34,680,831</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202"/>
        <w:gridCol w:w="931"/>
        <w:gridCol w:w="1066"/>
        <w:gridCol w:w="1066"/>
        <w:gridCol w:w="1051"/>
        <w:gridCol w:w="931"/>
        <w:gridCol w:w="1067"/>
        <w:gridCol w:w="1066"/>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4.66%</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32,260,282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10,146,092.0</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28,167,962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4,092,320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3.94%</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27,261,648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10,090,911.0</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21,871,235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5,390,413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16,000,000</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3.40%</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23,538,048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6,367,311.00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21,871,235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1,666,813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17,185,258</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1.30%</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8,975,878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-2,863,791.00</w:t>
            </w:r>
          </w:p>
        </w:tc>
        <w:tc>
          <w:tcPr>
            <w:tcW w:w="105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8,975,878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3"/>
              <w:jc w:val="both"/>
              <w:rPr>
                <w:rFonts w:ascii="宋体" w:hAnsi="宋体" w:cs="宋体" w:eastAsia="宋体" w:hint="default"/>
                <w:sz w:val="18"/>
                <w:szCs w:val="18"/>
              </w:rPr>
            </w:pPr>
            <w:r>
              <w:rPr>
                <w:rFonts w:ascii="宋体" w:hAnsi="宋体" w:cs="宋体" w:eastAsia="宋体" w:hint="default"/>
                <w:sz w:val="18"/>
                <w:szCs w:val="18"/>
              </w:rPr>
              <w:t>长信基金－浦 发银行－云南 国际信托－云</w:t>
            </w:r>
          </w:p>
          <w:p>
            <w:pPr>
              <w:pStyle w:val="TableParagraph"/>
              <w:spacing w:line="290" w:lineRule="auto" w:before="33"/>
              <w:ind w:left="15" w:right="43"/>
              <w:jc w:val="both"/>
              <w:rPr>
                <w:rFonts w:ascii="宋体" w:hAnsi="宋体" w:cs="宋体" w:eastAsia="宋体" w:hint="default"/>
                <w:sz w:val="18"/>
                <w:szCs w:val="18"/>
              </w:rPr>
            </w:pPr>
            <w:r>
              <w:rPr>
                <w:rFonts w:ascii="宋体" w:hAnsi="宋体" w:cs="宋体" w:eastAsia="宋体" w:hint="default"/>
                <w:sz w:val="18"/>
                <w:szCs w:val="18"/>
              </w:rPr>
              <w:t>信智兴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号单一资 金信托</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21" w:lineRule="auto"/>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5,748,752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-5,799,970.00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5,748,752</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赣州君恺投资 咨询有限公司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5,089,556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-807,664.00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5,089,556</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杨晓娟</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4,440,000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4,440,000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4,440,000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2,288,000</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4,290,564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4,290,564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4,290,564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304" w:lineRule="auto" w:before="45"/>
              <w:ind w:left="7" w:right="36"/>
              <w:jc w:val="left"/>
              <w:rPr>
                <w:rFonts w:ascii="宋体" w:hAnsi="宋体" w:cs="宋体" w:eastAsia="宋体" w:hint="default"/>
                <w:sz w:val="18"/>
                <w:szCs w:val="18"/>
              </w:rPr>
            </w:pPr>
            <w:r>
              <w:rPr>
                <w:rFonts w:ascii="宋体" w:hAnsi="宋体" w:cs="宋体" w:eastAsia="宋体" w:hint="default"/>
                <w:spacing w:val="-3"/>
                <w:sz w:val="18"/>
                <w:szCs w:val="18"/>
              </w:rPr>
              <w:t>股东茅屏萍与股东茅庆江系姐弟关系，除此以外，公司未知其他股东是否存在关联关系或是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否属一致行动人。</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83" w:hRule="exact"/>
        </w:trPr>
        <w:tc>
          <w:tcPr>
            <w:tcW w:w="24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3" w:hRule="exact"/>
        </w:trPr>
        <w:tc>
          <w:tcPr>
            <w:tcW w:w="2403" w:type="dxa"/>
            <w:gridSpan w:val="2"/>
            <w:vMerge/>
            <w:tcBorders>
              <w:left w:val="single" w:sz="6" w:space="0" w:color="000000"/>
              <w:bottom w:val="single" w:sz="6" w:space="0" w:color="000000"/>
              <w:right w:val="single" w:sz="6" w:space="0" w:color="000000"/>
            </w:tcBorders>
            <w:shd w:val="clear" w:color="auto" w:fill="D2D2D2"/>
          </w:tcPr>
          <w:p>
            <w:pPr/>
          </w:p>
        </w:tc>
        <w:tc>
          <w:tcPr>
            <w:tcW w:w="5046" w:type="dxa"/>
            <w:gridSpan w:val="5"/>
            <w:vMerge/>
            <w:tcBorders>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广东粤科智泓创业投资合伙企 业（有限合伙）</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34,680,831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34,680,831</w:t>
            </w:r>
          </w:p>
        </w:tc>
      </w:tr>
      <w:tr>
        <w:trPr>
          <w:trHeight w:val="7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26,397,601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26,397,601</w:t>
            </w: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茅屏萍</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8,975,878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8,975,878</w:t>
            </w:r>
          </w:p>
        </w:tc>
      </w:tr>
      <w:tr>
        <w:trPr>
          <w:trHeight w:val="10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2"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长信基金－浦发银行－云南国 际信托－云信智兴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号单一资金信托</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5,748,752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5,748,752</w:t>
            </w:r>
          </w:p>
        </w:tc>
      </w:tr>
      <w:tr>
        <w:trPr>
          <w:trHeight w:val="7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5,390,413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5,390,413</w:t>
            </w:r>
          </w:p>
        </w:tc>
      </w:tr>
      <w:tr>
        <w:trPr>
          <w:trHeight w:val="706"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赣州君恺投资咨询有限公司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5,089,556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5,089,556</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03"/>
        <w:gridCol w:w="5046"/>
        <w:gridCol w:w="1067"/>
        <w:gridCol w:w="1066"/>
      </w:tblGrid>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杨晓娟</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4,440,000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4,440,000</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张昕</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4,290,564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4,290,564</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4,092,320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4,092,320</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3,582,829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3,582,829</w:t>
            </w:r>
          </w:p>
        </w:tc>
      </w:tr>
      <w:tr>
        <w:trPr>
          <w:trHeight w:val="135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90" w:lineRule="auto" w:before="51"/>
              <w:ind w:left="15"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33"/>
              <w:jc w:val="left"/>
              <w:rPr>
                <w:rFonts w:ascii="宋体" w:hAnsi="宋体" w:cs="宋体" w:eastAsia="宋体" w:hint="default"/>
                <w:sz w:val="18"/>
                <w:szCs w:val="18"/>
              </w:rPr>
            </w:pPr>
            <w:r>
              <w:rPr>
                <w:rFonts w:ascii="宋体" w:hAnsi="宋体" w:cs="宋体" w:eastAsia="宋体" w:hint="default"/>
                <w:spacing w:val="-3"/>
                <w:sz w:val="18"/>
                <w:szCs w:val="18"/>
              </w:rPr>
              <w:t>股东茅屏萍与股东茅庆江系姐弟关系，除此以外，公司未知其他股东是否存在关联关系或是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否属一致行动人。</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公司股东张昕除通过普通证券账户持有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2,487,672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股外，还通过国信证券股份有限公司客户</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1,802,892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4,290,564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7"/>
        <w:rPr>
          <w:rFonts w:ascii="Times New Roman" w:hAnsi="Times New Roman" w:cs="Times New Roman" w:eastAsia="Times New Roman" w:hint="default"/>
          <w:sz w:val="6"/>
          <w:szCs w:val="6"/>
        </w:rPr>
      </w:pPr>
    </w:p>
    <w:p>
      <w:pPr>
        <w:pStyle w:val="BodyText"/>
        <w:spacing w:line="240" w:lineRule="auto" w:before="44"/>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3"/>
        <w:rPr>
          <w:rFonts w:ascii="宋体" w:hAnsi="宋体" w:cs="宋体" w:eastAsia="宋体" w:hint="default"/>
          <w:sz w:val="19"/>
          <w:szCs w:val="19"/>
        </w:rPr>
      </w:pPr>
    </w:p>
    <w:p>
      <w:pPr>
        <w:pStyle w:val="BodyText"/>
        <w:spacing w:line="240" w:lineRule="auto"/>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520" w:lineRule="auto"/>
        <w:ind w:right="8589"/>
        <w:jc w:val="left"/>
      </w:pPr>
      <w:r>
        <w:rPr/>
        <w:pict>
          <v:shape style="position:absolute;margin-left:56.325001pt;margin-top:46.561726pt;width:480.25pt;height:96.8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4"/>
                    <w:gridCol w:w="2027"/>
                    <w:gridCol w:w="4130"/>
                  </w:tblGrid>
                  <w:tr>
                    <w:trPr>
                      <w:trHeight w:val="4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06"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5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控股股东报告期内变更</w:t>
      </w:r>
    </w:p>
    <w:p>
      <w:pPr>
        <w:spacing w:line="240" w:lineRule="auto" w:before="13"/>
        <w:rPr>
          <w:rFonts w:ascii="宋体" w:hAnsi="宋体" w:cs="宋体" w:eastAsia="宋体" w:hint="default"/>
          <w:sz w:val="20"/>
          <w:szCs w:val="20"/>
        </w:rPr>
      </w:pPr>
    </w:p>
    <w:p>
      <w:pPr>
        <w:pStyle w:val="BodyText"/>
        <w:spacing w:line="477"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520" w:lineRule="auto"/>
        <w:ind w:right="8409"/>
        <w:jc w:val="left"/>
      </w:pPr>
      <w:r>
        <w:rPr/>
        <w:t>实际控制人性质：境内自然人 实际控制人类型：自然人</w:t>
      </w:r>
    </w:p>
    <w:p>
      <w:pPr>
        <w:spacing w:after="0" w:line="520" w:lineRule="auto"/>
        <w:jc w:val="lef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担任本公司董事长</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实际控制人报告期内变更</w:t>
      </w:r>
    </w:p>
    <w:p>
      <w:pPr>
        <w:spacing w:line="240" w:lineRule="auto" w:before="0"/>
        <w:rPr>
          <w:rFonts w:ascii="宋体" w:hAnsi="宋体" w:cs="宋体" w:eastAsia="宋体" w:hint="default"/>
          <w:sz w:val="21"/>
          <w:szCs w:val="21"/>
        </w:rPr>
      </w:pPr>
    </w:p>
    <w:p>
      <w:pPr>
        <w:pStyle w:val="BodyText"/>
        <w:spacing w:line="506"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3"/>
          <w:szCs w:val="13"/>
        </w:rPr>
      </w:pPr>
    </w:p>
    <w:p>
      <w:pPr>
        <w:spacing w:line="4018" w:lineRule="exact"/>
        <w:ind w:left="1595"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265289" cy="255155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5" cstate="print"/>
                    <a:stretch>
                      <a:fillRect/>
                    </a:stretch>
                  </pic:blipFill>
                  <pic:spPr>
                    <a:xfrm>
                      <a:off x="0" y="0"/>
                      <a:ext cx="4265289" cy="2551556"/>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8"/>
        <w:rPr>
          <w:rFonts w:ascii="宋体" w:hAnsi="宋体" w:cs="宋体" w:eastAsia="宋体" w:hint="default"/>
          <w:sz w:val="22"/>
          <w:szCs w:val="22"/>
        </w:rPr>
      </w:pPr>
    </w:p>
    <w:p>
      <w:pPr>
        <w:pStyle w:val="BodyText"/>
        <w:spacing w:line="240" w:lineRule="auto"/>
        <w:ind w:right="0"/>
        <w:jc w:val="left"/>
      </w:pPr>
      <w:r>
        <w:rPr/>
        <w:t>实际控制人通过信托或其他资产管理方式控制公司</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355" w:right="0"/>
        <w:jc w:val="left"/>
        <w:rPr>
          <w:b w:val="0"/>
          <w:bCs w:val="0"/>
        </w:rPr>
      </w:pPr>
      <w:bookmarkStart w:name="第七节优先股相关情况" w:id="118"/>
      <w:bookmarkEnd w:id="118"/>
      <w:r>
        <w:rPr>
          <w:b w:val="0"/>
          <w:bCs w:val="0"/>
        </w:rPr>
      </w:r>
      <w:bookmarkStart w:name="_bookmark6" w:id="119"/>
      <w:bookmarkEnd w:id="119"/>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477"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477"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709" w:right="0"/>
        <w:jc w:val="left"/>
        <w:rPr>
          <w:b w:val="0"/>
          <w:bCs w:val="0"/>
        </w:rPr>
      </w:pPr>
      <w:bookmarkStart w:name="第八节可转换公司债券相关情况" w:id="120"/>
      <w:bookmarkEnd w:id="120"/>
      <w:r>
        <w:rPr>
          <w:b w:val="0"/>
          <w:bCs w:val="0"/>
        </w:rPr>
      </w:r>
      <w:bookmarkStart w:name="_bookmark7" w:id="121"/>
      <w:bookmarkEnd w:id="121"/>
      <w:r>
        <w:rPr>
          <w:b w:val="0"/>
          <w:bCs w:val="0"/>
        </w:rPr>
      </w:r>
      <w:r>
        <w:rPr>
          <w:spacing w:val="5"/>
        </w:rPr>
        <w:t>第八节可转换公司债券相关情况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477" w:lineRule="auto" w:before="44"/>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477"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748" w:right="0"/>
        <w:jc w:val="left"/>
        <w:rPr>
          <w:b w:val="0"/>
          <w:bCs w:val="0"/>
        </w:rPr>
      </w:pPr>
      <w:bookmarkStart w:name="第九节董事、监事、高级管理人员和员工情况" w:id="122"/>
      <w:bookmarkEnd w:id="122"/>
      <w:r>
        <w:rPr>
          <w:b w:val="0"/>
          <w:bCs w:val="0"/>
        </w:rPr>
      </w:r>
      <w:bookmarkStart w:name="_bookmark8" w:id="123"/>
      <w:bookmarkEnd w:id="123"/>
      <w:r>
        <w:rPr>
          <w:b w:val="0"/>
          <w:bCs w:val="0"/>
        </w:rPr>
      </w:r>
      <w:r>
        <w:rPr>
          <w:spacing w:val="5"/>
        </w:rPr>
        <w:t>第九节董事、监事、高级管理人员和员工情况</w:t>
      </w:r>
      <w:r>
        <w:rPr>
          <w:b w:val="0"/>
          <w:bCs w:val="0"/>
          <w:spacing w:val="5"/>
        </w:rPr>
      </w:r>
    </w:p>
    <w:p>
      <w:pPr>
        <w:spacing w:line="240" w:lineRule="auto" w:before="10"/>
        <w:rPr>
          <w:rFonts w:ascii="宋体" w:hAnsi="宋体" w:cs="宋体" w:eastAsia="宋体" w:hint="default"/>
          <w:b/>
          <w:bCs/>
          <w:sz w:val="41"/>
          <w:szCs w:val="41"/>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143,854,9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29</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20,420,50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86,198,47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209,632,9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22,114,19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4,249,500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14,395,59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32,260,28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龙勤梅</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1,620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20,000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1,131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22,751</w:t>
            </w:r>
          </w:p>
        </w:tc>
      </w:tr>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5,623,600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11,990,91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23,538,04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17,170,73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1,900,000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11,990,91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27,261,64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540,087</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377,161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917,248</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108,017</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45,000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75,432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138,449</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200,960,3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17</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32,238,60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125,029,6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293,771,3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26</w:t>
            </w:r>
          </w:p>
        </w:tc>
      </w:tr>
    </w:tbl>
    <w:p>
      <w:pPr>
        <w:spacing w:line="240" w:lineRule="auto" w:before="11"/>
        <w:rPr>
          <w:rFonts w:ascii="宋体" w:hAnsi="宋体" w:cs="宋体" w:eastAsia="宋体" w:hint="default"/>
          <w:b/>
          <w:bCs/>
          <w:sz w:val="24"/>
          <w:szCs w:val="24"/>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任职情况" w:id="126"/>
      <w:bookmarkEnd w:id="126"/>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8"/>
        <w:ind w:right="0"/>
        <w:jc w:val="left"/>
      </w:pPr>
      <w:r>
        <w:rPr/>
        <w:t>公司现任董事、监事、高级管理人员专业背景、主要工作经历以及目前在公司的主要职责</w:t>
      </w:r>
    </w:p>
    <w:p>
      <w:pPr>
        <w:spacing w:line="240" w:lineRule="auto" w:before="2"/>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1</w:t>
      </w:r>
      <w:r>
        <w:rPr/>
        <w:t>、董事会成员：</w:t>
      </w:r>
    </w:p>
    <w:p>
      <w:pPr>
        <w:spacing w:line="240" w:lineRule="auto" w:before="7"/>
        <w:rPr>
          <w:rFonts w:ascii="宋体" w:hAnsi="宋体" w:cs="宋体" w:eastAsia="宋体" w:hint="default"/>
          <w:sz w:val="16"/>
          <w:szCs w:val="16"/>
        </w:rPr>
      </w:pPr>
    </w:p>
    <w:p>
      <w:pPr>
        <w:pStyle w:val="BodyText"/>
        <w:spacing w:line="448" w:lineRule="auto"/>
        <w:ind w:right="1026"/>
        <w:jc w:val="left"/>
      </w:pPr>
      <w:r>
        <w:rPr>
          <w:spacing w:val="-2"/>
        </w:rPr>
        <w:t>（</w:t>
      </w:r>
      <w:r>
        <w:rPr>
          <w:rFonts w:ascii="Times New Roman" w:hAnsi="Times New Roman" w:cs="Times New Roman" w:eastAsia="Times New Roman" w:hint="default"/>
          <w:spacing w:val="-2"/>
        </w:rPr>
        <w:t>1</w:t>
      </w:r>
      <w:r>
        <w:rPr>
          <w:spacing w:val="-2"/>
        </w:rPr>
        <w:t>）茅庆江先生，中国国籍，拥有新西兰永久居留权，</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7</w:t>
      </w:r>
      <w:r>
        <w:rPr>
          <w:spacing w:val="-2"/>
        </w:rPr>
        <w:t>月出生，硕士学历，工程师资格。</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1989</w:t>
      </w:r>
      <w:r>
        <w:rPr>
          <w:spacing w:val="-2"/>
        </w:rPr>
        <w:t>年，任中国</w:t>
      </w:r>
      <w:r>
        <w:rPr>
          <w:spacing w:val="-53"/>
        </w:rPr>
        <w:t> </w:t>
      </w:r>
      <w:r>
        <w:rPr>
          <w:spacing w:val="-53"/>
        </w:rPr>
      </w:r>
      <w:r>
        <w:rPr>
          <w:spacing w:val="-3"/>
        </w:rPr>
        <w:t>纺织大学自动化系老师、实习研究员；</w:t>
      </w:r>
      <w:r>
        <w:rPr>
          <w:rFonts w:ascii="Times New Roman" w:hAnsi="Times New Roman" w:cs="Times New Roman" w:eastAsia="Times New Roman" w:hint="default"/>
          <w:spacing w:val="-3"/>
        </w:rPr>
        <w:t>1992</w:t>
      </w:r>
      <w:r>
        <w:rPr>
          <w:spacing w:val="-3"/>
        </w:rPr>
        <w:t>年至</w:t>
      </w:r>
      <w:r>
        <w:rPr>
          <w:rFonts w:ascii="Times New Roman" w:hAnsi="Times New Roman" w:cs="Times New Roman" w:eastAsia="Times New Roman" w:hint="default"/>
          <w:spacing w:val="-3"/>
        </w:rPr>
        <w:t>2001</w:t>
      </w:r>
      <w:r>
        <w:rPr>
          <w:spacing w:val="-3"/>
        </w:rPr>
        <w:t>年担任番禺市电子工业总公司副总经理兼番禺市保安器材工程公司经理；</w:t>
      </w:r>
      <w:r>
        <w:rPr/>
        <w:t> </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年在浩云有限任技术总监、董事长等职务；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月至今，担任本公司董事长。</w:t>
      </w:r>
    </w:p>
    <w:p>
      <w:pPr>
        <w:pStyle w:val="BodyText"/>
        <w:spacing w:line="453" w:lineRule="auto" w:before="43"/>
        <w:ind w:right="1126"/>
        <w:jc w:val="both"/>
      </w:pPr>
      <w:r>
        <w:rPr>
          <w:spacing w:val="-2"/>
        </w:rPr>
        <w:t>（</w:t>
      </w:r>
      <w:r>
        <w:rPr>
          <w:rFonts w:ascii="Times New Roman" w:hAnsi="Times New Roman" w:cs="Times New Roman" w:eastAsia="Times New Roman" w:hint="default"/>
          <w:spacing w:val="-2"/>
        </w:rPr>
        <w:t>2</w:t>
      </w:r>
      <w:r>
        <w:rPr>
          <w:spacing w:val="-2"/>
        </w:rPr>
        <w:t>）雷洪文先生，中国国籍，无永久境外居留权，</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8</w:t>
      </w:r>
      <w:r>
        <w:rPr>
          <w:spacing w:val="-2"/>
        </w:rPr>
        <w:t>月出生，大学本科学历，电子工程师资格。</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1993</w:t>
      </w:r>
      <w:r>
        <w:rPr>
          <w:spacing w:val="-2"/>
        </w:rPr>
        <w:t>年在广</w:t>
      </w:r>
      <w:r>
        <w:rPr>
          <w:spacing w:val="-51"/>
        </w:rPr>
        <w:t> </w:t>
      </w:r>
      <w:r>
        <w:rPr>
          <w:spacing w:val="-2"/>
        </w:rPr>
        <w:t>东宏达家用电器厂任技术员；</w:t>
      </w: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2001</w:t>
      </w:r>
      <w:r>
        <w:rPr>
          <w:spacing w:val="-2"/>
        </w:rPr>
        <w:t>年任职于番禺市保安器材工程公司；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2011</w:t>
      </w:r>
      <w:r>
        <w:rPr>
          <w:spacing w:val="-2"/>
        </w:rPr>
        <w:t>年担任浩云有限董事长、执行</w:t>
      </w:r>
      <w:r>
        <w:rPr>
          <w:spacing w:val="-51"/>
        </w:rPr>
        <w:t> </w:t>
      </w:r>
      <w:r>
        <w:rPr>
          <w:spacing w:val="-51"/>
        </w:rPr>
      </w:r>
      <w:r>
        <w:rPr>
          <w:spacing w:val="-2"/>
        </w:rPr>
        <w:t>董事等职务；</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月至今，担任本公司董事、总经理；</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月至今，担任全资子公司信泽云（武汉）计算机软件有限</w:t>
      </w:r>
      <w:r>
        <w:rPr>
          <w:spacing w:val="-58"/>
        </w:rPr>
        <w:t> </w:t>
      </w:r>
      <w:r>
        <w:rPr>
          <w:spacing w:val="-58"/>
        </w:rPr>
      </w:r>
      <w:r>
        <w:rPr/>
        <w:t>公司执行董事兼总经理。</w:t>
      </w:r>
    </w:p>
    <w:p>
      <w:pPr>
        <w:pStyle w:val="BodyText"/>
        <w:spacing w:line="453" w:lineRule="auto" w:before="70"/>
        <w:ind w:right="0"/>
        <w:jc w:val="left"/>
      </w:pPr>
      <w:r>
        <w:rPr>
          <w:spacing w:val="-4"/>
        </w:rPr>
        <w:t>（</w:t>
      </w:r>
      <w:r>
        <w:rPr>
          <w:rFonts w:ascii="Times New Roman" w:hAnsi="Times New Roman" w:cs="Times New Roman" w:eastAsia="Times New Roman" w:hint="default"/>
          <w:spacing w:val="-4"/>
        </w:rPr>
        <w:t>3</w:t>
      </w:r>
      <w:r>
        <w:rPr>
          <w:spacing w:val="-4"/>
        </w:rPr>
        <w:t>）黄洋先生，中国国籍，无永久境外居留权，</w:t>
      </w:r>
      <w:r>
        <w:rPr>
          <w:rFonts w:ascii="Times New Roman" w:hAnsi="Times New Roman" w:cs="Times New Roman" w:eastAsia="Times New Roman" w:hint="default"/>
          <w:spacing w:val="-4"/>
        </w:rPr>
        <w:t>1963</w:t>
      </w:r>
      <w:r>
        <w:rPr>
          <w:spacing w:val="-4"/>
        </w:rPr>
        <w:t>年</w:t>
      </w:r>
      <w:r>
        <w:rPr>
          <w:rFonts w:ascii="Times New Roman" w:hAnsi="Times New Roman" w:cs="Times New Roman" w:eastAsia="Times New Roman" w:hint="default"/>
          <w:spacing w:val="-4"/>
        </w:rPr>
        <w:t>5</w:t>
      </w:r>
      <w:r>
        <w:rPr>
          <w:spacing w:val="-4"/>
        </w:rPr>
        <w:t>月出生，大学本科学历，中国科学院工程师、中国执业专利代理人。</w:t>
      </w:r>
      <w:r>
        <w:rPr>
          <w:spacing w:val="-42"/>
        </w:rPr>
        <w:t> </w:t>
      </w:r>
      <w:r>
        <w:rPr>
          <w:spacing w:val="-42"/>
        </w:rPr>
      </w:r>
      <w:r>
        <w:rPr>
          <w:rFonts w:ascii="Times New Roman" w:hAnsi="Times New Roman" w:cs="Times New Roman" w:eastAsia="Times New Roman" w:hint="default"/>
        </w:rPr>
        <w:t>1986</w:t>
      </w:r>
      <w:r>
        <w:rPr/>
        <w:t>年至</w:t>
      </w:r>
      <w:r>
        <w:rPr>
          <w:rFonts w:ascii="Times New Roman" w:hAnsi="Times New Roman" w:cs="Times New Roman" w:eastAsia="Times New Roman" w:hint="default"/>
        </w:rPr>
        <w:t>1997</w:t>
      </w:r>
      <w:r>
        <w:rPr/>
        <w:t>年在中国科学院广州电子技术研究所担任工程师；</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2001</w:t>
      </w:r>
      <w:r>
        <w:rPr/>
        <w:t>年任职中国科学院广州分院；</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w:t>
      </w:r>
      <w:r>
        <w:rPr>
          <w:rFonts w:ascii="Times New Roman" w:hAnsi="Times New Roman" w:cs="Times New Roman" w:eastAsia="Times New Roman" w:hint="default"/>
          <w:spacing w:val="-39"/>
        </w:rPr>
        <w:t> </w:t>
      </w:r>
      <w:r>
        <w:rPr>
          <w:spacing w:val="-2"/>
        </w:rPr>
        <w:t>年，任中国科学院广州专利事务所专利代理人；</w:t>
      </w:r>
      <w:r>
        <w:rPr>
          <w:rFonts w:ascii="Times New Roman" w:hAnsi="Times New Roman" w:cs="Times New Roman" w:eastAsia="Times New Roman" w:hint="default"/>
          <w:spacing w:val="-2"/>
        </w:rPr>
        <w:t>2003</w:t>
      </w:r>
      <w:r>
        <w:rPr>
          <w:spacing w:val="-2"/>
        </w:rPr>
        <w:t>年至今任广州中瀚专利商标事务所执行主任、广州中瀚法律咨询服务有</w:t>
      </w:r>
      <w:r>
        <w:rPr>
          <w:spacing w:val="-66"/>
        </w:rPr>
        <w:t> </w:t>
      </w:r>
      <w:r>
        <w:rPr>
          <w:spacing w:val="-66"/>
        </w:rPr>
      </w:r>
      <w:r>
        <w:rPr/>
        <w:t>限公司总经理；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日至今，担任本公司董事。</w:t>
      </w:r>
    </w:p>
    <w:p>
      <w:pPr>
        <w:pStyle w:val="BodyText"/>
        <w:spacing w:line="453" w:lineRule="auto" w:before="38"/>
        <w:ind w:right="1038"/>
        <w:jc w:val="both"/>
      </w:pPr>
      <w:r>
        <w:rPr/>
        <w:t>（</w:t>
      </w:r>
      <w:r>
        <w:rPr>
          <w:rFonts w:ascii="Times New Roman" w:hAnsi="Times New Roman" w:cs="Times New Roman" w:eastAsia="Times New Roman" w:hint="default"/>
        </w:rPr>
        <w:t>4</w:t>
      </w:r>
      <w:r>
        <w:rPr/>
        <w:t>）蔡祥先生，中国国籍，无境外居留权，</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9</w:t>
      </w:r>
      <w:r>
        <w:rPr/>
        <w:t>月出生，博士学历，副教授。现任中山大学管理学院</w:t>
      </w:r>
      <w:r>
        <w:rPr>
          <w:rFonts w:ascii="Times New Roman" w:hAnsi="Times New Roman" w:cs="Times New Roman" w:eastAsia="Times New Roman" w:hint="default"/>
        </w:rPr>
        <w:t>MPAcc</w:t>
      </w:r>
      <w:r>
        <w:rPr/>
        <w:t>、</w:t>
      </w:r>
      <w:r>
        <w:rPr>
          <w:rFonts w:ascii="Times New Roman" w:hAnsi="Times New Roman" w:cs="Times New Roman" w:eastAsia="Times New Roman" w:hint="default"/>
        </w:rPr>
        <w:t>Maud</w:t>
      </w:r>
      <w:r>
        <w:rPr/>
        <w:t>项</w:t>
      </w:r>
      <w:r>
        <w:rPr>
          <w:spacing w:val="-65"/>
        </w:rPr>
        <w:t> </w:t>
      </w:r>
      <w:r>
        <w:rPr>
          <w:spacing w:val="-4"/>
        </w:rPr>
        <w:t>目学术主任。</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月至今，任广东广金投资管理有限公司董事；</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6</w:t>
      </w:r>
      <w:r>
        <w:rPr>
          <w:spacing w:val="-4"/>
        </w:rPr>
        <w:t>月至今，任一力制药股份有限公司独立董事；</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月，任岭南生态文旅股份有限公司独立董事；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月，任胜蓝科技股份有限公司独立董事；</w:t>
      </w:r>
      <w:r>
        <w:rPr>
          <w:spacing w:val="-86"/>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日，担任本公司独立董事；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月至今，任广东乐心医疗电子股份有限公司独立董事。</w:t>
      </w:r>
    </w:p>
    <w:p>
      <w:pPr>
        <w:pStyle w:val="BodyText"/>
        <w:spacing w:line="240" w:lineRule="auto" w:before="39"/>
        <w:ind w:right="0"/>
        <w:jc w:val="left"/>
      </w:pPr>
      <w:r>
        <w:rPr/>
        <w:t>（</w:t>
      </w:r>
      <w:r>
        <w:rPr>
          <w:rFonts w:ascii="Times New Roman" w:hAnsi="Times New Roman" w:cs="Times New Roman" w:eastAsia="Times New Roman" w:hint="default"/>
        </w:rPr>
        <w:t>5</w:t>
      </w:r>
      <w:r>
        <w:rPr/>
        <w:t>）李耀棠先生，中国国籍，无境外居留权，</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7</w:t>
      </w:r>
      <w:r>
        <w:rPr/>
        <w:t>月出生，硕士学历。</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月，历任中国科学院广州</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53" w:lineRule="auto" w:before="44"/>
        <w:ind w:right="1112"/>
        <w:jc w:val="both"/>
      </w:pPr>
      <w:r>
        <w:rPr/>
        <w:t>电子技术研究所实习研究员、助理研究员、副研究员、研究员、研究室主任、董事、常务副所长</w:t>
      </w:r>
      <w:r>
        <w:rPr>
          <w:rFonts w:ascii="Times New Roman" w:hAnsi="Times New Roman" w:cs="Times New Roman" w:eastAsia="Times New Roman" w:hint="default"/>
        </w:rPr>
        <w:t>/</w:t>
      </w:r>
      <w:r>
        <w:rPr/>
        <w:t>总经理、所长</w:t>
      </w:r>
      <w:r>
        <w:rPr>
          <w:rFonts w:ascii="Times New Roman" w:hAnsi="Times New Roman" w:cs="Times New Roman" w:eastAsia="Times New Roman" w:hint="default"/>
        </w:rPr>
        <w:t>/</w:t>
      </w:r>
      <w:r>
        <w:rPr/>
        <w:t>董事长，其 </w:t>
      </w:r>
      <w:r>
        <w:rPr>
          <w:spacing w:val="-2"/>
        </w:rPr>
        <w:t>中</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2</w:t>
      </w:r>
      <w:r>
        <w:rPr>
          <w:spacing w:val="-2"/>
        </w:rPr>
        <w:t>月任日本理化学研究所光工学研究室流动研究员；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月兼任广州晶体科技有限公司</w:t>
      </w:r>
      <w:r>
        <w:rPr>
          <w:spacing w:val="-33"/>
        </w:rPr>
        <w:t> </w:t>
      </w:r>
      <w:r>
        <w:rPr>
          <w:spacing w:val="-2"/>
        </w:rPr>
        <w:t>董事长；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月至今兼任佛山市蓝箭电子股份有限公司独立董事；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月至今兼任广东风华高新科技股份有限公司独</w:t>
      </w:r>
      <w:r>
        <w:rPr>
          <w:spacing w:val="-57"/>
        </w:rPr>
        <w:t> </w:t>
      </w:r>
      <w:r>
        <w:rPr/>
        <w:t>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日，担任本公司独立董事。</w:t>
      </w:r>
    </w:p>
    <w:p>
      <w:pPr>
        <w:pStyle w:val="BodyText"/>
        <w:spacing w:line="240" w:lineRule="auto" w:before="38"/>
        <w:ind w:right="0"/>
        <w:jc w:val="both"/>
      </w:pPr>
      <w:r>
        <w:rPr>
          <w:rFonts w:ascii="Times New Roman" w:hAnsi="Times New Roman" w:cs="Times New Roman" w:eastAsia="Times New Roman" w:hint="default"/>
        </w:rPr>
        <w:t>2</w:t>
      </w:r>
      <w:r>
        <w:rPr/>
        <w:t>、监事会成员：</w:t>
      </w:r>
    </w:p>
    <w:p>
      <w:pPr>
        <w:spacing w:line="240" w:lineRule="auto" w:before="7"/>
        <w:rPr>
          <w:rFonts w:ascii="宋体" w:hAnsi="宋体" w:cs="宋体" w:eastAsia="宋体" w:hint="default"/>
          <w:sz w:val="16"/>
          <w:szCs w:val="16"/>
        </w:rPr>
      </w:pPr>
    </w:p>
    <w:p>
      <w:pPr>
        <w:pStyle w:val="BodyText"/>
        <w:spacing w:line="448" w:lineRule="auto"/>
        <w:ind w:right="1126"/>
        <w:jc w:val="both"/>
      </w:pPr>
      <w:r>
        <w:rPr/>
        <w:t>（</w:t>
      </w:r>
      <w:r>
        <w:rPr>
          <w:rFonts w:ascii="Times New Roman" w:hAnsi="Times New Roman" w:cs="Times New Roman" w:eastAsia="Times New Roman" w:hint="default"/>
        </w:rPr>
        <w:t>1</w:t>
      </w:r>
      <w:r>
        <w:rPr/>
        <w:t>）龙勤梅女士，中国国籍，无永久境外居留权，</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4</w:t>
      </w:r>
      <w:r>
        <w:rPr/>
        <w:t>月出生，高中学历。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spacing w:val="-11"/>
        </w:rPr>
        <w:t> </w:t>
      </w:r>
      <w:r>
        <w:rPr/>
        <w:t>，任职于广州市</w:t>
      </w:r>
      <w:r>
        <w:rPr/>
        <w:t> 安必信通讯设备有限公司，担任仓管员一职；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月就职于本公司，担任生产部仓库组长；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spacing w:val="-83"/>
        </w:rPr>
        <w:t> </w:t>
      </w:r>
      <w:r>
        <w:rPr/>
        <w:t>今任采购员；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日起，担任本公司职工监事、监事会主席。</w:t>
      </w:r>
    </w:p>
    <w:p>
      <w:pPr>
        <w:pStyle w:val="BodyText"/>
        <w:spacing w:line="448" w:lineRule="auto" w:before="58"/>
        <w:ind w:right="1039"/>
        <w:jc w:val="both"/>
      </w:pPr>
      <w:r>
        <w:rPr>
          <w:spacing w:val="-3"/>
        </w:rPr>
        <w:t>（</w:t>
      </w:r>
      <w:r>
        <w:rPr>
          <w:rFonts w:ascii="Times New Roman" w:hAnsi="Times New Roman" w:cs="Times New Roman" w:eastAsia="Times New Roman" w:hint="default"/>
          <w:spacing w:val="-3"/>
        </w:rPr>
        <w:t>2</w:t>
      </w:r>
      <w:r>
        <w:rPr>
          <w:spacing w:val="-3"/>
        </w:rPr>
        <w:t>）陈文芳女士，中国国籍，无永久境外居留权，</w:t>
      </w:r>
      <w:r>
        <w:rPr>
          <w:rFonts w:ascii="Times New Roman" w:hAnsi="Times New Roman" w:cs="Times New Roman" w:eastAsia="Times New Roman" w:hint="default"/>
          <w:spacing w:val="-3"/>
        </w:rPr>
        <w:t>1987</w:t>
      </w:r>
      <w:r>
        <w:rPr>
          <w:spacing w:val="-3"/>
        </w:rPr>
        <w:t>年</w:t>
      </w:r>
      <w:r>
        <w:rPr>
          <w:rFonts w:ascii="Times New Roman" w:hAnsi="Times New Roman" w:cs="Times New Roman" w:eastAsia="Times New Roman" w:hint="default"/>
          <w:spacing w:val="-3"/>
        </w:rPr>
        <w:t>1</w:t>
      </w:r>
      <w:r>
        <w:rPr>
          <w:spacing w:val="-3"/>
        </w:rPr>
        <w:t>月出生，大学本科学历，</w:t>
      </w:r>
      <w:r>
        <w:rPr>
          <w:rFonts w:ascii="Times New Roman" w:hAnsi="Times New Roman" w:cs="Times New Roman" w:eastAsia="Times New Roman" w:hint="default"/>
          <w:spacing w:val="-3"/>
        </w:rPr>
        <w:t>2009</w:t>
      </w:r>
      <w:r>
        <w:rPr>
          <w:spacing w:val="-3"/>
        </w:rPr>
        <w:t>年毕业于肇庆学院汉语言文学专业，</w:t>
      </w:r>
      <w:r>
        <w:rPr>
          <w:spacing w:val="-88"/>
        </w:rPr>
        <w:t> </w:t>
      </w:r>
      <w:r>
        <w:rPr/>
        <w:t>高级中学教师资格。</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年就职于本公司，任售前项目文员；</w:t>
      </w:r>
      <w:r>
        <w:rPr>
          <w:rFonts w:ascii="Times New Roman" w:hAnsi="Times New Roman" w:cs="Times New Roman" w:eastAsia="Times New Roman" w:hint="default"/>
        </w:rPr>
        <w:t>2015</w:t>
      </w:r>
      <w:r>
        <w:rPr/>
        <w:t>年至今，任本公司部门助理兼工程项目组科长；</w:t>
      </w:r>
      <w:r>
        <w:rPr>
          <w:spacing w:val="-85"/>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日起，担任本公司监事。</w:t>
      </w:r>
    </w:p>
    <w:p>
      <w:pPr>
        <w:pStyle w:val="BodyText"/>
        <w:spacing w:line="240" w:lineRule="auto" w:before="43"/>
        <w:ind w:right="0"/>
        <w:jc w:val="both"/>
      </w:pPr>
      <w:r>
        <w:rPr/>
        <w:t>（</w:t>
      </w:r>
      <w:r>
        <w:rPr>
          <w:rFonts w:ascii="Times New Roman" w:hAnsi="Times New Roman" w:cs="Times New Roman" w:eastAsia="Times New Roman" w:hint="default"/>
        </w:rPr>
        <w:t>3</w:t>
      </w:r>
      <w:r>
        <w:rPr/>
        <w:t>）李军先生，中国国籍，无永久境外居留权，</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11</w:t>
      </w:r>
      <w:r>
        <w:rPr/>
        <w:t>月出生，大学专科学历，</w:t>
      </w:r>
      <w:r>
        <w:rPr>
          <w:rFonts w:ascii="Times New Roman" w:hAnsi="Times New Roman" w:cs="Times New Roman" w:eastAsia="Times New Roman" w:hint="default"/>
        </w:rPr>
        <w:t>1999</w:t>
      </w:r>
      <w:r>
        <w:rPr/>
        <w:t>年毕业于湖北省沙市纺织职工大学。</w:t>
      </w:r>
    </w:p>
    <w:p>
      <w:pPr>
        <w:spacing w:line="240" w:lineRule="auto" w:before="7"/>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月就职于沙市众益实业发展有限公司；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月就职于顺德碧桂园任项目设计工程师，</w:t>
      </w:r>
    </w:p>
    <w:p>
      <w:pPr>
        <w:spacing w:line="240" w:lineRule="auto" w:before="9"/>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月至今就职于本公司，任投标方案部设计工程师；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日起，担任本公司监事。</w:t>
      </w:r>
    </w:p>
    <w:p>
      <w:pPr>
        <w:spacing w:line="240" w:lineRule="auto" w:before="7"/>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3</w:t>
      </w:r>
      <w:r>
        <w:rPr/>
        <w:t>、高级管理人员成员：</w:t>
      </w:r>
    </w:p>
    <w:p>
      <w:pPr>
        <w:spacing w:line="240" w:lineRule="auto" w:before="6"/>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）雷洪文先生，简历见上。</w:t>
      </w:r>
    </w:p>
    <w:p>
      <w:pPr>
        <w:spacing w:line="240" w:lineRule="auto" w:before="7"/>
        <w:rPr>
          <w:rFonts w:ascii="宋体" w:hAnsi="宋体" w:cs="宋体" w:eastAsia="宋体" w:hint="default"/>
          <w:sz w:val="16"/>
          <w:szCs w:val="16"/>
        </w:rPr>
      </w:pPr>
    </w:p>
    <w:p>
      <w:pPr>
        <w:pStyle w:val="BodyText"/>
        <w:spacing w:line="451" w:lineRule="auto"/>
        <w:ind w:right="1126"/>
        <w:jc w:val="both"/>
      </w:pPr>
      <w:r>
        <w:rPr>
          <w:spacing w:val="-2"/>
        </w:rPr>
        <w:t>（</w:t>
      </w:r>
      <w:r>
        <w:rPr>
          <w:rFonts w:ascii="Times New Roman" w:hAnsi="Times New Roman" w:cs="Times New Roman" w:eastAsia="Times New Roman" w:hint="default"/>
          <w:spacing w:val="-2"/>
        </w:rPr>
        <w:t>2</w:t>
      </w:r>
      <w:r>
        <w:rPr>
          <w:spacing w:val="-2"/>
        </w:rPr>
        <w:t>）袁小康先生，中国国籍，无永久境外居留权，</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6</w:t>
      </w:r>
      <w:r>
        <w:rPr>
          <w:spacing w:val="-2"/>
        </w:rPr>
        <w:t>月出生，大学本科学历，计算机工程师职称。</w:t>
      </w:r>
      <w:r>
        <w:rPr>
          <w:rFonts w:ascii="Times New Roman" w:hAnsi="Times New Roman" w:cs="Times New Roman" w:eastAsia="Times New Roman" w:hint="default"/>
          <w:spacing w:val="-2"/>
        </w:rPr>
        <w:t>1986</w:t>
      </w:r>
      <w:r>
        <w:rPr>
          <w:spacing w:val="-2"/>
        </w:rPr>
        <w:t>年至</w:t>
      </w:r>
      <w:r>
        <w:rPr>
          <w:rFonts w:ascii="Times New Roman" w:hAnsi="Times New Roman" w:cs="Times New Roman" w:eastAsia="Times New Roman" w:hint="default"/>
          <w:spacing w:val="-2"/>
        </w:rPr>
        <w:t>1992</w:t>
      </w:r>
      <w:r>
        <w:rPr>
          <w:spacing w:val="-2"/>
        </w:rPr>
        <w:t>年在</w:t>
      </w:r>
      <w:r>
        <w:rPr>
          <w:spacing w:val="-51"/>
        </w:rPr>
        <w:t> </w:t>
      </w:r>
      <w:r>
        <w:rPr>
          <w:spacing w:val="-2"/>
        </w:rPr>
        <w:t>广州市外国语学院附中任教；</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1996</w:t>
      </w:r>
      <w:r>
        <w:rPr>
          <w:spacing w:val="-2"/>
        </w:rPr>
        <w:t>年在广州市番禺江南电脑公司工作，任经理；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2001</w:t>
      </w:r>
      <w:r>
        <w:rPr>
          <w:spacing w:val="-2"/>
        </w:rPr>
        <w:t>年在番禺市保安器材</w:t>
      </w:r>
      <w:r>
        <w:rPr>
          <w:spacing w:val="-50"/>
        </w:rPr>
        <w:t> </w:t>
      </w:r>
      <w:r>
        <w:rPr/>
        <w:t>工程公司工作，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年就职于广州市浩云安防科技工程有限公司，担任副董事长；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月至今，担任本公司副</w:t>
      </w:r>
      <w:r>
        <w:rPr>
          <w:spacing w:val="-84"/>
        </w:rPr>
        <w:t> </w:t>
      </w:r>
      <w:r>
        <w:rPr/>
        <w:t>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月起至今，担任公司全资子公司重庆浩云公共安全物联网技术有限公司的执行董事；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月起至今，</w:t>
      </w:r>
      <w:r>
        <w:rPr>
          <w:spacing w:val="-81"/>
        </w:rPr>
        <w:t> </w:t>
      </w:r>
      <w:r>
        <w:rPr/>
        <w:t>担任全资子公司西藏浩云创业投资有限公司执行董事；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月至今，担任公司全资子公司辛集市浩云智慧城市科技有限</w:t>
      </w:r>
      <w:r>
        <w:rPr>
          <w:spacing w:val="-85"/>
        </w:rPr>
        <w:t> </w:t>
      </w:r>
      <w:r>
        <w:rPr/>
        <w:t>公司执行董事、经理。</w:t>
      </w:r>
    </w:p>
    <w:p>
      <w:pPr>
        <w:pStyle w:val="BodyText"/>
        <w:spacing w:line="453" w:lineRule="auto" w:before="71"/>
        <w:ind w:right="1126"/>
        <w:jc w:val="both"/>
      </w:pPr>
      <w:r>
        <w:rPr>
          <w:spacing w:val="-2"/>
        </w:rPr>
        <w:t>（</w:t>
      </w:r>
      <w:r>
        <w:rPr>
          <w:rFonts w:ascii="Times New Roman" w:hAnsi="Times New Roman" w:cs="Times New Roman" w:eastAsia="Times New Roman" w:hint="default"/>
          <w:spacing w:val="-2"/>
        </w:rPr>
        <w:t>3</w:t>
      </w:r>
      <w:r>
        <w:rPr>
          <w:spacing w:val="-2"/>
        </w:rPr>
        <w:t>）徐彪先生，中国国籍，无永久境外居留权，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2</w:t>
      </w:r>
      <w:r>
        <w:rPr>
          <w:spacing w:val="-2"/>
        </w:rPr>
        <w:t>月出生，大专学历，助理经济师资格。</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2001</w:t>
      </w:r>
      <w:r>
        <w:rPr>
          <w:spacing w:val="-2"/>
        </w:rPr>
        <w:t>年任职于番禺</w:t>
      </w:r>
      <w:r>
        <w:rPr>
          <w:spacing w:val="-52"/>
        </w:rPr>
        <w:t> </w:t>
      </w:r>
      <w:r>
        <w:rPr/>
        <w:t>市电子工业总公司；</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2011</w:t>
      </w:r>
      <w:r>
        <w:rPr/>
        <w:t>年就职于广州市浩云安防科技工程有限公司，历任担任监事、总经理等职务。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spacing w:val="-81"/>
        </w:rPr>
        <w:t> </w:t>
      </w:r>
      <w:r>
        <w:rPr/>
        <w:t>至今，担任本公司副总经理；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月至今，担任控股子公司广州浩昀宏信息技术有限公司董事长；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月起至今，</w:t>
      </w:r>
      <w:r>
        <w:rPr>
          <w:spacing w:val="-81"/>
        </w:rPr>
        <w:t> </w:t>
      </w:r>
      <w:r>
        <w:rPr/>
        <w:t>担任控股子公司广东冠网信息科技有限公司董事长。</w:t>
      </w:r>
    </w:p>
    <w:p>
      <w:pPr>
        <w:pStyle w:val="BodyText"/>
        <w:spacing w:line="240" w:lineRule="auto" w:before="69"/>
        <w:ind w:right="0"/>
        <w:jc w:val="both"/>
      </w:pPr>
      <w:r>
        <w:rPr/>
        <w:t>（</w:t>
      </w:r>
      <w:r>
        <w:rPr>
          <w:rFonts w:ascii="Times New Roman" w:hAnsi="Times New Roman" w:cs="Times New Roman" w:eastAsia="Times New Roman" w:hint="default"/>
        </w:rPr>
        <w:t>4</w:t>
      </w:r>
      <w:r>
        <w:rPr/>
        <w:t>）陈翩女士，中国国籍，无永久境外居留权，</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9</w:t>
      </w:r>
      <w:r>
        <w:rPr/>
        <w:t>月出生，大学本科学历，中国注册会计师，英国特许公认会计师</w:t>
      </w:r>
    </w:p>
    <w:p>
      <w:pPr>
        <w:spacing w:line="240" w:lineRule="auto" w:before="7"/>
        <w:rPr>
          <w:rFonts w:ascii="宋体" w:hAnsi="宋体" w:cs="宋体" w:eastAsia="宋体" w:hint="default"/>
          <w:sz w:val="16"/>
          <w:szCs w:val="16"/>
        </w:rPr>
      </w:pPr>
    </w:p>
    <w:p>
      <w:pPr>
        <w:pStyle w:val="BodyText"/>
        <w:spacing w:line="456" w:lineRule="auto"/>
        <w:ind w:right="1130"/>
        <w:jc w:val="both"/>
      </w:pPr>
      <w:r>
        <w:rPr/>
        <w:t>（</w:t>
      </w:r>
      <w:r>
        <w:rPr>
          <w:rFonts w:ascii="Times New Roman" w:hAnsi="Times New Roman" w:cs="Times New Roman" w:eastAsia="Times New Roman" w:hint="default"/>
        </w:rPr>
        <w:t>ACCA</w:t>
      </w:r>
      <w:r>
        <w:rPr/>
        <w:t>）。历任安永华明会计师事务所审计部经理、毕马威华振会计师事务所审计部经理。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月至今，担任本公司</w:t>
      </w:r>
      <w:r>
        <w:rPr>
          <w:spacing w:val="-74"/>
        </w:rPr>
        <w:t> </w:t>
      </w:r>
      <w:r>
        <w:rPr/>
        <w:t>董事会秘书；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t>担任本公司财务总监；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月，担任海博伦（苏州）环境科技股份有</w:t>
      </w:r>
      <w:r>
        <w:rPr>
          <w:spacing w:val="-88"/>
        </w:rPr>
        <w:t> </w:t>
      </w:r>
      <w:r>
        <w:rPr/>
        <w:t>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月至今，担任本公司副总经理；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月，担任广州酷游娱乐科技股份有限公司独立</w:t>
      </w:r>
    </w:p>
    <w:p>
      <w:pPr>
        <w:spacing w:after="0" w:line="456" w:lineRule="auto"/>
        <w:jc w:val="both"/>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月至今，担任广州泛恩生物科技有限公司董事。</w:t>
      </w:r>
    </w:p>
    <w:p>
      <w:pPr>
        <w:spacing w:line="240" w:lineRule="auto" w:before="7"/>
        <w:rPr>
          <w:rFonts w:ascii="宋体" w:hAnsi="宋体" w:cs="宋体" w:eastAsia="宋体" w:hint="default"/>
          <w:sz w:val="16"/>
          <w:szCs w:val="16"/>
        </w:rPr>
      </w:pPr>
    </w:p>
    <w:p>
      <w:pPr>
        <w:pStyle w:val="BodyText"/>
        <w:spacing w:line="451" w:lineRule="auto"/>
        <w:ind w:right="1027"/>
        <w:jc w:val="left"/>
      </w:pPr>
      <w:r>
        <w:rPr>
          <w:spacing w:val="-2"/>
        </w:rPr>
        <w:t>（</w:t>
      </w:r>
      <w:r>
        <w:rPr>
          <w:rFonts w:ascii="Times New Roman" w:hAnsi="Times New Roman" w:cs="Times New Roman" w:eastAsia="Times New Roman" w:hint="default"/>
          <w:spacing w:val="-2"/>
        </w:rPr>
        <w:t>5</w:t>
      </w:r>
      <w:r>
        <w:rPr>
          <w:spacing w:val="-2"/>
        </w:rPr>
        <w:t>）王汉晖先生，中国国籍，无永久境外居留权，</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9</w:t>
      </w:r>
      <w:r>
        <w:rPr>
          <w:spacing w:val="-2"/>
        </w:rPr>
        <w:t>月出生，大学本科学历，毕业于暨南大学管理学院注册会计师专</w:t>
      </w:r>
      <w:r>
        <w:rPr>
          <w:spacing w:val="-62"/>
        </w:rPr>
        <w:t> </w:t>
      </w:r>
      <w:r>
        <w:rPr>
          <w:spacing w:val="-62"/>
        </w:rPr>
      </w:r>
      <w:r>
        <w:rPr>
          <w:spacing w:val="-2"/>
        </w:rPr>
        <w:t>业，中国注册会计师、中国注册税务师、会计师。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spacing w:val="1"/>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w:t>
      </w:r>
      <w:r>
        <w:rPr>
          <w:spacing w:val="-1"/>
        </w:rPr>
        <w:t>月在广东康元会计师事务所有限公司，历任审计员、</w:t>
      </w:r>
      <w:r>
        <w:rPr/>
        <w:t> 项目经理；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月，就职于广州无线电集团有限公司内审主管一职；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月在德勤华永会</w:t>
      </w:r>
      <w:r>
        <w:rPr>
          <w:spacing w:val="-85"/>
        </w:rPr>
        <w:t> </w:t>
      </w:r>
      <w:r>
        <w:rPr/>
        <w:t>计师事务所广州分所工作，历任高级审计员、审计经理；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日在广东世运电路科技股份有限公司历</w:t>
      </w:r>
      <w:r>
        <w:rPr>
          <w:spacing w:val="-85"/>
        </w:rPr>
        <w:t> </w:t>
      </w:r>
      <w:r>
        <w:rPr/>
        <w:t>任财务经理、财务总监；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日至今，任本公司财务总监。</w:t>
      </w:r>
    </w:p>
    <w:p>
      <w:pPr>
        <w:pStyle w:val="BodyText"/>
        <w:spacing w:line="240" w:lineRule="auto" w:before="71"/>
        <w:ind w:right="0"/>
        <w:jc w:val="left"/>
      </w:pPr>
      <w:r>
        <w:rPr/>
        <w:t>在股东单位任职情况</w:t>
      </w:r>
    </w:p>
    <w:p>
      <w:pPr>
        <w:spacing w:line="240" w:lineRule="auto" w:before="0"/>
        <w:rPr>
          <w:rFonts w:ascii="宋体" w:hAnsi="宋体" w:cs="宋体" w:eastAsia="宋体" w:hint="default"/>
          <w:sz w:val="21"/>
          <w:szCs w:val="21"/>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在其他单位任职情况</w:t>
      </w:r>
    </w:p>
    <w:p>
      <w:pPr>
        <w:pStyle w:val="BodyText"/>
        <w:spacing w:line="240" w:lineRule="auto" w:before="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30" w:right="74" w:hanging="271"/>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广州泛恩生物科技有限公司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广州中瀚法律咨询服务有限公司</w:t>
            </w:r>
          </w:p>
        </w:tc>
        <w:tc>
          <w:tcPr>
            <w:tcW w:w="1066" w:type="dxa"/>
            <w:tcBorders>
              <w:top w:val="single" w:sz="6" w:space="0" w:color="000000"/>
              <w:left w:val="single" w:sz="6" w:space="0" w:color="000000"/>
              <w:bottom w:val="single" w:sz="6" w:space="0" w:color="000000"/>
              <w:right w:val="single" w:sz="12" w:space="0" w:color="000000"/>
            </w:tcBorders>
          </w:tcPr>
          <w:p>
            <w:pPr>
              <w:pStyle w:val="TableParagraph"/>
              <w:spacing w:line="321" w:lineRule="auto" w:before="29"/>
              <w:ind w:left="15" w:right="-52"/>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1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广州中瀚专利商标事务所（普通合伙）</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35"/>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副教授、</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MPAcc</w:t>
            </w:r>
            <w:r>
              <w:rPr>
                <w:rFonts w:ascii="宋体" w:hAnsi="宋体" w:cs="宋体" w:eastAsia="宋体" w:hint="default"/>
                <w:spacing w:val="-3"/>
                <w:sz w:val="18"/>
                <w:szCs w:val="18"/>
              </w:rPr>
              <w:t>、</w:t>
            </w:r>
          </w:p>
          <w:p>
            <w:pPr>
              <w:pStyle w:val="TableParagraph"/>
              <w:spacing w:line="273" w:lineRule="auto" w:before="66"/>
              <w:ind w:left="15"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Maud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项目学 术主任</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广东广金投资管理有限公司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一力制药股份有限公司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岭南生态文旅股份有限公司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广东乐心医疗电子股份有限公司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佛山市蓝箭电子股份有限公司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广东风华高新科技股份有限公司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8"/>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202"/>
        <w:gridCol w:w="8380"/>
      </w:tblGrid>
      <w:tr>
        <w:trPr>
          <w:trHeight w:val="301" w:hRule="exact"/>
        </w:trPr>
        <w:tc>
          <w:tcPr>
            <w:tcW w:w="1202" w:type="dxa"/>
            <w:tcBorders>
              <w:top w:val="nil" w:sz="6" w:space="0" w:color="auto"/>
              <w:left w:val="nil" w:sz="6" w:space="0" w:color="auto"/>
              <w:bottom w:val="single" w:sz="6" w:space="0" w:color="000000"/>
              <w:right w:val="nil" w:sz="6" w:space="0" w:color="auto"/>
            </w:tcBorders>
          </w:tcPr>
          <w:p>
            <w:pPr/>
          </w:p>
        </w:tc>
        <w:tc>
          <w:tcPr>
            <w:tcW w:w="8380" w:type="dxa"/>
            <w:tcBorders>
              <w:top w:val="nil" w:sz="6" w:space="0" w:color="auto"/>
              <w:left w:val="nil" w:sz="6" w:space="0" w:color="auto"/>
              <w:bottom w:val="single" w:sz="6" w:space="0" w:color="000000"/>
              <w:right w:val="nil" w:sz="6" w:space="0" w:color="auto"/>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pict>
          <v:group style="position:absolute;margin-left:55.575001pt;margin-top:-54.463257pt;width:485.85pt;height:.1pt;mso-position-horizontal-relative:page;mso-position-vertical-relative:paragraph;z-index:-1109344" coordorigin="1112,-1089" coordsize="9717,2">
            <v:shape style="position:absolute;left:1112;top:-1089;width:9717;height:2" coordorigin="1112,-1089" coordsize="9717,0" path="m1112,-1089l10829,-1089e" filled="false" stroked="true" strokeweight=".75pt" strokecolor="#000000">
              <v:path arrowok="t"/>
            </v:shape>
            <w10:wrap type="none"/>
          </v:group>
        </w:pict>
      </w:r>
      <w:r>
        <w:rPr/>
        <w:t>公司现任及报告期内离任董事、监事和高级管理人员近三年证券监管机构处罚的情况</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2"/>
        <w:rPr>
          <w:rFonts w:ascii="宋体" w:hAnsi="宋体" w:cs="宋体" w:eastAsia="宋体" w:hint="default"/>
          <w:sz w:val="21"/>
          <w:szCs w:val="21"/>
        </w:rPr>
      </w:pPr>
    </w:p>
    <w:p>
      <w:pPr>
        <w:pStyle w:val="BodyText"/>
        <w:spacing w:line="448" w:lineRule="auto"/>
        <w:ind w:right="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日，独立董事李耀棠先生在担任广东风华高新科技股份有限公司（简称</w:t>
      </w:r>
      <w:r>
        <w:rPr>
          <w:rFonts w:ascii="Times New Roman" w:hAnsi="Times New Roman" w:cs="Times New Roman" w:eastAsia="Times New Roman" w:hint="default"/>
          <w:spacing w:val="-1"/>
        </w:rPr>
        <w:t>“</w:t>
      </w:r>
      <w:r>
        <w:rPr>
          <w:spacing w:val="-1"/>
        </w:rPr>
        <w:t>风华高科</w:t>
      </w:r>
      <w:r>
        <w:rPr>
          <w:rFonts w:ascii="Times New Roman" w:hAnsi="Times New Roman" w:cs="Times New Roman" w:eastAsia="Times New Roman" w:hint="default"/>
          <w:spacing w:val="-1"/>
        </w:rPr>
        <w:t>”</w:t>
      </w:r>
      <w:r>
        <w:rPr>
          <w:spacing w:val="-1"/>
        </w:rPr>
        <w:t>）独立董事期间因风华高科</w:t>
      </w:r>
      <w:r>
        <w:rPr>
          <w:spacing w:val="-66"/>
        </w:rPr>
        <w:t> </w:t>
      </w:r>
      <w:r>
        <w:rPr>
          <w:spacing w:val="-66"/>
        </w:rPr>
      </w:r>
      <w:r>
        <w:rPr/>
        <w:t>披露的信息存在虚假记载、未及时披露董事会及监事会决议受广东证监局给予警告，并处以</w:t>
      </w:r>
      <w:r>
        <w:rPr>
          <w:rFonts w:ascii="Times New Roman" w:hAnsi="Times New Roman" w:cs="Times New Roman" w:eastAsia="Times New Roman" w:hint="default"/>
        </w:rPr>
        <w:t>3</w:t>
      </w:r>
      <w:r>
        <w:rPr/>
        <w:t>万元罚款的行政处罚。</w:t>
      </w: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3"/>
        <w:ind w:right="0"/>
        <w:jc w:val="left"/>
      </w:pPr>
      <w:r>
        <w:rPr/>
        <w:t>董事、监事、高级管理人员报酬的决策程序、确定依据、实际支付情况</w:t>
      </w:r>
    </w:p>
    <w:p>
      <w:pPr>
        <w:spacing w:line="240" w:lineRule="auto" w:before="2"/>
        <w:rPr>
          <w:rFonts w:ascii="宋体" w:hAnsi="宋体" w:cs="宋体" w:eastAsia="宋体" w:hint="default"/>
          <w:sz w:val="22"/>
          <w:szCs w:val="22"/>
        </w:rPr>
      </w:pPr>
    </w:p>
    <w:p>
      <w:pPr>
        <w:pStyle w:val="BodyText"/>
        <w:spacing w:line="470" w:lineRule="auto"/>
        <w:ind w:right="0"/>
        <w:jc w:val="left"/>
      </w:pPr>
      <w:r>
        <w:rPr>
          <w:spacing w:val="-2"/>
        </w:rPr>
        <w:t>公司董事、监事的薪酬政策由</w:t>
      </w:r>
      <w:r>
        <w:rPr>
          <w:rFonts w:ascii="Times New Roman" w:hAnsi="Times New Roman" w:cs="Times New Roman" w:eastAsia="Times New Roman" w:hint="default"/>
          <w:spacing w:val="-2"/>
        </w:rPr>
        <w:t>2018</w:t>
      </w:r>
      <w:r>
        <w:rPr>
          <w:spacing w:val="-2"/>
        </w:rPr>
        <w:t>年年度股东大会审议通过并执行；高级管理人员的薪酬政策由第三届董事会第十八次会议</w:t>
      </w:r>
      <w:r>
        <w:rPr>
          <w:spacing w:val="-65"/>
        </w:rPr>
        <w:t> </w:t>
      </w:r>
      <w:r>
        <w:rPr>
          <w:spacing w:val="-65"/>
        </w:rPr>
      </w:r>
      <w:r>
        <w:rPr/>
        <w:t>审议通过并执行。 </w:t>
      </w:r>
      <w:r>
        <w:rPr>
          <w:spacing w:val="-2"/>
        </w:rPr>
        <w:t>公司独立董事除领取独立董事津贴外，不享有其他福利待遇。其他在公司领取薪酬的董事、监事、高级管理人员的薪酬主要</w:t>
      </w:r>
      <w:r>
        <w:rPr>
          <w:spacing w:val="-40"/>
        </w:rPr>
        <w:t> </w:t>
      </w:r>
      <w:r>
        <w:rPr>
          <w:spacing w:val="-40"/>
        </w:rPr>
      </w:r>
      <w:r>
        <w:rPr>
          <w:spacing w:val="-2"/>
        </w:rPr>
        <w:t>由固定薪酬和年终绩效奖金两部分组成。固定薪酬根据其所任职位的价值、责任、能力、市场薪资行情等因素确定，并考虑</w:t>
      </w:r>
      <w:r>
        <w:rPr>
          <w:spacing w:val="-57"/>
        </w:rPr>
        <w:t> </w:t>
      </w:r>
      <w:r>
        <w:rPr>
          <w:spacing w:val="-57"/>
        </w:rPr>
      </w:r>
      <w:r>
        <w:rPr>
          <w:spacing w:val="-2"/>
        </w:rPr>
        <w:t>其在公司的任职年限及股份分红等其他收入综合平衡确定；年终绩效奖金根据公司年度目标绩效奖金为基础，与公司年度经</w:t>
      </w:r>
    </w:p>
    <w:p>
      <w:pPr>
        <w:pStyle w:val="BodyText"/>
        <w:spacing w:line="482" w:lineRule="auto" w:before="57"/>
        <w:ind w:right="0"/>
        <w:jc w:val="left"/>
      </w:pPr>
      <w:r>
        <w:rPr/>
        <w:t>营绩效相挂钩，年终根据当年考核结果统算兑付。 </w:t>
      </w:r>
      <w:r>
        <w:rPr>
          <w:spacing w:val="-2"/>
        </w:rPr>
        <w:t>报告期内，在本公司领取报酬的董事、监事和高级管理人员的年度报酬（包括基本工资、各项奖金、福利、补贴及其他津贴</w:t>
      </w:r>
      <w:r>
        <w:rPr>
          <w:spacing w:val="-72"/>
        </w:rPr>
        <w:t> </w:t>
      </w:r>
      <w:r>
        <w:rPr>
          <w:spacing w:val="-72"/>
        </w:rPr>
      </w:r>
      <w:r>
        <w:rPr/>
        <w:t>等）总额合计为</w:t>
      </w:r>
      <w:r>
        <w:rPr>
          <w:rFonts w:ascii="Times New Roman" w:hAnsi="Times New Roman" w:cs="Times New Roman" w:eastAsia="Times New Roman" w:hint="default"/>
        </w:rPr>
        <w:t>377.47</w:t>
      </w:r>
      <w:r>
        <w:rPr/>
        <w:t>万元。</w:t>
      </w:r>
    </w:p>
    <w:p>
      <w:pPr>
        <w:pStyle w:val="BodyText"/>
        <w:spacing w:line="240" w:lineRule="auto" w:before="45"/>
        <w:ind w:right="0"/>
        <w:jc w:val="left"/>
      </w:pPr>
      <w:r>
        <w:rPr/>
        <w:t>公司报告期内董事、监事和高级管理人员报酬情况</w:t>
      </w:r>
    </w:p>
    <w:p>
      <w:pPr>
        <w:spacing w:line="240" w:lineRule="auto" w:before="11"/>
        <w:rPr>
          <w:rFonts w:ascii="宋体" w:hAnsi="宋体" w:cs="宋体" w:eastAsia="宋体" w:hint="default"/>
          <w:sz w:val="19"/>
          <w:szCs w:val="19"/>
        </w:rPr>
      </w:pPr>
    </w:p>
    <w:p>
      <w:pPr>
        <w:pStyle w:val="BodyText"/>
        <w:spacing w:line="240" w:lineRule="auto"/>
        <w:ind w:left="0" w:right="1110"/>
        <w:jc w:val="right"/>
      </w:pPr>
      <w:r>
        <w:rPr/>
        <w:t>单位：万元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54.74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雷洪文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龙勤梅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6.54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陈文芳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9.96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徐彪</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袁小康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1"/>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6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69.03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王汉晖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601"/>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59.11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615"/>
              <w:jc w:val="righ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377.47</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公司董事、高级管理人员报告期内被授予的股权激励情况</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33" w:type="dxa"/>
        <w:tblLayout w:type="fixed"/>
        <w:tblCellMar>
          <w:top w:w="0" w:type="dxa"/>
          <w:left w:w="0" w:type="dxa"/>
          <w:bottom w:w="0" w:type="dxa"/>
          <w:right w:w="0" w:type="dxa"/>
        </w:tblCellMar>
        <w:tblLook w:val="01E0"/>
      </w:tblPr>
      <w:tblGrid>
        <w:gridCol w:w="4779"/>
        <w:gridCol w:w="4796"/>
      </w:tblGrid>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1,161</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194</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1,355</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1,823</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205</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722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w:t>
            </w:r>
          </w:p>
        </w:tc>
      </w:tr>
      <w:tr>
        <w:trPr>
          <w:trHeight w:val="406"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83</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272</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1,355</w:t>
            </w:r>
          </w:p>
        </w:tc>
      </w:tr>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13"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w:t>
            </w:r>
          </w:p>
        </w:tc>
      </w:tr>
      <w:tr>
        <w:trPr>
          <w:trHeight w:val="391"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352</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590</w:t>
            </w:r>
          </w:p>
        </w:tc>
      </w:tr>
      <w:tr>
        <w:trPr>
          <w:trHeight w:val="405" w:hRule="exact"/>
        </w:trPr>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390</w:t>
            </w:r>
          </w:p>
        </w:tc>
      </w:tr>
      <w:tr>
        <w:trPr>
          <w:trHeight w:val="390" w:hRule="exact"/>
        </w:trPr>
        <w:tc>
          <w:tcPr>
            <w:tcW w:w="47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1,355</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b/>
          <w:bCs/>
          <w:sz w:val="28"/>
          <w:szCs w:val="28"/>
        </w:rPr>
      </w:pPr>
    </w:p>
    <w:p>
      <w:pPr>
        <w:pStyle w:val="Heading3"/>
        <w:spacing w:line="240" w:lineRule="auto" w:before="35"/>
        <w:ind w:right="0"/>
        <w:jc w:val="both"/>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5" w:lineRule="auto"/>
        <w:ind w:left="441" w:right="1089"/>
        <w:jc w:val="left"/>
      </w:pPr>
      <w:r>
        <w:rPr/>
        <w:t>公司遵循按劳分配、以岗定薪、效率优先、兼顾公平的原则，制定并实施符合公司实际的薪酬分配方案。</w:t>
      </w:r>
      <w:r>
        <w:rPr>
          <w:spacing w:val="-84"/>
        </w:rPr>
        <w:t> </w:t>
      </w:r>
      <w:r>
        <w:rPr>
          <w:spacing w:val="-84"/>
        </w:rPr>
      </w:r>
      <w:r>
        <w:rPr/>
        <w:t>薪酬分配的主要依据是：个人和团队业绩贡献、个人能力素质、岗位价值。薪酬分配标准参照公司所在地区社会平均工</w:t>
      </w:r>
    </w:p>
    <w:p>
      <w:pPr>
        <w:pStyle w:val="BodyText"/>
        <w:spacing w:line="504" w:lineRule="auto" w:before="68"/>
        <w:ind w:right="1834"/>
        <w:jc w:val="left"/>
      </w:pPr>
      <w:r>
        <w:rPr/>
        <w:t>资水平、行业平均水平、劳动力市场的供求状况、生活费用和物价水平等确定。 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53" w:lineRule="auto" w:before="42"/>
        <w:ind w:right="1126"/>
        <w:jc w:val="both"/>
      </w:pPr>
      <w:r>
        <w:rPr/>
        <w:t>报告期内职工薪酬总额（计入成本部分）的金额为 </w:t>
      </w:r>
      <w:r>
        <w:rPr>
          <w:rFonts w:ascii="Times New Roman" w:hAnsi="Times New Roman" w:cs="Times New Roman" w:eastAsia="Times New Roman" w:hint="default"/>
        </w:rPr>
        <w:t>49,806,638.11</w:t>
      </w:r>
      <w:r>
        <w:rPr>
          <w:rFonts w:ascii="Times New Roman" w:hAnsi="Times New Roman" w:cs="Times New Roman" w:eastAsia="Times New Roman" w:hint="default"/>
          <w:spacing w:val="-7"/>
        </w:rPr>
        <w:t> </w:t>
      </w:r>
      <w:r>
        <w:rPr/>
        <w:t>元，占公司成本总额的比重为</w:t>
      </w:r>
      <w:r>
        <w:rPr>
          <w:rFonts w:ascii="Times New Roman" w:hAnsi="Times New Roman" w:cs="Times New Roman" w:eastAsia="Times New Roman" w:hint="default"/>
        </w:rPr>
        <w:t>12.58%</w:t>
      </w:r>
      <w:r>
        <w:rPr/>
        <w:t>；报告期内公司利润 与职工薪酬总额同比均有提升，公司利润对职工薪酬总额变化具有一定敏感性。报告期内，核心技术人员</w:t>
      </w:r>
      <w:r>
        <w:rPr>
          <w:rFonts w:ascii="Times New Roman" w:hAnsi="Times New Roman" w:cs="Times New Roman" w:eastAsia="Times New Roman" w:hint="default"/>
        </w:rPr>
        <w:t>198</w:t>
      </w:r>
      <w:r>
        <w:rPr/>
        <w:t>人，较上年同</w:t>
      </w:r>
      <w:r>
        <w:rPr>
          <w:spacing w:val="-81"/>
        </w:rPr>
        <w:t> </w:t>
      </w:r>
      <w:r>
        <w:rPr/>
        <w:t>期减少</w:t>
      </w:r>
      <w:r>
        <w:rPr>
          <w:rFonts w:ascii="Times New Roman" w:hAnsi="Times New Roman" w:cs="Times New Roman" w:eastAsia="Times New Roman" w:hint="default"/>
        </w:rPr>
        <w:t>1.49%</w:t>
      </w:r>
      <w:r>
        <w:rPr/>
        <w:t>，占公司员工总数的</w:t>
      </w:r>
      <w:r>
        <w:rPr>
          <w:rFonts w:ascii="Times New Roman" w:hAnsi="Times New Roman" w:cs="Times New Roman" w:eastAsia="Times New Roman" w:hint="default"/>
        </w:rPr>
        <w:t>14.61%</w:t>
      </w:r>
      <w:r>
        <w:rPr/>
        <w:t>；核心技术人员薪酬为</w:t>
      </w:r>
      <w:r>
        <w:rPr>
          <w:rFonts w:ascii="Times New Roman" w:hAnsi="Times New Roman" w:cs="Times New Roman" w:eastAsia="Times New Roman" w:hint="default"/>
        </w:rPr>
        <w:t>33,016,174.53</w:t>
      </w:r>
      <w:r>
        <w:rPr/>
        <w:t>元，较上年同期增长</w:t>
      </w:r>
      <w:r>
        <w:rPr>
          <w:rFonts w:ascii="Times New Roman" w:hAnsi="Times New Roman" w:cs="Times New Roman" w:eastAsia="Times New Roman" w:hint="default"/>
        </w:rPr>
        <w:t>17.75%</w:t>
      </w:r>
      <w:r>
        <w:rPr/>
        <w:t>，占职工薪酬总额</w:t>
      </w:r>
      <w:r>
        <w:rPr>
          <w:spacing w:val="-84"/>
        </w:rPr>
        <w:t> </w:t>
      </w:r>
      <w:r>
        <w:rPr/>
        <w:t>的</w:t>
      </w:r>
      <w:r>
        <w:rPr>
          <w:rFonts w:ascii="Times New Roman" w:hAnsi="Times New Roman" w:cs="Times New Roman" w:eastAsia="Times New Roman" w:hint="default"/>
        </w:rPr>
        <w:t>18.59%</w:t>
      </w:r>
      <w:r>
        <w:rPr/>
        <w:t>。</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63" w:lineRule="auto"/>
        <w:ind w:right="1089" w:firstLine="300"/>
        <w:jc w:val="left"/>
      </w:pPr>
      <w:r>
        <w:rPr>
          <w:rFonts w:ascii="Times New Roman" w:hAnsi="Times New Roman" w:cs="Times New Roman" w:eastAsia="Times New Roman" w:hint="default"/>
        </w:rPr>
        <w:t>2019</w:t>
      </w:r>
      <w:r>
        <w:rPr/>
        <w:t>年结合公司战略发展需要，着力完善培训体系，为人才培养与发展做有力的支撑，培训工作分别在以下几方面得到 体现：</w:t>
      </w:r>
    </w:p>
    <w:p>
      <w:pPr>
        <w:pStyle w:val="BodyText"/>
        <w:spacing w:line="448" w:lineRule="auto" w:before="62"/>
        <w:ind w:right="1134" w:firstLine="300"/>
        <w:jc w:val="left"/>
      </w:pPr>
      <w:r>
        <w:rPr>
          <w:rFonts w:ascii="Times New Roman" w:hAnsi="Times New Roman" w:cs="Times New Roman" w:eastAsia="Times New Roman" w:hint="default"/>
        </w:rPr>
        <w:t>1.</w:t>
      </w:r>
      <w:r>
        <w:rPr/>
        <w:t>分别从各部门选拔出符合要求的讲师</w:t>
      </w:r>
      <w:r>
        <w:rPr>
          <w:rFonts w:ascii="Times New Roman" w:hAnsi="Times New Roman" w:cs="Times New Roman" w:eastAsia="Times New Roman" w:hint="default"/>
        </w:rPr>
        <w:t>45</w:t>
      </w:r>
      <w:r>
        <w:rPr/>
        <w:t>名，成立讲师团队，对他们进行专业的课程开发与授课培训，沉淀出近</w:t>
      </w:r>
      <w:r>
        <w:rPr>
          <w:rFonts w:ascii="Times New Roman" w:hAnsi="Times New Roman" w:cs="Times New Roman" w:eastAsia="Times New Roman" w:hint="default"/>
        </w:rPr>
        <w:t>40</w:t>
      </w:r>
      <w:r>
        <w:rPr/>
        <w:t>门新 的课程，且大部门讲师在</w:t>
      </w:r>
      <w:r>
        <w:rPr>
          <w:rFonts w:ascii="Times New Roman" w:hAnsi="Times New Roman" w:cs="Times New Roman" w:eastAsia="Times New Roman" w:hint="default"/>
        </w:rPr>
        <w:t>2019</w:t>
      </w:r>
      <w:r>
        <w:rPr/>
        <w:t>年进行了课程分享。对讲师个人和公司同事都起到很好的能力提升作用。</w:t>
      </w:r>
    </w:p>
    <w:p>
      <w:pPr>
        <w:pStyle w:val="BodyText"/>
        <w:spacing w:line="448" w:lineRule="auto" w:before="42"/>
        <w:ind w:right="1134" w:firstLine="300"/>
        <w:jc w:val="left"/>
      </w:pPr>
      <w:r>
        <w:rPr>
          <w:rFonts w:ascii="Times New Roman" w:hAnsi="Times New Roman" w:cs="Times New Roman" w:eastAsia="Times New Roman" w:hint="default"/>
        </w:rPr>
        <w:t>2.</w:t>
      </w:r>
      <w:r>
        <w:rPr/>
        <w:t>重点选拔出</w:t>
      </w:r>
      <w:r>
        <w:rPr>
          <w:rFonts w:ascii="Times New Roman" w:hAnsi="Times New Roman" w:cs="Times New Roman" w:eastAsia="Times New Roman" w:hint="default"/>
        </w:rPr>
        <w:t>123</w:t>
      </w:r>
      <w:r>
        <w:rPr/>
        <w:t>名中层骨干进行培养，详细制定出每月学习计划，总共开展了</w:t>
      </w:r>
      <w:r>
        <w:rPr>
          <w:rFonts w:ascii="Times New Roman" w:hAnsi="Times New Roman" w:cs="Times New Roman" w:eastAsia="Times New Roman" w:hint="default"/>
        </w:rPr>
        <w:t>7</w:t>
      </w:r>
      <w:r>
        <w:rPr/>
        <w:t>个月份，课时总共达近</w:t>
      </w:r>
      <w:r>
        <w:rPr>
          <w:rFonts w:ascii="Times New Roman" w:hAnsi="Times New Roman" w:cs="Times New Roman" w:eastAsia="Times New Roman" w:hint="default"/>
        </w:rPr>
        <w:t>30</w:t>
      </w:r>
      <w:r>
        <w:rPr/>
        <w:t>小时，且落实 到工作中得以应用。</w:t>
      </w:r>
    </w:p>
    <w:p>
      <w:pPr>
        <w:pStyle w:val="BodyText"/>
        <w:spacing w:line="240" w:lineRule="auto" w:before="88"/>
        <w:ind w:left="441" w:right="0"/>
        <w:jc w:val="left"/>
      </w:pPr>
      <w:r>
        <w:rPr>
          <w:rFonts w:ascii="Times New Roman" w:hAnsi="Times New Roman" w:cs="Times New Roman" w:eastAsia="Times New Roman" w:hint="default"/>
        </w:rPr>
        <w:t>3.</w:t>
      </w:r>
      <w:r>
        <w:rPr/>
        <w:t>其他常规培训包含业务类，岗位技能类，入职培训类，产品知识类，研发技术类等等共达到</w:t>
      </w:r>
      <w:r>
        <w:rPr>
          <w:rFonts w:ascii="Times New Roman" w:hAnsi="Times New Roman" w:cs="Times New Roman" w:eastAsia="Times New Roman" w:hint="default"/>
        </w:rPr>
        <w:t>70</w:t>
      </w:r>
      <w:r>
        <w:rPr/>
        <w:t>多场次。</w:t>
      </w:r>
    </w:p>
    <w:p>
      <w:pPr>
        <w:spacing w:line="240" w:lineRule="auto" w:before="7"/>
        <w:rPr>
          <w:rFonts w:ascii="宋体" w:hAnsi="宋体" w:cs="宋体" w:eastAsia="宋体" w:hint="default"/>
          <w:sz w:val="16"/>
          <w:szCs w:val="16"/>
        </w:rPr>
      </w:pPr>
    </w:p>
    <w:p>
      <w:pPr>
        <w:pStyle w:val="BodyText"/>
        <w:spacing w:line="240" w:lineRule="auto"/>
        <w:ind w:left="441" w:right="0"/>
        <w:jc w:val="left"/>
      </w:pPr>
      <w:r>
        <w:rPr>
          <w:rFonts w:ascii="Times New Roman" w:hAnsi="Times New Roman" w:cs="Times New Roman" w:eastAsia="Times New Roman" w:hint="default"/>
        </w:rPr>
        <w:t>2019</w:t>
      </w:r>
      <w:r>
        <w:rPr/>
        <w:t>年注重在授课课程的质量和效果上，做到学员真正吸收知识，转化成技能，并与之应用。</w:t>
      </w:r>
    </w:p>
    <w:p>
      <w:pPr>
        <w:spacing w:line="240" w:lineRule="auto" w:before="7"/>
        <w:rPr>
          <w:rFonts w:ascii="宋体" w:hAnsi="宋体" w:cs="宋体" w:eastAsia="宋体" w:hint="default"/>
          <w:sz w:val="16"/>
          <w:szCs w:val="16"/>
        </w:rPr>
      </w:pPr>
    </w:p>
    <w:p>
      <w:pPr>
        <w:pStyle w:val="BodyText"/>
        <w:spacing w:line="240" w:lineRule="auto"/>
        <w:ind w:left="441" w:right="0"/>
        <w:jc w:val="left"/>
      </w:pPr>
      <w:r>
        <w:rPr>
          <w:rFonts w:ascii="Times New Roman" w:hAnsi="Times New Roman" w:cs="Times New Roman" w:eastAsia="Times New Roman" w:hint="default"/>
        </w:rPr>
        <w:t>2020</w:t>
      </w:r>
      <w:r>
        <w:rPr/>
        <w:t>年公司将再接再厉，不断精益求精，创新开拓，随着公司的改革，激活组织、赋能人才。</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83"/>
        <w:jc w:val="center"/>
        <w:rPr>
          <w:b w:val="0"/>
          <w:bCs w:val="0"/>
        </w:rPr>
      </w:pPr>
      <w:bookmarkStart w:name="第十节公司治理" w:id="133"/>
      <w:bookmarkEnd w:id="133"/>
      <w:r>
        <w:rPr>
          <w:b w:val="0"/>
          <w:bCs w:val="0"/>
        </w:rPr>
      </w:r>
      <w:bookmarkStart w:name="_bookmark9" w:id="134"/>
      <w:bookmarkEnd w:id="134"/>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477" w:lineRule="auto" w:before="178"/>
        <w:ind w:right="1121" w:firstLine="360"/>
        <w:jc w:val="both"/>
      </w:pPr>
      <w:r>
        <w:rPr>
          <w:spacing w:val="-2"/>
        </w:rPr>
        <w:t>报告期内，公司严格按照《公司法》《证券法》《上市公司治理准则》《深圳证券交易所创业板股票上市规则》《深圳</w:t>
      </w:r>
      <w:r>
        <w:rPr/>
        <w:t> </w:t>
      </w:r>
      <w:r>
        <w:rPr>
          <w:spacing w:val="-2"/>
        </w:rPr>
        <w:t>证券交易所创业板上市公司规范运作指引》等法律、法规的要求，不断完善法人治理结构，建立健全公司内部控制制度，进</w:t>
      </w:r>
      <w:r>
        <w:rPr>
          <w:spacing w:val="-57"/>
        </w:rPr>
        <w:t> </w:t>
      </w:r>
      <w:r>
        <w:rPr>
          <w:spacing w:val="-57"/>
        </w:rPr>
      </w:r>
      <w:r>
        <w:rPr>
          <w:spacing w:val="-2"/>
        </w:rPr>
        <w:t>一步规范公司运作，形成了权力机构、决策机构、监督机构和管理层之间权责分明、各司其职、相互制衡、科学决策、规范</w:t>
      </w:r>
      <w:r>
        <w:rPr>
          <w:spacing w:val="-73"/>
        </w:rPr>
        <w:t> </w:t>
      </w:r>
      <w:r>
        <w:rPr>
          <w:spacing w:val="-73"/>
        </w:rPr>
      </w:r>
      <w:r>
        <w:rPr>
          <w:spacing w:val="-2"/>
        </w:rPr>
        <w:t>运作的法人治理机构。股东大会、董事会、监事会运作规范，独立董事、董事会各专门委员会各司其职，持续深入开展公司</w:t>
      </w:r>
      <w:r>
        <w:rPr>
          <w:spacing w:val="-68"/>
        </w:rPr>
        <w:t> </w:t>
      </w:r>
      <w:r>
        <w:rPr>
          <w:spacing w:val="-68"/>
        </w:rPr>
      </w:r>
      <w:r>
        <w:rPr/>
        <w:t>治理活动，提高公司治理水平。严格进行信息披露工作，有效维护了公司和投资者的利益。</w:t>
      </w:r>
    </w:p>
    <w:p>
      <w:pPr>
        <w:pStyle w:val="BodyText"/>
        <w:spacing w:line="240" w:lineRule="auto" w:before="52"/>
        <w:ind w:left="501" w:right="0"/>
        <w:jc w:val="left"/>
      </w:pPr>
      <w:r>
        <w:rPr>
          <w:spacing w:val="-3"/>
        </w:rPr>
        <w:t>报告期内，公司制定或修订了《公司章程》，并在实际运行中严格遵守执行，从而保障了公司法人治理结构的高效运作。</w:t>
      </w:r>
    </w:p>
    <w:p>
      <w:pPr>
        <w:spacing w:line="240" w:lineRule="auto" w:before="7"/>
        <w:rPr>
          <w:rFonts w:ascii="宋体" w:hAnsi="宋体" w:cs="宋体" w:eastAsia="宋体" w:hint="default"/>
          <w:sz w:val="17"/>
          <w:szCs w:val="17"/>
        </w:rPr>
      </w:pPr>
    </w:p>
    <w:p>
      <w:pPr>
        <w:pStyle w:val="BodyText"/>
        <w:spacing w:line="472" w:lineRule="auto"/>
        <w:ind w:left="501" w:right="1133" w:hanging="60"/>
        <w:jc w:val="left"/>
      </w:pPr>
      <w:r>
        <w:rPr/>
        <w:t>（一）关于股东与股东大会 </w:t>
      </w:r>
      <w:r>
        <w:rPr>
          <w:spacing w:val="-2"/>
        </w:rPr>
        <w:t>公司严格按照《公司法》《上市公司股东大会规则》《公司章程》《股东大会议事规则》以及深圳证券交易所创业板等</w:t>
      </w:r>
    </w:p>
    <w:p>
      <w:pPr>
        <w:pStyle w:val="BodyText"/>
        <w:spacing w:line="470" w:lineRule="auto" w:before="55"/>
        <w:ind w:right="1029"/>
        <w:jc w:val="left"/>
      </w:pPr>
      <w:r>
        <w:rPr/>
        <w:t>的相关规定和要求，规范股东大会的召集、召开和表决程序，并尽可能为股东参加股东大会创造便利条件，确保所有股东， </w:t>
      </w:r>
      <w:r>
        <w:rPr>
          <w:spacing w:val="-2"/>
        </w:rPr>
        <w:t>特别是中小股东的平等地位，充分行使自己的权利。同时，公司聘请专业律师见证股东大会，确保会议召集、召开以及表决</w:t>
      </w:r>
      <w:r>
        <w:rPr>
          <w:spacing w:val="-56"/>
        </w:rPr>
        <w:t> </w:t>
      </w:r>
      <w:r>
        <w:rPr>
          <w:spacing w:val="-56"/>
        </w:rPr>
      </w:r>
      <w:r>
        <w:rPr/>
        <w:t>程序符合相关法律规定，维护股东的合法权益。报告期内，公司共召开了 </w:t>
      </w:r>
      <w:r>
        <w:rPr>
          <w:rFonts w:ascii="Times New Roman" w:hAnsi="Times New Roman" w:cs="Times New Roman" w:eastAsia="Times New Roman" w:hint="default"/>
        </w:rPr>
        <w:t>1 </w:t>
      </w:r>
      <w:r>
        <w:rPr/>
        <w:t>次年度股东大会，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次临时股东大会，会议均 由董事会召集、召开。</w:t>
      </w:r>
    </w:p>
    <w:p>
      <w:pPr>
        <w:pStyle w:val="BodyText"/>
        <w:spacing w:line="472" w:lineRule="auto" w:before="57"/>
        <w:ind w:left="441" w:right="1089"/>
        <w:jc w:val="left"/>
      </w:pPr>
      <w:r>
        <w:rPr/>
        <w:t>（二）关于公司与控股股东 公司控股股东严格按照《上市公司治理准则》《深圳证券交易所创业板股票上市规则》《深圳证券交易所创业板上市公</w:t>
      </w:r>
    </w:p>
    <w:p>
      <w:pPr>
        <w:pStyle w:val="BodyText"/>
        <w:spacing w:line="475" w:lineRule="auto" w:before="70"/>
        <w:ind w:right="1029"/>
        <w:jc w:val="left"/>
      </w:pPr>
      <w:r>
        <w:rPr>
          <w:spacing w:val="-2"/>
        </w:rPr>
        <w:t>司规范运作指引》《公司章程》等规定和要求，规范自身行为，并依法行使权利和履行义务，不存在超越股东大会直接或间</w:t>
      </w:r>
      <w:r>
        <w:rPr>
          <w:spacing w:val="-73"/>
        </w:rPr>
        <w:t> </w:t>
      </w:r>
      <w:r>
        <w:rPr>
          <w:spacing w:val="-73"/>
        </w:rPr>
      </w:r>
      <w:r>
        <w:rPr>
          <w:spacing w:val="-2"/>
        </w:rPr>
        <w:t>接干预公司的决策和经营活动的情形，不存在利用其控制地位损害公司和公司其他股东利益的行为，不存在控股股东违规占</w:t>
      </w:r>
      <w:r>
        <w:rPr>
          <w:spacing w:val="-69"/>
        </w:rPr>
        <w:t> </w:t>
      </w:r>
      <w:r>
        <w:rPr>
          <w:spacing w:val="-69"/>
        </w:rPr>
      </w:r>
      <w:r>
        <w:rPr/>
        <w:t>用公司资金和资产的现象，公司亦不存在为控股股东提供担保的情形。公司拥有独立完整的业务和自主经营能力，在业务、 资产、人员、机构、财务上独立于控股股东，公司董事会、监事会和内部机构均能够独立运行。</w:t>
      </w:r>
    </w:p>
    <w:p>
      <w:pPr>
        <w:pStyle w:val="BodyText"/>
        <w:spacing w:line="489" w:lineRule="auto" w:before="53"/>
        <w:ind w:left="441" w:right="1019"/>
        <w:jc w:val="left"/>
      </w:pPr>
      <w:r>
        <w:rPr/>
        <w:t>（三）关于董事与董事会 公司根据《公司章程》及《董事会议事规则》规定的程序选举董事，组建董事会。公司第三届董事会由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名董事组成，</w:t>
      </w:r>
    </w:p>
    <w:p>
      <w:pPr>
        <w:pStyle w:val="BodyText"/>
        <w:spacing w:line="470" w:lineRule="auto" w:before="9"/>
        <w:ind w:right="1014"/>
        <w:jc w:val="left"/>
      </w:pPr>
      <w:r>
        <w:rPr/>
        <w:t>其中独立董事 </w:t>
      </w:r>
      <w:r>
        <w:rPr>
          <w:rFonts w:ascii="Times New Roman" w:hAnsi="Times New Roman" w:cs="Times New Roman" w:eastAsia="Times New Roman" w:hint="default"/>
        </w:rPr>
        <w:t>2 </w:t>
      </w:r>
      <w:r>
        <w:rPr>
          <w:spacing w:val="-3"/>
        </w:rPr>
        <w:t>名，外部董事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名，董事会的人数和人员构成符合相关要求。董事会均严格按照《公司章程》及《董事会 </w:t>
      </w:r>
      <w:r>
        <w:rPr>
          <w:spacing w:val="-2"/>
        </w:rPr>
        <w:t>议事规则》的程序召集、召开。各位董事能够依据《董事会议事规则》《独立董事工作制度》《深圳证券交易所创业板上市</w:t>
      </w:r>
      <w:r>
        <w:rPr>
          <w:spacing w:val="-74"/>
        </w:rPr>
        <w:t> </w:t>
      </w:r>
      <w:r>
        <w:rPr>
          <w:spacing w:val="-74"/>
        </w:rPr>
      </w:r>
      <w:r>
        <w:rPr>
          <w:spacing w:val="-2"/>
        </w:rPr>
        <w:t>公司规范运作指引》等规定开展工作，出席董事会和股东大会，勤勉尽责的履行职责和义务，同时积极参加相关培训，熟悉</w:t>
      </w:r>
      <w:r>
        <w:rPr>
          <w:spacing w:val="-57"/>
        </w:rPr>
        <w:t> </w:t>
      </w:r>
      <w:r>
        <w:rPr>
          <w:spacing w:val="-57"/>
        </w:rPr>
      </w:r>
      <w:r>
        <w:rPr>
          <w:spacing w:val="-3"/>
        </w:rPr>
        <w:t>相关法律法规。公司按照《深圳证券交易所创业板上市公司规范运作指引》的要求，下设有提名委员会、薪酬与考核委员会、</w:t>
      </w:r>
      <w:r>
        <w:rPr>
          <w:spacing w:val="-80"/>
        </w:rPr>
        <w:t> </w:t>
      </w:r>
      <w:r>
        <w:rPr>
          <w:spacing w:val="-80"/>
        </w:rPr>
      </w:r>
      <w:r>
        <w:rPr/>
        <w:t>战略委员会和审计委员会四个专门委员会，各委员会中独立董事占比均超</w:t>
      </w:r>
      <w:r>
        <w:rPr>
          <w:rFonts w:ascii="Times New Roman" w:hAnsi="Times New Roman" w:cs="Times New Roman" w:eastAsia="Times New Roman" w:hint="default"/>
        </w:rPr>
        <w:t>1/2</w:t>
      </w:r>
      <w:r>
        <w:rPr/>
        <w:t>，提高了董事会履职能力和专业化程度，保障</w:t>
      </w:r>
    </w:p>
    <w:p>
      <w:pPr>
        <w:spacing w:after="0" w:line="47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了董事会决策的科学性和规范性。</w:t>
      </w:r>
    </w:p>
    <w:p>
      <w:pPr>
        <w:spacing w:line="240" w:lineRule="auto" w:before="7"/>
        <w:rPr>
          <w:rFonts w:ascii="宋体" w:hAnsi="宋体" w:cs="宋体" w:eastAsia="宋体" w:hint="default"/>
          <w:sz w:val="17"/>
          <w:szCs w:val="17"/>
        </w:rPr>
      </w:pPr>
    </w:p>
    <w:p>
      <w:pPr>
        <w:pStyle w:val="BodyText"/>
        <w:spacing w:line="475" w:lineRule="auto"/>
        <w:ind w:left="441" w:right="1019"/>
        <w:jc w:val="left"/>
      </w:pPr>
      <w:r>
        <w:rPr/>
        <w:t>（四）关于监事与监事会 公司根据《公司章程》及《监事会议事规则》规定的程序选举监事，组建监事会。公司第三届监事会由 </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名监事组成，</w:t>
      </w:r>
    </w:p>
    <w:p>
      <w:pPr>
        <w:pStyle w:val="BodyText"/>
        <w:spacing w:line="465" w:lineRule="auto" w:before="36"/>
        <w:ind w:right="1121"/>
        <w:jc w:val="both"/>
      </w:pPr>
      <w:r>
        <w:rPr/>
        <w:t>其中有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名职工监事，监事会的人数和人员构成符合相关要求。公司监事及监事会严格执行《公司章程》和《监事会议事 </w:t>
      </w:r>
      <w:r>
        <w:rPr>
          <w:spacing w:val="-2"/>
        </w:rPr>
        <w:t>规则》等制度的有关规定，认真履行自己的职责，能够本着对股东负责的精神，出席监事会会议、列席董事会会议、股东大</w:t>
      </w:r>
      <w:r>
        <w:rPr>
          <w:spacing w:val="-72"/>
        </w:rPr>
        <w:t> </w:t>
      </w:r>
      <w:r>
        <w:rPr>
          <w:spacing w:val="-72"/>
        </w:rPr>
      </w:r>
      <w:r>
        <w:rPr>
          <w:spacing w:val="-2"/>
        </w:rPr>
        <w:t>会会议；审核董事会编制的定期报告并提出书面的核查意见，对公司的日常经营、重大事项、财务状况以及公司董事、高级</w:t>
      </w:r>
      <w:r>
        <w:rPr>
          <w:spacing w:val="-57"/>
        </w:rPr>
        <w:t> </w:t>
      </w:r>
      <w:r>
        <w:rPr>
          <w:spacing w:val="-57"/>
        </w:rPr>
      </w:r>
      <w:r>
        <w:rPr/>
        <w:t>管理人员履行职责情况的合法性、合规性进行有效监督，切实维护全体股东的合法权益，保证了公司的规范运作。</w:t>
      </w:r>
    </w:p>
    <w:p>
      <w:pPr>
        <w:pStyle w:val="BodyText"/>
        <w:spacing w:line="489" w:lineRule="auto" w:before="60"/>
        <w:ind w:left="441" w:right="1089"/>
        <w:jc w:val="left"/>
      </w:pPr>
      <w:r>
        <w:rPr/>
        <w:t>（五）关于信息披露与透明度 公司严格按照有关法律法规以及《信息披露管理制度》《投资者关系管理制度》等的要求，真实、准确、及时、公平、</w:t>
      </w:r>
    </w:p>
    <w:p>
      <w:pPr>
        <w:pStyle w:val="BodyText"/>
        <w:spacing w:line="460" w:lineRule="auto" w:before="42"/>
        <w:ind w:right="0"/>
        <w:jc w:val="left"/>
      </w:pPr>
      <w:r>
        <w:rPr>
          <w:spacing w:val="-2"/>
        </w:rPr>
        <w:t>完整地披露有关信息；并指定公司董事会秘书负责信息披露工作，协调公司与投资者的关系，接待投资者来访，回答投资者</w:t>
      </w:r>
      <w:r>
        <w:rPr>
          <w:spacing w:val="-42"/>
        </w:rPr>
        <w:t> </w:t>
      </w:r>
      <w:r>
        <w:rPr>
          <w:spacing w:val="-42"/>
        </w:rPr>
      </w:r>
      <w:r>
        <w:rPr>
          <w:spacing w:val="-1"/>
        </w:rPr>
        <w:t>咨询，向投资者提供公司已披露的资料，并指定巨潮资讯（</w:t>
      </w:r>
      <w:hyperlink r:id="rId16">
        <w:r>
          <w:rPr>
            <w:rFonts w:ascii="Times New Roman" w:hAnsi="Times New Roman" w:cs="Times New Roman" w:eastAsia="Times New Roman" w:hint="default"/>
            <w:spacing w:val="-1"/>
          </w:rPr>
          <w:t>www.cninfo.com.cn</w:t>
        </w:r>
      </w:hyperlink>
      <w:r>
        <w:rPr>
          <w:spacing w:val="-1"/>
        </w:rPr>
        <w:t>）为公司信息披露的指定网站，《证券时报》</w:t>
      </w:r>
      <w:r>
        <w:rPr>
          <w:spacing w:val="-34"/>
        </w:rPr>
        <w:t> </w:t>
      </w:r>
      <w:r>
        <w:rPr/>
        <w:t>和《中国证券报》为公司定期报告披露的指定报刊，确保公司所有股东能够以平等的机会获得信息。</w:t>
      </w:r>
    </w:p>
    <w:p>
      <w:pPr>
        <w:pStyle w:val="BodyText"/>
        <w:spacing w:line="489" w:lineRule="auto" w:before="64"/>
        <w:ind w:left="441" w:right="1089"/>
        <w:jc w:val="left"/>
      </w:pPr>
      <w:r>
        <w:rPr/>
        <w:t>（六）关于相关利益者 公司充分尊重和维护相关利益者的合法权益，积极与相关利益者合作，加强与各方的沟通和交流，实现社会、股东、公</w:t>
      </w:r>
    </w:p>
    <w:p>
      <w:pPr>
        <w:pStyle w:val="BodyText"/>
        <w:spacing w:line="240" w:lineRule="auto" w:before="42"/>
        <w:ind w:right="0"/>
        <w:jc w:val="left"/>
      </w:pPr>
      <w:r>
        <w:rPr/>
        <w:t>司、员工等各方面利益的协调平衡，共同推动公司持续、稳健发展。</w:t>
      </w:r>
    </w:p>
    <w:p>
      <w:pPr>
        <w:spacing w:line="240" w:lineRule="auto" w:before="7"/>
        <w:rPr>
          <w:rFonts w:ascii="宋体" w:hAnsi="宋体" w:cs="宋体" w:eastAsia="宋体" w:hint="default"/>
          <w:sz w:val="17"/>
          <w:szCs w:val="17"/>
        </w:rPr>
      </w:pPr>
    </w:p>
    <w:p>
      <w:pPr>
        <w:pStyle w:val="BodyText"/>
        <w:spacing w:line="475" w:lineRule="auto"/>
        <w:ind w:left="441" w:right="0"/>
        <w:jc w:val="left"/>
      </w:pPr>
      <w:r>
        <w:rPr/>
        <w:t>（七）关于投资者关系管理 </w:t>
      </w:r>
      <w:r>
        <w:rPr>
          <w:spacing w:val="-3"/>
        </w:rPr>
        <w:t>公司能够充分尊重和维护相关利益者的合法权益，实现投资者、员工、社会等各方利益的协调平衡，共同推动公司持续、</w:t>
      </w:r>
    </w:p>
    <w:p>
      <w:pPr>
        <w:pStyle w:val="BodyText"/>
        <w:spacing w:line="489" w:lineRule="auto" w:before="53"/>
        <w:ind w:right="0"/>
        <w:jc w:val="left"/>
      </w:pPr>
      <w:r>
        <w:rPr>
          <w:spacing w:val="-2"/>
        </w:rPr>
        <w:t>健康的发展。公司在接待特定对象调研前要求来访的特定对象签署承诺书，安排专人做好投资者来访接待工作。同时，公司</w:t>
      </w:r>
      <w:r>
        <w:rPr>
          <w:spacing w:val="-42"/>
        </w:rPr>
        <w:t> </w:t>
      </w:r>
      <w:r>
        <w:rPr>
          <w:spacing w:val="-42"/>
        </w:rPr>
      </w:r>
      <w:r>
        <w:rPr>
          <w:spacing w:val="-2"/>
        </w:rPr>
        <w:t>通过定期报告、临时公告、股东大会质询、投资者互动平台、电子邮件、电话、咨询、投资者交流会、参与券商策略会等多</w:t>
      </w:r>
      <w:r>
        <w:rPr>
          <w:spacing w:val="-71"/>
        </w:rPr>
        <w:t> </w:t>
      </w:r>
      <w:r>
        <w:rPr>
          <w:spacing w:val="-71"/>
        </w:rPr>
      </w:r>
      <w:r>
        <w:rPr/>
        <w:t>种方式与投资者沟通交流，增进投资者对公司经营情况、发展前景的了解，维护与投资者的良好关系。 公司治理的实际状况与中国证监会发布的有关上市公司治理的规范性文件是否存在重大差异</w:t>
      </w:r>
    </w:p>
    <w:p>
      <w:pPr>
        <w:pStyle w:val="BodyText"/>
        <w:spacing w:line="477" w:lineRule="auto" w:before="88"/>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465" w:lineRule="auto" w:before="192"/>
        <w:ind w:right="1014" w:firstLine="300"/>
        <w:jc w:val="left"/>
      </w:pPr>
      <w:r>
        <w:rPr/>
        <w:t>公司与控股股东在业务、人员、资产、机构和财务等方面严格实行</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，各自独立核算，独立承担责任和风险。公 </w:t>
      </w:r>
      <w:r>
        <w:rPr>
          <w:spacing w:val="-3"/>
        </w:rPr>
        <w:t>司具有独立完整的业务及自主的经营能力；与控股股东在人员方面完全独立，公司董事长、总经理、副总经理、董事会秘书、</w:t>
      </w:r>
      <w:r>
        <w:rPr>
          <w:spacing w:val="-80"/>
        </w:rPr>
        <w:t> </w:t>
      </w:r>
      <w:r>
        <w:rPr>
          <w:spacing w:val="-80"/>
        </w:rPr>
      </w:r>
      <w:r>
        <w:rPr/>
        <w:t>财务负责人等高级管理人员均未在股东单位任职，均在公司领取薪酬；公司资产独立完整，与控股股东之间产权关系明确； 公司办公机构、生产经营场所与控股股东完全独立，建立了健全的法人治理结构、独立完整的生产经营体系；公司建立了独</w:t>
      </w:r>
    </w:p>
    <w:p>
      <w:pPr>
        <w:spacing w:after="0" w:line="465"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0"/>
        <w:jc w:val="left"/>
      </w:pPr>
      <w:r>
        <w:rPr>
          <w:spacing w:val="-2"/>
        </w:rPr>
        <w:t>立的财务部门和财务核算体系，独立在银行开设账户，能够作出独立的财务决策，公司财务人员不在股东单位兼职和领取报</w:t>
      </w:r>
      <w:r>
        <w:rPr>
          <w:spacing w:val="-75"/>
        </w:rPr>
        <w:t> </w:t>
      </w:r>
      <w:r>
        <w:rPr>
          <w:spacing w:val="-75"/>
        </w:rPr>
      </w:r>
      <w:r>
        <w:rPr/>
        <w:t>酬，依法独立进行纳税申报和缴纳。公司相对于控股股东在业务、人员、资产、机构、财务等方面能够保证独立性。</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7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38.40%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30" w:right="30"/>
              <w:jc w:val="left"/>
              <w:rPr>
                <w:rFonts w:ascii="Times New Roman" w:hAnsi="Times New Roman" w:cs="Times New Roman" w:eastAsia="Times New Roman" w:hint="default"/>
                <w:sz w:val="18"/>
                <w:szCs w:val="18"/>
              </w:rPr>
            </w:pPr>
            <w:hyperlink r:id="rId17">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pacing w:val="-3"/>
                <w:sz w:val="18"/>
              </w:rPr>
              <w:t>m.cn</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33.70%</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30" w:right="30"/>
              <w:jc w:val="left"/>
              <w:rPr>
                <w:rFonts w:ascii="Times New Roman" w:hAnsi="Times New Roman" w:cs="Times New Roman" w:eastAsia="Times New Roman" w:hint="default"/>
                <w:sz w:val="18"/>
                <w:szCs w:val="18"/>
              </w:rPr>
            </w:pPr>
            <w:hyperlink r:id="rId17">
              <w:r>
                <w:rPr>
                  <w:rFonts w:ascii="Times New Roman"/>
                  <w:w w:val="95"/>
                  <w:sz w:val="18"/>
                </w:rPr>
                <w:t>http://www.cninfo.co</w:t>
              </w:r>
            </w:hyperlink>
            <w:r>
              <w:rPr>
                <w:rFonts w:ascii="Times New Roman"/>
                <w:spacing w:val="20"/>
                <w:w w:val="95"/>
                <w:sz w:val="18"/>
              </w:rPr>
              <w:t> </w:t>
            </w:r>
            <w:r>
              <w:rPr>
                <w:rFonts w:ascii="Times New Roman"/>
                <w:spacing w:val="20"/>
                <w:w w:val="95"/>
                <w:sz w:val="18"/>
              </w:rPr>
            </w:r>
            <w:r>
              <w:rPr>
                <w:rFonts w:ascii="Times New Roman"/>
                <w:spacing w:val="-3"/>
                <w:sz w:val="18"/>
              </w:rPr>
              <w:t>m.cn</w:t>
            </w:r>
          </w:p>
        </w:tc>
      </w:tr>
    </w:tbl>
    <w:p>
      <w:pPr>
        <w:spacing w:line="240" w:lineRule="auto" w:before="8"/>
        <w:rPr>
          <w:rFonts w:ascii="宋体" w:hAnsi="宋体" w:cs="宋体" w:eastAsia="宋体" w:hint="default"/>
          <w:b/>
          <w:bCs/>
          <w:sz w:val="25"/>
          <w:szCs w:val="25"/>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390"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3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李耀棠</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蔡祥</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8"/>
        <w:rPr>
          <w:rFonts w:ascii="宋体" w:hAnsi="宋体" w:cs="宋体" w:eastAsia="宋体" w:hint="default"/>
          <w:b/>
          <w:bCs/>
          <w:sz w:val="25"/>
          <w:szCs w:val="25"/>
        </w:rPr>
      </w:pPr>
    </w:p>
    <w:p>
      <w:pPr>
        <w:pStyle w:val="Heading3"/>
        <w:spacing w:line="240" w:lineRule="auto" w:before="35"/>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独立董事对公司有关事项是否提出异议</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both"/>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t>独立董事对公司有关建议是否被采纳</w:t>
      </w:r>
    </w:p>
    <w:p>
      <w:pPr>
        <w:spacing w:line="240" w:lineRule="auto" w:before="0"/>
        <w:rPr>
          <w:rFonts w:ascii="宋体" w:hAnsi="宋体" w:cs="宋体" w:eastAsia="宋体" w:hint="default"/>
          <w:sz w:val="21"/>
          <w:szCs w:val="21"/>
        </w:rPr>
      </w:pPr>
    </w:p>
    <w:p>
      <w:pPr>
        <w:pStyle w:val="BodyText"/>
        <w:spacing w:line="491" w:lineRule="auto"/>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475" w:lineRule="auto" w:before="100"/>
        <w:ind w:right="0" w:firstLine="300"/>
        <w:jc w:val="left"/>
        <w:rPr>
          <w:rFonts w:ascii="Times New Roman" w:hAnsi="Times New Roman" w:cs="Times New Roman" w:eastAsia="Times New Roman" w:hint="default"/>
        </w:rPr>
      </w:pPr>
      <w:r>
        <w:rPr>
          <w:spacing w:val="-3"/>
        </w:rPr>
        <w:t>公司独立董事在任职期间能够按照《公司法》《上市公司治理准则》《公司章程》及《独立董事工作制度》等有关规定，</w:t>
      </w:r>
      <w:r>
        <w:rPr/>
        <w:t> </w:t>
      </w:r>
      <w:r>
        <w:rPr>
          <w:spacing w:val="-2"/>
        </w:rPr>
        <w:t>恪尽职守、勤勉尽责，在工作中保持独立性，积极出席相关会议，深入了解公司的生产经营状况和重大事项进展情况，为公</w:t>
      </w:r>
      <w:r>
        <w:rPr>
          <w:spacing w:val="-57"/>
        </w:rPr>
        <w:t> </w:t>
      </w:r>
      <w:r>
        <w:rPr>
          <w:spacing w:val="-57"/>
        </w:rPr>
      </w:r>
      <w:r>
        <w:rPr>
          <w:spacing w:val="-3"/>
        </w:rPr>
        <w:t>司的经营发展从各自专业角度提出合理的意见和建议，对续聘高级管理人员、签署投资并购补充协议、向激励对象授予</w:t>
      </w:r>
      <w:r>
        <w:rPr>
          <w:spacing w:val="16"/>
        </w:rPr>
        <w:t> </w:t>
      </w:r>
      <w:r>
        <w:rPr>
          <w:rFonts w:ascii="Times New Roman" w:hAnsi="Times New Roman" w:cs="Times New Roman" w:eastAsia="Times New Roman" w:hint="default"/>
        </w:rPr>
        <w:t>2018</w:t>
      </w:r>
    </w:p>
    <w:p>
      <w:pPr>
        <w:pStyle w:val="BodyText"/>
        <w:spacing w:line="456" w:lineRule="auto" w:before="36"/>
        <w:ind w:right="1110"/>
        <w:jc w:val="both"/>
      </w:pPr>
      <w:r>
        <w:rPr/>
        <w:t>年股权激励计划预留部分限制性股票、公司</w:t>
      </w:r>
      <w:r>
        <w:rPr>
          <w:rFonts w:ascii="Times New Roman" w:hAnsi="Times New Roman" w:cs="Times New Roman" w:eastAsia="Times New Roman" w:hint="default"/>
        </w:rPr>
        <w:t>2018</w:t>
      </w:r>
      <w:r>
        <w:rPr/>
        <w:t>年度控股股东及其他关联方资金占用以及对外担保、公司</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年度关联交 </w:t>
      </w:r>
      <w:r>
        <w:rPr>
          <w:spacing w:val="-2"/>
        </w:rPr>
        <w:t>易、公司</w:t>
      </w:r>
      <w:r>
        <w:rPr>
          <w:rFonts w:ascii="Times New Roman" w:hAnsi="Times New Roman" w:cs="Times New Roman" w:eastAsia="Times New Roman" w:hint="default"/>
          <w:spacing w:val="-2"/>
        </w:rPr>
        <w:t>2018</w:t>
      </w:r>
      <w:r>
        <w:rPr>
          <w:spacing w:val="-2"/>
        </w:rPr>
        <w:t>年度利润分配及资本公积金转增股本预案、公司</w:t>
      </w:r>
      <w:r>
        <w:rPr>
          <w:rFonts w:ascii="Times New Roman" w:hAnsi="Times New Roman" w:cs="Times New Roman" w:eastAsia="Times New Roman" w:hint="default"/>
          <w:spacing w:val="-2"/>
        </w:rPr>
        <w:t>2018</w:t>
      </w:r>
      <w:r>
        <w:rPr>
          <w:spacing w:val="-2"/>
        </w:rPr>
        <w:t>年度内部控制自我评价报告、公司</w:t>
      </w:r>
      <w:r>
        <w:rPr>
          <w:rFonts w:ascii="Times New Roman" w:hAnsi="Times New Roman" w:cs="Times New Roman" w:eastAsia="Times New Roman" w:hint="default"/>
          <w:spacing w:val="-2"/>
        </w:rPr>
        <w:t>2018</w:t>
      </w:r>
      <w:r>
        <w:rPr>
          <w:spacing w:val="-2"/>
        </w:rPr>
        <w:t>年度募集资金存放</w:t>
      </w:r>
      <w:r>
        <w:rPr>
          <w:spacing w:val="-55"/>
        </w:rPr>
        <w:t> </w:t>
      </w:r>
      <w:r>
        <w:rPr>
          <w:spacing w:val="-2"/>
        </w:rPr>
        <w:t>与实际使用情况专项报告、</w:t>
      </w:r>
      <w:r>
        <w:rPr>
          <w:rFonts w:ascii="Times New Roman" w:hAnsi="Times New Roman" w:cs="Times New Roman" w:eastAsia="Times New Roman" w:hint="default"/>
          <w:spacing w:val="-2"/>
        </w:rPr>
        <w:t>2018</w:t>
      </w:r>
      <w:r>
        <w:rPr>
          <w:spacing w:val="-2"/>
        </w:rPr>
        <w:t>年内部董事和高级管理人员薪酬、制定</w:t>
      </w:r>
      <w:r>
        <w:rPr>
          <w:rFonts w:ascii="Times New Roman" w:hAnsi="Times New Roman" w:cs="Times New Roman" w:eastAsia="Times New Roman" w:hint="default"/>
          <w:spacing w:val="-2"/>
        </w:rPr>
        <w:t>2019</w:t>
      </w:r>
      <w:r>
        <w:rPr>
          <w:spacing w:val="-2"/>
        </w:rPr>
        <w:t>年内部董事和高级管理人员薪酬方案、部分募集</w:t>
      </w:r>
      <w:r>
        <w:rPr>
          <w:spacing w:val="-61"/>
        </w:rPr>
        <w:t> </w:t>
      </w:r>
      <w:r>
        <w:rPr>
          <w:spacing w:val="-61"/>
        </w:rPr>
      </w:r>
      <w:r>
        <w:rPr>
          <w:spacing w:val="-2"/>
        </w:rPr>
        <w:t>资金投资项目延期、公司及子公司使用部分闲置自有资金进行委托理财、公司为控股子公司向银行申请授信提供担保、会计</w:t>
      </w:r>
      <w:r>
        <w:rPr>
          <w:spacing w:val="-67"/>
        </w:rPr>
        <w:t> </w:t>
      </w:r>
      <w:r>
        <w:rPr>
          <w:spacing w:val="-67"/>
        </w:rPr>
      </w:r>
      <w:r>
        <w:rPr>
          <w:spacing w:val="-2"/>
        </w:rPr>
        <w:t>政策变更、续聘公司</w:t>
      </w:r>
      <w:r>
        <w:rPr>
          <w:rFonts w:ascii="Times New Roman" w:hAnsi="Times New Roman" w:cs="Times New Roman" w:eastAsia="Times New Roman" w:hint="default"/>
          <w:spacing w:val="-2"/>
        </w:rPr>
        <w:t>2019</w:t>
      </w:r>
      <w:r>
        <w:rPr>
          <w:spacing w:val="-2"/>
        </w:rPr>
        <w:t>年度审计机构、第二期激励计划首次授予的限制性股票第三个解锁期解锁、第二期激励计划预留部</w:t>
      </w:r>
      <w:r>
        <w:rPr>
          <w:spacing w:val="-69"/>
        </w:rPr>
        <w:t> </w:t>
      </w:r>
      <w:r>
        <w:rPr>
          <w:spacing w:val="-69"/>
        </w:rPr>
      </w:r>
      <w:r>
        <w:rPr/>
        <w:t>分的限制性股票第二个解锁期解锁、回购注销部分限制性股票、调整第二期股权激励计划相关事项、调整 </w:t>
      </w:r>
      <w:r>
        <w:rPr>
          <w:rFonts w:ascii="Times New Roman" w:hAnsi="Times New Roman" w:cs="Times New Roman" w:eastAsia="Times New Roman" w:hint="default"/>
        </w:rPr>
        <w:t>2018</w:t>
      </w:r>
      <w:r>
        <w:rPr>
          <w:rFonts w:ascii="Times New Roman" w:hAnsi="Times New Roman" w:cs="Times New Roman" w:eastAsia="Times New Roman" w:hint="default"/>
          <w:spacing w:val="-20"/>
        </w:rPr>
        <w:t> </w:t>
      </w:r>
      <w:r>
        <w:rPr/>
        <w:t>年股权激励</w:t>
      </w:r>
    </w:p>
    <w:p>
      <w:pPr>
        <w:pStyle w:val="BodyText"/>
        <w:spacing w:line="240" w:lineRule="auto" w:before="37"/>
        <w:ind w:right="0"/>
        <w:jc w:val="both"/>
      </w:pPr>
      <w:r>
        <w:rPr/>
        <w:t>计划相关事项、公司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年股权激励计划第一个考核期可行权</w:t>
      </w:r>
      <w:r>
        <w:rPr>
          <w:rFonts w:ascii="Times New Roman" w:hAnsi="Times New Roman" w:cs="Times New Roman" w:eastAsia="Times New Roman" w:hint="default"/>
        </w:rPr>
        <w:t>/</w:t>
      </w:r>
      <w:r>
        <w:rPr/>
        <w:t>解除限售事项、注销</w:t>
      </w:r>
      <w:r>
        <w:rPr>
          <w:rFonts w:ascii="Times New Roman" w:hAnsi="Times New Roman" w:cs="Times New Roman" w:eastAsia="Times New Roman" w:hint="default"/>
        </w:rPr>
        <w:t>/</w:t>
      </w:r>
      <w:r>
        <w:rPr/>
        <w:t>回购注销部分股票期权与限制性股票</w:t>
      </w:r>
    </w:p>
    <w:p>
      <w:pPr>
        <w:spacing w:line="240" w:lineRule="auto" w:before="7"/>
        <w:rPr>
          <w:rFonts w:ascii="宋体" w:hAnsi="宋体" w:cs="宋体" w:eastAsia="宋体" w:hint="default"/>
          <w:sz w:val="16"/>
          <w:szCs w:val="16"/>
        </w:rPr>
      </w:pPr>
    </w:p>
    <w:p>
      <w:pPr>
        <w:pStyle w:val="BodyText"/>
        <w:spacing w:line="240" w:lineRule="auto"/>
        <w:ind w:right="0"/>
        <w:jc w:val="both"/>
      </w:pPr>
      <w:r>
        <w:rPr/>
        <w:t>事项、注销部分股票期权事项、公司控股股东及其他关联方资金占用以及对外担保、公司</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年半年度关联交易事项、公</w:t>
      </w:r>
    </w:p>
    <w:p>
      <w:pPr>
        <w:spacing w:line="240" w:lineRule="auto" w:before="7"/>
        <w:rPr>
          <w:rFonts w:ascii="宋体" w:hAnsi="宋体" w:cs="宋体" w:eastAsia="宋体" w:hint="default"/>
          <w:sz w:val="16"/>
          <w:szCs w:val="16"/>
        </w:rPr>
      </w:pPr>
    </w:p>
    <w:p>
      <w:pPr>
        <w:pStyle w:val="BodyText"/>
        <w:spacing w:line="468" w:lineRule="auto"/>
        <w:ind w:right="1134"/>
        <w:jc w:val="both"/>
      </w:pPr>
      <w:r>
        <w:rPr/>
        <w:t>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年半年度募集资金存放与实际使用情况的专项报告、部分募集资金投资项目延期、公司向银行申请综合授信额度等 </w:t>
      </w:r>
      <w:r>
        <w:rPr>
          <w:spacing w:val="-2"/>
        </w:rPr>
        <w:t>相关事项发表独立意见，对董事会的科学决策、程序合规及公司的发展起了积极的作用，切实地维护了公司及广大公众投资</w:t>
      </w:r>
      <w:r>
        <w:rPr>
          <w:spacing w:val="-75"/>
        </w:rPr>
        <w:t> </w:t>
      </w:r>
      <w:r>
        <w:rPr>
          <w:spacing w:val="-75"/>
        </w:rPr>
      </w:r>
      <w:r>
        <w:rPr/>
        <w:t>者的利益。</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448" w:lineRule="auto" w:before="177"/>
        <w:ind w:left="441" w:right="1179"/>
        <w:jc w:val="left"/>
      </w:pPr>
      <w:r>
        <w:rPr/>
        <w:t>报告期内，第三届董事会下设审计委员会、提名委员会、薪酬与考核委员会和战略委员会</w:t>
      </w:r>
      <w:r>
        <w:rPr>
          <w:rFonts w:ascii="Times New Roman" w:hAnsi="Times New Roman" w:cs="Times New Roman" w:eastAsia="Times New Roman" w:hint="default"/>
        </w:rPr>
        <w:t>4</w:t>
      </w:r>
      <w:r>
        <w:rPr/>
        <w:t>个专门委员会。</w:t>
      </w:r>
      <w:r>
        <w:rPr>
          <w:spacing w:val="-82"/>
        </w:rPr>
        <w:t> </w:t>
      </w:r>
      <w:r>
        <w:rPr>
          <w:rFonts w:ascii="Times New Roman" w:hAnsi="Times New Roman" w:cs="Times New Roman" w:eastAsia="Times New Roman" w:hint="default"/>
        </w:rPr>
        <w:t>1</w:t>
      </w:r>
      <w:r>
        <w:rPr/>
        <w:t>、审计委员会 报告期内，公司董事会审计委员会本着勤勉尽责的原则，认真履行职责，共召开</w:t>
      </w:r>
      <w:r>
        <w:rPr>
          <w:rFonts w:ascii="Times New Roman" w:hAnsi="Times New Roman" w:cs="Times New Roman" w:eastAsia="Times New Roman" w:hint="default"/>
        </w:rPr>
        <w:t>5</w:t>
      </w:r>
      <w:r>
        <w:rPr/>
        <w:t>次会议，对公司签署投资并购补充协</w:t>
      </w:r>
    </w:p>
    <w:p>
      <w:pPr>
        <w:pStyle w:val="BodyText"/>
        <w:spacing w:line="475" w:lineRule="auto" w:before="57"/>
        <w:ind w:right="0"/>
        <w:jc w:val="left"/>
      </w:pPr>
      <w:r>
        <w:rPr>
          <w:spacing w:val="-4"/>
        </w:rPr>
        <w:t>议、为控股子公司向银行申请授信提供担保、定期报告、利润分配及资本公积金转增股本预案、部分募集资金投资项目延期、</w:t>
      </w:r>
      <w:r>
        <w:rPr>
          <w:spacing w:val="-49"/>
        </w:rPr>
        <w:t> </w:t>
      </w:r>
      <w:r>
        <w:rPr>
          <w:spacing w:val="-49"/>
        </w:rPr>
      </w:r>
      <w:r>
        <w:rPr>
          <w:spacing w:val="-2"/>
        </w:rPr>
        <w:t>经审计的财务报告、年度财务决算报告、募集资金存放与实际使用情况的专项报告、续聘会计师事务所、会计政策变更、公</w:t>
      </w:r>
      <w:r>
        <w:rPr>
          <w:spacing w:val="-57"/>
        </w:rPr>
        <w:t> </w:t>
      </w:r>
      <w:r>
        <w:rPr>
          <w:spacing w:val="-57"/>
        </w:rPr>
      </w:r>
      <w:r>
        <w:rPr/>
        <w:t>司及子公司自有资金委托理财等方面进行了重点关注。</w:t>
      </w:r>
    </w:p>
    <w:p>
      <w:pPr>
        <w:pStyle w:val="BodyText"/>
        <w:spacing w:line="240" w:lineRule="auto" w:before="53"/>
        <w:ind w:left="441" w:right="0"/>
        <w:jc w:val="left"/>
      </w:pPr>
      <w:r>
        <w:rPr>
          <w:rFonts w:ascii="Times New Roman" w:hAnsi="Times New Roman" w:cs="Times New Roman" w:eastAsia="Times New Roman" w:hint="default"/>
        </w:rPr>
        <w:t>2</w:t>
      </w:r>
      <w:r>
        <w:rPr/>
        <w:t>、提名委员会</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48" w:lineRule="auto" w:before="44"/>
        <w:ind w:right="1119" w:firstLine="375"/>
        <w:jc w:val="both"/>
      </w:pPr>
      <w:r>
        <w:rPr/>
        <w:t>报告期内共召开</w:t>
      </w:r>
      <w:r>
        <w:rPr>
          <w:rFonts w:ascii="Times New Roman" w:hAnsi="Times New Roman" w:cs="Times New Roman" w:eastAsia="Times New Roman" w:hint="default"/>
        </w:rPr>
        <w:t>1</w:t>
      </w:r>
      <w:r>
        <w:rPr/>
        <w:t>次会议，对公司财务总监、副总经理兼董事会秘书的提名等事项进行了认真审核，公司董事会提名委 员会根据公司《董事会提名委员会工作细则》等相关规定</w:t>
      </w:r>
      <w:r>
        <w:rPr>
          <w:rFonts w:ascii="Times New Roman" w:hAnsi="Times New Roman" w:cs="Times New Roman" w:eastAsia="Times New Roman" w:hint="default"/>
        </w:rPr>
        <w:t>,</w:t>
      </w:r>
      <w:r>
        <w:rPr/>
        <w:t>各委员坚持以公司经营发展及治理需要为依据，为优化公司治理</w:t>
      </w:r>
      <w:r>
        <w:rPr>
          <w:spacing w:val="-85"/>
        </w:rPr>
        <w:t> </w:t>
      </w:r>
      <w:r>
        <w:rPr/>
        <w:t>结构积极建言献策。</w:t>
      </w:r>
    </w:p>
    <w:p>
      <w:pPr>
        <w:pStyle w:val="BodyText"/>
        <w:spacing w:line="448" w:lineRule="auto" w:before="88"/>
        <w:ind w:left="516" w:right="0"/>
        <w:jc w:val="left"/>
      </w:pPr>
      <w:r>
        <w:rPr>
          <w:rFonts w:ascii="Times New Roman" w:hAnsi="Times New Roman" w:cs="Times New Roman" w:eastAsia="Times New Roman" w:hint="default"/>
        </w:rPr>
        <w:t>3</w:t>
      </w:r>
      <w:r>
        <w:rPr/>
        <w:t>、薪酬与考核委员会 </w:t>
      </w:r>
      <w:r>
        <w:rPr>
          <w:spacing w:val="-1"/>
        </w:rPr>
        <w:t>报告期内，公司薪酬与考核委员会共召开</w:t>
      </w:r>
      <w:r>
        <w:rPr>
          <w:rFonts w:ascii="Times New Roman" w:hAnsi="Times New Roman" w:cs="Times New Roman" w:eastAsia="Times New Roman" w:hint="default"/>
          <w:spacing w:val="-1"/>
        </w:rPr>
        <w:t>3</w:t>
      </w:r>
      <w:r>
        <w:rPr>
          <w:spacing w:val="-1"/>
        </w:rPr>
        <w:t>次会议，对公司高级管理人员</w:t>
      </w:r>
      <w:r>
        <w:rPr>
          <w:rFonts w:ascii="Times New Roman" w:hAnsi="Times New Roman" w:cs="Times New Roman" w:eastAsia="Times New Roman" w:hint="default"/>
          <w:spacing w:val="-1"/>
        </w:rPr>
        <w:t>/</w:t>
      </w:r>
      <w:r>
        <w:rPr>
          <w:spacing w:val="-1"/>
        </w:rPr>
        <w:t>董事</w:t>
      </w:r>
      <w:r>
        <w:rPr>
          <w:rFonts w:ascii="Times New Roman" w:hAnsi="Times New Roman" w:cs="Times New Roman" w:eastAsia="Times New Roman" w:hint="default"/>
          <w:spacing w:val="-1"/>
        </w:rPr>
        <w:t>/</w:t>
      </w:r>
      <w:r>
        <w:rPr>
          <w:spacing w:val="-1"/>
        </w:rPr>
        <w:t>监事薪酬方案及考核结果说明、第二期</w:t>
      </w:r>
    </w:p>
    <w:p>
      <w:pPr>
        <w:pStyle w:val="BodyText"/>
        <w:spacing w:line="448" w:lineRule="auto" w:before="43"/>
        <w:ind w:right="0"/>
        <w:jc w:val="left"/>
      </w:pPr>
      <w:r>
        <w:rPr>
          <w:spacing w:val="-2"/>
        </w:rPr>
        <w:t>激励计划首次授予的限制性股票第三个解锁期可解锁及预留部分第二个解锁期可解锁、</w:t>
      </w:r>
      <w:r>
        <w:rPr>
          <w:rFonts w:ascii="Times New Roman" w:hAnsi="Times New Roman" w:cs="Times New Roman" w:eastAsia="Times New Roman" w:hint="default"/>
          <w:spacing w:val="-2"/>
        </w:rPr>
        <w:t>2018</w:t>
      </w:r>
      <w:r>
        <w:rPr>
          <w:spacing w:val="-2"/>
        </w:rPr>
        <w:t>年股权激励计划第一个考核期可</w:t>
      </w:r>
      <w:r>
        <w:rPr>
          <w:spacing w:val="-45"/>
        </w:rPr>
        <w:t> </w:t>
      </w:r>
      <w:r>
        <w:rPr/>
        <w:t>行权</w:t>
      </w:r>
      <w:r>
        <w:rPr>
          <w:rFonts w:ascii="Times New Roman" w:hAnsi="Times New Roman" w:cs="Times New Roman" w:eastAsia="Times New Roman" w:hint="default"/>
        </w:rPr>
        <w:t>/</w:t>
      </w:r>
      <w:r>
        <w:rPr/>
        <w:t>解除限售等事项进行认真审核，为公司董事会作出正确决策起到了积极作用。</w:t>
      </w:r>
    </w:p>
    <w:p>
      <w:pPr>
        <w:pStyle w:val="BodyText"/>
        <w:spacing w:line="463" w:lineRule="auto" w:before="43"/>
        <w:ind w:left="516" w:right="1104"/>
        <w:jc w:val="left"/>
      </w:pPr>
      <w:r>
        <w:rPr>
          <w:rFonts w:ascii="Times New Roman" w:hAnsi="Times New Roman" w:cs="Times New Roman" w:eastAsia="Times New Roman" w:hint="default"/>
        </w:rPr>
        <w:t>4</w:t>
      </w:r>
      <w:r>
        <w:rPr/>
        <w:t>、战略委员会 根据公司《董事会战略委员会工作细则》等相关规定，报告期内，公司董事会战略委员会共召开了</w:t>
      </w:r>
      <w:r>
        <w:rPr>
          <w:rFonts w:ascii="Times New Roman" w:hAnsi="Times New Roman" w:cs="Times New Roman" w:eastAsia="Times New Roman" w:hint="default"/>
        </w:rPr>
        <w:t>1</w:t>
      </w:r>
      <w:r>
        <w:rPr/>
        <w:t>次会议，对公司与</w:t>
      </w:r>
    </w:p>
    <w:p>
      <w:pPr>
        <w:pStyle w:val="BodyText"/>
        <w:spacing w:line="475" w:lineRule="auto" w:before="30"/>
        <w:ind w:right="1029"/>
        <w:jc w:val="left"/>
      </w:pPr>
      <w:r>
        <w:rPr/>
        <w:t>广东冠网信息科技有限公司签署投资并购补充协议相关事项进行充分研究、审核，积极研究符合公司发展方向的战略布局，</w:t>
      </w:r>
      <w:r>
        <w:rPr>
          <w:spacing w:val="-87"/>
        </w:rPr>
        <w:t> </w:t>
      </w:r>
      <w:r>
        <w:rPr>
          <w:spacing w:val="-87"/>
        </w:rPr>
      </w:r>
      <w:r>
        <w:rPr/>
        <w:t>为公司的健康、快速发展出谋划策。</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t>监事会在报告期内的监督活动中发现公司是否存在风险</w:t>
      </w:r>
    </w:p>
    <w:p>
      <w:pPr>
        <w:spacing w:line="240" w:lineRule="auto" w:before="0"/>
        <w:rPr>
          <w:rFonts w:ascii="宋体" w:hAnsi="宋体" w:cs="宋体" w:eastAsia="宋体" w:hint="default"/>
          <w:sz w:val="21"/>
          <w:szCs w:val="21"/>
        </w:rPr>
      </w:pPr>
    </w:p>
    <w:p>
      <w:pPr>
        <w:pStyle w:val="BodyText"/>
        <w:spacing w:line="491" w:lineRule="auto"/>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475" w:lineRule="auto" w:before="193"/>
        <w:ind w:right="1029" w:firstLine="300"/>
        <w:jc w:val="left"/>
      </w:pPr>
      <w:r>
        <w:rPr/>
        <w:t>公司高管人员的薪酬与考核以公司经济效益及工作目标为出发点，根据公司年度经营计划和高级管理人员分管工作的职 </w:t>
      </w:r>
      <w:r>
        <w:rPr>
          <w:spacing w:val="-2"/>
        </w:rPr>
        <w:t>责，建立了高级管理人员的薪酬与公司业绩挂钩的绩效考核与激励约束机制，公司高级管理人员实行固定薪酬和年终绩效考</w:t>
      </w:r>
      <w:r>
        <w:rPr>
          <w:spacing w:val="-72"/>
        </w:rPr>
        <w:t> </w:t>
      </w:r>
      <w:r>
        <w:rPr>
          <w:spacing w:val="-72"/>
        </w:rPr>
      </w:r>
      <w:r>
        <w:rPr/>
        <w:t>核相结合的薪酬制度。每年由董事会薪酬与考核委员会进行综合考核，最终以考核结果确定高级管理人员的年度薪酬水平。</w:t>
      </w:r>
      <w:r>
        <w:rPr/>
        <w:t> </w:t>
      </w:r>
      <w:r>
        <w:rPr>
          <w:spacing w:val="-2"/>
        </w:rPr>
        <w:t>为奖励高级管理人员在过去经营活动中的付出，同时持续调动高级管理人员的积极性。公司未来还将通过多层次的综合激励</w:t>
      </w:r>
      <w:r>
        <w:rPr>
          <w:spacing w:val="-72"/>
        </w:rPr>
        <w:t> </w:t>
      </w:r>
      <w:r>
        <w:rPr>
          <w:spacing w:val="-72"/>
        </w:rPr>
      </w:r>
      <w:r>
        <w:rPr/>
        <w:t>体制，有效调动管理人员的积极性，吸引和稳定优秀管理人才。</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footerReference w:type="default" r:id="rId18"/>
          <w:pgSz w:w="11910" w:h="16850"/>
          <w:pgMar w:footer="1026" w:header="776" w:top="1100" w:bottom="1220" w:left="1000" w:right="0"/>
          <w:pgNumType w:start="86"/>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BodyText"/>
        <w:spacing w:line="240" w:lineRule="auto" w:before="44"/>
        <w:ind w:left="0" w:right="1110"/>
        <w:jc w:val="right"/>
      </w:pPr>
      <w:r>
        <w:rPr/>
        <w:pict>
          <v:shape style="position:absolute;margin-left:56.325001pt;margin-top:-295.808289pt;width:480.25pt;height:650.8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38"/>
                    <w:gridCol w:w="3049"/>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954"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8" w:type="dxa"/>
                        <w:tcBorders>
                          <w:top w:val="single" w:sz="6" w:space="0" w:color="000000"/>
                          <w:left w:val="single" w:sz="6" w:space="0" w:color="000000"/>
                          <w:bottom w:val="single" w:sz="6" w:space="0" w:color="000000"/>
                          <w:right w:val="single" w:sz="18"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88" w:lineRule="auto" w:before="139"/>
                          <w:ind w:left="18" w:right="1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职权或舞弊，给公司造成损失的；（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w:t>
                        </w:r>
                        <w:r>
                          <w:rPr>
                            <w:rFonts w:ascii="宋体" w:hAnsi="宋体" w:cs="宋体" w:eastAsia="宋体" w:hint="default"/>
                            <w:spacing w:val="-82"/>
                            <w:sz w:val="18"/>
                            <w:szCs w:val="18"/>
                          </w:rPr>
                          <w:t> </w:t>
                        </w:r>
                        <w:r>
                          <w:rPr>
                            <w:rFonts w:ascii="宋体" w:hAnsi="宋体" w:cs="宋体" w:eastAsia="宋体" w:hint="default"/>
                            <w:sz w:val="18"/>
                            <w:szCs w:val="18"/>
                          </w:rPr>
                          <w:t>已经披露的财务报告出现的重大差错进行</w:t>
                        </w:r>
                      </w:p>
                      <w:p>
                        <w:pPr>
                          <w:pStyle w:val="TableParagraph"/>
                          <w:spacing w:line="288" w:lineRule="auto" w:before="59"/>
                          <w:ind w:left="18" w:right="46"/>
                          <w:jc w:val="both"/>
                          <w:rPr>
                            <w:rFonts w:ascii="宋体" w:hAnsi="宋体" w:cs="宋体" w:eastAsia="宋体" w:hint="default"/>
                            <w:sz w:val="18"/>
                            <w:szCs w:val="18"/>
                          </w:rPr>
                        </w:pPr>
                        <w:r>
                          <w:rPr>
                            <w:rFonts w:ascii="宋体" w:hAnsi="宋体" w:cs="宋体" w:eastAsia="宋体" w:hint="default"/>
                            <w:spacing w:val="-5"/>
                            <w:sz w:val="18"/>
                            <w:szCs w:val="18"/>
                          </w:rPr>
                          <w:t>更正；（</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）注册会计师发现当期财务报告</w:t>
                        </w:r>
                        <w:r>
                          <w:rPr>
                            <w:rFonts w:ascii="宋体" w:hAnsi="宋体" w:cs="宋体" w:eastAsia="宋体" w:hint="default"/>
                            <w:spacing w:val="-85"/>
                            <w:sz w:val="18"/>
                            <w:szCs w:val="18"/>
                          </w:rPr>
                          <w:t> </w:t>
                        </w:r>
                        <w:r>
                          <w:rPr>
                            <w:rFonts w:ascii="宋体" w:hAnsi="宋体" w:cs="宋体" w:eastAsia="宋体" w:hint="default"/>
                            <w:sz w:val="18"/>
                            <w:szCs w:val="18"/>
                          </w:rPr>
                          <w:t>存在重大错报，而内部控制在运行过程中</w:t>
                        </w:r>
                      </w:p>
                      <w:p>
                        <w:pPr>
                          <w:pStyle w:val="TableParagraph"/>
                          <w:spacing w:line="273" w:lineRule="auto" w:before="59"/>
                          <w:ind w:left="18" w:right="46"/>
                          <w:jc w:val="both"/>
                          <w:rPr>
                            <w:rFonts w:ascii="宋体" w:hAnsi="宋体" w:cs="宋体" w:eastAsia="宋体" w:hint="default"/>
                            <w:sz w:val="18"/>
                            <w:szCs w:val="18"/>
                          </w:rPr>
                        </w:pPr>
                        <w:r>
                          <w:rPr>
                            <w:rFonts w:ascii="宋体" w:hAnsi="宋体" w:cs="宋体" w:eastAsia="宋体" w:hint="default"/>
                            <w:spacing w:val="-5"/>
                            <w:sz w:val="18"/>
                            <w:szCs w:val="18"/>
                          </w:rPr>
                          <w:t>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）审计委员会以及内</w:t>
                        </w:r>
                        <w:r>
                          <w:rPr>
                            <w:rFonts w:ascii="宋体" w:hAnsi="宋体" w:cs="宋体" w:eastAsia="宋体" w:hint="default"/>
                            <w:spacing w:val="-83"/>
                            <w:sz w:val="18"/>
                            <w:szCs w:val="18"/>
                          </w:rPr>
                          <w:t> </w:t>
                        </w:r>
                        <w:r>
                          <w:rPr>
                            <w:rFonts w:ascii="宋体" w:hAnsi="宋体" w:cs="宋体" w:eastAsia="宋体" w:hint="default"/>
                            <w:sz w:val="18"/>
                            <w:szCs w:val="18"/>
                          </w:rPr>
                          <w:t>部审计部门对财务报告内部控制监督无</w:t>
                        </w:r>
                      </w:p>
                      <w:p>
                        <w:pPr>
                          <w:pStyle w:val="TableParagraph"/>
                          <w:spacing w:line="304" w:lineRule="auto" w:before="69"/>
                          <w:ind w:left="18" w:right="44"/>
                          <w:jc w:val="left"/>
                          <w:rPr>
                            <w:rFonts w:ascii="宋体" w:hAnsi="宋体" w:cs="宋体" w:eastAsia="宋体" w:hint="default"/>
                            <w:sz w:val="18"/>
                            <w:szCs w:val="18"/>
                          </w:rPr>
                        </w:pP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）会计师事务所对财务报告出具无</w:t>
                        </w:r>
                        <w:r>
                          <w:rPr>
                            <w:rFonts w:ascii="宋体" w:hAnsi="宋体" w:cs="宋体" w:eastAsia="宋体" w:hint="default"/>
                            <w:spacing w:val="-85"/>
                            <w:sz w:val="18"/>
                            <w:szCs w:val="18"/>
                          </w:rPr>
                          <w:t> </w:t>
                        </w:r>
                        <w:r>
                          <w:rPr>
                            <w:rFonts w:ascii="宋体" w:hAnsi="宋体" w:cs="宋体" w:eastAsia="宋体" w:hint="default"/>
                            <w:spacing w:val="-5"/>
                            <w:sz w:val="18"/>
                            <w:szCs w:val="18"/>
                          </w:rPr>
                          <w:t>法表示意见或否定意见；（</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）会计师事务</w:t>
                        </w:r>
                        <w:r>
                          <w:rPr>
                            <w:rFonts w:ascii="宋体" w:hAnsi="宋体" w:cs="宋体" w:eastAsia="宋体" w:hint="default"/>
                            <w:spacing w:val="-83"/>
                            <w:sz w:val="18"/>
                            <w:szCs w:val="18"/>
                          </w:rPr>
                          <w:t> </w:t>
                        </w:r>
                        <w:r>
                          <w:rPr>
                            <w:rFonts w:ascii="宋体" w:hAnsi="宋体" w:cs="宋体" w:eastAsia="宋体" w:hint="default"/>
                            <w:sz w:val="18"/>
                            <w:szCs w:val="18"/>
                          </w:rPr>
                          <w:t>所出具内部控制无法表示意见的鉴证报 告。</w:t>
                        </w:r>
                      </w:p>
                      <w:p>
                        <w:pPr>
                          <w:pStyle w:val="TableParagraph"/>
                          <w:spacing w:line="240" w:lineRule="auto" w:before="61"/>
                          <w:ind w:left="18"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0" w:lineRule="auto" w:before="140"/>
                          <w:ind w:left="18" w:right="16"/>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）公司董事、监事或高级管理人员滥用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职权或舞弊，未给公司造成损失的；（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会计政策的制定未结合公司实际情况，直 接照搬上市公司相关准则，实际操作存在</w:t>
                        </w:r>
                      </w:p>
                      <w:p>
                        <w:pPr>
                          <w:pStyle w:val="TableParagraph"/>
                          <w:spacing w:line="300" w:lineRule="auto" w:before="49"/>
                          <w:ind w:left="18" w:right="43"/>
                          <w:jc w:val="both"/>
                          <w:rPr>
                            <w:rFonts w:ascii="宋体" w:hAnsi="宋体" w:cs="宋体" w:eastAsia="宋体" w:hint="default"/>
                            <w:sz w:val="18"/>
                            <w:szCs w:val="18"/>
                          </w:rPr>
                        </w:pPr>
                        <w:r>
                          <w:rPr>
                            <w:rFonts w:ascii="宋体" w:hAnsi="宋体" w:cs="宋体" w:eastAsia="宋体" w:hint="default"/>
                            <w:spacing w:val="-8"/>
                            <w:sz w:val="18"/>
                            <w:szCs w:val="18"/>
                          </w:rPr>
                          <w:t>较大的人为因素；（</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）未经授权进行担保</w:t>
                        </w:r>
                        <w:r>
                          <w:rPr>
                            <w:rFonts w:ascii="宋体" w:hAnsi="宋体" w:cs="宋体" w:eastAsia="宋体" w:hint="default"/>
                            <w:sz w:val="18"/>
                            <w:szCs w:val="18"/>
                          </w:rPr>
                          <w:t> 投资有价证券、金融衍生品交易和处置产 </w:t>
                        </w:r>
                        <w:r>
                          <w:rPr>
                            <w:rFonts w:ascii="宋体" w:hAnsi="宋体" w:cs="宋体" w:eastAsia="宋体" w:hint="default"/>
                            <w:spacing w:val="-7"/>
                            <w:sz w:val="18"/>
                            <w:szCs w:val="18"/>
                          </w:rPr>
                          <w:t>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股权、关联交易造成经济损失；（</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）现</w:t>
                        </w:r>
                        <w:r>
                          <w:rPr>
                            <w:rFonts w:ascii="宋体" w:hAnsi="宋体" w:cs="宋体" w:eastAsia="宋体" w:hint="default"/>
                            <w:spacing w:val="-87"/>
                            <w:sz w:val="18"/>
                            <w:szCs w:val="18"/>
                          </w:rPr>
                          <w:t> </w:t>
                        </w:r>
                        <w:r>
                          <w:rPr>
                            <w:rFonts w:ascii="宋体" w:hAnsi="宋体" w:cs="宋体" w:eastAsia="宋体" w:hint="default"/>
                            <w:sz w:val="18"/>
                            <w:szCs w:val="18"/>
                          </w:rPr>
                          <w:t>金收入不入账、公款私存或违反规定设立</w:t>
                        </w:r>
                      </w:p>
                      <w:p>
                        <w:pPr>
                          <w:pStyle w:val="TableParagraph"/>
                          <w:spacing w:line="304" w:lineRule="auto" w:before="49"/>
                          <w:ind w:left="18" w:right="47"/>
                          <w:jc w:val="both"/>
                          <w:rPr>
                            <w:rFonts w:ascii="宋体" w:hAnsi="宋体" w:cs="宋体" w:eastAsia="宋体" w:hint="default"/>
                            <w:sz w:val="18"/>
                            <w:szCs w:val="18"/>
                          </w:rPr>
                        </w:pP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小金库</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等情况；（</w:t>
                        </w:r>
                        <w:r>
                          <w:rPr>
                            <w:rFonts w:ascii="Times New Roman" w:hAnsi="Times New Roman" w:cs="Times New Roman" w:eastAsia="Times New Roman" w:hint="default"/>
                            <w:spacing w:val="-5"/>
                            <w:w w:val="100"/>
                            <w:sz w:val="18"/>
                            <w:szCs w:val="18"/>
                          </w:rPr>
                          <w:t>5</w:t>
                        </w:r>
                        <w:r>
                          <w:rPr>
                            <w:rFonts w:ascii="宋体" w:hAnsi="宋体" w:cs="宋体" w:eastAsia="宋体" w:hint="default"/>
                            <w:spacing w:val="-5"/>
                            <w:w w:val="100"/>
                            <w:sz w:val="18"/>
                            <w:szCs w:val="18"/>
                          </w:rPr>
                          <w:t>）对于期末财务报告</w:t>
                        </w:r>
                        <w:r>
                          <w:rPr>
                            <w:rFonts w:ascii="宋体" w:hAnsi="宋体" w:cs="宋体" w:eastAsia="宋体" w:hint="default"/>
                            <w:spacing w:val="-75"/>
                            <w:w w:val="100"/>
                            <w:sz w:val="18"/>
                            <w:szCs w:val="18"/>
                          </w:rPr>
                          <w:t> </w:t>
                        </w:r>
                        <w:r>
                          <w:rPr>
                            <w:rFonts w:ascii="宋体" w:hAnsi="宋体" w:cs="宋体" w:eastAsia="宋体" w:hint="default"/>
                            <w:sz w:val="18"/>
                            <w:szCs w:val="18"/>
                          </w:rPr>
                          <w:t>过程的控制存在一项或多项缺陷且不能合 理保证编制的财务报表达到真实、准确的 目标。</w:t>
                        </w:r>
                      </w:p>
                      <w:p>
                        <w:pPr>
                          <w:pStyle w:val="TableParagraph"/>
                          <w:spacing w:line="336" w:lineRule="auto" w:before="76"/>
                          <w:ind w:left="18" w:right="44"/>
                          <w:jc w:val="left"/>
                          <w:rPr>
                            <w:rFonts w:ascii="宋体" w:hAnsi="宋体" w:cs="宋体" w:eastAsia="宋体" w:hint="default"/>
                            <w:sz w:val="18"/>
                            <w:szCs w:val="18"/>
                          </w:rPr>
                        </w:pPr>
                        <w:r>
                          <w:rPr>
                            <w:rFonts w:ascii="宋体" w:hAnsi="宋体" w:cs="宋体" w:eastAsia="宋体" w:hint="default"/>
                            <w:sz w:val="18"/>
                            <w:szCs w:val="18"/>
                          </w:rPr>
                          <w:t>一般缺陷： 不构成重大缺陷或重要缺陷的其他内部控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制缺陷。</w:t>
                        </w:r>
                      </w:p>
                    </w:tc>
                    <w:tc>
                      <w:tcPr>
                        <w:tcW w:w="3049"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30"/>
                          <w:ind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312" w:lineRule="auto" w:before="124"/>
                          <w:ind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）严重违反国家法律、法规或规范 </w:t>
                        </w:r>
                        <w:r>
                          <w:rPr>
                            <w:rFonts w:ascii="宋体" w:hAnsi="宋体" w:cs="宋体" w:eastAsia="宋体" w:hint="default"/>
                            <w:spacing w:val="-4"/>
                            <w:sz w:val="18"/>
                            <w:szCs w:val="18"/>
                          </w:rPr>
                          <w:t>性文件，导致被行政法律部门、监管机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构判罚或处罚；（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）重大事项决策程序</w:t>
                        </w:r>
                      </w:p>
                      <w:p>
                        <w:pPr>
                          <w:pStyle w:val="TableParagraph"/>
                          <w:spacing w:line="300" w:lineRule="auto" w:before="6"/>
                          <w:ind w:right="-43"/>
                          <w:jc w:val="left"/>
                          <w:rPr>
                            <w:rFonts w:ascii="宋体" w:hAnsi="宋体" w:cs="宋体" w:eastAsia="宋体" w:hint="default"/>
                            <w:sz w:val="18"/>
                            <w:szCs w:val="18"/>
                          </w:rPr>
                        </w:pPr>
                        <w:r>
                          <w:rPr>
                            <w:rFonts w:ascii="宋体" w:hAnsi="宋体" w:cs="宋体" w:eastAsia="宋体" w:hint="default"/>
                            <w:spacing w:val="-5"/>
                            <w:sz w:val="18"/>
                            <w:szCs w:val="18"/>
                          </w:rPr>
                          <w:t>违规；（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）被主流媒体曝光负面新闻，</w:t>
                        </w:r>
                        <w:r>
                          <w:rPr>
                            <w:rFonts w:ascii="宋体" w:hAnsi="宋体" w:cs="宋体" w:eastAsia="宋体" w:hint="default"/>
                            <w:sz w:val="18"/>
                            <w:szCs w:val="18"/>
                          </w:rPr>
                          <w:t> </w:t>
                        </w:r>
                        <w:r>
                          <w:rPr>
                            <w:rFonts w:ascii="宋体" w:hAnsi="宋体" w:cs="宋体" w:eastAsia="宋体" w:hint="default"/>
                            <w:spacing w:val="-4"/>
                            <w:sz w:val="18"/>
                            <w:szCs w:val="18"/>
                          </w:rPr>
                          <w:t>涉及面较广且未能及时消除影响，导致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公司生产经营、企业形象受损；（</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）出</w:t>
                        </w:r>
                        <w:r>
                          <w:rPr>
                            <w:rFonts w:ascii="宋体" w:hAnsi="宋体" w:cs="宋体" w:eastAsia="宋体" w:hint="default"/>
                            <w:spacing w:val="-75"/>
                            <w:sz w:val="18"/>
                            <w:szCs w:val="18"/>
                          </w:rPr>
                          <w:t> </w:t>
                        </w:r>
                        <w:r>
                          <w:rPr>
                            <w:rFonts w:ascii="宋体" w:hAnsi="宋体" w:cs="宋体" w:eastAsia="宋体" w:hint="default"/>
                            <w:spacing w:val="-4"/>
                            <w:sz w:val="18"/>
                            <w:szCs w:val="18"/>
                          </w:rPr>
                          <w:t>现产品质量方面的重大事故，导致严重</w:t>
                        </w:r>
                      </w:p>
                      <w:p>
                        <w:pPr>
                          <w:pStyle w:val="TableParagraph"/>
                          <w:spacing w:line="300" w:lineRule="auto" w:before="49"/>
                          <w:ind w:right="14"/>
                          <w:jc w:val="left"/>
                          <w:rPr>
                            <w:rFonts w:ascii="宋体" w:hAnsi="宋体" w:cs="宋体" w:eastAsia="宋体" w:hint="default"/>
                            <w:sz w:val="18"/>
                            <w:szCs w:val="18"/>
                          </w:rPr>
                        </w:pPr>
                        <w:r>
                          <w:rPr>
                            <w:rFonts w:ascii="宋体" w:hAnsi="宋体" w:cs="宋体" w:eastAsia="宋体" w:hint="default"/>
                            <w:spacing w:val="-9"/>
                            <w:sz w:val="18"/>
                            <w:szCs w:val="18"/>
                          </w:rPr>
                          <w:t>后果；（</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）高风险业务未有相关制度规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范，重要业务缺乏制度控制；（</w:t>
                        </w:r>
                        <w:r>
                          <w:rPr>
                            <w:rFonts w:ascii="Times New Roman" w:hAnsi="Times New Roman" w:cs="Times New Roman" w:eastAsia="Times New Roman" w:hint="default"/>
                            <w:spacing w:val="-13"/>
                            <w:sz w:val="18"/>
                            <w:szCs w:val="18"/>
                          </w:rPr>
                          <w:t>6</w:t>
                        </w:r>
                        <w:r>
                          <w:rPr>
                            <w:rFonts w:ascii="宋体" w:hAnsi="宋体" w:cs="宋体" w:eastAsia="宋体" w:hint="default"/>
                            <w:spacing w:val="-13"/>
                            <w:sz w:val="18"/>
                            <w:szCs w:val="18"/>
                          </w:rPr>
                          <w:t>）董事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监事、高级管理人员或核心技术人员发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生非正常重大变化；（</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）其他对公司影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响重大的情形。</w:t>
                        </w:r>
                      </w:p>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297" w:lineRule="auto" w:before="125"/>
                          <w:ind w:right="1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）公司违反国家法律、法规或规范 </w:t>
                        </w:r>
                        <w:r>
                          <w:rPr>
                            <w:rFonts w:ascii="宋体" w:hAnsi="宋体" w:cs="宋体" w:eastAsia="宋体" w:hint="default"/>
                            <w:spacing w:val="-14"/>
                            <w:sz w:val="18"/>
                            <w:szCs w:val="18"/>
                          </w:rPr>
                          <w:t>性文件，并受到相关机关轻微处罚；（</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pacing w:val="-32"/>
                            <w:sz w:val="18"/>
                            <w:szCs w:val="18"/>
                          </w:rPr>
                          <w:t> </w:t>
                        </w:r>
                        <w:r>
                          <w:rPr>
                            <w:rFonts w:ascii="宋体" w:hAnsi="宋体" w:cs="宋体" w:eastAsia="宋体" w:hint="default"/>
                            <w:spacing w:val="-9"/>
                            <w:sz w:val="18"/>
                            <w:szCs w:val="18"/>
                          </w:rPr>
                          <w:t>重大事项决策程序不完善；（</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现负面新闻，波及局部区域，影响较大</w:t>
                        </w:r>
                      </w:p>
                      <w:p>
                        <w:pPr>
                          <w:pStyle w:val="TableParagraph"/>
                          <w:spacing w:line="207" w:lineRule="exact" w:before="37"/>
                          <w:ind w:right="0"/>
                          <w:jc w:val="left"/>
                          <w:rPr>
                            <w:rFonts w:ascii="宋体" w:hAnsi="宋体" w:cs="宋体" w:eastAsia="宋体" w:hint="default"/>
                            <w:sz w:val="18"/>
                            <w:szCs w:val="18"/>
                          </w:rPr>
                        </w:pPr>
                        <w:r>
                          <w:rPr>
                            <w:rFonts w:ascii="宋体" w:hAnsi="宋体" w:cs="宋体" w:eastAsia="宋体" w:hint="default"/>
                            <w:sz w:val="18"/>
                            <w:szCs w:val="18"/>
                          </w:rPr>
                          <w:t>但未造成股价异动</w:t>
                        </w:r>
                        <w:r>
                          <w:rPr>
                            <w:rFonts w:ascii="宋体" w:hAnsi="宋体" w:cs="宋体" w:eastAsia="宋体" w:hint="default"/>
                            <w:spacing w:val="-121"/>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31"/>
                            <w:sz w:val="18"/>
                            <w:szCs w:val="18"/>
                          </w:rPr>
                          <w:t>）</w:t>
                        </w:r>
                        <w:r>
                          <w:rPr>
                            <w:rFonts w:ascii="宋体" w:hAnsi="宋体" w:cs="宋体" w:eastAsia="宋体" w:hint="default"/>
                            <w:sz w:val="18"/>
                            <w:szCs w:val="18"/>
                          </w:rPr>
                          <w:t>公司重要业务</w:t>
                        </w:r>
                      </w:p>
                      <w:p>
                        <w:pPr>
                          <w:pStyle w:val="TableParagraph"/>
                          <w:spacing w:line="151"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制度或系统存在缺陷</w:t>
                        </w:r>
                        <w:r>
                          <w:rPr>
                            <w:rFonts w:ascii="宋体" w:hAnsi="宋体" w:cs="宋体" w:eastAsia="宋体" w:hint="default"/>
                            <w:spacing w:val="-121"/>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31"/>
                            <w:sz w:val="18"/>
                            <w:szCs w:val="18"/>
                          </w:rPr>
                          <w:t>）</w:t>
                        </w:r>
                        <w:r>
                          <w:rPr>
                            <w:rFonts w:ascii="宋体" w:hAnsi="宋体" w:cs="宋体" w:eastAsia="宋体" w:hint="default"/>
                            <w:sz w:val="18"/>
                            <w:szCs w:val="18"/>
                          </w:rPr>
                          <w:t>公司关键岗</w:t>
                        </w:r>
                      </w:p>
                      <w:p>
                        <w:pPr>
                          <w:pStyle w:val="TableParagraph"/>
                          <w:spacing w:line="288" w:lineRule="auto" w:before="66"/>
                          <w:ind w:right="14"/>
                          <w:jc w:val="left"/>
                          <w:rPr>
                            <w:rFonts w:ascii="宋体" w:hAnsi="宋体" w:cs="宋体" w:eastAsia="宋体" w:hint="default"/>
                            <w:sz w:val="18"/>
                            <w:szCs w:val="18"/>
                          </w:rPr>
                        </w:pPr>
                        <w:r>
                          <w:rPr>
                            <w:rFonts w:ascii="宋体" w:hAnsi="宋体" w:cs="宋体" w:eastAsia="宋体" w:hint="default"/>
                            <w:spacing w:val="-9"/>
                            <w:sz w:val="18"/>
                            <w:szCs w:val="18"/>
                          </w:rPr>
                          <w:t>位业务人员流失严重；（</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）公司内部控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制重要缺陷未得到整改。</w:t>
                        </w:r>
                      </w:p>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288" w:lineRule="auto" w:before="140"/>
                          <w:ind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）违反企业内部规章制度，但未造 </w:t>
                        </w:r>
                        <w:r>
                          <w:rPr>
                            <w:rFonts w:ascii="宋体" w:hAnsi="宋体" w:cs="宋体" w:eastAsia="宋体" w:hint="default"/>
                            <w:spacing w:val="-5"/>
                            <w:sz w:val="18"/>
                            <w:szCs w:val="18"/>
                          </w:rPr>
                          <w:t>成损失；（</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）公司决策程序效率不高；</w:t>
                        </w:r>
                      </w:p>
                      <w:p>
                        <w:pPr>
                          <w:pStyle w:val="TableParagraph"/>
                          <w:spacing w:line="297" w:lineRule="auto" w:before="26"/>
                          <w:ind w:right="1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）媒体出现负面新闻，但影响不大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未造成股价异动；（</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）公司一般业务制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度或系统存在缺陷；（</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）公司一般岗位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业务人员流失严重；（</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）公司内部控制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一般缺陷未得到整改；（</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）公司内部控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制存在以上以外的其他缺陷。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p>
      <w:pPr>
        <w:spacing w:line="631" w:lineRule="exact"/>
        <w:ind w:left="668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50.2pt;height:31.6pt;mso-position-horizontal-relative:char;mso-position-vertical-relative:line" coordorigin="0,0" coordsize="3004,632">
            <v:group style="position:absolute;left:0;top:0;width:3004;height:316" coordorigin="0,0" coordsize="3004,316">
              <v:shape style="position:absolute;left:0;top:0;width:3004;height:316" coordorigin="0,0" coordsize="3004,316" path="m0,315l3004,315,3004,0,0,0,0,315xe" filled="true" fillcolor="#ffffff" stroked="false">
                <v:path arrowok="t"/>
                <v:fill type="solid"/>
              </v:shape>
            </v:group>
            <v:group style="position:absolute;left:0;top:316;width:3004;height:316" coordorigin="0,316" coordsize="3004,316">
              <v:shape style="position:absolute;left:0;top:316;width:3004;height:316" coordorigin="0,316" coordsize="3004,316" path="m0,631l3004,631,3004,316,0,316,0,631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28"/>
        <w:jc w:val="right"/>
      </w:pPr>
      <w:r>
        <w:rPr/>
        <w:t>，</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3319"/>
        <w:gridCol w:w="3064"/>
      </w:tblGrid>
      <w:tr>
        <w:trPr>
          <w:trHeight w:val="4038"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both"/>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88" w:lineRule="auto" w:before="125"/>
              <w:ind w:left="14" w:right="29"/>
              <w:jc w:val="both"/>
              <w:rPr>
                <w:rFonts w:ascii="宋体" w:hAnsi="宋体" w:cs="宋体" w:eastAsia="宋体" w:hint="default"/>
                <w:sz w:val="18"/>
                <w:szCs w:val="18"/>
              </w:rPr>
            </w:pPr>
            <w:r>
              <w:rPr>
                <w:rFonts w:ascii="宋体" w:hAnsi="宋体" w:cs="宋体" w:eastAsia="宋体" w:hint="default"/>
                <w:sz w:val="18"/>
                <w:szCs w:val="18"/>
              </w:rPr>
              <w:t>利润总额存在错报</w:t>
            </w:r>
            <w:r>
              <w:rPr>
                <w:rFonts w:ascii="宋体" w:hAnsi="宋体" w:cs="宋体" w:eastAsia="宋体" w:hint="default"/>
                <w:spacing w:val="6"/>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合并报表利 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，且绝对金额超过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p>
            <w:pPr>
              <w:pStyle w:val="TableParagraph"/>
              <w:spacing w:line="240" w:lineRule="auto" w:before="88"/>
              <w:ind w:left="14" w:right="0"/>
              <w:jc w:val="both"/>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302" w:lineRule="auto" w:before="125"/>
              <w:ind w:left="14" w:right="64"/>
              <w:jc w:val="both"/>
              <w:rPr>
                <w:rFonts w:ascii="宋体" w:hAnsi="宋体" w:cs="宋体" w:eastAsia="宋体" w:hint="default"/>
                <w:sz w:val="18"/>
                <w:szCs w:val="18"/>
              </w:rPr>
            </w:pPr>
            <w:r>
              <w:rPr>
                <w:rFonts w:ascii="宋体" w:hAnsi="宋体" w:cs="宋体" w:eastAsia="宋体" w:hint="default"/>
                <w:sz w:val="18"/>
                <w:szCs w:val="18"/>
              </w:rPr>
              <w:t>利润总额存在错报 合并报表利润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错报金额﹤合并报表利润总额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，且 绝对金额超过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300.00 </w:t>
            </w:r>
            <w:r>
              <w:rPr>
                <w:rFonts w:ascii="宋体" w:hAnsi="宋体" w:cs="宋体" w:eastAsia="宋体" w:hint="default"/>
                <w:sz w:val="18"/>
                <w:szCs w:val="18"/>
              </w:rPr>
              <w:t>万元；</w:t>
            </w:r>
          </w:p>
          <w:p>
            <w:pPr>
              <w:pStyle w:val="TableParagraph"/>
              <w:spacing w:line="240" w:lineRule="auto" w:before="29"/>
              <w:ind w:left="14" w:right="0"/>
              <w:jc w:val="both"/>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336" w:lineRule="auto" w:before="124"/>
              <w:ind w:left="14"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利润总额存在错报</w:t>
            </w:r>
            <w:r>
              <w:rPr>
                <w:rFonts w:ascii="宋体" w:hAnsi="宋体" w:cs="宋体" w:eastAsia="宋体" w:hint="default"/>
                <w:spacing w:val="2"/>
                <w:sz w:val="18"/>
                <w:szCs w:val="18"/>
              </w:rPr>
              <w:t> </w:t>
            </w:r>
            <w:r>
              <w:rPr>
                <w:rFonts w:ascii="宋体" w:hAnsi="宋体" w:cs="宋体" w:eastAsia="宋体" w:hint="default"/>
                <w:sz w:val="18"/>
                <w:szCs w:val="18"/>
              </w:rPr>
              <w:t>错报金额﹤合并报表</w:t>
            </w:r>
            <w:r>
              <w:rPr>
                <w:rFonts w:ascii="宋体" w:hAnsi="宋体" w:cs="宋体" w:eastAsia="宋体" w:hint="default"/>
                <w:sz w:val="18"/>
                <w:szCs w:val="18"/>
              </w:rPr>
              <w:t> 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w:t>
            </w:r>
            <w:r>
              <w:rPr>
                <w:rFonts w:ascii="宋体" w:hAnsi="宋体" w:cs="宋体" w:eastAsia="宋体" w:hint="default"/>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300.00</w:t>
            </w:r>
          </w:p>
          <w:p>
            <w:pPr>
              <w:pStyle w:val="TableParagraph"/>
              <w:spacing w:line="192" w:lineRule="exact"/>
              <w:ind w:left="1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重大缺陷：</w:t>
            </w:r>
          </w:p>
          <w:p>
            <w:pPr>
              <w:pStyle w:val="TableParagraph"/>
              <w:spacing w:line="295" w:lineRule="auto" w:before="125"/>
              <w:ind w:left="30" w:right="118"/>
              <w:jc w:val="both"/>
              <w:rPr>
                <w:rFonts w:ascii="宋体" w:hAnsi="宋体" w:cs="宋体" w:eastAsia="宋体" w:hint="default"/>
                <w:sz w:val="18"/>
                <w:szCs w:val="18"/>
              </w:rPr>
            </w:pPr>
            <w:r>
              <w:rPr>
                <w:rFonts w:ascii="宋体" w:hAnsi="宋体" w:cs="宋体" w:eastAsia="宋体" w:hint="default"/>
                <w:sz w:val="18"/>
                <w:szCs w:val="18"/>
              </w:rPr>
              <w:t>直接损失金额</w:t>
            </w:r>
            <w:r>
              <w:rPr>
                <w:rFonts w:ascii="宋体" w:hAnsi="宋体" w:cs="宋体" w:eastAsia="宋体" w:hint="default"/>
                <w:spacing w:val="6"/>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w:t>
            </w:r>
            <w:r>
              <w:rPr>
                <w:rFonts w:ascii="宋体" w:hAnsi="宋体" w:cs="宋体" w:eastAsia="宋体" w:hint="default"/>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500.00 </w:t>
            </w:r>
            <w:r>
              <w:rPr>
                <w:rFonts w:ascii="宋体" w:hAnsi="宋体" w:cs="宋体" w:eastAsia="宋体" w:hint="default"/>
                <w:sz w:val="18"/>
                <w:szCs w:val="18"/>
              </w:rPr>
              <w:t>万 元；</w:t>
            </w:r>
          </w:p>
          <w:p>
            <w:pPr>
              <w:pStyle w:val="TableParagraph"/>
              <w:spacing w:line="240" w:lineRule="auto" w:before="68"/>
              <w:ind w:left="30" w:right="0"/>
              <w:jc w:val="left"/>
              <w:rPr>
                <w:rFonts w:ascii="宋体" w:hAnsi="宋体" w:cs="宋体" w:eastAsia="宋体" w:hint="default"/>
                <w:sz w:val="18"/>
                <w:szCs w:val="18"/>
              </w:rPr>
            </w:pPr>
            <w:r>
              <w:rPr>
                <w:rFonts w:ascii="宋体" w:hAnsi="宋体" w:cs="宋体" w:eastAsia="宋体" w:hint="default"/>
                <w:sz w:val="18"/>
                <w:szCs w:val="18"/>
              </w:rPr>
              <w:t>重要缺陷：</w:t>
            </w:r>
          </w:p>
          <w:p>
            <w:pPr>
              <w:pStyle w:val="TableParagraph"/>
              <w:spacing w:line="295" w:lineRule="auto" w:before="139"/>
              <w:ind w:left="30" w:right="13"/>
              <w:jc w:val="left"/>
              <w:rPr>
                <w:rFonts w:ascii="宋体" w:hAnsi="宋体" w:cs="宋体" w:eastAsia="宋体" w:hint="default"/>
                <w:sz w:val="18"/>
                <w:szCs w:val="18"/>
              </w:rPr>
            </w:pPr>
            <w:r>
              <w:rPr>
                <w:rFonts w:ascii="宋体" w:hAnsi="宋体" w:cs="宋体" w:eastAsia="宋体" w:hint="default"/>
                <w:sz w:val="18"/>
                <w:szCs w:val="18"/>
              </w:rPr>
              <w:t>直接损失金额</w:t>
            </w:r>
            <w:r>
              <w:rPr>
                <w:rFonts w:ascii="宋体" w:hAnsi="宋体" w:cs="宋体" w:eastAsia="宋体" w:hint="default"/>
                <w:spacing w:val="2"/>
                <w:sz w:val="18"/>
                <w:szCs w:val="18"/>
              </w:rPr>
              <w:t> </w:t>
            </w:r>
            <w:r>
              <w:rPr>
                <w:rFonts w:ascii="宋体" w:hAnsi="宋体" w:cs="宋体" w:eastAsia="宋体" w:hint="default"/>
                <w:sz w:val="18"/>
                <w:szCs w:val="18"/>
              </w:rPr>
              <w:t>净资产额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z w:val="18"/>
                <w:szCs w:val="18"/>
              </w:rPr>
              <w:t>≤</w:t>
            </w:r>
            <w:r>
              <w:rPr>
                <w:rFonts w:ascii="宋体" w:hAnsi="宋体" w:cs="宋体" w:eastAsia="宋体" w:hint="default"/>
                <w:sz w:val="18"/>
                <w:szCs w:val="18"/>
              </w:rPr>
              <w:t>直接</w:t>
            </w:r>
            <w:r>
              <w:rPr>
                <w:rFonts w:ascii="宋体" w:hAnsi="宋体" w:cs="宋体" w:eastAsia="宋体" w:hint="default"/>
                <w:spacing w:val="-87"/>
                <w:sz w:val="18"/>
                <w:szCs w:val="18"/>
              </w:rPr>
              <w:t> </w:t>
            </w:r>
            <w:r>
              <w:rPr>
                <w:rFonts w:ascii="宋体" w:hAnsi="宋体" w:cs="宋体" w:eastAsia="宋体" w:hint="default"/>
                <w:sz w:val="18"/>
                <w:szCs w:val="18"/>
              </w:rPr>
              <w:t>损失金额﹤净资产额</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3.00%</w:t>
            </w:r>
            <w:r>
              <w:rPr>
                <w:rFonts w:ascii="宋体" w:hAnsi="宋体" w:cs="宋体" w:eastAsia="宋体" w:hint="default"/>
                <w:spacing w:val="-3"/>
                <w:sz w:val="18"/>
                <w:szCs w:val="18"/>
              </w:rPr>
              <w:t>，且绝对金</w:t>
            </w:r>
            <w:r>
              <w:rPr>
                <w:rFonts w:ascii="宋体" w:hAnsi="宋体" w:cs="宋体" w:eastAsia="宋体" w:hint="default"/>
                <w:sz w:val="18"/>
                <w:szCs w:val="18"/>
              </w:rPr>
              <w:t> 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一般缺陷：</w:t>
            </w:r>
          </w:p>
          <w:p>
            <w:pPr>
              <w:pStyle w:val="TableParagraph"/>
              <w:spacing w:line="240" w:lineRule="auto" w:before="110"/>
              <w:ind w:left="30" w:right="0"/>
              <w:jc w:val="left"/>
              <w:rPr>
                <w:rFonts w:ascii="宋体" w:hAnsi="宋体" w:cs="宋体" w:eastAsia="宋体" w:hint="default"/>
                <w:sz w:val="18"/>
                <w:szCs w:val="18"/>
              </w:rPr>
            </w:pPr>
            <w:r>
              <w:rPr>
                <w:rFonts w:ascii="宋体" w:hAnsi="宋体" w:cs="宋体" w:eastAsia="宋体" w:hint="default"/>
                <w:sz w:val="18"/>
                <w:szCs w:val="18"/>
              </w:rPr>
              <w:t>直接损失金额</w:t>
            </w:r>
            <w:r>
              <w:rPr>
                <w:rFonts w:ascii="宋体" w:hAnsi="宋体" w:cs="宋体" w:eastAsia="宋体" w:hint="default"/>
                <w:spacing w:val="1"/>
                <w:sz w:val="18"/>
                <w:szCs w:val="18"/>
              </w:rPr>
              <w:t> </w:t>
            </w:r>
            <w:r>
              <w:rPr>
                <w:rFonts w:ascii="宋体" w:hAnsi="宋体" w:cs="宋体" w:eastAsia="宋体" w:hint="default"/>
                <w:sz w:val="18"/>
                <w:szCs w:val="18"/>
              </w:rPr>
              <w:t>错报金额﹤净资产额</w:t>
            </w:r>
          </w:p>
          <w:p>
            <w:pPr>
              <w:pStyle w:val="TableParagraph"/>
              <w:spacing w:line="240" w:lineRule="auto" w:before="94"/>
              <w:ind w:left="30"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宋体" w:hAnsi="宋体" w:cs="宋体" w:eastAsia="宋体" w:hint="default"/>
          <w:sz w:val="24"/>
          <w:szCs w:val="24"/>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t>不适用</w:t>
      </w:r>
    </w:p>
    <w:p>
      <w:pPr>
        <w:spacing w:after="0" w:line="240"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040" w:right="0"/>
        <w:jc w:val="left"/>
        <w:rPr>
          <w:b w:val="0"/>
          <w:bCs w:val="0"/>
        </w:rPr>
      </w:pPr>
      <w:bookmarkStart w:name="第十一节公司债券相关情况" w:id="152"/>
      <w:bookmarkEnd w:id="152"/>
      <w:r>
        <w:rPr>
          <w:b w:val="0"/>
          <w:bCs w:val="0"/>
        </w:rPr>
      </w:r>
      <w:bookmarkStart w:name="_bookmark10" w:id="153"/>
      <w:bookmarkEnd w:id="153"/>
      <w:r>
        <w:rPr>
          <w:b w:val="0"/>
          <w:bCs w:val="0"/>
        </w:rPr>
      </w:r>
      <w:r>
        <w:rPr>
          <w:spacing w:val="5"/>
        </w:rPr>
        <w:t>第十一节公司债券相关情况</w:t>
      </w:r>
      <w:r>
        <w:rPr>
          <w:b w:val="0"/>
          <w:bCs w:val="0"/>
          <w:spacing w:val="5"/>
        </w:rPr>
      </w:r>
    </w:p>
    <w:p>
      <w:pPr>
        <w:spacing w:line="240" w:lineRule="auto" w:before="9"/>
        <w:rPr>
          <w:rFonts w:ascii="宋体" w:hAnsi="宋体" w:cs="宋体" w:eastAsia="宋体" w:hint="default"/>
          <w:b/>
          <w:bCs/>
          <w:sz w:val="43"/>
          <w:szCs w:val="43"/>
        </w:rPr>
      </w:pPr>
    </w:p>
    <w:p>
      <w:pPr>
        <w:pStyle w:val="BodyText"/>
        <w:spacing w:line="504" w:lineRule="auto"/>
        <w:ind w:right="2109"/>
        <w:jc w:val="left"/>
      </w:pPr>
      <w:r>
        <w:rPr/>
        <w:t>公司是否存在公开发行并在证券交易所上市，且在年度报告批准报出日未到期或到期未能全额兑付的公司债券 否</w:t>
      </w:r>
    </w:p>
    <w:p>
      <w:pPr>
        <w:spacing w:after="0" w:line="504" w:lineRule="auto"/>
        <w:jc w:val="left"/>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67"/>
        <w:jc w:val="center"/>
        <w:rPr>
          <w:b w:val="0"/>
          <w:bCs w:val="0"/>
        </w:rPr>
      </w:pPr>
      <w:bookmarkStart w:name="第十二节财务报告" w:id="154"/>
      <w:bookmarkEnd w:id="154"/>
      <w:r>
        <w:rPr>
          <w:b w:val="0"/>
          <w:bCs w:val="0"/>
        </w:rPr>
      </w:r>
      <w:bookmarkStart w:name="_bookmark11" w:id="155"/>
      <w:bookmarkEnd w:id="155"/>
      <w:r>
        <w:rPr>
          <w:b w:val="0"/>
          <w:bCs w:val="0"/>
        </w:rPr>
      </w:r>
      <w:r>
        <w:rPr>
          <w:spacing w:val="4"/>
        </w:rPr>
        <w:t>第十二节财务报告</w:t>
      </w:r>
      <w:r>
        <w:rPr>
          <w:b w:val="0"/>
          <w:bCs w:val="0"/>
          <w:spacing w:val="4"/>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7-321 </w:t>
            </w:r>
            <w:r>
              <w:rPr>
                <w:rFonts w:ascii="宋体" w:hAnsi="宋体" w:cs="宋体" w:eastAsia="宋体" w:hint="default"/>
                <w:sz w:val="18"/>
                <w:szCs w:val="18"/>
              </w:rPr>
              <w:t>号</w:t>
            </w:r>
          </w:p>
        </w:tc>
      </w:tr>
      <w:tr>
        <w:trPr>
          <w:trHeight w:val="391"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禤文欣、卢玲玉</w:t>
            </w:r>
          </w:p>
        </w:tc>
      </w:tr>
    </w:tbl>
    <w:p>
      <w:pPr>
        <w:pStyle w:val="BodyText"/>
        <w:spacing w:line="240" w:lineRule="auto" w:before="44"/>
        <w:ind w:left="0" w:right="985"/>
        <w:jc w:val="center"/>
      </w:pPr>
      <w:r>
        <w:rPr/>
        <w:t>审计报告正文</w:t>
      </w:r>
    </w:p>
    <w:p>
      <w:pPr>
        <w:tabs>
          <w:tab w:pos="675" w:val="left" w:leader="none"/>
          <w:tab w:pos="1336" w:val="left" w:leader="none"/>
          <w:tab w:pos="2012" w:val="left" w:leader="none"/>
        </w:tabs>
        <w:spacing w:before="155"/>
        <w:ind w:left="0" w:right="983"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29"/>
        <w:ind w:left="0" w:right="984"/>
        <w:jc w:val="center"/>
      </w:pPr>
      <w:r>
        <w:rPr/>
        <w:t>天健审〔</w:t>
      </w:r>
      <w:r>
        <w:rPr>
          <w:rFonts w:ascii="Times New Roman" w:hAnsi="Times New Roman" w:cs="Times New Roman" w:eastAsia="Times New Roman" w:hint="default"/>
        </w:rPr>
        <w:t>2020</w:t>
      </w:r>
      <w:r>
        <w:rPr/>
        <w:t>〕</w:t>
      </w:r>
      <w:r>
        <w:rPr>
          <w:rFonts w:ascii="Times New Roman" w:hAnsi="Times New Roman" w:cs="Times New Roman" w:eastAsia="Times New Roman" w:hint="default"/>
        </w:rPr>
        <w:t>7-321</w:t>
      </w:r>
      <w:r>
        <w:rPr/>
        <w:t>号</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504" w:lineRule="auto" w:before="0"/>
        <w:ind w:left="501" w:right="8050" w:hanging="361"/>
        <w:jc w:val="left"/>
        <w:rPr>
          <w:rFonts w:ascii="宋体" w:hAnsi="宋体" w:cs="宋体" w:eastAsia="宋体" w:hint="default"/>
          <w:sz w:val="18"/>
          <w:szCs w:val="18"/>
        </w:rPr>
      </w:pPr>
      <w:r>
        <w:rPr>
          <w:rFonts w:ascii="宋体" w:hAnsi="宋体" w:cs="宋体" w:eastAsia="宋体" w:hint="default"/>
          <w:sz w:val="18"/>
          <w:szCs w:val="18"/>
        </w:rPr>
        <w:t>浩云科技股份有限公司全体股东：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465" w:lineRule="auto" w:before="92"/>
        <w:ind w:right="1128" w:firstLine="360"/>
        <w:jc w:val="both"/>
      </w:pPr>
      <w:r>
        <w:rPr/>
        <w:t>我们审计了浩云科技股份有限公司（以下简称浩云科技）财务报表，包括</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日的合并及母公司资产负债 表，</w:t>
      </w:r>
      <w:r>
        <w:rPr>
          <w:rFonts w:ascii="宋体" w:hAnsi="宋体" w:cs="宋体" w:eastAsia="宋体" w:hint="default"/>
        </w:rPr>
        <w:t>2019 </w:t>
      </w:r>
      <w:r>
        <w:rPr/>
        <w:t>年度的合并及母公司利润表、合并及母公司现金流量表、合并及母公司所有者权益变动表，以及相关财务报表附 注。</w:t>
      </w:r>
    </w:p>
    <w:p>
      <w:pPr>
        <w:pStyle w:val="BodyText"/>
        <w:spacing w:line="240" w:lineRule="auto" w:before="120"/>
        <w:ind w:left="501" w:right="0"/>
        <w:jc w:val="left"/>
      </w:pPr>
      <w:r>
        <w:rPr/>
        <w:t>我们认为，后附的财务报表在所有重大方面按照企业会计准则的规定编制，公允反映了浩云科技</w:t>
      </w:r>
      <w:r>
        <w:rPr>
          <w:spacing w:val="-36"/>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日的</w:t>
      </w:r>
    </w:p>
    <w:p>
      <w:pPr>
        <w:spacing w:line="240" w:lineRule="auto" w:before="6"/>
        <w:rPr>
          <w:rFonts w:ascii="宋体" w:hAnsi="宋体" w:cs="宋体" w:eastAsia="宋体" w:hint="default"/>
          <w:sz w:val="16"/>
          <w:szCs w:val="16"/>
        </w:rPr>
      </w:pPr>
    </w:p>
    <w:p>
      <w:pPr>
        <w:spacing w:line="520" w:lineRule="auto" w:before="0"/>
        <w:ind w:left="501" w:right="4537" w:hanging="361"/>
        <w:jc w:val="left"/>
        <w:rPr>
          <w:rFonts w:ascii="宋体" w:hAnsi="宋体" w:cs="宋体" w:eastAsia="宋体" w:hint="default"/>
          <w:sz w:val="18"/>
          <w:szCs w:val="18"/>
        </w:rPr>
      </w:pPr>
      <w:r>
        <w:rPr>
          <w:rFonts w:ascii="宋体" w:hAnsi="宋体" w:cs="宋体" w:eastAsia="宋体" w:hint="default"/>
          <w:sz w:val="18"/>
          <w:szCs w:val="18"/>
        </w:rPr>
        <w:t>合并及母公司财务状况，以及</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465" w:lineRule="auto" w:before="79"/>
        <w:ind w:right="1132"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步阐述了我们在这些准则下的责任。按照中国注册会计师职业道德守则，我们独立于浩云科技，并履行了职业道德方面的其</w:t>
      </w:r>
      <w:r>
        <w:rPr>
          <w:spacing w:val="-72"/>
        </w:rPr>
        <w:t> </w:t>
      </w:r>
      <w:r>
        <w:rPr>
          <w:spacing w:val="-72"/>
        </w:rPr>
      </w:r>
      <w:r>
        <w:rPr/>
        <w:t>他责任。我们相信，我们获取的审计证据是充分、适当的，为发表审计意见提供了基础。</w:t>
      </w:r>
    </w:p>
    <w:p>
      <w:pPr>
        <w:pStyle w:val="BodyText"/>
        <w:spacing w:line="535" w:lineRule="auto" w:before="106"/>
        <w:ind w:left="501" w:right="1133"/>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520" w:lineRule="auto"/>
        <w:ind w:left="501" w:right="5710" w:hanging="361"/>
        <w:jc w:val="left"/>
      </w:pPr>
      <w:r>
        <w:rPr/>
        <w:t>审计并形成审计意见为背景，我们不对这些事项单独发表意见。 </w:t>
      </w:r>
      <w:r>
        <w:rPr>
          <w:rFonts w:ascii="宋体" w:hAnsi="宋体" w:cs="宋体" w:eastAsia="宋体" w:hint="default"/>
        </w:rPr>
        <w:t>(</w:t>
      </w:r>
      <w:r>
        <w:rPr/>
        <w:t>一</w:t>
      </w:r>
      <w:r>
        <w:rPr>
          <w:rFonts w:ascii="宋体" w:hAnsi="宋体" w:cs="宋体" w:eastAsia="宋体" w:hint="default"/>
        </w:rPr>
        <w:t>) </w:t>
      </w:r>
      <w:r>
        <w:rPr/>
        <w:t>收入确认</w:t>
      </w:r>
    </w:p>
    <w:p>
      <w:pPr>
        <w:pStyle w:val="BodyText"/>
        <w:spacing w:line="520" w:lineRule="auto" w:before="64"/>
        <w:ind w:left="501" w:right="5619"/>
        <w:jc w:val="left"/>
      </w:pPr>
      <w:r>
        <w:rPr>
          <w:rFonts w:ascii="宋体" w:hAnsi="宋体" w:cs="宋体" w:eastAsia="宋体" w:hint="default"/>
        </w:rPr>
        <w:t>1. </w:t>
      </w:r>
      <w:r>
        <w:rPr/>
        <w:t>事项描述 相关信息披露详见财务报表附注三</w:t>
      </w:r>
      <w:r>
        <w:rPr>
          <w:rFonts w:ascii="宋体" w:hAnsi="宋体" w:cs="宋体" w:eastAsia="宋体" w:hint="default"/>
        </w:rPr>
        <w:t>(</w:t>
      </w:r>
      <w:r>
        <w:rPr/>
        <w:t>二十一</w:t>
      </w:r>
      <w:r>
        <w:rPr>
          <w:rFonts w:ascii="宋体" w:hAnsi="宋体" w:cs="宋体" w:eastAsia="宋体" w:hint="default"/>
        </w:rPr>
        <w:t>)</w:t>
      </w:r>
      <w:r>
        <w:rPr/>
        <w:t>及附注五</w:t>
      </w:r>
      <w:r>
        <w:rPr>
          <w:rFonts w:ascii="宋体" w:hAnsi="宋体" w:cs="宋体" w:eastAsia="宋体" w:hint="default"/>
        </w:rPr>
        <w:t>(</w:t>
      </w:r>
      <w:r>
        <w:rPr/>
        <w:t>二</w:t>
      </w:r>
      <w:r>
        <w:rPr>
          <w:rFonts w:ascii="宋体" w:hAnsi="宋体" w:cs="宋体" w:eastAsia="宋体" w:hint="default"/>
        </w:rPr>
        <w:t>)1</w:t>
      </w:r>
      <w:r>
        <w:rPr/>
        <w:t>。</w:t>
      </w:r>
    </w:p>
    <w:p>
      <w:pPr>
        <w:spacing w:after="0" w:line="52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58" w:lineRule="auto" w:before="44"/>
        <w:ind w:right="1112" w:firstLine="360"/>
        <w:jc w:val="left"/>
      </w:pPr>
      <w:r>
        <w:rPr/>
        <w:t>浩云科技的收入主要来源于物联网平台建设及解决方案和物联设备及软件销售。</w:t>
      </w:r>
      <w:r>
        <w:rPr>
          <w:rFonts w:ascii="宋体" w:hAnsi="宋体" w:cs="宋体" w:eastAsia="宋体" w:hint="default"/>
        </w:rPr>
        <w:t>2019</w:t>
      </w:r>
      <w:r>
        <w:rPr>
          <w:rFonts w:ascii="宋体" w:hAnsi="宋体" w:cs="宋体" w:eastAsia="宋体" w:hint="default"/>
          <w:spacing w:val="7"/>
        </w:rPr>
        <w:t> </w:t>
      </w:r>
      <w:r>
        <w:rPr/>
        <w:t>年度，浩云科技财务报表所示营 业收入项目金额为人民币</w:t>
      </w:r>
      <w:r>
        <w:rPr>
          <w:spacing w:val="-43"/>
        </w:rPr>
        <w:t> </w:t>
      </w:r>
      <w:r>
        <w:rPr>
          <w:rFonts w:ascii="宋体" w:hAnsi="宋体" w:cs="宋体" w:eastAsia="宋体" w:hint="default"/>
        </w:rPr>
        <w:t>784,434,539.34</w:t>
      </w:r>
      <w:r>
        <w:rPr>
          <w:rFonts w:ascii="宋体" w:hAnsi="宋体" w:cs="宋体" w:eastAsia="宋体" w:hint="default"/>
          <w:spacing w:val="-44"/>
        </w:rPr>
        <w:t> </w:t>
      </w:r>
      <w:r>
        <w:rPr/>
        <w:t>元。</w:t>
      </w:r>
    </w:p>
    <w:p>
      <w:pPr>
        <w:pStyle w:val="BodyText"/>
        <w:spacing w:line="475" w:lineRule="auto" w:before="126"/>
        <w:ind w:right="1121" w:firstLine="360"/>
        <w:jc w:val="both"/>
      </w:pPr>
      <w:r>
        <w:rPr>
          <w:spacing w:val="-2"/>
        </w:rPr>
        <w:t>如财务报表附注重要会计政策及会计估计所示，浩云科技在系统安装调试完毕且通过客户验收确认后，相关的收入已经</w:t>
      </w:r>
      <w:r>
        <w:rPr/>
        <w:t> </w:t>
      </w:r>
      <w:r>
        <w:rPr>
          <w:spacing w:val="-2"/>
        </w:rPr>
        <w:t>收到或取得收款的证据，与物联网平台建设及解决方案有关的成本能够可靠计量时，确认物联网平台建设及解决方案收入的</w:t>
      </w:r>
      <w:r>
        <w:rPr>
          <w:spacing w:val="-72"/>
        </w:rPr>
        <w:t> </w:t>
      </w:r>
      <w:r>
        <w:rPr>
          <w:spacing w:val="-72"/>
        </w:rPr>
      </w:r>
      <w:r>
        <w:rPr>
          <w:spacing w:val="-2"/>
        </w:rPr>
        <w:t>实现；浩云科技在产品交付并获得客户签收确认时确认物联设备及软件销售收入。由于营业收入是浩云科技关键业绩指标之</w:t>
      </w:r>
      <w:r>
        <w:rPr>
          <w:spacing w:val="-72"/>
        </w:rPr>
        <w:t> </w:t>
      </w:r>
      <w:r>
        <w:rPr>
          <w:spacing w:val="-72"/>
        </w:rPr>
      </w:r>
      <w:r>
        <w:rPr>
          <w:spacing w:val="-2"/>
        </w:rPr>
        <w:t>一，可能存在浩云科技管理层（以下简称管理层）通过不恰当的收入确认以达到特定目标或预期的固有风险。因此，我们将</w:t>
      </w:r>
      <w:r>
        <w:rPr>
          <w:spacing w:val="-57"/>
        </w:rPr>
        <w:t> </w:t>
      </w:r>
      <w:r>
        <w:rPr>
          <w:spacing w:val="-57"/>
        </w:rPr>
      </w:r>
      <w:r>
        <w:rPr/>
        <w:t>收入确认确定为关键审计事项。</w:t>
      </w:r>
    </w:p>
    <w:p>
      <w:pPr>
        <w:pStyle w:val="BodyText"/>
        <w:spacing w:line="520" w:lineRule="auto" w:before="98"/>
        <w:ind w:left="501" w:right="6609"/>
        <w:jc w:val="left"/>
      </w:pPr>
      <w:r>
        <w:rPr>
          <w:rFonts w:ascii="宋体" w:hAnsi="宋体" w:cs="宋体" w:eastAsia="宋体" w:hint="default"/>
        </w:rPr>
        <w:t>2. </w:t>
      </w:r>
      <w:r>
        <w:rPr/>
        <w:t>审计应对 针对收入确认，我们实施的审计程序主要包括：</w:t>
      </w:r>
    </w:p>
    <w:p>
      <w:pPr>
        <w:pStyle w:val="BodyText"/>
        <w:spacing w:line="240" w:lineRule="auto" w:before="49"/>
        <w:ind w:left="501" w:right="0"/>
        <w:jc w:val="left"/>
      </w:pPr>
      <w:r>
        <w:rPr>
          <w:rFonts w:ascii="宋体" w:hAnsi="宋体" w:cs="宋体" w:eastAsia="宋体" w:hint="default"/>
        </w:rPr>
        <w:t>(1) </w:t>
      </w:r>
      <w:r>
        <w:rPr/>
        <w:t>了解与收入确认相关的关键内部控制，评价其设计和执行是否有效，并测试相关内部控制的运行有效性；</w:t>
      </w:r>
    </w:p>
    <w:p>
      <w:pPr>
        <w:spacing w:line="240" w:lineRule="auto" w:before="0"/>
        <w:rPr>
          <w:rFonts w:ascii="宋体" w:hAnsi="宋体" w:cs="宋体" w:eastAsia="宋体" w:hint="default"/>
          <w:sz w:val="21"/>
          <w:szCs w:val="21"/>
        </w:rPr>
      </w:pPr>
    </w:p>
    <w:p>
      <w:pPr>
        <w:pStyle w:val="BodyText"/>
        <w:spacing w:line="240" w:lineRule="auto"/>
        <w:ind w:left="501" w:right="0"/>
        <w:jc w:val="left"/>
      </w:pPr>
      <w:r>
        <w:rPr>
          <w:rFonts w:ascii="宋体" w:hAnsi="宋体" w:cs="宋体" w:eastAsia="宋体" w:hint="default"/>
        </w:rPr>
        <w:t>(2) </w:t>
      </w:r>
      <w:r>
        <w:rPr/>
        <w:t>检查主要的销售合同，了解主要合同条款或条件，评价收入确认方法是否适当；</w:t>
      </w:r>
    </w:p>
    <w:p>
      <w:pPr>
        <w:spacing w:line="240" w:lineRule="auto" w:before="0"/>
        <w:rPr>
          <w:rFonts w:ascii="宋体" w:hAnsi="宋体" w:cs="宋体" w:eastAsia="宋体" w:hint="default"/>
          <w:sz w:val="21"/>
          <w:szCs w:val="21"/>
        </w:rPr>
      </w:pPr>
    </w:p>
    <w:p>
      <w:pPr>
        <w:pStyle w:val="BodyText"/>
        <w:spacing w:line="240" w:lineRule="auto"/>
        <w:ind w:left="501" w:right="0"/>
        <w:jc w:val="left"/>
      </w:pPr>
      <w:r>
        <w:rPr>
          <w:rFonts w:ascii="宋体" w:hAnsi="宋体" w:cs="宋体" w:eastAsia="宋体" w:hint="default"/>
        </w:rPr>
        <w:t>(3) </w:t>
      </w:r>
      <w:r>
        <w:rPr/>
        <w:t>对营业收入及毛利率按月度、产品、客户等实施分析程序，识别是否存在重大或异常波动，并查明波动原因；</w:t>
      </w:r>
    </w:p>
    <w:p>
      <w:pPr>
        <w:spacing w:line="240" w:lineRule="auto" w:before="2"/>
        <w:rPr>
          <w:rFonts w:ascii="宋体" w:hAnsi="宋体" w:cs="宋体" w:eastAsia="宋体" w:hint="default"/>
          <w:sz w:val="22"/>
          <w:szCs w:val="22"/>
        </w:rPr>
      </w:pPr>
    </w:p>
    <w:p>
      <w:pPr>
        <w:pStyle w:val="BodyText"/>
        <w:spacing w:line="458" w:lineRule="auto"/>
        <w:ind w:right="1120" w:firstLine="360"/>
        <w:jc w:val="left"/>
      </w:pPr>
      <w:r>
        <w:rPr>
          <w:rFonts w:ascii="宋体" w:hAnsi="宋体" w:cs="宋体" w:eastAsia="宋体" w:hint="default"/>
        </w:rPr>
        <w:t>(4)</w:t>
      </w:r>
      <w:r>
        <w:rPr>
          <w:rFonts w:ascii="宋体" w:hAnsi="宋体" w:cs="宋体" w:eastAsia="宋体" w:hint="default"/>
          <w:spacing w:val="9"/>
        </w:rPr>
        <w:t> </w:t>
      </w:r>
      <w:r>
        <w:rPr>
          <w:spacing w:val="-2"/>
        </w:rPr>
        <w:t>对于内销收入，以抽样方式检查与收入确认相关的支持性文件，包括销售合同、销售发票、出库单、发货单、验收</w:t>
      </w:r>
      <w:r>
        <w:rPr/>
        <w:t> 报告及客户签收单等；</w:t>
      </w:r>
    </w:p>
    <w:p>
      <w:pPr>
        <w:pStyle w:val="BodyText"/>
        <w:spacing w:line="240" w:lineRule="auto" w:before="111"/>
        <w:ind w:left="501" w:right="0"/>
        <w:jc w:val="left"/>
      </w:pPr>
      <w:r>
        <w:rPr>
          <w:rFonts w:ascii="宋体" w:hAnsi="宋体" w:cs="宋体" w:eastAsia="宋体" w:hint="default"/>
        </w:rPr>
        <w:t>(5) </w:t>
      </w:r>
      <w:r>
        <w:rPr/>
        <w:t>结合应收账款函证，以抽样方式向主要客户函证本期销售额；</w:t>
      </w:r>
    </w:p>
    <w:p>
      <w:pPr>
        <w:spacing w:line="240" w:lineRule="auto" w:before="0"/>
        <w:rPr>
          <w:rFonts w:ascii="宋体" w:hAnsi="宋体" w:cs="宋体" w:eastAsia="宋体" w:hint="default"/>
          <w:sz w:val="21"/>
          <w:szCs w:val="21"/>
        </w:rPr>
      </w:pPr>
    </w:p>
    <w:p>
      <w:pPr>
        <w:pStyle w:val="BodyText"/>
        <w:spacing w:line="240" w:lineRule="auto"/>
        <w:ind w:left="501" w:right="0"/>
        <w:jc w:val="left"/>
      </w:pPr>
      <w:r>
        <w:rPr>
          <w:rFonts w:ascii="宋体" w:hAnsi="宋体" w:cs="宋体" w:eastAsia="宋体" w:hint="default"/>
        </w:rPr>
        <w:t>(6) </w:t>
      </w:r>
      <w:r>
        <w:rPr/>
        <w:t>对本期新增的重要客户进行实地走访；</w:t>
      </w:r>
    </w:p>
    <w:p>
      <w:pPr>
        <w:spacing w:line="240" w:lineRule="auto" w:before="0"/>
        <w:rPr>
          <w:rFonts w:ascii="宋体" w:hAnsi="宋体" w:cs="宋体" w:eastAsia="宋体" w:hint="default"/>
          <w:sz w:val="21"/>
          <w:szCs w:val="21"/>
        </w:rPr>
      </w:pPr>
    </w:p>
    <w:p>
      <w:pPr>
        <w:pStyle w:val="BodyText"/>
        <w:spacing w:line="240" w:lineRule="auto"/>
        <w:ind w:left="501" w:right="0"/>
        <w:jc w:val="left"/>
      </w:pPr>
      <w:r>
        <w:rPr>
          <w:rFonts w:ascii="宋体" w:hAnsi="宋体" w:cs="宋体" w:eastAsia="宋体" w:hint="default"/>
        </w:rPr>
        <w:t>(7) </w:t>
      </w:r>
      <w:r>
        <w:rPr/>
        <w:t>对资产负债表日前后确认的营业收入实施截止测试，评价营业收入是否在恰当期间确认；</w:t>
      </w:r>
    </w:p>
    <w:p>
      <w:pPr>
        <w:spacing w:line="240" w:lineRule="auto" w:before="0"/>
        <w:rPr>
          <w:rFonts w:ascii="宋体" w:hAnsi="宋体" w:cs="宋体" w:eastAsia="宋体" w:hint="default"/>
          <w:sz w:val="21"/>
          <w:szCs w:val="21"/>
        </w:rPr>
      </w:pPr>
    </w:p>
    <w:p>
      <w:pPr>
        <w:pStyle w:val="BodyText"/>
        <w:spacing w:line="520" w:lineRule="auto"/>
        <w:ind w:left="501" w:right="4989"/>
        <w:jc w:val="left"/>
      </w:pPr>
      <w:r>
        <w:rPr>
          <w:rFonts w:ascii="宋体" w:hAnsi="宋体" w:cs="宋体" w:eastAsia="宋体" w:hint="default"/>
        </w:rPr>
        <w:t>(8) </w:t>
      </w:r>
      <w:r>
        <w:rPr/>
        <w:t>检查与营业收入相关的信息是否已在财务报表中作出恰当列报。 </w:t>
      </w:r>
      <w:r>
        <w:rPr>
          <w:rFonts w:ascii="宋体" w:hAnsi="宋体" w:cs="宋体" w:eastAsia="宋体" w:hint="default"/>
        </w:rPr>
        <w:t>(</w:t>
      </w:r>
      <w:r>
        <w:rPr/>
        <w:t>二</w:t>
      </w:r>
      <w:r>
        <w:rPr>
          <w:rFonts w:ascii="宋体" w:hAnsi="宋体" w:cs="宋体" w:eastAsia="宋体" w:hint="default"/>
        </w:rPr>
        <w:t>) </w:t>
      </w:r>
      <w:r>
        <w:rPr/>
        <w:t>应收账款减值</w:t>
      </w:r>
    </w:p>
    <w:p>
      <w:pPr>
        <w:pStyle w:val="BodyText"/>
        <w:spacing w:line="520" w:lineRule="auto" w:before="49"/>
        <w:ind w:left="501" w:right="5979"/>
        <w:jc w:val="left"/>
      </w:pPr>
      <w:r>
        <w:rPr>
          <w:rFonts w:ascii="宋体" w:hAnsi="宋体" w:cs="宋体" w:eastAsia="宋体" w:hint="default"/>
        </w:rPr>
        <w:t>1. </w:t>
      </w:r>
      <w:r>
        <w:rPr/>
        <w:t>事项描述 相关信息披露详见财务报表附注三（八）及五（一）</w:t>
      </w:r>
      <w:r>
        <w:rPr>
          <w:rFonts w:ascii="宋体" w:hAnsi="宋体" w:cs="宋体" w:eastAsia="宋体" w:hint="default"/>
        </w:rPr>
        <w:t>4</w:t>
      </w:r>
      <w:r>
        <w:rPr/>
        <w:t>。</w:t>
      </w:r>
    </w:p>
    <w:p>
      <w:pPr>
        <w:pStyle w:val="BodyText"/>
        <w:spacing w:line="240" w:lineRule="auto" w:before="79"/>
        <w:ind w:left="501" w:right="0"/>
        <w:jc w:val="left"/>
        <w:rPr>
          <w:rFonts w:ascii="宋体" w:hAnsi="宋体" w:cs="宋体" w:eastAsia="宋体" w:hint="default"/>
        </w:rPr>
      </w:pPr>
      <w:r>
        <w:rPr/>
        <w:t>截至</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spacing w:val="-15"/>
        </w:rPr>
        <w:t>3</w:t>
      </w:r>
      <w:r>
        <w:rPr>
          <w:rFonts w:ascii="宋体" w:hAnsi="宋体" w:cs="宋体" w:eastAsia="宋体" w:hint="default"/>
        </w:rPr>
        <w:t>1</w:t>
      </w:r>
      <w:r>
        <w:rPr>
          <w:rFonts w:ascii="宋体" w:hAnsi="宋体" w:cs="宋体" w:eastAsia="宋体" w:hint="default"/>
          <w:spacing w:val="-45"/>
        </w:rPr>
        <w:t> </w:t>
      </w:r>
      <w:r>
        <w:rPr/>
        <w:t>日止</w:t>
      </w:r>
      <w:r>
        <w:rPr>
          <w:spacing w:val="-90"/>
        </w:rPr>
        <w:t>，</w:t>
      </w:r>
      <w:r>
        <w:rPr/>
        <w:t>浩云科技应收账款账面余额为人民币</w:t>
      </w:r>
      <w:r>
        <w:rPr>
          <w:spacing w:val="-41"/>
        </w:rPr>
        <w:t> </w:t>
      </w:r>
      <w:r>
        <w:rPr>
          <w:rFonts w:ascii="宋体" w:hAnsi="宋体" w:cs="宋体" w:eastAsia="宋体" w:hint="default"/>
        </w:rPr>
        <w:t>431,991,051.50</w:t>
      </w:r>
      <w:r>
        <w:rPr>
          <w:rFonts w:ascii="宋体" w:hAnsi="宋体" w:cs="宋体" w:eastAsia="宋体" w:hint="default"/>
          <w:spacing w:val="-43"/>
        </w:rPr>
        <w:t> </w:t>
      </w:r>
      <w:r>
        <w:rPr/>
        <w:t>元</w:t>
      </w:r>
      <w:r>
        <w:rPr>
          <w:spacing w:val="-90"/>
        </w:rPr>
        <w:t>，</w:t>
      </w:r>
      <w:r>
        <w:rPr/>
        <w:t>坏账准备为人民币</w:t>
      </w:r>
      <w:r>
        <w:rPr>
          <w:spacing w:val="-43"/>
        </w:rPr>
        <w:t> </w:t>
      </w:r>
      <w:r>
        <w:rPr>
          <w:rFonts w:ascii="宋体" w:hAnsi="宋体" w:cs="宋体" w:eastAsia="宋体" w:hint="default"/>
        </w:rPr>
        <w:t>38,223,334.54</w:t>
      </w:r>
    </w:p>
    <w:p>
      <w:pPr>
        <w:spacing w:line="240" w:lineRule="auto" w:before="5"/>
        <w:rPr>
          <w:rFonts w:ascii="宋体" w:hAnsi="宋体" w:cs="宋体" w:eastAsia="宋体" w:hint="default"/>
          <w:sz w:val="16"/>
          <w:szCs w:val="16"/>
        </w:rPr>
      </w:pPr>
    </w:p>
    <w:p>
      <w:pPr>
        <w:pStyle w:val="BodyText"/>
        <w:spacing w:line="535" w:lineRule="auto"/>
        <w:ind w:left="501" w:right="1133" w:hanging="361"/>
        <w:jc w:val="left"/>
      </w:pPr>
      <w:r>
        <w:rPr/>
        <w:t>元，账面价值为人民币</w:t>
      </w:r>
      <w:r>
        <w:rPr>
          <w:spacing w:val="-45"/>
        </w:rPr>
        <w:t> </w:t>
      </w:r>
      <w:r>
        <w:rPr>
          <w:rFonts w:ascii="宋体" w:hAnsi="宋体" w:cs="宋体" w:eastAsia="宋体" w:hint="default"/>
        </w:rPr>
        <w:t>393,767,716.96</w:t>
      </w:r>
      <w:r>
        <w:rPr>
          <w:rFonts w:ascii="宋体" w:hAnsi="宋体" w:cs="宋体" w:eastAsia="宋体" w:hint="default"/>
          <w:spacing w:val="-44"/>
        </w:rPr>
        <w:t> </w:t>
      </w:r>
      <w:r>
        <w:rPr/>
        <w:t>元。 </w:t>
      </w:r>
      <w:r>
        <w:rPr>
          <w:spacing w:val="-2"/>
        </w:rPr>
        <w:t>管理层根据各项应收账款的信用风险特征，以单项应收账款或应收账款组合为基础，按照相当于整个存续期内的预期信</w:t>
      </w:r>
    </w:p>
    <w:p>
      <w:pPr>
        <w:pStyle w:val="BodyText"/>
        <w:spacing w:line="475" w:lineRule="auto" w:before="8"/>
        <w:ind w:right="1106"/>
        <w:jc w:val="both"/>
      </w:pPr>
      <w:r>
        <w:rPr>
          <w:spacing w:val="-2"/>
        </w:rPr>
        <w:t>用损失金额计量其损失准备。对于以单项为基础计量预期信用损失的应收账款，管理层综合考虑有关过去事项、当前状况以</w:t>
      </w:r>
      <w:r>
        <w:rPr>
          <w:spacing w:val="-75"/>
        </w:rPr>
        <w:t> </w:t>
      </w:r>
      <w:r>
        <w:rPr>
          <w:spacing w:val="-75"/>
        </w:rPr>
      </w:r>
      <w:r>
        <w:rPr>
          <w:spacing w:val="-2"/>
        </w:rPr>
        <w:t>及未来经济状况预测的合理且有依据的信息，估计预期收取的现金流量，据此确定应计提的坏账准备；对于以组合为基础计</w:t>
      </w:r>
      <w:r>
        <w:rPr>
          <w:spacing w:val="-75"/>
        </w:rPr>
        <w:t> </w:t>
      </w:r>
      <w:r>
        <w:rPr>
          <w:spacing w:val="-75"/>
        </w:rPr>
      </w:r>
      <w:r>
        <w:rPr>
          <w:spacing w:val="-2"/>
        </w:rPr>
        <w:t>量预期信用损失的应收账款，管理层以账龄为依据划分组合，参照历史信用损失经验，并根据前瞻性估计予以调整，编制应</w:t>
      </w:r>
      <w:r>
        <w:rPr>
          <w:spacing w:val="-42"/>
        </w:rPr>
        <w:t> </w:t>
      </w:r>
      <w:r>
        <w:rPr>
          <w:spacing w:val="-42"/>
        </w:rPr>
      </w:r>
      <w:r>
        <w:rPr/>
        <w:t>收账款账龄与预期信用损失率对照表，据此确定应计提的坏账准备。</w:t>
      </w:r>
    </w:p>
    <w:p>
      <w:pPr>
        <w:spacing w:after="0" w:line="475" w:lineRule="auto"/>
        <w:jc w:val="both"/>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520" w:lineRule="auto" w:before="44"/>
        <w:ind w:left="501" w:right="1929"/>
        <w:jc w:val="left"/>
      </w:pPr>
      <w:r>
        <w:rPr/>
        <w:t>由于应收账款金额重大，且应收账款减值涉及重大管理层判断，我们将应收账款减值确定为关键审计事项。 </w:t>
      </w:r>
      <w:r>
        <w:rPr>
          <w:rFonts w:ascii="宋体" w:hAnsi="宋体" w:cs="宋体" w:eastAsia="宋体" w:hint="default"/>
        </w:rPr>
        <w:t>2. </w:t>
      </w:r>
      <w:r>
        <w:rPr/>
        <w:t>审计应对</w:t>
      </w:r>
    </w:p>
    <w:p>
      <w:pPr>
        <w:pStyle w:val="BodyText"/>
        <w:spacing w:line="240" w:lineRule="auto" w:before="64"/>
        <w:ind w:left="501" w:right="0"/>
        <w:jc w:val="left"/>
      </w:pPr>
      <w:r>
        <w:rPr/>
        <w:t>针对应收账款减值，我们实施的审计程序主要包括：</w:t>
      </w:r>
    </w:p>
    <w:p>
      <w:pPr>
        <w:spacing w:line="240" w:lineRule="auto" w:before="2"/>
        <w:rPr>
          <w:rFonts w:ascii="宋体" w:hAnsi="宋体" w:cs="宋体" w:eastAsia="宋体" w:hint="default"/>
          <w:sz w:val="22"/>
          <w:szCs w:val="22"/>
        </w:rPr>
      </w:pPr>
    </w:p>
    <w:p>
      <w:pPr>
        <w:pStyle w:val="BodyText"/>
        <w:spacing w:line="458" w:lineRule="auto"/>
        <w:ind w:right="1135" w:firstLine="360"/>
        <w:jc w:val="both"/>
      </w:pPr>
      <w:r>
        <w:rPr>
          <w:rFonts w:ascii="宋体" w:hAnsi="宋体" w:cs="宋体" w:eastAsia="宋体" w:hint="default"/>
        </w:rPr>
        <w:t>(1)</w:t>
      </w:r>
      <w:r>
        <w:rPr>
          <w:rFonts w:ascii="宋体" w:hAnsi="宋体" w:cs="宋体" w:eastAsia="宋体" w:hint="default"/>
          <w:spacing w:val="6"/>
        </w:rPr>
        <w:t> </w:t>
      </w:r>
      <w:r>
        <w:rPr>
          <w:spacing w:val="-2"/>
        </w:rPr>
        <w:t>了解与应收账款减值相关的关键内部控制，评价这些控制的设计，确定其是否得到执行，并测试相关内部控制的运</w:t>
      </w:r>
      <w:r>
        <w:rPr/>
        <w:t> 行有效性；</w:t>
      </w:r>
    </w:p>
    <w:p>
      <w:pPr>
        <w:pStyle w:val="BodyText"/>
        <w:spacing w:line="458" w:lineRule="auto" w:before="125"/>
        <w:ind w:right="1120" w:firstLine="360"/>
        <w:jc w:val="both"/>
      </w:pPr>
      <w:r>
        <w:rPr>
          <w:rFonts w:ascii="宋体" w:hAnsi="宋体" w:cs="宋体" w:eastAsia="宋体" w:hint="default"/>
        </w:rPr>
        <w:t>(2)</w:t>
      </w:r>
      <w:r>
        <w:rPr>
          <w:rFonts w:ascii="宋体" w:hAnsi="宋体" w:cs="宋体" w:eastAsia="宋体" w:hint="default"/>
          <w:spacing w:val="22"/>
        </w:rPr>
        <w:t> </w:t>
      </w:r>
      <w:r>
        <w:rPr>
          <w:spacing w:val="-2"/>
        </w:rPr>
        <w:t>复核管理层对应收账款进行信用风险评估的相关考虑和客观证据，评价管理层是否恰当识别各项应收账款的信用风</w:t>
      </w:r>
      <w:r>
        <w:rPr/>
        <w:t> 险特征；</w:t>
      </w:r>
    </w:p>
    <w:p>
      <w:pPr>
        <w:pStyle w:val="BodyText"/>
        <w:spacing w:line="465" w:lineRule="auto" w:before="126"/>
        <w:ind w:right="1125" w:firstLine="360"/>
        <w:jc w:val="both"/>
      </w:pPr>
      <w:r>
        <w:rPr>
          <w:rFonts w:ascii="宋体" w:hAnsi="宋体" w:cs="宋体" w:eastAsia="宋体" w:hint="default"/>
        </w:rPr>
        <w:t>(3)</w:t>
      </w:r>
      <w:r>
        <w:rPr>
          <w:rFonts w:ascii="宋体" w:hAnsi="宋体" w:cs="宋体" w:eastAsia="宋体" w:hint="default"/>
          <w:spacing w:val="19"/>
        </w:rPr>
        <w:t> </w:t>
      </w:r>
      <w:r>
        <w:rPr>
          <w:spacing w:val="-2"/>
        </w:rPr>
        <w:t>对于以组合为基础计量预期信用损失的应收账款，评价管理层按信用风险特征划分组合的合理性；评价管理层根据</w:t>
      </w:r>
      <w:r>
        <w:rPr/>
        <w:t> </w:t>
      </w:r>
      <w:r>
        <w:rPr>
          <w:spacing w:val="-2"/>
        </w:rPr>
        <w:t>历史信用损失经验及前瞻性估计确定的应收账款账龄与预期信用损失率对照表的合理性；测试管理层使用数据（包括应收账</w:t>
      </w:r>
      <w:r>
        <w:rPr>
          <w:spacing w:val="-72"/>
        </w:rPr>
        <w:t> </w:t>
      </w:r>
      <w:r>
        <w:rPr>
          <w:spacing w:val="-72"/>
        </w:rPr>
      </w:r>
      <w:r>
        <w:rPr/>
        <w:t>款账龄、历史损失率、迁徙率等）的准确性和完整性以及对坏账准备的计算是否准确；</w:t>
      </w:r>
    </w:p>
    <w:p>
      <w:pPr>
        <w:pStyle w:val="BodyText"/>
        <w:spacing w:line="240" w:lineRule="auto" w:before="105"/>
        <w:ind w:left="501" w:right="0"/>
        <w:jc w:val="left"/>
      </w:pPr>
      <w:r>
        <w:rPr>
          <w:rFonts w:ascii="宋体" w:hAnsi="宋体" w:cs="宋体" w:eastAsia="宋体" w:hint="default"/>
        </w:rPr>
        <w:t>(4) </w:t>
      </w:r>
      <w:r>
        <w:rPr/>
        <w:t>检查应收账款的期后回款情况，评价管理层计提应收账款坏账准备的合理性；</w:t>
      </w:r>
    </w:p>
    <w:p>
      <w:pPr>
        <w:spacing w:line="240" w:lineRule="auto" w:before="0"/>
        <w:rPr>
          <w:rFonts w:ascii="宋体" w:hAnsi="宋体" w:cs="宋体" w:eastAsia="宋体" w:hint="default"/>
          <w:sz w:val="21"/>
          <w:szCs w:val="21"/>
        </w:rPr>
      </w:pPr>
    </w:p>
    <w:p>
      <w:pPr>
        <w:pStyle w:val="BodyText"/>
        <w:spacing w:line="520" w:lineRule="auto"/>
        <w:ind w:left="501" w:right="4629"/>
        <w:jc w:val="left"/>
        <w:rPr>
          <w:rFonts w:ascii="宋体" w:hAnsi="宋体" w:cs="宋体" w:eastAsia="宋体" w:hint="default"/>
        </w:rPr>
      </w:pPr>
      <w:r>
        <w:rPr>
          <w:rFonts w:ascii="宋体" w:hAnsi="宋体" w:cs="宋体" w:eastAsia="宋体" w:hint="default"/>
        </w:rPr>
        <w:t>(5) </w:t>
      </w:r>
      <w:r>
        <w:rPr/>
        <w:t>检查与应收账款减值相关的信息是否已在财务报表中作出恰当列报。 </w:t>
      </w:r>
      <w:r>
        <w:rPr>
          <w:rFonts w:ascii="宋体" w:hAnsi="宋体" w:cs="宋体" w:eastAsia="宋体" w:hint="default"/>
          <w:b/>
          <w:bCs/>
        </w:rPr>
        <w:t>四、其他信息</w:t>
      </w:r>
      <w:r>
        <w:rPr>
          <w:rFonts w:ascii="宋体" w:hAnsi="宋体" w:cs="宋体" w:eastAsia="宋体" w:hint="default"/>
        </w:rPr>
      </w:r>
    </w:p>
    <w:p>
      <w:pPr>
        <w:pStyle w:val="BodyText"/>
        <w:spacing w:line="520" w:lineRule="auto" w:before="64"/>
        <w:ind w:left="501" w:right="1133"/>
        <w:jc w:val="left"/>
      </w:pPr>
      <w:r>
        <w:rPr/>
        <w:t>管理层对其他信息负责。其他信息包括年度报告中涵盖的信息，但不包括财务报表和我们的审计报告。 我们对财务报表发表的审计意见不涵盖其他信息，我们也不对其他信息发表任何形式的鉴证结论。</w:t>
      </w:r>
      <w:r>
        <w:rPr>
          <w:spacing w:val="-83"/>
        </w:rPr>
        <w:t> </w:t>
      </w:r>
      <w:r>
        <w:rPr>
          <w:spacing w:val="-83"/>
        </w:rPr>
      </w:r>
      <w:r>
        <w:rPr>
          <w:spacing w:val="-2"/>
        </w:rPr>
        <w:t>结合我们对财务报表的审计，我们的责任是阅读其他信息，在此过程中，考虑其他信息是否与财务报表或我们在审计过</w:t>
      </w:r>
    </w:p>
    <w:p>
      <w:pPr>
        <w:pStyle w:val="BodyText"/>
        <w:spacing w:line="520" w:lineRule="auto" w:before="19"/>
        <w:ind w:left="501"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240" w:lineRule="auto" w:before="11"/>
        <w:rPr>
          <w:rFonts w:ascii="宋体" w:hAnsi="宋体" w:cs="宋体" w:eastAsia="宋体" w:hint="default"/>
          <w:sz w:val="19"/>
          <w:szCs w:val="19"/>
        </w:rPr>
      </w:pPr>
    </w:p>
    <w:p>
      <w:pPr>
        <w:spacing w:line="535" w:lineRule="auto" w:before="0"/>
        <w:ind w:left="501"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520" w:lineRule="auto" w:before="8"/>
        <w:ind w:left="501" w:right="0" w:hanging="361"/>
        <w:jc w:val="left"/>
      </w:pPr>
      <w:r>
        <w:rPr/>
        <w:t>务报表不存在由于舞弊或错误导致的重大错报。 </w:t>
      </w:r>
      <w:r>
        <w:rPr>
          <w:spacing w:val="-2"/>
        </w:rPr>
        <w:t>在编制财务报表时，管理层负责评估浩云科技的持续经营能力，披露与持续经营相关的事项（如适用），并运用持续经</w:t>
      </w:r>
    </w:p>
    <w:p>
      <w:pPr>
        <w:spacing w:line="513" w:lineRule="auto" w:before="19"/>
        <w:ind w:left="501" w:right="4629" w:hanging="361"/>
        <w:jc w:val="left"/>
        <w:rPr>
          <w:rFonts w:ascii="宋体" w:hAnsi="宋体" w:cs="宋体" w:eastAsia="宋体" w:hint="default"/>
          <w:sz w:val="18"/>
          <w:szCs w:val="18"/>
        </w:rPr>
      </w:pPr>
      <w:r>
        <w:rPr>
          <w:rFonts w:ascii="宋体" w:hAnsi="宋体" w:cs="宋体" w:eastAsia="宋体" w:hint="default"/>
          <w:sz w:val="18"/>
          <w:szCs w:val="18"/>
        </w:rPr>
        <w:t>营假设，除非计划进行清算、终止运营或别无其他现实的选择。 浩云科技治理层（以下简称治理层）负责监督浩云科技的财务报告过程。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5" w:lineRule="auto" w:before="85"/>
        <w:ind w:right="112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p>
    <w:p>
      <w:pPr>
        <w:spacing w:after="0" w:line="475" w:lineRule="auto"/>
        <w:jc w:val="both"/>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58" w:lineRule="auto" w:before="44"/>
        <w:ind w:right="1118"/>
        <w:jc w:val="left"/>
      </w:pPr>
      <w:r>
        <w:rPr>
          <w:spacing w:val="-2"/>
        </w:rPr>
        <w:t>或错误导致，如果合理预期错报单独或汇总起来可能影响财务报表使用者依据财务报表作出的经济决策，则通常认为错报是</w:t>
      </w:r>
      <w:r>
        <w:rPr>
          <w:spacing w:val="-65"/>
        </w:rPr>
        <w:t> </w:t>
      </w:r>
      <w:r>
        <w:rPr>
          <w:spacing w:val="-65"/>
        </w:rPr>
      </w:r>
      <w:r>
        <w:rPr/>
        <w:t>重大的。</w:t>
      </w:r>
    </w:p>
    <w:p>
      <w:pPr>
        <w:pStyle w:val="BodyText"/>
        <w:spacing w:line="240" w:lineRule="auto" w:before="111"/>
        <w:ind w:left="501" w:right="0"/>
        <w:jc w:val="left"/>
      </w:pPr>
      <w:r>
        <w:rPr/>
        <w:t>在按照审计准则执行审计工作的过程中，我们运用职业判断，并保持职业怀疑。同时，我们也执行以下工作：</w:t>
      </w:r>
    </w:p>
    <w:p>
      <w:pPr>
        <w:spacing w:line="240" w:lineRule="auto" w:before="2"/>
        <w:rPr>
          <w:rFonts w:ascii="宋体" w:hAnsi="宋体" w:cs="宋体" w:eastAsia="宋体" w:hint="default"/>
          <w:sz w:val="22"/>
          <w:szCs w:val="22"/>
        </w:rPr>
      </w:pPr>
    </w:p>
    <w:p>
      <w:pPr>
        <w:pStyle w:val="BodyText"/>
        <w:spacing w:line="465" w:lineRule="auto"/>
        <w:ind w:right="1029" w:firstLine="360"/>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520" w:lineRule="auto" w:before="106"/>
        <w:ind w:left="501" w:right="219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
        </w:rPr>
        <w:t> </w:t>
      </w:r>
      <w:r>
        <w:rPr/>
        <w:t>了解与审计相关的内部控制，以设计恰当的审计程序，但目的并非对内部控制的有效性发表意见。 </w:t>
      </w: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BodyText"/>
        <w:spacing w:line="475" w:lineRule="auto" w:before="79"/>
        <w:ind w:right="1135" w:firstLine="360"/>
        <w:jc w:val="both"/>
      </w:pP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对管理层使用持续经营假设的恰当性得出结论。同时，根据获取的审计证据，就可能导致对浩云科技持续经营能 </w:t>
      </w:r>
      <w:r>
        <w:rPr>
          <w:spacing w:val="-2"/>
        </w:rPr>
        <w:t>力产生重大疑虑的事项或情况是否存在重大不确定性得出结论。如果我们得出结论认为存在重大不确定性，审计准则要求我</w:t>
      </w:r>
      <w:r>
        <w:rPr>
          <w:spacing w:val="-72"/>
        </w:rPr>
        <w:t> </w:t>
      </w:r>
      <w:r>
        <w:rPr>
          <w:spacing w:val="-72"/>
        </w:rPr>
      </w:r>
      <w:r>
        <w:rPr>
          <w:spacing w:val="-2"/>
        </w:rPr>
        <w:t>们在审计报告中提请报表使用者注意财务报表中的相关披露；如果披露不充分，我们应当发表非无保留意见。我们的结论基</w:t>
      </w:r>
      <w:r>
        <w:rPr>
          <w:spacing w:val="-75"/>
        </w:rPr>
        <w:t> </w:t>
      </w:r>
      <w:r>
        <w:rPr>
          <w:spacing w:val="-75"/>
        </w:rPr>
      </w:r>
      <w:r>
        <w:rPr/>
        <w:t>于截至审计报告日可获得的信息。然而，未来的事项或情况可能导致浩云科技不能持续经营。</w:t>
      </w:r>
    </w:p>
    <w:p>
      <w:pPr>
        <w:pStyle w:val="BodyText"/>
        <w:spacing w:line="240" w:lineRule="auto" w:before="83"/>
        <w:ind w:left="501" w:right="0"/>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评价财务报表的总体列报、结构和内容，并评价财务报表是否公允反映相关交易和事项。</w:t>
      </w:r>
    </w:p>
    <w:p>
      <w:pPr>
        <w:spacing w:line="240" w:lineRule="auto" w:before="2"/>
        <w:rPr>
          <w:rFonts w:ascii="宋体" w:hAnsi="宋体" w:cs="宋体" w:eastAsia="宋体" w:hint="default"/>
          <w:sz w:val="22"/>
          <w:szCs w:val="22"/>
        </w:rPr>
      </w:pPr>
    </w:p>
    <w:p>
      <w:pPr>
        <w:pStyle w:val="BodyText"/>
        <w:spacing w:line="458" w:lineRule="auto"/>
        <w:ind w:right="1135" w:firstLine="360"/>
        <w:jc w:val="both"/>
      </w:pPr>
      <w:r>
        <w:rPr>
          <w:rFonts w:ascii="宋体" w:hAnsi="宋体" w:cs="宋体" w:eastAsia="宋体" w:hint="default"/>
        </w:rPr>
        <w:t>(</w:t>
      </w:r>
      <w:r>
        <w:rPr/>
        <w:t>六</w:t>
      </w:r>
      <w:r>
        <w:rPr>
          <w:rFonts w:ascii="宋体" w:hAnsi="宋体" w:cs="宋体" w:eastAsia="宋体" w:hint="default"/>
        </w:rPr>
        <w:t>) </w:t>
      </w:r>
      <w:r>
        <w:rPr/>
        <w:t>就浩云科技中实体或业务活动的财务信息获取充分、适当的审计证据，以对财务报表发表审计意见。我们负责指 导、监督和执行集团审计，并对审计意见承担全部责任。</w:t>
      </w:r>
    </w:p>
    <w:p>
      <w:pPr>
        <w:pStyle w:val="BodyText"/>
        <w:spacing w:line="475" w:lineRule="auto" w:before="126"/>
        <w:ind w:right="1137"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5" w:lineRule="auto" w:before="98"/>
        <w:ind w:right="1121" w:firstLine="360"/>
        <w:jc w:val="both"/>
      </w:pPr>
      <w:r>
        <w:rPr/>
        <w:t>我们还就已遵守与独立性相关的职业道德要求向治理层提供声明</w:t>
      </w:r>
      <w:r>
        <w:rPr>
          <w:spacing w:val="-76"/>
        </w:rPr>
        <w:t>，</w:t>
      </w:r>
      <w:r>
        <w:rPr/>
        <w:t>并与治理层沟通可能被合理认为影响我们独立性的所</w:t>
      </w:r>
      <w:r>
        <w:rPr/>
        <w:t> 有关系和其他事项，以及相关的防范措施（如适用</w:t>
      </w:r>
      <w:r>
        <w:rPr>
          <w:spacing w:val="-85"/>
        </w:rPr>
        <w:t>）</w:t>
      </w:r>
      <w:r>
        <w:rPr/>
        <w:t>。</w:t>
      </w:r>
    </w:p>
    <w:p>
      <w:pPr>
        <w:pStyle w:val="BodyText"/>
        <w:spacing w:line="475" w:lineRule="auto" w:before="98"/>
        <w:ind w:right="1136"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75"/>
        </w:rPr>
        <w:t> </w:t>
      </w:r>
      <w:r>
        <w:rPr>
          <w:spacing w:val="-75"/>
        </w:rPr>
      </w:r>
      <w:r>
        <w:rPr/>
        <w:t>的负面后果超过在公众利益方面产生的益处，我们确定不应在审计报告中沟通该事项。</w:t>
      </w:r>
    </w:p>
    <w:p>
      <w:pPr>
        <w:spacing w:line="240" w:lineRule="auto" w:before="11"/>
        <w:rPr>
          <w:rFonts w:ascii="宋体" w:hAnsi="宋体" w:cs="宋体" w:eastAsia="宋体" w:hint="default"/>
          <w:sz w:val="25"/>
          <w:szCs w:val="25"/>
        </w:rPr>
      </w:pPr>
    </w:p>
    <w:p>
      <w:pPr>
        <w:pStyle w:val="BodyText"/>
        <w:tabs>
          <w:tab w:pos="4781" w:val="left" w:leader="none"/>
        </w:tabs>
        <w:spacing w:line="240" w:lineRule="auto"/>
        <w:ind w:right="0"/>
        <w:jc w:val="left"/>
      </w:pPr>
      <w:r>
        <w:rPr/>
        <w:t>天健会计师事务所（特殊普通合伙）</w:t>
        <w:tab/>
        <w:t>中国注册会计师：禤文欣</w:t>
      </w:r>
    </w:p>
    <w:p>
      <w:pPr>
        <w:pStyle w:val="BodyText"/>
        <w:spacing w:line="240" w:lineRule="auto" w:before="65"/>
        <w:ind w:left="0" w:right="55"/>
        <w:jc w:val="center"/>
      </w:pPr>
      <w:r>
        <w:rPr/>
        <w:t>（项目合伙人）</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tabs>
          <w:tab w:pos="4781" w:val="left" w:leader="none"/>
        </w:tabs>
        <w:spacing w:line="240" w:lineRule="auto"/>
        <w:ind w:left="561" w:right="0"/>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中国注册会计师：卢玲玉</w:t>
      </w:r>
    </w:p>
    <w:p>
      <w:pPr>
        <w:spacing w:line="240" w:lineRule="auto" w:before="0"/>
        <w:rPr>
          <w:rFonts w:ascii="宋体" w:hAnsi="宋体" w:cs="宋体" w:eastAsia="宋体" w:hint="default"/>
          <w:sz w:val="18"/>
          <w:szCs w:val="18"/>
        </w:rPr>
      </w:pPr>
    </w:p>
    <w:p>
      <w:pPr>
        <w:pStyle w:val="BodyText"/>
        <w:spacing w:line="240" w:lineRule="auto" w:before="130"/>
        <w:ind w:left="2080" w:right="1353"/>
        <w:jc w:val="center"/>
      </w:pPr>
      <w:r>
        <w:rPr/>
        <w:t>二〇二〇年四月二十三日</w:t>
      </w:r>
    </w:p>
    <w:p>
      <w:pPr>
        <w:spacing w:after="0" w:line="240" w:lineRule="auto"/>
        <w:jc w:val="center"/>
        <w:sectPr>
          <w:pgSz w:w="11910" w:h="16850"/>
          <w:pgMar w:header="776" w:footer="1026" w:top="1100" w:bottom="1220" w:left="1000" w:right="0"/>
        </w:sectPr>
      </w:pPr>
    </w:p>
    <w:p>
      <w:pPr>
        <w:spacing w:line="240" w:lineRule="auto" w:before="11"/>
        <w:rPr>
          <w:rFonts w:ascii="宋体" w:hAnsi="宋体" w:cs="宋体" w:eastAsia="宋体" w:hint="default"/>
          <w:sz w:val="27"/>
          <w:szCs w:val="27"/>
        </w:rPr>
      </w:pPr>
    </w:p>
    <w:p>
      <w:pPr>
        <w:pStyle w:val="Heading2"/>
        <w:spacing w:line="240" w:lineRule="auto" w:before="26"/>
        <w:ind w:right="0"/>
        <w:jc w:val="left"/>
        <w:rPr>
          <w:b w:val="0"/>
          <w:bCs w:val="0"/>
        </w:rPr>
      </w:pPr>
      <w:bookmarkStart w:name="二、财务报表" w:id="157"/>
      <w:bookmarkEnd w:id="157"/>
      <w:r>
        <w:rPr>
          <w:b w:val="0"/>
          <w:bCs w:val="0"/>
        </w:rPr>
      </w:r>
      <w:r>
        <w:rPr/>
        <w:t>二、财务报表</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t>财务附注中报表的单位为：元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编制单位：浩云科技股份有限公司</w:t>
      </w:r>
    </w:p>
    <w:p>
      <w:pPr>
        <w:spacing w:line="240" w:lineRule="auto" w:before="6"/>
        <w:rPr>
          <w:rFonts w:ascii="宋体" w:hAnsi="宋体" w:cs="宋体" w:eastAsia="宋体" w:hint="default"/>
          <w:sz w:val="16"/>
          <w:szCs w:val="16"/>
        </w:rPr>
      </w:pPr>
    </w:p>
    <w:p>
      <w:pPr>
        <w:pStyle w:val="BodyText"/>
        <w:spacing w:line="240" w:lineRule="auto" w:before="44"/>
        <w:ind w:left="0" w:right="968"/>
        <w:jc w:val="center"/>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7"/>
        <w:rPr>
          <w:rFonts w:ascii="宋体" w:hAnsi="宋体" w:cs="宋体" w:eastAsia="宋体" w:hint="default"/>
          <w:sz w:val="16"/>
          <w:szCs w:val="16"/>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633,644,562.51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474,556,354.49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393,767,716.96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320,263,778.44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18,740,282.64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24,125,058.04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12,352,085.91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19,092,638.98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695,725.48</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197,416,432.49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151,342,880.49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3,812,891.91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119,037,741.97</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1,259,733,972.42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1,108,598,452.41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26,570,000.00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73,859,459.36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75,220,907.64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236,548,483.23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257,252,488.54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1,091,987.07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1,236,854.70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34,320,874.34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25,980,229.64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28,323,880.81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5,530,382.01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106,053,284.20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106,053,284.20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3,398,337.90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2,170,623.63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20,559,706.97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8,842,742.36</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1,096,100.43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550,726,013.88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501,383,613.15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1,810,459,986.30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1,609,982,065.56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31,200,000.00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14,000,000.00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32,322,617.10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8,100,833.00</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39,680,732.84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53,340,303.39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28,991,106.93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42,565,744.39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20,500,388.16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17,677,183.27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44,978,421.53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43,220,830.24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62,571,349.74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99,765,012.48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481,836.66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85,385.62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10,494,000.00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270,738,616.30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278,669,906.77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19,239,000.00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258,336.68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188,923.20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1,780,920.90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5,578,225.90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21,278,257.58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5,767,149.10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292,016,873.88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284,437,055.87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692,321,414.00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408,490,226.00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252,503,487.49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504,973,328.75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108,542,830.30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113,067,750.83</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55,644,961.20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45,887,798.57</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535,790,899.97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411,342,892.28</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1,427,717,932.36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1,257,626,494.77</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90,725,180.06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67,918,514.92</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1,518,443,112.42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1,325,545,009.69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1,810,459,986.30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1,609,982,065.56</w:t>
            </w:r>
          </w:p>
        </w:tc>
      </w:tr>
    </w:tbl>
    <w:p>
      <w:pPr>
        <w:spacing w:line="240" w:lineRule="auto" w:before="9"/>
        <w:rPr>
          <w:rFonts w:ascii="Times New Roman" w:hAnsi="Times New Roman" w:cs="Times New Roman" w:eastAsia="Times New Roman" w:hint="default"/>
          <w:sz w:val="28"/>
          <w:szCs w:val="28"/>
        </w:rPr>
      </w:pPr>
    </w:p>
    <w:p>
      <w:pPr>
        <w:pStyle w:val="BodyText"/>
        <w:tabs>
          <w:tab w:pos="3565" w:val="left" w:leader="none"/>
          <w:tab w:pos="7710" w:val="left" w:leader="none"/>
        </w:tabs>
        <w:spacing w:line="240" w:lineRule="auto" w:before="44"/>
        <w:ind w:right="0"/>
        <w:jc w:val="left"/>
      </w:pPr>
      <w:r>
        <w:rPr/>
        <w:t>法定代表人：雷洪文</w:t>
        <w:tab/>
        <w:t>主管会计工作负责人：王汉晖</w:t>
        <w:tab/>
        <w:t>会计机构负责人：简玉琴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418,511,783.57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312,040,432.39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269,299,468.30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227,215,753.81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7,837,670.51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15,808,383.91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34,271,764.17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27,851,460.26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133"/>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695,725.48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32"/>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155,755,278.20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128,656,956.61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1,961,858.98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118,846,178.86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887,637,823.73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830,419,165.84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268,228,771.83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254,591,771.87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73,859,459.36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75,220,907.64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191,498,761.29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203,285,721.62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7,221,428.34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7,953,307.76</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28,323,880.81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5,530,382.01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756,042.71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1,214,160.23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16,367,058.13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6,244,099.59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607,825,402.47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555,040,350.72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1,495,463,226.20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1,385,459,516.56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32,322,617.10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4,791,681.00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22,001,820.81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16,244,927.91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11,714,022.95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21,647,056.44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16,327,605.79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14,466,021.04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25,332,730.70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20,764,003.99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113,534,250.66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177,992,942.27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481,836.66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85,385.62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10,494,000.00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231,727,048.01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255,906,632.65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19,239,000.00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258,336.68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188,923.20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19,497,336.68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188,923.20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251,224,384.69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256,095,555.85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692,321,414.00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408,490,226.00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255,734,276.32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506,561,100.60</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108,542,830.30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113,067,750.83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55,745,102.53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45,987,939.90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348,980,878.96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281,392,445.04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1,244,238,841.51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1,129,363,960.71</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1,495,463,226.20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1,385,459,516.56</w:t>
            </w:r>
          </w:p>
        </w:tc>
      </w:tr>
    </w:tbl>
    <w:p>
      <w:pPr>
        <w:spacing w:line="240" w:lineRule="auto" w:before="1"/>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784,434,539.34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765,302,136.94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784,434,539.34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765,302,136.94</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595,267,511.58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588,042,401.21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395,903,090.72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409,736,762.96</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7,161,187.34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6,448,552.47</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69,197,240.19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61,712,303.71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76,391,456.01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68,005,664.55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46,311,057.93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42,856,277.15</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303,479.39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-717,159.63</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97"/>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1,627,204.36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478,781.06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7"/>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1,641,622.45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1,337,644.28</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50"/>
          <w:pgMar w:footer="1026" w:header="77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14,758,044.66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9,294,532.48</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790,713.17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5,434,861.46</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-7,975,185.96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-2,812,587.34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-12,560,516.51</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193,928,012.29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179,428,613.16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976,031.35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1,639,288.38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138,253.60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194,076.06</w:t>
            </w:r>
          </w:p>
        </w:tc>
      </w:tr>
      <w:tr>
        <w:trPr>
          <w:trHeight w:val="406"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042" w:val="left" w:leader="none"/>
              </w:tabs>
              <w:spacing w:line="240" w:lineRule="auto" w:before="45"/>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194,765,790.04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180,873,825.48</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20,520,941.85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22,760,888.60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174,244,848.19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158,112,936.88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174,244,848.19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158,112,936.88</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154,431,200.03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140,225,348.38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19,813,648.16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17,887,588.50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0"/>
          <w:pgSz w:w="11910" w:h="16850"/>
          <w:pgMar w:footer="1026" w:header="776" w:top="1100" w:bottom="1220" w:left="1000" w:right="0"/>
          <w:pgNumType w:start="101"/>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174,244,848.19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158,112,936.88</w:t>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154,431,200.03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140,225,348.38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19,813,648.16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17,887,588.50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0.2321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0.2113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0.2254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0.2058</w:t>
            </w:r>
          </w:p>
        </w:tc>
      </w:tr>
    </w:tbl>
    <w:p>
      <w:pPr>
        <w:pStyle w:val="BodyText"/>
        <w:tabs>
          <w:tab w:pos="3565" w:val="left" w:leader="none"/>
          <w:tab w:pos="7710" w:val="left" w:leader="none"/>
        </w:tabs>
        <w:spacing w:line="564" w:lineRule="auto" w:before="60"/>
        <w:ind w:right="1218"/>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w:t>
      </w:r>
      <w:r>
        <w:rPr>
          <w:spacing w:val="-87"/>
        </w:rPr>
        <w:t> </w:t>
      </w:r>
      <w:r>
        <w:rPr/>
        <w:t>法定代表人：雷洪文</w:t>
        <w:tab/>
        <w:t>主管会计工作负责人：王汉晖</w:t>
        <w:tab/>
        <w:t>会计机构负责人：简玉琴</w:t>
      </w:r>
    </w:p>
    <w:p>
      <w:pPr>
        <w:spacing w:after="0" w:line="564"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558,300,961.40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553,763,158.87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304,299,705.16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312,785,781.21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6,253,405.86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5,232,484.94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61,326,527.96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56,979,135.97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50,901,370.05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50,838,200.57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20,304,191.76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27,127,793.15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-215,230.27</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-839,636.02</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1,310,086.04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162,037.50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1,690,593.00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1,117,159.84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3,630,413.58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4,553,862.51</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520,525.21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5,434,861.46</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-7,486,381.09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-2,799,797.33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-7,255,894.24</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109,295,751.25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104,372,228.78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281,914.21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543,449.88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35,317.73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100,616.47</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109,542,347.73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104,815,062.19</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11,970,721.47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13,489,271.57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97,571,626.26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91,325,790.62</w:t>
            </w: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97,571,626.26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91,325,790.62</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97,571,626.26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91,325,790.62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765,178,398.41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734,520,596.71</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5"/>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6,197,387.52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17,053,675.69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26,584,108.65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6,275,928.64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797,959,894.58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757,850,201.04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386,133,111.55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366,210,195.00</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169,736,125.10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149,291,969.25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61,053,291.42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46,166,907.55</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62,328,201.20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57,671,860.15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679,250,729.27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619,340,931.95</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118,709,165.31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138,509,269.09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463,000,000.00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1,392,764.13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5,770,371.52</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125,832.04</w:t>
            </w: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121,619,564.13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468,896,203.56</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65,703,157.38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29,347,711.16</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13,190,000.00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521,000,000.00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54,880,790.98</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610,571.65</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79,503,729.03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605,228,502.14</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42,115,835.10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-136,332,298.58</w:t>
            </w:r>
            <w:r>
              <w:rPr>
                <w:rFonts w:ascii="Times New Roman"/>
                <w:sz w:val="18"/>
              </w:rPr>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10,069,812.00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103,258,756.55</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14,843,100.00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68,980,000.00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15,000,000.00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14,000,000.00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79,049,812.00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132,258,756.55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22,047,000.00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20,450,000.00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22,097,037.74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23,350,165.06</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35,379,734.99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34,819,563.93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79,523,772.73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78,619,728.99</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-473,960.73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53,639,027.56</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160,351,039.68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55,815,998.07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462,217,418.81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406,401,420.74</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622,568,458.49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462,217,418.81</w:t>
            </w:r>
          </w:p>
        </w:tc>
      </w:tr>
    </w:tbl>
    <w:p>
      <w:pPr>
        <w:spacing w:line="240" w:lineRule="auto" w:before="1"/>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559,323,613.43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525,334,371.18</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5,983,951.45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33,170,763.82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3,722,851.06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592,494,377.25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535,041,173.69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307,217,737.11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298,935,212.99</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133,422,917.08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124,136,219.49</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37,868,025.82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30,961,402.74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57,984,831.46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48,151,156.57</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536,493,511.47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502,183,991.79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56,000,865.78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32,857,181.90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115,980,000.00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463,000,000.00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1,247,482.20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5,770,371.52</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125,832.04</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10,374,100.00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127,798,382.20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468,896,203.56</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28,302,808.21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7,379,094.09</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12,790,000.00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571,300,000.00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61,092,808.21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578,679,094.09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66,705,573.99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-109,782,890.53</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8,719,812.00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88,415,656.55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34,980,000.00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43,699,812.00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88,415,656.55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5,247,000.00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7,450,000.00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21,090,263.76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22,646,741.18</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35,379,734.99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20,705,344.25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61,716,998.75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50,802,085.43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-18,017,186.75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37,613,571.12</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104,689,253.02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-39,312,137.51</w:t>
            </w:r>
            <w:r>
              <w:rPr>
                <w:rFonts w:ascii="Times New Roman"/>
                <w:sz w:val="18"/>
              </w:rPr>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303,219,036.33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342,531,173.84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407,908,289.35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303,219,036.33</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本期金额</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262"/>
        <w:gridCol w:w="473"/>
        <w:gridCol w:w="465"/>
        <w:gridCol w:w="481"/>
        <w:gridCol w:w="466"/>
        <w:gridCol w:w="585"/>
        <w:gridCol w:w="586"/>
        <w:gridCol w:w="586"/>
        <w:gridCol w:w="571"/>
        <w:gridCol w:w="585"/>
        <w:gridCol w:w="586"/>
        <w:gridCol w:w="586"/>
        <w:gridCol w:w="586"/>
        <w:gridCol w:w="586"/>
        <w:gridCol w:w="586"/>
        <w:gridCol w:w="586"/>
      </w:tblGrid>
      <w:tr>
        <w:trPr>
          <w:trHeight w:val="447" w:hRule="exact"/>
        </w:trPr>
        <w:tc>
          <w:tcPr>
            <w:tcW w:w="1262" w:type="dxa"/>
            <w:vMerge w:val="restart"/>
            <w:tcBorders>
              <w:top w:val="single" w:sz="6" w:space="0" w:color="000000"/>
              <w:left w:val="single" w:sz="6" w:space="0" w:color="000000"/>
              <w:right w:val="single" w:sz="6" w:space="0" w:color="000000"/>
            </w:tcBorders>
            <w:shd w:val="clear" w:color="auto" w:fill="D2D2D2"/>
          </w:tcPr>
          <w:p>
            <w:pPr/>
          </w:p>
        </w:tc>
        <w:tc>
          <w:tcPr>
            <w:tcW w:w="831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7" w:hRule="exact"/>
        </w:trPr>
        <w:tc>
          <w:tcPr>
            <w:tcW w:w="1262" w:type="dxa"/>
            <w:vMerge/>
            <w:tcBorders>
              <w:left w:val="single" w:sz="6" w:space="0" w:color="000000"/>
              <w:right w:val="single" w:sz="6" w:space="0" w:color="000000"/>
            </w:tcBorders>
            <w:shd w:val="clear" w:color="auto" w:fill="D2D2D2"/>
          </w:tcPr>
          <w:p>
            <w:pPr/>
          </w:p>
        </w:tc>
        <w:tc>
          <w:tcPr>
            <w:tcW w:w="714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25" w:lineRule="exact"/>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79"/>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3" w:hRule="exact"/>
        </w:trPr>
        <w:tc>
          <w:tcPr>
            <w:tcW w:w="1262" w:type="dxa"/>
            <w:vMerge/>
            <w:tcBorders>
              <w:left w:val="single" w:sz="6" w:space="0" w:color="000000"/>
              <w:bottom w:val="nil" w:sz="6" w:space="0" w:color="auto"/>
              <w:right w:val="single" w:sz="6" w:space="0" w:color="000000"/>
            </w:tcBorders>
            <w:shd w:val="clear" w:color="auto" w:fill="D2D2D2"/>
          </w:tcPr>
          <w:p>
            <w:pPr/>
          </w:p>
        </w:tc>
        <w:tc>
          <w:tcPr>
            <w:tcW w:w="7142"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6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73"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73" w:hRule="exact"/>
        </w:trPr>
        <w:tc>
          <w:tcPr>
            <w:tcW w:w="1262" w:type="dxa"/>
            <w:vMerge/>
            <w:tcBorders>
              <w:left w:val="single" w:sz="6" w:space="0" w:color="000000"/>
              <w:bottom w:val="nil" w:sz="6" w:space="0" w:color="auto"/>
              <w:right w:val="single" w:sz="6" w:space="0" w:color="000000"/>
            </w:tcBorders>
            <w:shd w:val="clear" w:color="auto" w:fill="D2D2D2"/>
          </w:tcPr>
          <w:p>
            <w:pPr/>
          </w:p>
        </w:tc>
        <w:tc>
          <w:tcPr>
            <w:tcW w:w="473"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62" w:type="dxa"/>
            <w:vMerge w:val="restart"/>
            <w:tcBorders>
              <w:top w:val="nil" w:sz="6" w:space="0" w:color="auto"/>
              <w:left w:val="single" w:sz="6" w:space="0" w:color="000000"/>
              <w:right w:val="single" w:sz="6" w:space="0" w:color="000000"/>
            </w:tcBorders>
            <w:shd w:val="clear" w:color="auto" w:fill="D2D2D2"/>
          </w:tcPr>
          <w:p>
            <w:pPr/>
          </w:p>
        </w:tc>
        <w:tc>
          <w:tcPr>
            <w:tcW w:w="47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3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62" w:type="dxa"/>
            <w:vMerge/>
            <w:tcBorders>
              <w:left w:val="single" w:sz="6" w:space="0" w:color="000000"/>
              <w:right w:val="single" w:sz="6" w:space="0" w:color="000000"/>
            </w:tcBorders>
            <w:shd w:val="clear" w:color="auto" w:fill="D2D2D2"/>
          </w:tcPr>
          <w:p>
            <w:pPr/>
          </w:p>
        </w:tc>
        <w:tc>
          <w:tcPr>
            <w:tcW w:w="473"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32" w:hRule="exact"/>
        </w:trPr>
        <w:tc>
          <w:tcPr>
            <w:tcW w:w="1262" w:type="dxa"/>
            <w:vMerge/>
            <w:tcBorders>
              <w:left w:val="single" w:sz="6" w:space="0" w:color="000000"/>
              <w:right w:val="single" w:sz="6" w:space="0" w:color="000000"/>
            </w:tcBorders>
            <w:shd w:val="clear" w:color="auto" w:fill="D2D2D2"/>
          </w:tcPr>
          <w:p>
            <w:pPr/>
          </w:p>
        </w:tc>
        <w:tc>
          <w:tcPr>
            <w:tcW w:w="473"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473"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262" w:type="dxa"/>
            <w:tcBorders>
              <w:top w:val="single" w:sz="6" w:space="0" w:color="000000"/>
              <w:left w:val="single" w:sz="6" w:space="0" w:color="000000"/>
              <w:bottom w:val="nil" w:sz="6" w:space="0" w:color="auto"/>
              <w:right w:val="single" w:sz="6" w:space="0" w:color="000000"/>
            </w:tcBorders>
            <w:shd w:val="clear" w:color="auto" w:fill="D2D2D2"/>
          </w:tcPr>
          <w:p>
            <w:pPr/>
          </w:p>
        </w:tc>
        <w:tc>
          <w:tcPr>
            <w:tcW w:w="473" w:type="dxa"/>
            <w:vMerge w:val="restart"/>
            <w:tcBorders>
              <w:top w:val="single" w:sz="6" w:space="0" w:color="000000"/>
              <w:left w:val="single" w:sz="18" w:space="0" w:color="D2D2D2"/>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408,4</w:t>
            </w: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sz w:val="18"/>
              </w:rPr>
              <w:t>90,22</w:t>
            </w:r>
          </w:p>
          <w:p>
            <w:pPr>
              <w:pStyle w:val="TableParagraph"/>
              <w:spacing w:line="240" w:lineRule="auto" w:before="108"/>
              <w:ind w:left="112" w:right="0"/>
              <w:jc w:val="left"/>
              <w:rPr>
                <w:rFonts w:ascii="Times New Roman" w:hAnsi="Times New Roman" w:cs="Times New Roman" w:eastAsia="Times New Roman" w:hint="default"/>
                <w:sz w:val="18"/>
                <w:szCs w:val="18"/>
              </w:rPr>
            </w:pPr>
            <w:r>
              <w:rPr>
                <w:rFonts w:ascii="Times New Roman"/>
                <w:sz w:val="18"/>
              </w:rPr>
              <w:t>6.00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504,97</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3,328.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75</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113,06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83</w:t>
            </w:r>
          </w:p>
        </w:tc>
        <w:tc>
          <w:tcPr>
            <w:tcW w:w="586" w:type="dxa"/>
            <w:vMerge w:val="restart"/>
            <w:tcBorders>
              <w:top w:val="single" w:sz="24" w:space="0" w:color="D2D2D2"/>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45,887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,798.5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64"/>
              <w:ind w:left="60" w:right="0"/>
              <w:jc w:val="left"/>
              <w:rPr>
                <w:rFonts w:ascii="Times New Roman" w:hAnsi="Times New Roman" w:cs="Times New Roman" w:eastAsia="Times New Roman" w:hint="default"/>
                <w:sz w:val="18"/>
                <w:szCs w:val="18"/>
              </w:rPr>
            </w:pPr>
            <w:r>
              <w:rPr>
                <w:rFonts w:ascii="Times New Roman"/>
                <w:sz w:val="18"/>
              </w:rPr>
              <w:t>411,34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28</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626,49</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4.77</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67,918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,514.9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42"/>
              <w:ind w:left="60" w:right="0"/>
              <w:jc w:val="center"/>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545,00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9.69</w:t>
            </w:r>
          </w:p>
        </w:tc>
      </w:tr>
      <w:tr>
        <w:trPr>
          <w:trHeight w:val="705" w:hRule="exact"/>
        </w:trPr>
        <w:tc>
          <w:tcPr>
            <w:tcW w:w="126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5"/>
              <w:ind w:left="7" w:right="36"/>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73"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62" w:type="dxa"/>
            <w:tcBorders>
              <w:top w:val="nil" w:sz="6" w:space="0" w:color="auto"/>
              <w:left w:val="single" w:sz="6" w:space="0" w:color="000000"/>
              <w:bottom w:val="single" w:sz="6" w:space="0" w:color="000000"/>
              <w:right w:val="single" w:sz="6" w:space="0" w:color="000000"/>
            </w:tcBorders>
            <w:shd w:val="clear" w:color="auto" w:fill="D2D2D2"/>
          </w:tcPr>
          <w:p>
            <w:pPr/>
          </w:p>
        </w:tc>
        <w:tc>
          <w:tcPr>
            <w:tcW w:w="473"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6"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73"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73"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408,4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90,22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504,97</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3,328.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113,06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45,887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,798.5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411,34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626,49</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4.77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67,918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,514.9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545,00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9.69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29"/>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31,18</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8.00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-252,4</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69,841</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-4,524,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920.53</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9,757,</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162.63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124,44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8,007.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170,09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22,806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,665.1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192,89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8,102.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73</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154,43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154,43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19,813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,648.1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174,24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4,848.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19</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665,8</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5,214,</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142.21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-4,524,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920.53</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10,404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,946.7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2,993,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016.98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13,397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,963.7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1,409</w:t>
            </w:r>
          </w:p>
          <w:p>
            <w:pPr>
              <w:pStyle w:val="TableParagraph"/>
              <w:spacing w:line="240" w:lineRule="auto" w:before="108"/>
              <w:ind w:left="74"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8"/>
              <w:ind w:left="255"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7,310,</w:t>
            </w:r>
          </w:p>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212.00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8,719,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812.00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10,069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,812.0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5,732,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1,643,</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016.98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-4,089,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083.02</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716.0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-2,096,</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069.79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-10,25</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7,020.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53</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7,417,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234.74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7,417,</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234.74</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9,757,</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162.63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-29,98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3,192.</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71</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left"/>
              <w:rPr>
                <w:rFonts w:ascii="Times New Roman" w:hAnsi="Times New Roman" w:cs="Times New Roman" w:eastAsia="Times New Roman" w:hint="default"/>
                <w:sz w:val="18"/>
                <w:szCs w:val="18"/>
              </w:rPr>
            </w:pPr>
            <w:r>
              <w:rPr>
                <w:rFonts w:ascii="Times New Roman"/>
                <w:sz w:val="18"/>
              </w:rPr>
              <w:t>9,757,</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162.63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-9,757,</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162.63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6,029.</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71</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65,30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65,304</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65,30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-283,1</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65,304</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25,481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,320.5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25,481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25,481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,320.5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692,3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252,50</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3,487.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108,54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2,830.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55,644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,961.2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535,79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0,899.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717,93</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2.36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90,725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1,518,</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443,11</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2.42</w:t>
            </w:r>
          </w:p>
        </w:tc>
      </w:tr>
    </w:tbl>
    <w:p>
      <w:pPr>
        <w:spacing w:line="240" w:lineRule="auto" w:before="7"/>
        <w:rPr>
          <w:rFonts w:ascii="Times New Roman" w:hAnsi="Times New Roman" w:cs="Times New Roman" w:eastAsia="Times New Roman" w:hint="default"/>
          <w:sz w:val="6"/>
          <w:szCs w:val="6"/>
        </w:rPr>
      </w:pPr>
    </w:p>
    <w:p>
      <w:pPr>
        <w:pStyle w:val="BodyText"/>
        <w:spacing w:line="240" w:lineRule="auto" w:before="44"/>
        <w:ind w:right="0"/>
        <w:jc w:val="left"/>
      </w:pPr>
      <w:r>
        <w:rPr/>
        <w:t>上期金额</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90" w:hRule="exact"/>
        </w:trPr>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63"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43"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89"/>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52"/>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7"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39"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29" w:hRule="exact"/>
        </w:trPr>
        <w:tc>
          <w:tcPr>
            <w:tcW w:w="1217"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7"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70,65</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591,72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,615.0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71" w:type="dxa"/>
            <w:tcBorders>
              <w:top w:val="single" w:sz="24" w:space="0" w:color="D2D2D2"/>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302,52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3,866.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1,131,</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411,64</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5.45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230.44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70,65</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9.00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591,72</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8,515.</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17,966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,615.0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,219.5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302,52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3,866.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21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1,131,</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411,64</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5.45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33,932,</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230.44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1,165,3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43,875.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89</w:t>
            </w:r>
          </w:p>
        </w:tc>
      </w:tr>
      <w:tr>
        <w:trPr>
          <w:trHeight w:val="1337"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88" w:lineRule="auto" w:before="34"/>
              <w:ind w:left="15"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19,56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-86,75</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5,187.</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95,101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579.06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9,026.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126,21</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4,849.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32</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33,986,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284.48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160,201</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,133.80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140,22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5,348.</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38</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140,22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5,348.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38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17,887,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588.50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158,112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,936.88</w:t>
            </w: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3,046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71,306</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,327.8</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95,101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,135.8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-8,371,</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761.91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16,427,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634.90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8,055,8</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72.99</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6"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15,61</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4,619</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72,801</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,037.5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88,415</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,656.5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14,843,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103,258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,756.55</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3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88,706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6,650.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68</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1,584,5</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34.90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-87,122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,115.78</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709.66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6,394,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485.12</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-8,080,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767.78</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-8,080,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767.78</w:t>
            </w: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579.06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-31,40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6,322.</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31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3,743.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,743.25</w:t>
            </w: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579.06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-9,132,</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579.06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3,743.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25</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3,743.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25</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-22,273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,743.25</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174,6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96,52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-174,6</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96,521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174,6</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96,52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-174,6</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96,521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,006.1</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z w:val="18"/>
              </w:rPr>
              <w:t>16,635</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,006.1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-328,93</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8.92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16,306,</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067.18</w:t>
            </w:r>
          </w:p>
        </w:tc>
      </w:tr>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408,4</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90,22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504,97</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3,328.</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113,06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83</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45,887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,798.5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411,34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2,892.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28</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1,257,</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626,49</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4.77</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67,918,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514.92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1,325,5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45,009.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69</w:t>
            </w:r>
          </w:p>
        </w:tc>
      </w:tr>
    </w:tbl>
    <w:p>
      <w:pPr>
        <w:spacing w:line="240" w:lineRule="auto" w:before="2"/>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本期金额</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07"/>
        <w:gridCol w:w="8275"/>
      </w:tblGrid>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299"/>
        <w:gridCol w:w="631"/>
        <w:gridCol w:w="601"/>
        <w:gridCol w:w="601"/>
        <w:gridCol w:w="615"/>
        <w:gridCol w:w="721"/>
        <w:gridCol w:w="736"/>
        <w:gridCol w:w="721"/>
        <w:gridCol w:w="736"/>
        <w:gridCol w:w="721"/>
        <w:gridCol w:w="616"/>
        <w:gridCol w:w="706"/>
        <w:gridCol w:w="871"/>
      </w:tblGrid>
      <w:tr>
        <w:trPr>
          <w:trHeight w:val="180" w:hRule="exact"/>
        </w:trPr>
        <w:tc>
          <w:tcPr>
            <w:tcW w:w="1299" w:type="dxa"/>
            <w:vMerge w:val="restart"/>
            <w:tcBorders>
              <w:top w:val="single" w:sz="6" w:space="0" w:color="000000"/>
              <w:left w:val="single" w:sz="6" w:space="0" w:color="000000"/>
              <w:right w:val="single" w:sz="6" w:space="0" w:color="000000"/>
            </w:tcBorders>
            <w:shd w:val="clear" w:color="auto" w:fill="D2D2D2"/>
          </w:tcPr>
          <w:p>
            <w:pPr/>
          </w:p>
        </w:tc>
        <w:tc>
          <w:tcPr>
            <w:tcW w:w="631"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7"/>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17"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1"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0,226.0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506,561,</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100.60</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113,067,</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750.83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45,987,9</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39.90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281,39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2,445.0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1,129,363,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960.71</w:t>
            </w: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8"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0,226.0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506,561,</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100.60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113,067,</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750.83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45,987,9</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39.90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281,39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2,445.0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1,129,363,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960.71</w:t>
            </w: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283,83</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1,188.0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-250,826</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,824.28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-4,524,9</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20.53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9,757,16</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2.63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67,588,</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433.92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114,874,88</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0.80</w:t>
            </w: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97,571,</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626.26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97,571,62</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6.26</w:t>
            </w: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1" w:right="0"/>
              <w:jc w:val="center"/>
              <w:rPr>
                <w:rFonts w:ascii="Times New Roman" w:hAnsi="Times New Roman" w:cs="Times New Roman" w:eastAsia="Times New Roman" w:hint="default"/>
                <w:sz w:val="18"/>
                <w:szCs w:val="18"/>
              </w:rPr>
            </w:pPr>
            <w:r>
              <w:rPr>
                <w:rFonts w:ascii="Times New Roman"/>
                <w:sz w:val="18"/>
              </w:rPr>
              <w:t>665,88</w:t>
            </w:r>
          </w:p>
          <w:p>
            <w:pPr>
              <w:pStyle w:val="TableParagraph"/>
              <w:spacing w:line="240" w:lineRule="auto" w:before="108"/>
              <w:ind w:left="262" w:right="0"/>
              <w:jc w:val="center"/>
              <w:rPr>
                <w:rFonts w:ascii="Times New Roman" w:hAnsi="Times New Roman" w:cs="Times New Roman" w:eastAsia="Times New Roman" w:hint="default"/>
                <w:sz w:val="18"/>
                <w:szCs w:val="18"/>
              </w:rPr>
            </w:pPr>
            <w:r>
              <w:rPr>
                <w:rFonts w:ascii="Times New Roman"/>
                <w:sz w:val="18"/>
              </w:rPr>
              <w:t>4.00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5,214,14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2.21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-4,524,9</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20.53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10,404,94</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6.74</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1,409,6</w:t>
            </w:r>
          </w:p>
          <w:p>
            <w:pPr>
              <w:pStyle w:val="TableParagraph"/>
              <w:spacing w:line="240" w:lineRule="auto" w:before="93"/>
              <w:ind w:left="172" w:right="0"/>
              <w:jc w:val="center"/>
              <w:rPr>
                <w:rFonts w:ascii="Times New Roman" w:hAnsi="Times New Roman" w:cs="Times New Roman" w:eastAsia="Times New Roman" w:hint="default"/>
                <w:sz w:val="18"/>
                <w:szCs w:val="18"/>
              </w:rPr>
            </w:pPr>
            <w:r>
              <w:rPr>
                <w:rFonts w:ascii="Times New Roman"/>
                <w:sz w:val="18"/>
              </w:rPr>
              <w:t>00.00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7,310,21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8,719,812.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5,732,10</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-5,732,100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-743,71</w:t>
            </w:r>
          </w:p>
          <w:p>
            <w:pPr>
              <w:pStyle w:val="TableParagraph"/>
              <w:spacing w:line="240" w:lineRule="auto" w:before="108"/>
              <w:ind w:left="278" w:right="0"/>
              <w:jc w:val="left"/>
              <w:rPr>
                <w:rFonts w:ascii="Times New Roman" w:hAnsi="Times New Roman" w:cs="Times New Roman" w:eastAsia="Times New Roman" w:hint="default"/>
                <w:sz w:val="18"/>
                <w:szCs w:val="18"/>
              </w:rPr>
            </w:pPr>
            <w:r>
              <w:rPr>
                <w:rFonts w:ascii="Times New Roman"/>
                <w:sz w:val="18"/>
              </w:rPr>
              <w:t>6.00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-2,096,0</w:t>
            </w:r>
          </w:p>
          <w:p>
            <w:pPr>
              <w:pStyle w:val="TableParagraph"/>
              <w:spacing w:line="240" w:lineRule="auto" w:before="108"/>
              <w:ind w:left="270" w:right="0"/>
              <w:jc w:val="center"/>
              <w:rPr>
                <w:rFonts w:ascii="Times New Roman" w:hAnsi="Times New Roman" w:cs="Times New Roman" w:eastAsia="Times New Roman" w:hint="default"/>
                <w:sz w:val="18"/>
                <w:szCs w:val="18"/>
              </w:rPr>
            </w:pPr>
            <w:r>
              <w:rPr>
                <w:rFonts w:ascii="Times New Roman"/>
                <w:sz w:val="18"/>
              </w:rPr>
              <w:t>69.79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-10,257,</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020.53</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7,417,234.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74</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9,757,16</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2.63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-29,983</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,192.34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-20,226,02</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9.71</w:t>
            </w: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9,757,16</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2.63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-9,757,</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162.63</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-20,226</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,029.71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-20,226,02</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9.71</w:t>
            </w:r>
          </w:p>
        </w:tc>
      </w:tr>
      <w:tr>
        <w:trPr>
          <w:trHeight w:val="39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283,16</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5,304.0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-283,165</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,304.00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283,16</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5,304.0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-283,165</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,304.00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27,124,3</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37.51</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27,124,33</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7.51</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692,32</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1,414.0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255,734,</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276.32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108,542,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830.30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55,745,1</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02.53</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0,878.9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1,244,238,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841.51</w:t>
            </w:r>
          </w:p>
        </w:tc>
      </w:tr>
    </w:tbl>
    <w:p>
      <w:pPr>
        <w:spacing w:line="240" w:lineRule="auto" w:before="6"/>
        <w:rPr>
          <w:rFonts w:ascii="Times New Roman" w:hAnsi="Times New Roman" w:cs="Times New Roman" w:eastAsia="Times New Roman" w:hint="default"/>
          <w:sz w:val="6"/>
          <w:szCs w:val="6"/>
        </w:rPr>
      </w:pPr>
    </w:p>
    <w:p>
      <w:pPr>
        <w:pStyle w:val="BodyText"/>
        <w:spacing w:line="240" w:lineRule="auto" w:before="44"/>
        <w:ind w:right="0"/>
        <w:jc w:val="left"/>
      </w:pPr>
      <w:r>
        <w:rPr/>
        <w:t>上期金额</w:t>
      </w:r>
    </w:p>
    <w:p>
      <w:pPr>
        <w:spacing w:line="240" w:lineRule="auto" w:before="8"/>
        <w:rPr>
          <w:rFonts w:ascii="宋体" w:hAnsi="宋体" w:cs="宋体" w:eastAsia="宋体" w:hint="default"/>
          <w:sz w:val="17"/>
          <w:szCs w:val="17"/>
        </w:rPr>
      </w:pPr>
    </w:p>
    <w:p>
      <w:pPr>
        <w:pStyle w:val="BodyText"/>
        <w:spacing w:line="240" w:lineRule="auto" w:before="44"/>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32"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9" w:hRule="exact"/>
        </w:trPr>
        <w:tc>
          <w:tcPr>
            <w:tcW w:w="1232"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2" w:hRule="exact"/>
        </w:trPr>
        <w:tc>
          <w:tcPr>
            <w:tcW w:w="1232"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32"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32"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8"/>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591,731</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,752.71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17,966,6</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15.03</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36,855,</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360.84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221,472,9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76.73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1,050,464,1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34.25</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0,659.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591,731</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,752.71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17,966,6</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15.03</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36,855,</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360.84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221,472,9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76.73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1,050,464,1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34.25</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15"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190,11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9,567.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-85,170,</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652.11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95,101,1</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35.80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79.06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59,919,46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8.31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78,899,826.</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46</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91,325,79</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0.62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91,325,790.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62</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15,423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,046.0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71,306,</w:t>
            </w:r>
          </w:p>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327.89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95,101,1</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35.80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-8,371,761.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91</w:t>
            </w: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15,614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,619.0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72,801,</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037.55</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88,415,656.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55</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88,706,6</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50.68</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-88,706,650</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.68</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-191,5</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73.00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 w:right="0"/>
              <w:jc w:val="center"/>
              <w:rPr>
                <w:rFonts w:ascii="Times New Roman" w:hAnsi="Times New Roman" w:cs="Times New Roman" w:eastAsia="Times New Roman" w:hint="default"/>
                <w:sz w:val="18"/>
                <w:szCs w:val="18"/>
              </w:rPr>
            </w:pPr>
            <w:r>
              <w:rPr>
                <w:rFonts w:ascii="Times New Roman"/>
                <w:sz w:val="18"/>
              </w:rPr>
              <w:t>-1,494,7</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09.66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 w:right="0"/>
              <w:jc w:val="left"/>
              <w:rPr>
                <w:rFonts w:ascii="Times New Roman" w:hAnsi="Times New Roman" w:cs="Times New Roman" w:eastAsia="Times New Roman" w:hint="default"/>
                <w:sz w:val="18"/>
                <w:szCs w:val="18"/>
              </w:rPr>
            </w:pPr>
            <w:r>
              <w:rPr>
                <w:rFonts w:ascii="Times New Roman"/>
                <w:sz w:val="18"/>
              </w:rPr>
              <w:t>6,394,48</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5.12</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w w:val="95"/>
                <w:sz w:val="18"/>
              </w:rPr>
              <w:t>-8,080,767.</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78</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79.06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-31,406,3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22.31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-22,273,743</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.25</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9,132,5</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79.06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-9,132,57</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9.06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-22,273,7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43.25</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-22,273,743</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6,521.0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-174,69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6,521.0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18,219,</w:t>
            </w:r>
          </w:p>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541.00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18,219,541.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408,49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0,226.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506,561</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,100.60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113,067,</w:t>
            </w:r>
          </w:p>
          <w:p>
            <w:pPr>
              <w:pStyle w:val="TableParagraph"/>
              <w:spacing w:line="240" w:lineRule="auto" w:before="93"/>
              <w:ind w:left="134" w:right="0"/>
              <w:jc w:val="center"/>
              <w:rPr>
                <w:rFonts w:ascii="Times New Roman" w:hAnsi="Times New Roman" w:cs="Times New Roman" w:eastAsia="Times New Roman" w:hint="default"/>
                <w:sz w:val="18"/>
                <w:szCs w:val="18"/>
              </w:rPr>
            </w:pPr>
            <w:r>
              <w:rPr>
                <w:rFonts w:ascii="Times New Roman"/>
                <w:sz w:val="18"/>
              </w:rPr>
              <w:t>750.83</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45,987,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939.90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281,392,4</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45.04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1,129,363,9</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60.71</w:t>
            </w:r>
          </w:p>
        </w:tc>
      </w:tr>
    </w:tbl>
    <w:p>
      <w:pPr>
        <w:spacing w:line="240" w:lineRule="auto" w:before="2"/>
        <w:rPr>
          <w:rFonts w:ascii="Times New Roman" w:hAnsi="Times New Roman" w:cs="Times New Roman" w:eastAsia="Times New Roman" w:hint="default"/>
          <w:sz w:val="28"/>
          <w:szCs w:val="28"/>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8"/>
        <w:ind w:right="0"/>
        <w:jc w:val="left"/>
        <w:rPr>
          <w:b w:val="0"/>
          <w:bCs w:val="0"/>
        </w:rPr>
      </w:pPr>
      <w:r>
        <w:rPr>
          <w:rFonts w:ascii="Times New Roman" w:hAnsi="Times New Roman" w:cs="Times New Roman" w:eastAsia="Times New Roman" w:hint="default"/>
        </w:rPr>
        <w:t>1</w:t>
      </w:r>
      <w:r>
        <w:rPr/>
        <w:t>、公司概况</w:t>
      </w:r>
      <w:r>
        <w:rPr>
          <w:b w:val="0"/>
          <w:bCs w:val="0"/>
        </w:rPr>
      </w:r>
    </w:p>
    <w:p>
      <w:pPr>
        <w:pStyle w:val="BodyText"/>
        <w:spacing w:line="460" w:lineRule="auto" w:before="194"/>
        <w:ind w:left="516" w:right="6596"/>
        <w:jc w:val="left"/>
      </w:pPr>
      <w:r>
        <w:rPr/>
        <w:t>公司注册中文名称：浩云科技股份有限公司 公司注册英文名称：</w:t>
      </w:r>
      <w:r>
        <w:rPr>
          <w:rFonts w:ascii="Times New Roman" w:hAnsi="Times New Roman" w:cs="Times New Roman" w:eastAsia="Times New Roman" w:hint="default"/>
        </w:rPr>
        <w:t>Haoyun Technologies</w:t>
      </w:r>
      <w:r>
        <w:rPr>
          <w:rFonts w:ascii="Times New Roman" w:hAnsi="Times New Roman" w:cs="Times New Roman" w:eastAsia="Times New Roman" w:hint="default"/>
          <w:spacing w:val="-22"/>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公司简称：浩云科技</w:t>
      </w:r>
    </w:p>
    <w:p>
      <w:pPr>
        <w:pStyle w:val="BodyText"/>
        <w:spacing w:line="448" w:lineRule="auto" w:before="79"/>
        <w:ind w:left="516" w:right="7269"/>
        <w:jc w:val="left"/>
      </w:pPr>
      <w:r>
        <w:rPr/>
        <w:t>股票代码：</w:t>
      </w:r>
      <w:r>
        <w:rPr>
          <w:rFonts w:ascii="Times New Roman" w:hAnsi="Times New Roman" w:cs="Times New Roman" w:eastAsia="Times New Roman" w:hint="default"/>
        </w:rPr>
        <w:t>300448 </w:t>
      </w:r>
      <w:r>
        <w:rPr/>
        <w:t>注册资本与实收资本：</w:t>
      </w:r>
      <w:r>
        <w:rPr>
          <w:rFonts w:ascii="Times New Roman" w:hAnsi="Times New Roman" w:cs="Times New Roman" w:eastAsia="Times New Roman" w:hint="default"/>
        </w:rPr>
        <w:t>692,321,414.00</w:t>
      </w:r>
      <w:r>
        <w:rPr/>
        <w:t>元 法定代表人：雷洪文</w:t>
      </w:r>
    </w:p>
    <w:p>
      <w:pPr>
        <w:pStyle w:val="BodyText"/>
        <w:spacing w:line="448" w:lineRule="auto" w:before="73"/>
        <w:ind w:left="516" w:right="3354"/>
        <w:jc w:val="left"/>
      </w:pPr>
      <w:r>
        <w:rPr/>
        <w:t>注册地址（总部地址）：广州市番禺区东环街番禺大道北</w:t>
      </w:r>
      <w:r>
        <w:rPr>
          <w:rFonts w:ascii="Times New Roman" w:hAnsi="Times New Roman" w:cs="Times New Roman" w:eastAsia="Times New Roman" w:hint="default"/>
        </w:rPr>
        <w:t>555</w:t>
      </w:r>
      <w:r>
        <w:rPr/>
        <w:t>号天安总部中心</w:t>
      </w:r>
      <w:r>
        <w:rPr>
          <w:rFonts w:ascii="Times New Roman" w:hAnsi="Times New Roman" w:cs="Times New Roman" w:eastAsia="Times New Roman" w:hint="default"/>
        </w:rPr>
        <w:t>22</w:t>
      </w:r>
      <w:r>
        <w:rPr/>
        <w:t>号楼</w:t>
      </w:r>
      <w:r>
        <w:rPr>
          <w:rFonts w:ascii="Times New Roman" w:hAnsi="Times New Roman" w:cs="Times New Roman" w:eastAsia="Times New Roman" w:hint="default"/>
        </w:rPr>
        <w:t>102</w:t>
      </w:r>
      <w:r>
        <w:rPr/>
        <w:t>房</w:t>
      </w:r>
      <w:r>
        <w:rPr>
          <w:spacing w:val="-84"/>
        </w:rPr>
        <w:t> </w:t>
      </w:r>
      <w:r>
        <w:rPr/>
        <w:t>公司类型：股份有限公司（上市、自然人投资或控股）</w:t>
      </w:r>
    </w:p>
    <w:p>
      <w:pPr>
        <w:pStyle w:val="Heading3"/>
        <w:spacing w:line="240" w:lineRule="auto" w:before="68"/>
        <w:ind w:right="0"/>
        <w:jc w:val="left"/>
        <w:rPr>
          <w:b w:val="0"/>
          <w:bCs w:val="0"/>
        </w:rPr>
      </w:pPr>
      <w:r>
        <w:rPr>
          <w:rFonts w:ascii="Times New Roman" w:hAnsi="Times New Roman" w:cs="Times New Roman" w:eastAsia="Times New Roman" w:hint="default"/>
        </w:rPr>
        <w:t>2</w:t>
      </w:r>
      <w:r>
        <w:rPr/>
        <w:t>、公司业务性质及经营范围</w:t>
      </w:r>
      <w:r>
        <w:rPr>
          <w:b w:val="0"/>
          <w:bCs w:val="0"/>
        </w:rPr>
      </w:r>
    </w:p>
    <w:p>
      <w:pPr>
        <w:pStyle w:val="BodyText"/>
        <w:spacing w:line="475" w:lineRule="auto" w:before="195"/>
        <w:ind w:right="1089" w:firstLine="300"/>
        <w:jc w:val="left"/>
      </w:pPr>
      <w:r>
        <w:rPr/>
        <w:t>公司行业性质为软件和信息技术服务业，经营范围为：计算机技术开发、技术服务；安全技术防范系统设计、施工、维 </w:t>
      </w:r>
      <w:r>
        <w:rPr>
          <w:spacing w:val="-2"/>
        </w:rPr>
        <w:t>修；安全技术防范产品批发；安全技术防范产品零售；信息系统集成服务；计算机网络系统工程服务；电子产品批发；电子</w:t>
      </w:r>
    </w:p>
    <w:p>
      <w:pPr>
        <w:spacing w:after="0" w:line="475"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7" w:lineRule="auto" w:before="44"/>
        <w:ind w:right="1014"/>
        <w:jc w:val="left"/>
      </w:pPr>
      <w:r>
        <w:rPr>
          <w:spacing w:val="-3"/>
        </w:rPr>
        <w:t>产品零售；安全技术防范产品制造；网络技术的研究、开发；智能化安装工程服务；场地租赁（不含仓储）；机械设备租赁；</w:t>
      </w:r>
      <w:r>
        <w:rPr>
          <w:spacing w:val="-75"/>
        </w:rPr>
        <w:t> </w:t>
      </w:r>
      <w:r>
        <w:rPr>
          <w:spacing w:val="-75"/>
        </w:rPr>
      </w:r>
      <w:r>
        <w:rPr>
          <w:spacing w:val="-2"/>
        </w:rPr>
        <w:t>房屋租赁；计算机及通讯设备租赁；机电设备安装服务；机电设备安装工程专业承包；防雷工程专业施工；防雷工程专业设</w:t>
      </w:r>
      <w:r>
        <w:rPr>
          <w:spacing w:val="-52"/>
        </w:rPr>
        <w:t> </w:t>
      </w:r>
      <w:r>
        <w:rPr>
          <w:spacing w:val="-52"/>
        </w:rPr>
      </w:r>
      <w:r>
        <w:rPr>
          <w:spacing w:val="-2"/>
        </w:rPr>
        <w:t>计服务；电子设备工程安装服务；受金融机构委托从事金融信息技术外包服务；智能电气设备制造；开关电源制造；配电开</w:t>
      </w:r>
      <w:r>
        <w:rPr>
          <w:spacing w:val="-57"/>
        </w:rPr>
        <w:t> </w:t>
      </w:r>
      <w:r>
        <w:rPr>
          <w:spacing w:val="-57"/>
        </w:rPr>
      </w:r>
      <w:r>
        <w:rPr>
          <w:spacing w:val="-2"/>
        </w:rPr>
        <w:t>关控制设备；安全技术防范产品制造；电气设备零售；电气设备批发；智能穿戴设备的制造；智能穿戴设备的销售；人工智</w:t>
      </w:r>
      <w:r>
        <w:rPr>
          <w:spacing w:val="-72"/>
        </w:rPr>
        <w:t> </w:t>
      </w:r>
      <w:r>
        <w:rPr>
          <w:spacing w:val="-72"/>
        </w:rPr>
      </w:r>
      <w:r>
        <w:rPr>
          <w:spacing w:val="-2"/>
        </w:rPr>
        <w:t>能算法软件的技术开发与技术服务；智能化安装工程服务；物联网服务；物联网技术研究开发；节能技术开发服务；消防设</w:t>
      </w:r>
      <w:r>
        <w:rPr>
          <w:spacing w:val="-57"/>
        </w:rPr>
        <w:t> </w:t>
      </w:r>
      <w:r>
        <w:rPr>
          <w:spacing w:val="-57"/>
        </w:rPr>
      </w:r>
      <w:r>
        <w:rPr>
          <w:spacing w:val="-2"/>
        </w:rPr>
        <w:t>备、器材的制造；消防设施工程专业承包；消防设施工程设计与施工；消防设备、器材的批发；消防设备、器材的零售；软</w:t>
      </w:r>
      <w:r>
        <w:rPr>
          <w:spacing w:val="-75"/>
        </w:rPr>
        <w:t> </w:t>
      </w:r>
      <w:r>
        <w:rPr>
          <w:spacing w:val="-75"/>
        </w:rPr>
      </w:r>
      <w:r>
        <w:rPr/>
        <w:t>件开发；软件批发；软件零售。</w:t>
      </w:r>
    </w:p>
    <w:p>
      <w:pPr>
        <w:pStyle w:val="Heading3"/>
        <w:spacing w:line="240" w:lineRule="auto" w:before="31"/>
        <w:ind w:right="0"/>
        <w:jc w:val="left"/>
        <w:rPr>
          <w:b w:val="0"/>
          <w:bCs w:val="0"/>
        </w:rPr>
      </w:pPr>
      <w:r>
        <w:rPr>
          <w:rFonts w:ascii="Times New Roman" w:hAnsi="Times New Roman" w:cs="Times New Roman" w:eastAsia="Times New Roman" w:hint="default"/>
        </w:rPr>
        <w:t>3</w:t>
      </w:r>
      <w:r>
        <w:rPr/>
        <w:t>、本财务报表经公司董事会于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r>
        <w:rPr>
          <w:b w:val="0"/>
          <w:bCs w:val="0"/>
        </w:rPr>
      </w:r>
    </w:p>
    <w:p>
      <w:pPr>
        <w:pStyle w:val="Heading3"/>
        <w:spacing w:line="400" w:lineRule="auto" w:before="190"/>
        <w:ind w:right="1100"/>
        <w:jc w:val="both"/>
        <w:rPr>
          <w:b w:val="0"/>
          <w:bCs w:val="0"/>
        </w:rPr>
      </w:pP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日，本公司将广州市浩云安防设备有限公司、广州市苏瑞计算机科技有限公司、重</w:t>
      </w:r>
      <w:r>
        <w:rPr>
          <w:spacing w:val="-95"/>
        </w:rPr>
        <w:t> </w:t>
      </w:r>
      <w:r>
        <w:rPr>
          <w:spacing w:val="-95"/>
        </w:rPr>
      </w:r>
      <w:r>
        <w:rPr>
          <w:w w:val="95"/>
        </w:rPr>
        <w:t>庆浩云公共安全物联网技术有限公司、深圳市润安科技发展有限公司、西藏浩云创业投资有限公司、广州</w:t>
      </w:r>
      <w:r>
        <w:rPr>
          <w:spacing w:val="27"/>
          <w:w w:val="95"/>
        </w:rPr>
        <w:t> </w:t>
      </w:r>
      <w:r>
        <w:rPr>
          <w:spacing w:val="27"/>
          <w:w w:val="95"/>
        </w:rPr>
      </w:r>
      <w:r>
        <w:rPr>
          <w:spacing w:val="-1"/>
        </w:rPr>
        <w:t>浩昀宏信息技术有限公司、湖北浩威保安服务有限公司（原名：武汉浩立威保安服务有限公司）、广东冠</w:t>
      </w:r>
      <w:r>
        <w:rPr>
          <w:w w:val="99"/>
        </w:rPr>
        <w:t> </w:t>
      </w:r>
      <w:r>
        <w:rPr>
          <w:spacing w:val="-1"/>
        </w:rPr>
        <w:t>网信息科技有限公司、辛集市浩云智慧城市科技有限公司、甲壳云计算有限公司和信泽云（武汉）计算机</w:t>
      </w:r>
      <w:r>
        <w:rPr>
          <w:w w:val="99"/>
        </w:rPr>
        <w:t> </w:t>
      </w:r>
      <w:r>
        <w:rPr>
          <w:spacing w:val="-1"/>
        </w:rPr>
        <w:t>软件有限公司</w:t>
      </w:r>
      <w:r>
        <w:rPr>
          <w:rFonts w:ascii="Times New Roman" w:hAnsi="Times New Roman" w:cs="Times New Roman" w:eastAsia="Times New Roman" w:hint="default"/>
          <w:spacing w:val="-1"/>
        </w:rPr>
        <w:t>11</w:t>
      </w:r>
      <w:r>
        <w:rPr>
          <w:spacing w:val="-1"/>
        </w:rPr>
        <w:t>家子公司纳入本期合并财务报表范围，情况详见本财务报表附注合并范围的变更和其他主</w:t>
      </w:r>
      <w:r>
        <w:rPr>
          <w:w w:val="99"/>
        </w:rPr>
        <w:t> </w:t>
      </w:r>
      <w:r>
        <w:rPr/>
        <w:t>体的权益之说明。</w:t>
      </w:r>
      <w:r>
        <w:rPr>
          <w:b w:val="0"/>
          <w:bCs w:val="0"/>
        </w:rPr>
      </w:r>
    </w:p>
    <w:p>
      <w:pPr>
        <w:spacing w:line="240" w:lineRule="auto" w:before="3"/>
        <w:rPr>
          <w:rFonts w:ascii="宋体" w:hAnsi="宋体" w:cs="宋体" w:eastAsia="宋体" w:hint="default"/>
          <w:b/>
          <w:bCs/>
          <w:sz w:val="25"/>
          <w:szCs w:val="25"/>
        </w:rPr>
      </w:pPr>
    </w:p>
    <w:p>
      <w:pPr>
        <w:spacing w:line="624" w:lineRule="auto" w:before="0"/>
        <w:ind w:left="141" w:right="7509" w:firstLine="0"/>
        <w:jc w:val="left"/>
        <w:rPr>
          <w:rFonts w:ascii="宋体" w:hAnsi="宋体" w:cs="宋体" w:eastAsia="宋体" w:hint="default"/>
          <w:sz w:val="18"/>
          <w:szCs w:val="18"/>
        </w:rPr>
      </w:pPr>
      <w:bookmarkStart w:name="四、财务报表的编制基础" w:id="167"/>
      <w:bookmarkEnd w:id="167"/>
      <w:r>
        <w:rPr/>
      </w:r>
      <w:r>
        <w:rPr>
          <w:rFonts w:ascii="宋体" w:hAnsi="宋体" w:cs="宋体" w:eastAsia="宋体" w:hint="default"/>
          <w:b/>
          <w:bCs/>
          <w:sz w:val="24"/>
          <w:szCs w:val="24"/>
        </w:rPr>
        <w:t>四、财务报表的编制基础</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编制基础" w:id="168"/>
      <w:bookmarkEnd w:id="168"/>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18"/>
          <w:szCs w:val="18"/>
        </w:rPr>
        <w:t>本公司财务报表以持续经营为编制基础。</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17"/>
          <w:szCs w:val="17"/>
        </w:rPr>
      </w:pPr>
    </w:p>
    <w:p>
      <w:pPr>
        <w:pStyle w:val="BodyText"/>
        <w:spacing w:line="240" w:lineRule="auto"/>
        <w:ind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2"/>
        <w:ind w:right="0"/>
        <w:jc w:val="left"/>
      </w:pPr>
      <w:r>
        <w:rPr/>
        <w:t>具体会计政策和会计估计提示：</w:t>
      </w:r>
    </w:p>
    <w:p>
      <w:pPr>
        <w:spacing w:line="240" w:lineRule="auto" w:before="2"/>
        <w:rPr>
          <w:rFonts w:ascii="宋体" w:hAnsi="宋体" w:cs="宋体" w:eastAsia="宋体" w:hint="default"/>
          <w:sz w:val="22"/>
          <w:szCs w:val="22"/>
        </w:rPr>
      </w:pPr>
    </w:p>
    <w:p>
      <w:pPr>
        <w:pStyle w:val="BodyText"/>
        <w:spacing w:line="475" w:lineRule="auto"/>
        <w:ind w:right="0"/>
        <w:jc w:val="left"/>
      </w:pPr>
      <w:r>
        <w:rPr>
          <w:spacing w:val="-2"/>
        </w:rPr>
        <w:t>本公司根据实际生产经营特点针对应收款项坏账准备计提、固定资产折旧、无形资产摊销、收入确认等交易或事项制定了具</w:t>
      </w:r>
      <w:r>
        <w:rPr>
          <w:spacing w:val="-75"/>
        </w:rPr>
        <w:t> </w:t>
      </w:r>
      <w:r>
        <w:rPr>
          <w:spacing w:val="-75"/>
        </w:rPr>
      </w:r>
      <w:r>
        <w:rPr/>
        <w:t>体会计政策和会计估计。</w:t>
      </w:r>
    </w:p>
    <w:p>
      <w:pPr>
        <w:spacing w:after="0" w:line="475"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both"/>
      </w:pPr>
      <w:r>
        <w:rPr>
          <w:spacing w:val="-4"/>
        </w:rPr>
        <w:t>本公司所编制的财务报表符合企业会计准则的要求，真实、完整地反映了公司的财务状况、经营成果和现金流量等有关信息。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both"/>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240" w:lineRule="auto"/>
        <w:ind w:right="0"/>
        <w:jc w:val="both"/>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both"/>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both"/>
      </w:pPr>
      <w:r>
        <w:rPr/>
        <w:t>采用人民币为记账本位币。</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both"/>
        <w:rPr>
          <w:b w:val="0"/>
          <w:bCs w:val="0"/>
        </w:rPr>
      </w:pPr>
      <w:r>
        <w:rPr/>
        <w:t>（</w:t>
      </w:r>
      <w:r>
        <w:rPr>
          <w:rFonts w:ascii="宋体" w:hAnsi="宋体" w:cs="宋体" w:eastAsia="宋体" w:hint="default"/>
        </w:rPr>
        <w:t>1</w:t>
      </w:r>
      <w:r>
        <w:rPr/>
        <w:t>）同一控制下企业合并的会计处理方法</w:t>
      </w:r>
      <w:r>
        <w:rPr>
          <w:b w:val="0"/>
          <w:bCs w:val="0"/>
        </w:rPr>
      </w:r>
    </w:p>
    <w:p>
      <w:pPr>
        <w:spacing w:line="240" w:lineRule="auto" w:before="1"/>
        <w:rPr>
          <w:rFonts w:ascii="宋体" w:hAnsi="宋体" w:cs="宋体" w:eastAsia="宋体" w:hint="default"/>
          <w:b/>
          <w:bCs/>
          <w:sz w:val="16"/>
          <w:szCs w:val="16"/>
        </w:rPr>
      </w:pPr>
    </w:p>
    <w:p>
      <w:pPr>
        <w:pStyle w:val="BodyText"/>
        <w:spacing w:line="475" w:lineRule="auto"/>
        <w:ind w:right="1110"/>
        <w:jc w:val="both"/>
      </w:pPr>
      <w:r>
        <w:rPr>
          <w:spacing w:val="-2"/>
        </w:rPr>
        <w:t>公司在企业合并中取得的资产和负债，按照合并日被合并方在最终控制方合并财务报表中的账面价值计量。公司按照被合并</w:t>
      </w:r>
      <w:r>
        <w:rPr>
          <w:spacing w:val="-72"/>
        </w:rPr>
        <w:t> </w:t>
      </w:r>
      <w:r>
        <w:rPr>
          <w:spacing w:val="-72"/>
        </w:rPr>
      </w:r>
      <w:r>
        <w:rPr>
          <w:spacing w:val="-2"/>
        </w:rPr>
        <w:t>方所有者权益在最终控制方合并财务报表中的账面价值份额与支付的合并对价账面价值或发行股份面值总额的差额，调整资</w:t>
      </w:r>
      <w:r>
        <w:rPr>
          <w:spacing w:val="-47"/>
        </w:rPr>
        <w:t> </w:t>
      </w:r>
      <w:r>
        <w:rPr>
          <w:spacing w:val="-47"/>
        </w:rPr>
      </w:r>
      <w:r>
        <w:rPr/>
        <w:t>本公积；资本公积不足冲减的，调整留存收益。</w:t>
      </w:r>
    </w:p>
    <w:p>
      <w:pPr>
        <w:pStyle w:val="Heading3"/>
        <w:spacing w:line="240" w:lineRule="auto" w:before="48"/>
        <w:ind w:right="0"/>
        <w:jc w:val="both"/>
        <w:rPr>
          <w:b w:val="0"/>
          <w:bCs w:val="0"/>
        </w:rPr>
      </w:pPr>
      <w:r>
        <w:rPr/>
        <w:t>（</w:t>
      </w:r>
      <w:r>
        <w:rPr>
          <w:rFonts w:ascii="宋体" w:hAnsi="宋体" w:cs="宋体" w:eastAsia="宋体" w:hint="default"/>
        </w:rPr>
        <w:t>2</w:t>
      </w:r>
      <w:r>
        <w:rPr/>
        <w:t>）非同一控制下企业合并的会计处理方法</w:t>
      </w:r>
      <w:r>
        <w:rPr>
          <w:b w:val="0"/>
          <w:bCs w:val="0"/>
        </w:rPr>
      </w:r>
    </w:p>
    <w:p>
      <w:pPr>
        <w:spacing w:line="240" w:lineRule="auto" w:before="1"/>
        <w:rPr>
          <w:rFonts w:ascii="宋体" w:hAnsi="宋体" w:cs="宋体" w:eastAsia="宋体" w:hint="default"/>
          <w:b/>
          <w:bCs/>
          <w:sz w:val="16"/>
          <w:szCs w:val="16"/>
        </w:rPr>
      </w:pPr>
    </w:p>
    <w:p>
      <w:pPr>
        <w:pStyle w:val="BodyText"/>
        <w:spacing w:line="475" w:lineRule="auto"/>
        <w:ind w:right="1136"/>
        <w:jc w:val="both"/>
      </w:pPr>
      <w:r>
        <w:rPr>
          <w:spacing w:val="-2"/>
        </w:rPr>
        <w:t>公司在购买日对合并成本大于合并中取得的被购买方可辨认净资产公允价值份额的差额，确认为商誉；如果合并成本小于合</w:t>
      </w:r>
      <w:r>
        <w:rPr>
          <w:spacing w:val="-72"/>
        </w:rPr>
        <w:t> </w:t>
      </w:r>
      <w:r>
        <w:rPr>
          <w:spacing w:val="-72"/>
        </w:rPr>
      </w:r>
      <w:r>
        <w:rPr>
          <w:spacing w:val="-2"/>
        </w:rPr>
        <w:t>并中取得的被购买方可辨认净资产公允价值份额，首先对取得的被购买方各项可辨认资产、负债及或有负债的公允价值以及</w:t>
      </w:r>
      <w:r>
        <w:rPr>
          <w:spacing w:val="-72"/>
        </w:rPr>
        <w:t> </w:t>
      </w:r>
      <w:r>
        <w:rPr>
          <w:spacing w:val="-72"/>
        </w:rPr>
      </w:r>
      <w:r>
        <w:rPr>
          <w:spacing w:val="-2"/>
        </w:rPr>
        <w:t>合并成本的计量进行复核，经复核后合并成本仍小于合并中取得的被购买方可辨认净资产公允价值份额的，其差额计入当期</w:t>
      </w:r>
      <w:r>
        <w:rPr>
          <w:spacing w:val="-72"/>
        </w:rPr>
        <w:t> </w:t>
      </w:r>
      <w:r>
        <w:rPr>
          <w:spacing w:val="-72"/>
        </w:rPr>
      </w:r>
      <w:r>
        <w:rPr/>
        <w:t>损益。</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2" w:lineRule="auto"/>
        <w:ind w:right="0"/>
        <w:jc w:val="left"/>
      </w:pPr>
      <w:r>
        <w:rPr>
          <w:spacing w:val="-2"/>
        </w:rPr>
        <w:t>母公司将其控制的所有子公司纳入合并财务报表的合并范围。合并财务报表以母公司及其子公司的财务报表为基础，根据其</w:t>
      </w:r>
      <w:r>
        <w:rPr>
          <w:spacing w:val="-66"/>
        </w:rPr>
        <w:t> </w:t>
      </w:r>
      <w:r>
        <w:rPr>
          <w:spacing w:val="-66"/>
        </w:rPr>
      </w:r>
      <w:r>
        <w:rPr/>
        <w:t>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after="0" w:line="472"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631" w:lineRule="auto" w:before="35"/>
        <w:ind w:right="6849"/>
        <w:jc w:val="left"/>
        <w:rPr>
          <w:rFonts w:ascii="宋体" w:hAnsi="宋体" w:cs="宋体" w:eastAsia="宋体" w:hint="default"/>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无</w:t>
      </w:r>
    </w:p>
    <w:p>
      <w:pPr>
        <w:pStyle w:val="Heading3"/>
        <w:spacing w:line="240" w:lineRule="auto" w:before="149"/>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475" w:lineRule="auto"/>
        <w:ind w:right="0"/>
        <w:jc w:val="left"/>
      </w:pPr>
      <w:r>
        <w:rPr>
          <w:spacing w:val="-2"/>
        </w:rPr>
        <w:t>列示于现金流量表中的现金是指库存现金以及可以随时用于支付的存款。现金等价物是指企业持有的期限短、流动性强、易</w:t>
      </w:r>
      <w:r>
        <w:rPr>
          <w:spacing w:val="-75"/>
        </w:rPr>
        <w:t> </w:t>
      </w:r>
      <w:r>
        <w:rPr>
          <w:spacing w:val="-75"/>
        </w:rPr>
      </w:r>
      <w:r>
        <w:rPr/>
        <w:t>于转换为已知金额现金、价值变动风险很小的投资。</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80" w:lineRule="auto"/>
        <w:ind w:right="0"/>
        <w:jc w:val="left"/>
      </w:pPr>
      <w:r>
        <w:rPr>
          <w:spacing w:val="-2"/>
        </w:rPr>
        <w:t>外币交易在初始确认时，采用交易发生日的即期汇率折算为人民币金额。资产负债表日，外币货币性项目采用资产负债表日</w:t>
      </w:r>
      <w:r>
        <w:rPr>
          <w:spacing w:val="-75"/>
        </w:rPr>
        <w:t> </w:t>
      </w:r>
      <w:r>
        <w:rPr>
          <w:spacing w:val="-75"/>
        </w:rPr>
      </w:r>
      <w:r>
        <w:rPr>
          <w:spacing w:val="-4"/>
        </w:rPr>
        <w:t>即期汇率折算，因汇率不同而产生的汇兑差额，除与购建符合资本化条件资产有关的外币专门借款本金及利息的汇兑差额外，</w:t>
      </w:r>
      <w:r>
        <w:rPr>
          <w:spacing w:val="-48"/>
        </w:rPr>
        <w:t> </w:t>
      </w:r>
      <w:r>
        <w:rPr>
          <w:spacing w:val="-48"/>
        </w:rPr>
      </w:r>
      <w:r>
        <w:rPr>
          <w:spacing w:val="-2"/>
        </w:rPr>
        <w:t>计入当期损益；以历史成本计量的外币非货币性项目仍采用交易发生日的即期汇率折算，不改变其人民币金额；以公允价值</w:t>
      </w:r>
      <w:r>
        <w:rPr>
          <w:spacing w:val="-75"/>
        </w:rPr>
        <w:t> </w:t>
      </w:r>
      <w:r>
        <w:rPr>
          <w:spacing w:val="-75"/>
        </w:rPr>
      </w:r>
      <w:r>
        <w:rPr/>
        <w:t>计量的外币非货币性项目，采用公允价值确定日的即期汇率折算，差额计入当期损益或其他综合收益。</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r>
        <w:rPr/>
        <w:t>（</w:t>
      </w:r>
      <w:r>
        <w:rPr>
          <w:rFonts w:ascii="宋体" w:hAnsi="宋体" w:cs="宋体" w:eastAsia="宋体" w:hint="default"/>
        </w:rPr>
        <w:t>1</w:t>
      </w:r>
      <w:r>
        <w:rPr/>
        <w:t>）金融资产和金融负债的分类</w:t>
      </w:r>
      <w:r>
        <w:rPr>
          <w:b w:val="0"/>
          <w:bCs w:val="0"/>
        </w:rPr>
      </w:r>
    </w:p>
    <w:p>
      <w:pPr>
        <w:spacing w:line="240" w:lineRule="auto" w:before="1"/>
        <w:rPr>
          <w:rFonts w:ascii="宋体" w:hAnsi="宋体" w:cs="宋体" w:eastAsia="宋体" w:hint="default"/>
          <w:b/>
          <w:bCs/>
          <w:sz w:val="16"/>
          <w:szCs w:val="16"/>
        </w:rPr>
      </w:pPr>
    </w:p>
    <w:p>
      <w:pPr>
        <w:pStyle w:val="BodyText"/>
        <w:spacing w:line="489" w:lineRule="auto"/>
        <w:ind w:right="1113" w:firstLine="420"/>
        <w:jc w:val="both"/>
      </w:pPr>
      <w:r>
        <w:rPr/>
        <w:t>金融资产在初始确认时划分为以下三类：①</w:t>
      </w:r>
      <w:r>
        <w:rPr>
          <w:spacing w:val="-38"/>
        </w:rPr>
        <w:t> </w:t>
      </w:r>
      <w:r>
        <w:rPr/>
        <w:t>以摊余成本计量的金融资产；②以公允价值计量且其变动计入其他综合收</w:t>
      </w:r>
      <w:r>
        <w:rPr/>
        <w:t> 益的金融资产；③</w:t>
      </w:r>
      <w:r>
        <w:rPr>
          <w:spacing w:val="-14"/>
        </w:rPr>
        <w:t> </w:t>
      </w:r>
      <w:r>
        <w:rPr/>
        <w:t>以公允价值计量且其变动计入当期损益的金融资产。</w:t>
      </w:r>
    </w:p>
    <w:p>
      <w:pPr>
        <w:pStyle w:val="BodyText"/>
        <w:spacing w:line="475" w:lineRule="auto" w:before="43"/>
        <w:ind w:right="1126" w:firstLine="420"/>
        <w:jc w:val="both"/>
      </w:pPr>
      <w:r>
        <w:rPr/>
        <w:t>金融负债在初始确认时划分为以下四类：① 以公允价值计量且其变动计入当期损益的金融负债；②</w:t>
      </w:r>
      <w:r>
        <w:rPr>
          <w:spacing w:val="30"/>
        </w:rPr>
        <w:t> </w:t>
      </w:r>
      <w:r>
        <w:rPr/>
        <w:t>金融资产转移不</w:t>
      </w:r>
      <w:r>
        <w:rPr/>
        <w:t> </w:t>
      </w:r>
      <w:r>
        <w:rPr>
          <w:spacing w:val="-2"/>
        </w:rPr>
        <w:t>符合终止确认条件或继续涉入被转移金融资产所形成的金融负债；③不属于上述①或②的财务担保合同，以及不属于上述①</w:t>
      </w:r>
      <w:r>
        <w:rPr>
          <w:spacing w:val="-62"/>
        </w:rPr>
        <w:t> </w:t>
      </w:r>
      <w:r>
        <w:rPr>
          <w:spacing w:val="-62"/>
        </w:rPr>
      </w:r>
      <w:r>
        <w:rPr/>
        <w:t>并以低于市场利率贷款的贷款承诺；④以摊余成本计量的金融负债。</w:t>
      </w:r>
    </w:p>
    <w:p>
      <w:pPr>
        <w:spacing w:line="456" w:lineRule="auto" w:before="33"/>
        <w:ind w:left="561" w:right="1118" w:hanging="421"/>
        <w:jc w:val="left"/>
        <w:rPr>
          <w:rFonts w:ascii="宋体" w:hAnsi="宋体" w:cs="宋体" w:eastAsia="宋体" w:hint="default"/>
          <w:sz w:val="18"/>
          <w:szCs w:val="18"/>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）金融资产和金融负债的确认依据、计量方法和终止确认条件</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18"/>
          <w:szCs w:val="18"/>
        </w:rPr>
        <w:t>1</w:t>
      </w:r>
      <w:r>
        <w:rPr>
          <w:rFonts w:ascii="宋体" w:hAnsi="宋体" w:cs="宋体" w:eastAsia="宋体" w:hint="default"/>
          <w:sz w:val="18"/>
          <w:szCs w:val="18"/>
        </w:rPr>
        <w:t>）金融资产和金融负债的确认依据和初始计量方法 公司成为金融工具合同的一方时，确认一项金融资产或金融负债。初始确认金融资产或金融负债时，按照公允价值计</w:t>
      </w:r>
    </w:p>
    <w:p>
      <w:pPr>
        <w:pStyle w:val="BodyText"/>
        <w:spacing w:line="475" w:lineRule="auto" w:before="68"/>
        <w:ind w:right="1133"/>
        <w:jc w:val="both"/>
      </w:pPr>
      <w:r>
        <w:rPr>
          <w:spacing w:val="-2"/>
        </w:rPr>
        <w:t>量；对于以公允价值计量且其变动计入当期损益的金融资产和金融负债，相关交易费用直接计入当期损益；对于其他类别的</w:t>
      </w:r>
      <w:r>
        <w:rPr>
          <w:spacing w:val="-72"/>
        </w:rPr>
        <w:t> </w:t>
      </w:r>
      <w:r>
        <w:rPr>
          <w:spacing w:val="-72"/>
        </w:rPr>
      </w:r>
      <w:r>
        <w:rPr>
          <w:spacing w:val="-2"/>
        </w:rPr>
        <w:t>金融资产或金融负债，相关交易费用计入初始确认金额。但是，公司初始确认的应收账款未包含重大融资成分或公司不考虑</w:t>
      </w:r>
      <w:r>
        <w:rPr>
          <w:spacing w:val="-75"/>
        </w:rPr>
        <w:t> </w:t>
      </w:r>
      <w:r>
        <w:rPr>
          <w:spacing w:val="-75"/>
        </w:rPr>
      </w:r>
      <w:r>
        <w:rPr/>
        <w:t>未超过一年的合同中的融资成分的，按照交易价格进行初始计量。</w:t>
      </w:r>
    </w:p>
    <w:p>
      <w:pPr>
        <w:pStyle w:val="BodyText"/>
        <w:spacing w:line="240" w:lineRule="auto" w:before="68"/>
        <w:ind w:left="561" w:right="0"/>
        <w:jc w:val="left"/>
      </w:pPr>
      <w:r>
        <w:rPr>
          <w:rFonts w:ascii="宋体" w:hAnsi="宋体" w:cs="宋体" w:eastAsia="宋体" w:hint="default"/>
        </w:rPr>
        <w:t>2</w:t>
      </w:r>
      <w:r>
        <w:rPr/>
        <w:t>）金融资产的后续计量方法</w:t>
      </w:r>
    </w:p>
    <w:p>
      <w:pPr>
        <w:spacing w:line="240" w:lineRule="auto" w:before="7"/>
        <w:rPr>
          <w:rFonts w:ascii="宋体" w:hAnsi="宋体" w:cs="宋体" w:eastAsia="宋体" w:hint="default"/>
          <w:sz w:val="17"/>
          <w:szCs w:val="17"/>
        </w:rPr>
      </w:pPr>
    </w:p>
    <w:p>
      <w:pPr>
        <w:pStyle w:val="BodyText"/>
        <w:spacing w:line="240" w:lineRule="auto"/>
        <w:ind w:left="561" w:right="0"/>
        <w:jc w:val="left"/>
      </w:pPr>
      <w:r>
        <w:rPr/>
        <w:t>①</w:t>
      </w:r>
      <w:r>
        <w:rPr>
          <w:spacing w:val="-15"/>
        </w:rPr>
        <w:t> </w:t>
      </w:r>
      <w:r>
        <w:rPr/>
        <w:t>以摊余成本计量的金融资产</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0" w:firstLine="420"/>
        <w:jc w:val="left"/>
      </w:pPr>
      <w:r>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BodyText"/>
        <w:spacing w:line="489" w:lineRule="auto" w:before="53"/>
        <w:ind w:left="561" w:right="0"/>
        <w:jc w:val="left"/>
      </w:pPr>
      <w:r>
        <w:rPr/>
        <w:t>②</w:t>
      </w:r>
      <w:r>
        <w:rPr>
          <w:spacing w:val="-15"/>
        </w:rPr>
        <w:t> </w:t>
      </w:r>
      <w:r>
        <w:rPr/>
        <w:t>以公允价值计量且其变动计入其他综合收益的债务工具投资</w:t>
      </w:r>
      <w:r>
        <w:rPr/>
        <w:t> 采用公允价值进行后续计量。采用实际利率法计算的利息、减值损失或利得及汇兑损益计入当期损益，其他利得或损</w:t>
      </w:r>
    </w:p>
    <w:p>
      <w:pPr>
        <w:pStyle w:val="BodyText"/>
        <w:spacing w:line="240" w:lineRule="auto" w:before="42"/>
        <w:ind w:right="0"/>
        <w:jc w:val="both"/>
      </w:pPr>
      <w:r>
        <w:rPr/>
        <w:t>失计入其他综合收益。终止确认时，将之前计入其他综合收益的累计利得或损失从其他综合收益中转出，计入当期损益。</w:t>
      </w:r>
    </w:p>
    <w:p>
      <w:pPr>
        <w:spacing w:line="240" w:lineRule="auto" w:before="7"/>
        <w:rPr>
          <w:rFonts w:ascii="宋体" w:hAnsi="宋体" w:cs="宋体" w:eastAsia="宋体" w:hint="default"/>
          <w:sz w:val="17"/>
          <w:szCs w:val="17"/>
        </w:rPr>
      </w:pPr>
    </w:p>
    <w:p>
      <w:pPr>
        <w:pStyle w:val="BodyText"/>
        <w:spacing w:line="475" w:lineRule="auto"/>
        <w:ind w:left="561" w:right="0"/>
        <w:jc w:val="left"/>
      </w:pPr>
      <w:r>
        <w:rPr/>
        <w:t>③</w:t>
      </w:r>
      <w:r>
        <w:rPr>
          <w:spacing w:val="-15"/>
        </w:rPr>
        <w:t> </w:t>
      </w:r>
      <w:r>
        <w:rPr/>
        <w:t>以公允价值计量且其变动计入其他综合收益的权益工具投资</w:t>
      </w:r>
      <w:r>
        <w:rPr/>
        <w:t> 采用公允价值进行后续计量。获得的股利（属于投资成本收回部分的除外）计入当期损益，其他利得或损失计入其他</w:t>
      </w:r>
    </w:p>
    <w:p>
      <w:pPr>
        <w:pStyle w:val="BodyText"/>
        <w:spacing w:line="240" w:lineRule="auto" w:before="53"/>
        <w:ind w:right="0"/>
        <w:jc w:val="both"/>
      </w:pPr>
      <w:r>
        <w:rPr/>
        <w:t>综合收益。终止确认时，将之前计入其他综合收益的累计利得或损失从其他综合收益中转出，计入留存收益。</w:t>
      </w:r>
    </w:p>
    <w:p>
      <w:pPr>
        <w:spacing w:line="240" w:lineRule="auto" w:before="10"/>
        <w:rPr>
          <w:rFonts w:ascii="宋体" w:hAnsi="宋体" w:cs="宋体" w:eastAsia="宋体" w:hint="default"/>
          <w:sz w:val="18"/>
          <w:szCs w:val="18"/>
        </w:rPr>
      </w:pPr>
    </w:p>
    <w:p>
      <w:pPr>
        <w:pStyle w:val="BodyText"/>
        <w:spacing w:line="472" w:lineRule="auto"/>
        <w:ind w:left="561" w:right="1089"/>
        <w:jc w:val="left"/>
      </w:pPr>
      <w:r>
        <w:rPr/>
        <w:t>④</w:t>
      </w:r>
      <w:r>
        <w:rPr>
          <w:spacing w:val="-15"/>
        </w:rPr>
        <w:t> </w:t>
      </w:r>
      <w:r>
        <w:rPr/>
        <w:t>以公允价值计量且其变动计入当期损益的金融资产</w:t>
      </w:r>
      <w:r>
        <w:rPr/>
        <w:t> 采用公允价值进行后续计量，产生的利得或损失（包括利息和股利收入</w:t>
      </w:r>
      <w:r>
        <w:rPr>
          <w:rFonts w:ascii="Times New Roman" w:hAnsi="Times New Roman" w:cs="Times New Roman" w:eastAsia="Times New Roman" w:hint="default"/>
        </w:rPr>
        <w:t>)</w:t>
      </w:r>
      <w:r>
        <w:rPr/>
        <w:t>计入当期损益，除非该金融资产属于套期关系</w:t>
      </w:r>
    </w:p>
    <w:p>
      <w:pPr>
        <w:pStyle w:val="BodyText"/>
        <w:spacing w:line="240" w:lineRule="auto" w:before="23"/>
        <w:ind w:right="0"/>
        <w:jc w:val="both"/>
      </w:pPr>
      <w:r>
        <w:rPr/>
        <w:t>的一部分。</w:t>
      </w:r>
    </w:p>
    <w:p>
      <w:pPr>
        <w:spacing w:line="240" w:lineRule="auto" w:before="7"/>
        <w:rPr>
          <w:rFonts w:ascii="宋体" w:hAnsi="宋体" w:cs="宋体" w:eastAsia="宋体" w:hint="default"/>
          <w:sz w:val="17"/>
          <w:szCs w:val="17"/>
        </w:rPr>
      </w:pPr>
    </w:p>
    <w:p>
      <w:pPr>
        <w:pStyle w:val="BodyText"/>
        <w:spacing w:line="240" w:lineRule="auto"/>
        <w:ind w:left="561" w:right="0"/>
        <w:jc w:val="left"/>
      </w:pPr>
      <w:r>
        <w:rPr>
          <w:rFonts w:ascii="宋体" w:hAnsi="宋体" w:cs="宋体" w:eastAsia="宋体" w:hint="default"/>
        </w:rPr>
        <w:t>3</w:t>
      </w:r>
      <w:r>
        <w:rPr/>
        <w:t>）</w:t>
      </w:r>
      <w:r>
        <w:rPr>
          <w:spacing w:val="-15"/>
        </w:rPr>
        <w:t> </w:t>
      </w:r>
      <w:r>
        <w:rPr/>
        <w:t>金融负债的后续计量方法</w:t>
      </w:r>
    </w:p>
    <w:p>
      <w:pPr>
        <w:spacing w:line="240" w:lineRule="auto" w:before="8"/>
        <w:rPr>
          <w:rFonts w:ascii="宋体" w:hAnsi="宋体" w:cs="宋体" w:eastAsia="宋体" w:hint="default"/>
          <w:sz w:val="17"/>
          <w:szCs w:val="17"/>
        </w:rPr>
      </w:pPr>
    </w:p>
    <w:p>
      <w:pPr>
        <w:pStyle w:val="BodyText"/>
        <w:spacing w:line="489" w:lineRule="auto"/>
        <w:ind w:left="561" w:right="0"/>
        <w:jc w:val="left"/>
      </w:pPr>
      <w:r>
        <w:rPr/>
        <w:t>①以公允价值计量且其变动计入当期损益的金融负债 此类金融负债包括交易性金融负债（含属于金融负债的衍生工具）和指定为以公允价值计量且其变动计入当期损益的</w:t>
      </w:r>
    </w:p>
    <w:p>
      <w:pPr>
        <w:pStyle w:val="BodyText"/>
        <w:spacing w:line="475" w:lineRule="auto" w:before="42"/>
        <w:ind w:right="1046"/>
        <w:jc w:val="both"/>
      </w:pPr>
      <w:r>
        <w:rPr>
          <w:spacing w:val="-2"/>
        </w:rPr>
        <w:t>金融负债。对于此类金融负债以公允价值进行后续计量。因公司自身信用风险变动引起的指定为以公允价值计量且其变动计</w:t>
      </w:r>
      <w:r>
        <w:rPr>
          <w:spacing w:val="-72"/>
        </w:rPr>
        <w:t> </w:t>
      </w:r>
      <w:r>
        <w:rPr>
          <w:spacing w:val="-72"/>
        </w:rPr>
      </w:r>
      <w:r>
        <w:rPr>
          <w:spacing w:val="-2"/>
        </w:rPr>
        <w:t>入当期损益的金融负债的公允价值变动金额计入其他综合收益，除非该处理会造成或扩大损益中的会计错配。此类金融负债</w:t>
      </w:r>
      <w:r>
        <w:rPr>
          <w:spacing w:val="-64"/>
        </w:rPr>
        <w:t> </w:t>
      </w:r>
      <w:r>
        <w:rPr>
          <w:spacing w:val="-64"/>
        </w:rPr>
      </w:r>
      <w:r>
        <w:rPr>
          <w:spacing w:val="-2"/>
        </w:rPr>
        <w:t>产生的其他利得或损失（包括利息费用、除因公司自身信用风险变动引起的公允价值变动）计入当期损益，除非该金融负债</w:t>
      </w:r>
      <w:r>
        <w:rPr>
          <w:spacing w:val="-42"/>
        </w:rPr>
        <w:t> </w:t>
      </w:r>
      <w:r>
        <w:rPr>
          <w:spacing w:val="-42"/>
        </w:rPr>
      </w:r>
      <w:r>
        <w:rPr/>
        <w:t>属于套期关系的一部分。终止确认时，将之前计入其他综合收益的累计利得或损失从其他综合收益中转出，计入留存收益。</w:t>
      </w:r>
    </w:p>
    <w:p>
      <w:pPr>
        <w:pStyle w:val="BodyText"/>
        <w:spacing w:line="475" w:lineRule="auto" w:before="68"/>
        <w:ind w:left="561" w:right="3774"/>
        <w:jc w:val="left"/>
      </w:pPr>
      <w:r>
        <w:rPr/>
        <w:t>②</w:t>
      </w:r>
      <w:r>
        <w:rPr>
          <w:spacing w:val="-15"/>
        </w:rPr>
        <w:t> </w:t>
      </w:r>
      <w:r>
        <w:rPr/>
        <w:t>金融资产转移不符合终止确认条件或继续涉入被转移金融资产所形成的金融负债</w:t>
      </w:r>
      <w:r>
        <w:rPr/>
        <w:t> 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BodyText"/>
        <w:spacing w:line="472" w:lineRule="auto" w:before="21"/>
        <w:ind w:left="561" w:right="1109"/>
        <w:jc w:val="left"/>
      </w:pPr>
      <w:r>
        <w:rPr/>
        <w:t>③</w:t>
      </w:r>
      <w:r>
        <w:rPr>
          <w:spacing w:val="-15"/>
        </w:rPr>
        <w:t> </w:t>
      </w:r>
      <w:r>
        <w:rPr/>
        <w:t>不属于上述①或②的财务担保合同，以及不属于上述①并以低于市场利率贷款的贷款承诺</w:t>
      </w:r>
      <w:r>
        <w:rPr>
          <w:spacing w:val="-87"/>
        </w:rPr>
        <w:t> </w:t>
      </w:r>
      <w:r>
        <w:rPr>
          <w:spacing w:val="-87"/>
        </w:rPr>
      </w:r>
      <w:r>
        <w:rPr/>
        <w:t>在初始确认后按照下列两项金额之中的较高者进行后续计量：</w:t>
      </w:r>
      <w:r>
        <w:rPr>
          <w:rFonts w:ascii="宋体" w:hAnsi="宋体" w:cs="宋体" w:eastAsia="宋体" w:hint="default"/>
        </w:rPr>
        <w:t>A. </w:t>
      </w:r>
      <w:r>
        <w:rPr>
          <w:spacing w:val="-3"/>
        </w:rPr>
        <w:t>按照金融工具的减值规定确定的损失准备金额；</w:t>
      </w:r>
      <w:r>
        <w:rPr>
          <w:rFonts w:ascii="宋体" w:hAnsi="宋体" w:cs="宋体" w:eastAsia="宋体" w:hint="default"/>
          <w:spacing w:val="-3"/>
        </w:rPr>
        <w:t>B.</w:t>
      </w:r>
      <w:r>
        <w:rPr>
          <w:rFonts w:ascii="宋体" w:hAnsi="宋体" w:cs="宋体" w:eastAsia="宋体" w:hint="default"/>
          <w:spacing w:val="-71"/>
        </w:rPr>
        <w:t> </w:t>
      </w:r>
      <w:r>
        <w:rPr/>
        <w:t>初</w:t>
      </w:r>
    </w:p>
    <w:p>
      <w:pPr>
        <w:pStyle w:val="BodyText"/>
        <w:spacing w:line="240" w:lineRule="auto" w:before="55"/>
        <w:ind w:right="0"/>
        <w:jc w:val="both"/>
      </w:pPr>
      <w:r>
        <w:rPr/>
        <w:t>始确认金额扣除按照相关规定所确定的累计摊销额后的余额。</w:t>
      </w:r>
    </w:p>
    <w:p>
      <w:pPr>
        <w:spacing w:line="240" w:lineRule="auto" w:before="9"/>
        <w:rPr>
          <w:rFonts w:ascii="宋体" w:hAnsi="宋体" w:cs="宋体" w:eastAsia="宋体" w:hint="default"/>
          <w:sz w:val="18"/>
          <w:szCs w:val="18"/>
        </w:rPr>
      </w:pPr>
    </w:p>
    <w:p>
      <w:pPr>
        <w:pStyle w:val="BodyText"/>
        <w:spacing w:line="475" w:lineRule="auto"/>
        <w:ind w:left="561" w:right="0"/>
        <w:jc w:val="left"/>
      </w:pPr>
      <w:r>
        <w:rPr/>
        <w:t>④以摊余成本计量的金融负债 采用实际利率法以摊余成本计量。以摊余成本计量且不属于任何套期关系的一部分的金融负债所产生的利得或损失，</w:t>
      </w:r>
    </w:p>
    <w:p>
      <w:pPr>
        <w:pStyle w:val="BodyText"/>
        <w:spacing w:line="472" w:lineRule="auto" w:before="53"/>
        <w:ind w:left="561" w:right="6610" w:hanging="421"/>
        <w:jc w:val="left"/>
      </w:pPr>
      <w:r>
        <w:rPr/>
        <w:t>在终止确认、按照实际利率法摊销时计入当期损益。 </w:t>
      </w:r>
      <w:r>
        <w:rPr>
          <w:rFonts w:ascii="宋体" w:hAnsi="宋体" w:cs="宋体" w:eastAsia="宋体" w:hint="default"/>
        </w:rPr>
        <w:t>4</w:t>
      </w:r>
      <w:r>
        <w:rPr/>
        <w:t>）金融资产和金融负债的终止确认</w:t>
      </w:r>
    </w:p>
    <w:p>
      <w:pPr>
        <w:pStyle w:val="BodyText"/>
        <w:spacing w:line="489" w:lineRule="auto" w:before="55"/>
        <w:ind w:left="561" w:right="6474"/>
        <w:jc w:val="left"/>
      </w:pPr>
      <w:r>
        <w:rPr/>
        <w:t>①</w:t>
      </w:r>
      <w:r>
        <w:rPr>
          <w:spacing w:val="-15"/>
        </w:rPr>
        <w:t> </w:t>
      </w:r>
      <w:r>
        <w:rPr/>
        <w:t>当满足下列条件之一时，终止确认金融资产：</w:t>
      </w:r>
      <w:r>
        <w:rPr/>
        <w:t> </w:t>
      </w:r>
      <w:r>
        <w:rPr>
          <w:rFonts w:ascii="宋体" w:hAnsi="宋体" w:cs="宋体" w:eastAsia="宋体" w:hint="default"/>
        </w:rPr>
        <w:t>A.</w:t>
      </w:r>
      <w:r>
        <w:rPr>
          <w:rFonts w:ascii="宋体" w:hAnsi="宋体" w:cs="宋体" w:eastAsia="宋体" w:hint="default"/>
          <w:spacing w:val="-15"/>
        </w:rPr>
        <w:t> </w:t>
      </w:r>
      <w:r>
        <w:rPr/>
        <w:t>收取金融资产现金流量的合同权利已终止；</w:t>
      </w:r>
    </w:p>
    <w:p>
      <w:pPr>
        <w:pStyle w:val="BodyText"/>
        <w:spacing w:line="240" w:lineRule="auto" w:before="42"/>
        <w:ind w:left="561" w:right="0"/>
        <w:jc w:val="left"/>
      </w:pPr>
      <w:r>
        <w:rPr>
          <w:rFonts w:ascii="宋体" w:hAnsi="宋体" w:cs="宋体" w:eastAsia="宋体" w:hint="default"/>
        </w:rPr>
        <w:t>B.</w:t>
      </w:r>
      <w:r>
        <w:rPr>
          <w:rFonts w:ascii="宋体" w:hAnsi="宋体" w:cs="宋体" w:eastAsia="宋体" w:hint="default"/>
          <w:spacing w:val="-10"/>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金融资产转移》关于金融资产终止确认的规定。</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561" w:right="0"/>
        <w:jc w:val="left"/>
      </w:pPr>
      <w:r>
        <w:rPr>
          <w:rFonts w:ascii="等线" w:hAnsi="等线" w:cs="等线" w:eastAsia="等线" w:hint="default"/>
        </w:rPr>
        <w:t>②</w:t>
      </w:r>
      <w:r>
        <w:rPr>
          <w:rFonts w:ascii="等线" w:hAnsi="等线" w:cs="等线" w:eastAsia="等线" w:hint="default"/>
          <w:spacing w:val="25"/>
        </w:rPr>
        <w:t> </w:t>
      </w:r>
      <w:r>
        <w:rPr/>
        <w:t>当金融负债（或其一部分）的现时义务已经解除时，相应终止确认该金融负债（或该部分金融负债）。</w:t>
      </w:r>
    </w:p>
    <w:p>
      <w:pPr>
        <w:spacing w:line="240" w:lineRule="auto" w:before="12"/>
        <w:rPr>
          <w:rFonts w:ascii="宋体" w:hAnsi="宋体" w:cs="宋体" w:eastAsia="宋体" w:hint="default"/>
          <w:sz w:val="15"/>
          <w:szCs w:val="15"/>
        </w:rPr>
      </w:pPr>
    </w:p>
    <w:p>
      <w:pPr>
        <w:pStyle w:val="Heading3"/>
        <w:spacing w:line="240" w:lineRule="auto"/>
        <w:ind w:right="0"/>
        <w:jc w:val="both"/>
        <w:rPr>
          <w:b w:val="0"/>
          <w:bCs w:val="0"/>
        </w:rPr>
      </w:pPr>
      <w:r>
        <w:rPr/>
        <w:t>（</w:t>
      </w:r>
      <w:r>
        <w:rPr>
          <w:rFonts w:ascii="宋体" w:hAnsi="宋体" w:cs="宋体" w:eastAsia="宋体" w:hint="default"/>
        </w:rPr>
        <w:t>3</w:t>
      </w:r>
      <w:r>
        <w:rPr/>
        <w:t>）金融资产转移的确认依据和计量方法</w:t>
      </w:r>
      <w:r>
        <w:rPr>
          <w:b w:val="0"/>
          <w:bCs w:val="0"/>
        </w:rPr>
      </w:r>
    </w:p>
    <w:p>
      <w:pPr>
        <w:spacing w:line="240" w:lineRule="auto" w:before="1"/>
        <w:rPr>
          <w:rFonts w:ascii="宋体" w:hAnsi="宋体" w:cs="宋体" w:eastAsia="宋体" w:hint="default"/>
          <w:b/>
          <w:bCs/>
          <w:sz w:val="16"/>
          <w:szCs w:val="16"/>
        </w:rPr>
      </w:pPr>
    </w:p>
    <w:p>
      <w:pPr>
        <w:pStyle w:val="BodyText"/>
        <w:spacing w:line="477" w:lineRule="auto"/>
        <w:ind w:right="1128" w:firstLine="420"/>
        <w:jc w:val="both"/>
      </w:pPr>
      <w:r>
        <w:rPr/>
        <w:t>公司转移了金融资产所有权上几乎所有的风险和报酬的，终止确认该金融资产，并将转移中产生或保留的权利和义务 </w:t>
      </w:r>
      <w:r>
        <w:rPr>
          <w:spacing w:val="-2"/>
        </w:rPr>
        <w:t>单独确认为资产或负债；保留了金融资产所有权上几乎所有的风险和报酬的，继续确认所转移的金融资产。公司既没有转移</w:t>
      </w:r>
      <w:r>
        <w:rPr>
          <w:spacing w:val="-75"/>
        </w:rPr>
        <w:t> </w:t>
      </w:r>
      <w:r>
        <w:rPr>
          <w:spacing w:val="-75"/>
        </w:rPr>
      </w:r>
      <w:r>
        <w:rPr/>
        <w:t>也没有保留金融资产所有权上几乎所有的风险和报酬的，分别下列情况处理：①</w:t>
      </w:r>
      <w:r>
        <w:rPr>
          <w:spacing w:val="4"/>
        </w:rPr>
        <w:t> </w:t>
      </w:r>
      <w:r>
        <w:rPr/>
        <w:t>未保留对该金融资产控制的，终止确认该</w:t>
      </w:r>
      <w:r>
        <w:rPr/>
        <w:t> 金融资产，并将转移中产生或保留的权利和义务单独确认为资产或负债；②</w:t>
      </w:r>
      <w:r>
        <w:rPr>
          <w:spacing w:val="3"/>
        </w:rPr>
        <w:t> </w:t>
      </w:r>
      <w:r>
        <w:rPr/>
        <w:t>保留了对该金融资产控制的，按照继续涉入所</w:t>
      </w:r>
      <w:r>
        <w:rPr/>
        <w:t> 转移金融资产的程度确认有关金融资产，并相应确认有关负债。</w:t>
      </w:r>
    </w:p>
    <w:p>
      <w:pPr>
        <w:pStyle w:val="BodyText"/>
        <w:spacing w:line="489" w:lineRule="auto" w:before="51"/>
        <w:ind w:right="1114" w:firstLine="420"/>
        <w:jc w:val="both"/>
      </w:pPr>
      <w:r>
        <w:rPr/>
        <w:t>金融资产整体转移满足终止确认条件的，将下列两项金额的差额计入当期损益：①</w:t>
      </w:r>
      <w:r>
        <w:rPr>
          <w:spacing w:val="-38"/>
        </w:rPr>
        <w:t> </w:t>
      </w:r>
      <w:r>
        <w:rPr/>
        <w:t>所转移金融资产在终止确认日的账</w:t>
      </w:r>
      <w:r>
        <w:rPr/>
        <w:t> 面价值；②</w:t>
      </w:r>
      <w:r>
        <w:rPr>
          <w:spacing w:val="-1"/>
        </w:rPr>
        <w:t> </w:t>
      </w:r>
      <w:r>
        <w:rPr/>
        <w:t>因转移金融资产而收到的对价，与原直接计入其他综合收益的公允价值变动累计额中对应终止确认部分的金额</w:t>
      </w:r>
    </w:p>
    <w:p>
      <w:pPr>
        <w:pStyle w:val="BodyText"/>
        <w:spacing w:line="477" w:lineRule="auto" w:before="42"/>
        <w:ind w:right="1125"/>
        <w:jc w:val="both"/>
      </w:pPr>
      <w:r>
        <w:rPr>
          <w:spacing w:val="-2"/>
        </w:rPr>
        <w:t>（涉及转移的金融资产为以公允价值计量且其变动计入其他综合收益的债务工具投资）之和。转移了金融资产的一部分，且</w:t>
      </w:r>
      <w:r>
        <w:rPr>
          <w:spacing w:val="-75"/>
        </w:rPr>
        <w:t> </w:t>
      </w:r>
      <w:r>
        <w:rPr>
          <w:spacing w:val="-75"/>
        </w:rPr>
      </w:r>
      <w:r>
        <w:rPr>
          <w:spacing w:val="-2"/>
        </w:rPr>
        <w:t>该被转移部分整体满足终止确认条件的，将转移前金融资产整体的账面价值，在终止确认部分和继续确认部分之间，按照转</w:t>
      </w:r>
      <w:r>
        <w:rPr>
          <w:spacing w:val="-69"/>
        </w:rPr>
        <w:t> </w:t>
      </w:r>
      <w:r>
        <w:rPr>
          <w:spacing w:val="-69"/>
        </w:rPr>
      </w:r>
      <w:r>
        <w:rPr/>
        <w:t>移日各自的相对公允价值进行分摊，并将下列两项金额的差额计入当期损益：①终止确认部分的账面价值；②</w:t>
      </w:r>
      <w:r>
        <w:rPr>
          <w:spacing w:val="6"/>
        </w:rPr>
        <w:t> </w:t>
      </w:r>
      <w:r>
        <w:rPr/>
        <w:t>终止确认部</w:t>
      </w:r>
      <w:r>
        <w:rPr/>
        <w:t> </w:t>
      </w:r>
      <w:r>
        <w:rPr>
          <w:spacing w:val="-2"/>
        </w:rPr>
        <w:t>分的对价，与原直接计入其他综合收益的公允价值变动累计额中对应终止确认部分的金额（涉及转移的金融资产为以公允价</w:t>
      </w:r>
      <w:r>
        <w:rPr>
          <w:spacing w:val="-72"/>
        </w:rPr>
        <w:t> </w:t>
      </w:r>
      <w:r>
        <w:rPr>
          <w:spacing w:val="-72"/>
        </w:rPr>
      </w:r>
      <w:r>
        <w:rPr/>
        <w:t>值计量且其变动计入其他综合收益的债务工具投资）之和。</w:t>
      </w:r>
    </w:p>
    <w:p>
      <w:pPr>
        <w:pStyle w:val="Heading3"/>
        <w:spacing w:line="240" w:lineRule="auto" w:before="31"/>
        <w:ind w:right="0"/>
        <w:jc w:val="both"/>
        <w:rPr>
          <w:b w:val="0"/>
          <w:bCs w:val="0"/>
        </w:rPr>
      </w:pPr>
      <w:r>
        <w:rPr/>
        <w:t>（</w:t>
      </w:r>
      <w:r>
        <w:rPr>
          <w:rFonts w:ascii="宋体" w:hAnsi="宋体" w:cs="宋体" w:eastAsia="宋体" w:hint="default"/>
        </w:rPr>
        <w:t>4</w:t>
      </w:r>
      <w:r>
        <w:rPr/>
        <w:t>）金融资产和金融负债的公允价值确定方法</w:t>
      </w:r>
      <w:r>
        <w:rPr>
          <w:b w:val="0"/>
          <w:bCs w:val="0"/>
        </w:rPr>
      </w:r>
    </w:p>
    <w:p>
      <w:pPr>
        <w:spacing w:line="240" w:lineRule="auto" w:before="1"/>
        <w:rPr>
          <w:rFonts w:ascii="宋体" w:hAnsi="宋体" w:cs="宋体" w:eastAsia="宋体" w:hint="default"/>
          <w:b/>
          <w:bCs/>
          <w:sz w:val="16"/>
          <w:szCs w:val="16"/>
        </w:rPr>
      </w:pPr>
    </w:p>
    <w:p>
      <w:pPr>
        <w:pStyle w:val="BodyText"/>
        <w:spacing w:line="475" w:lineRule="auto"/>
        <w:ind w:right="1136" w:firstLine="420"/>
        <w:jc w:val="both"/>
      </w:pPr>
      <w:r>
        <w:rPr/>
        <w:t>公司采用在当前情况下适用并且有足够可利用数据和其他信息支持的估值技术确定相关金融资产和金融负债的公允价 值。公司将估值技术使用的输入值分以下层级，并依次使用：</w:t>
      </w:r>
    </w:p>
    <w:p>
      <w:pPr>
        <w:pStyle w:val="BodyText"/>
        <w:spacing w:line="240" w:lineRule="auto" w:before="53"/>
        <w:ind w:left="561" w:right="0"/>
        <w:jc w:val="left"/>
      </w:pPr>
      <w:r>
        <w:rPr/>
        <w:t>①  第一层次输入值是在计量日能够取得的相同资产或负债在活跃市场上未经调整的报价；</w:t>
      </w:r>
    </w:p>
    <w:p>
      <w:pPr>
        <w:spacing w:line="240" w:lineRule="auto" w:before="10"/>
        <w:rPr>
          <w:rFonts w:ascii="宋体" w:hAnsi="宋体" w:cs="宋体" w:eastAsia="宋体" w:hint="default"/>
          <w:sz w:val="18"/>
          <w:szCs w:val="18"/>
        </w:rPr>
      </w:pPr>
    </w:p>
    <w:p>
      <w:pPr>
        <w:pStyle w:val="BodyText"/>
        <w:spacing w:line="475" w:lineRule="auto"/>
        <w:ind w:right="1136" w:firstLine="420"/>
        <w:jc w:val="both"/>
      </w:pPr>
      <w:r>
        <w:rPr/>
        <w:t>②第二层次输入值是除第一层次输入值外相关资产或负债直接或间接可观察的输入值，包括：活跃市场中类似资产或 </w:t>
      </w:r>
      <w:r>
        <w:rPr>
          <w:spacing w:val="-2"/>
        </w:rPr>
        <w:t>负债的报价；非活跃市场中相同或类似资产或负债的报价；除报价以外的其他可观察输入值，如在正常报价间隔期间可观察</w:t>
      </w:r>
      <w:r>
        <w:rPr>
          <w:spacing w:val="-75"/>
        </w:rPr>
        <w:t> </w:t>
      </w:r>
      <w:r>
        <w:rPr>
          <w:spacing w:val="-75"/>
        </w:rPr>
      </w:r>
      <w:r>
        <w:rPr/>
        <w:t>的利率和收益率曲线等；市场验证的输入值等；</w:t>
      </w:r>
    </w:p>
    <w:p>
      <w:pPr>
        <w:pStyle w:val="BodyText"/>
        <w:spacing w:line="475" w:lineRule="auto" w:before="53"/>
        <w:ind w:right="1136" w:firstLine="420"/>
        <w:jc w:val="both"/>
      </w:pPr>
      <w:r>
        <w:rPr/>
        <w:t>③第三层次输入值是相关资产或负债的不可观察输入值，包括不能直接观察或无法由可观察市场数据验证的利率、股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Heading3"/>
        <w:spacing w:line="240" w:lineRule="auto" w:before="48"/>
        <w:ind w:right="0"/>
        <w:jc w:val="both"/>
        <w:rPr>
          <w:b w:val="0"/>
          <w:bCs w:val="0"/>
        </w:rPr>
      </w:pPr>
      <w:r>
        <w:rPr/>
        <w:t>（</w:t>
      </w:r>
      <w:r>
        <w:rPr>
          <w:rFonts w:ascii="宋体" w:hAnsi="宋体" w:cs="宋体" w:eastAsia="宋体" w:hint="default"/>
        </w:rPr>
        <w:t>5</w:t>
      </w:r>
      <w:r>
        <w:rPr/>
        <w:t>）金融工具减值</w:t>
      </w:r>
      <w:r>
        <w:rPr>
          <w:b w:val="0"/>
          <w:bCs w:val="0"/>
        </w:rPr>
      </w:r>
    </w:p>
    <w:p>
      <w:pPr>
        <w:spacing w:line="240" w:lineRule="auto" w:before="1"/>
        <w:rPr>
          <w:rFonts w:ascii="宋体" w:hAnsi="宋体" w:cs="宋体" w:eastAsia="宋体" w:hint="default"/>
          <w:b/>
          <w:bCs/>
          <w:sz w:val="16"/>
          <w:szCs w:val="16"/>
        </w:rPr>
      </w:pPr>
    </w:p>
    <w:p>
      <w:pPr>
        <w:pStyle w:val="BodyText"/>
        <w:spacing w:line="475" w:lineRule="auto"/>
        <w:ind w:left="561" w:right="0"/>
        <w:jc w:val="left"/>
      </w:pPr>
      <w:r>
        <w:rPr/>
        <w:t>①金融工具减值计量和会计处理 公司以预期信用损失为基础，对以摊余成本计量的金融资产、以公允价值计量且其变动计入其他综合收益的债务工具</w:t>
      </w:r>
    </w:p>
    <w:p>
      <w:pPr>
        <w:pStyle w:val="BodyText"/>
        <w:spacing w:line="482" w:lineRule="auto" w:before="53"/>
        <w:ind w:right="1136"/>
        <w:jc w:val="both"/>
      </w:pPr>
      <w:r>
        <w:rPr>
          <w:spacing w:val="-2"/>
        </w:rPr>
        <w:t>投资、租赁应收款、分类为以公允价值计量且其变动计入当期损益的金融负债以外的贷款承诺、不属于以公允价值计量且其</w:t>
      </w:r>
      <w:r>
        <w:rPr>
          <w:spacing w:val="-75"/>
        </w:rPr>
        <w:t> </w:t>
      </w:r>
      <w:r>
        <w:rPr>
          <w:spacing w:val="-75"/>
        </w:rPr>
      </w:r>
      <w:r>
        <w:rPr/>
        <w:t>变动计入当期损益的金融负债或不属于金融资产转移不符合终止确认条件或继续涉入被转移金融资产所形成的金融负债的</w:t>
      </w:r>
      <w:r>
        <w:rPr>
          <w:spacing w:val="-7"/>
        </w:rPr>
        <w:t> </w:t>
      </w:r>
      <w:r>
        <w:rPr>
          <w:spacing w:val="-7"/>
        </w:rPr>
      </w:r>
      <w:r>
        <w:rPr/>
        <w:t>财务担保合同进行减值处理并确认损失准备。</w:t>
      </w:r>
    </w:p>
    <w:p>
      <w:pPr>
        <w:pStyle w:val="BodyText"/>
        <w:spacing w:line="240" w:lineRule="auto" w:before="48"/>
        <w:ind w:left="561" w:right="0"/>
        <w:jc w:val="left"/>
      </w:pPr>
      <w:r>
        <w:rPr/>
        <w:t>预期信用损失，是指以发生违约的风险为权重的金融工具信用损失的加权平均值。信用损失，是指公司按照原实际利</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left="221" w:right="1108"/>
        <w:jc w:val="left"/>
      </w:pPr>
      <w:r>
        <w:rPr>
          <w:spacing w:val="-2"/>
        </w:rPr>
        <w:t>率折现的、根据合同应收的所有合同现金流量与预期收取的所有现金流量之间的差额，即全部现金短缺的现值。其中，对于</w:t>
      </w:r>
      <w:r>
        <w:rPr>
          <w:spacing w:val="-42"/>
        </w:rPr>
        <w:t> </w:t>
      </w:r>
      <w:r>
        <w:rPr>
          <w:spacing w:val="-42"/>
        </w:rPr>
      </w:r>
      <w:r>
        <w:rPr/>
        <w:t>公司购买或源生的已发生信用减值的金融资产，按照该金融资产经信用调整的实际利率折现。</w:t>
      </w:r>
    </w:p>
    <w:p>
      <w:pPr>
        <w:pStyle w:val="BodyText"/>
        <w:spacing w:line="489" w:lineRule="auto" w:before="53"/>
        <w:ind w:left="221" w:right="1136" w:firstLine="420"/>
        <w:jc w:val="both"/>
      </w:pPr>
      <w:r>
        <w:rPr/>
        <w:t>对于购买或源生的已发生信用减值的金融资产，公司在资产负债表日仅将自初始确认后整个存续期内预期信用损失的 累计变动确认为损失准备。</w:t>
      </w:r>
    </w:p>
    <w:p>
      <w:pPr>
        <w:pStyle w:val="BodyText"/>
        <w:spacing w:line="475" w:lineRule="auto" w:before="42"/>
        <w:ind w:left="221" w:right="1136" w:firstLine="420"/>
        <w:jc w:val="both"/>
      </w:pPr>
      <w:r>
        <w:rPr/>
        <w:t>对于不含重大融资成分或者公司不考虑不超过一年的合同中的融资成分的应收账款，公司运用简化计量方法，按照相 当于整个存续期内的预期信用损失金额计量损失准备。</w:t>
      </w:r>
    </w:p>
    <w:p>
      <w:pPr>
        <w:pStyle w:val="BodyText"/>
        <w:spacing w:line="482" w:lineRule="auto" w:before="53"/>
        <w:ind w:left="221" w:right="1133" w:firstLine="420"/>
        <w:jc w:val="both"/>
      </w:pPr>
      <w:r>
        <w:rPr/>
        <w:t>除上述计量方法以外的金融资产，公司在每个资产负债表日评估其信用风险自初始确认后是否已经显著增加。如果信 </w:t>
      </w:r>
      <w:r>
        <w:rPr>
          <w:spacing w:val="-2"/>
        </w:rPr>
        <w:t>用风险自初始确认后已显著增加，公司按照整个存续期内预期信用损失的金额计量损失准备；如果信用风险自初始确认后未</w:t>
      </w:r>
      <w:r>
        <w:rPr>
          <w:spacing w:val="-72"/>
        </w:rPr>
        <w:t> </w:t>
      </w:r>
      <w:r>
        <w:rPr>
          <w:spacing w:val="-72"/>
        </w:rPr>
      </w:r>
      <w:r>
        <w:rPr/>
        <w:t>显著增加，公司按照该金融工具未来</w:t>
      </w:r>
      <w:r>
        <w:rPr>
          <w:rFonts w:ascii="Times New Roman" w:hAnsi="Times New Roman" w:cs="Times New Roman" w:eastAsia="Times New Roman" w:hint="default"/>
        </w:rPr>
        <w:t>12</w:t>
      </w:r>
      <w:r>
        <w:rPr/>
        <w:t>个月内预期信用损失的金额计量损失准备。</w:t>
      </w:r>
    </w:p>
    <w:p>
      <w:pPr>
        <w:pStyle w:val="BodyText"/>
        <w:spacing w:line="475" w:lineRule="auto" w:before="14"/>
        <w:ind w:left="221" w:right="1136" w:firstLine="420"/>
        <w:jc w:val="both"/>
      </w:pPr>
      <w:r>
        <w:rPr/>
        <w:t>公司利用可获得的合理且有依据的信息，包括前瞻性信息，通过比较金融工具在资产负债表日发生违约的风险与在初 始确认日发生违约的风险，以确定金融工具的信用风险自初始确认后是否已显著增加。</w:t>
      </w:r>
    </w:p>
    <w:p>
      <w:pPr>
        <w:pStyle w:val="BodyText"/>
        <w:spacing w:line="475" w:lineRule="auto" w:before="53"/>
        <w:ind w:left="221" w:right="1128" w:firstLine="420"/>
        <w:jc w:val="both"/>
      </w:pPr>
      <w:r>
        <w:rPr/>
        <w:t>于资产负债表日，若公司判断金融工具只具有较低的信用风险，则假定该金融工具的信用风险自初始确认后并未显著 增加。</w:t>
      </w:r>
    </w:p>
    <w:p>
      <w:pPr>
        <w:pStyle w:val="BodyText"/>
        <w:spacing w:line="475" w:lineRule="auto" w:before="68"/>
        <w:ind w:left="221" w:right="1136" w:firstLine="420"/>
        <w:jc w:val="both"/>
      </w:pPr>
      <w:r>
        <w:rPr/>
        <w:t>公司以单项金融工具或金融工具组合为基础评估预期信用风险和计量预期信用损失。当以金融工具组合为基础时，公 司以共同风险特征为依据，将金融工具划分为不同组合。</w:t>
      </w:r>
    </w:p>
    <w:p>
      <w:pPr>
        <w:pStyle w:val="BodyText"/>
        <w:spacing w:line="475" w:lineRule="auto" w:before="53"/>
        <w:ind w:left="221" w:right="1136" w:firstLine="420"/>
        <w:jc w:val="both"/>
      </w:pPr>
      <w:r>
        <w:rPr/>
        <w:t>公司在每个资产负债表日重新计量预期信用损失，由此形成的损失准备的增加或转回金额，作为减值损失或利得计入 </w:t>
      </w:r>
      <w:r>
        <w:rPr>
          <w:spacing w:val="-2"/>
        </w:rPr>
        <w:t>当期损益。对于以摊余成本计量的金融资产，损失准备抵减该金融资产在资产负债表中列示的账面价值；对于以公允价值计</w:t>
      </w:r>
      <w:r>
        <w:rPr>
          <w:spacing w:val="-75"/>
        </w:rPr>
        <w:t> </w:t>
      </w:r>
      <w:r>
        <w:rPr>
          <w:spacing w:val="-75"/>
        </w:rPr>
      </w:r>
      <w:r>
        <w:rPr/>
        <w:t>量且其变动计入其他综合收益的债权投资，公司在其他综合收益中确认其损失准备，不抵减该金融资产的账面价值。</w:t>
      </w:r>
    </w:p>
    <w:p>
      <w:pPr>
        <w:pStyle w:val="BodyText"/>
        <w:spacing w:line="240" w:lineRule="auto" w:before="68"/>
        <w:ind w:left="641" w:right="1108"/>
        <w:jc w:val="left"/>
      </w:pPr>
      <w:r>
        <w:rPr/>
        <w:t>②按组合评估预期信用风险和计量预期信用损失的金融工具</w:t>
      </w: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034"/>
        <w:gridCol w:w="3019"/>
        <w:gridCol w:w="3814"/>
      </w:tblGrid>
      <w:tr>
        <w:trPr>
          <w:trHeight w:val="331"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1139"/>
              <w:jc w:val="right"/>
              <w:rPr>
                <w:rFonts w:ascii="宋体" w:hAnsi="宋体" w:cs="宋体" w:eastAsia="宋体" w:hint="default"/>
                <w:sz w:val="18"/>
                <w:szCs w:val="18"/>
              </w:rPr>
            </w:pPr>
            <w:r>
              <w:rPr>
                <w:rFonts w:ascii="宋体" w:hAnsi="宋体" w:cs="宋体" w:eastAsia="宋体" w:hint="default"/>
                <w:sz w:val="18"/>
                <w:szCs w:val="18"/>
              </w:rPr>
              <w:t>项  目</w:t>
            </w:r>
          </w:p>
        </w:tc>
        <w:tc>
          <w:tcPr>
            <w:tcW w:w="30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87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901"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r>
        <w:trPr>
          <w:trHeight w:val="1456"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111"/>
              <w:jc w:val="right"/>
              <w:rPr>
                <w:rFonts w:ascii="宋体" w:hAnsi="宋体" w:cs="宋体" w:eastAsia="宋体" w:hint="default"/>
                <w:sz w:val="18"/>
                <w:szCs w:val="18"/>
              </w:rPr>
            </w:pPr>
            <w:r>
              <w:rPr>
                <w:rFonts w:ascii="宋体" w:hAnsi="宋体" w:cs="宋体" w:eastAsia="宋体" w:hint="default"/>
                <w:sz w:val="18"/>
                <w:szCs w:val="18"/>
              </w:rPr>
              <w:t>其他应收款—账龄组合</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05" w:right="107"/>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未来经济状况的预测，分别确认</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 信用损失与整个存续期预期信用损失</w:t>
            </w:r>
          </w:p>
        </w:tc>
      </w:tr>
      <w:tr>
        <w:trPr>
          <w:trHeight w:val="1501" w:hRule="exact"/>
        </w:trPr>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21" w:lineRule="auto"/>
              <w:ind w:left="105" w:right="211"/>
              <w:jc w:val="left"/>
              <w:rPr>
                <w:rFonts w:ascii="宋体" w:hAnsi="宋体" w:cs="宋体" w:eastAsia="宋体" w:hint="default"/>
                <w:sz w:val="18"/>
                <w:szCs w:val="18"/>
              </w:rPr>
            </w:pPr>
            <w:r>
              <w:rPr>
                <w:rFonts w:ascii="宋体" w:hAnsi="宋体" w:cs="宋体" w:eastAsia="宋体" w:hint="default"/>
                <w:sz w:val="18"/>
                <w:szCs w:val="18"/>
              </w:rPr>
              <w:t>其他应收款—合并范围内关联往来 组合</w:t>
            </w:r>
          </w:p>
        </w:tc>
        <w:tc>
          <w:tcPr>
            <w:tcW w:w="3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321" w:lineRule="auto"/>
              <w:ind w:left="105" w:right="107"/>
              <w:jc w:val="left"/>
              <w:rPr>
                <w:rFonts w:ascii="宋体" w:hAnsi="宋体" w:cs="宋体" w:eastAsia="宋体" w:hint="default"/>
                <w:sz w:val="18"/>
                <w:szCs w:val="18"/>
              </w:rPr>
            </w:pPr>
            <w:r>
              <w:rPr>
                <w:rFonts w:ascii="宋体" w:hAnsi="宋体" w:cs="宋体" w:eastAsia="宋体" w:hint="default"/>
                <w:spacing w:val="-1"/>
                <w:sz w:val="18"/>
                <w:szCs w:val="18"/>
              </w:rPr>
              <w:t>参考历史信用损失经验，结合当前状况以及对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未来经济状况的预测，分别确认</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个月预期 信用损失与整个存续期预期信用损失</w:t>
            </w:r>
          </w:p>
        </w:tc>
      </w:tr>
    </w:tbl>
    <w:p>
      <w:pPr>
        <w:pStyle w:val="BodyText"/>
        <w:spacing w:line="472" w:lineRule="auto" w:before="90"/>
        <w:ind w:left="641" w:right="7194"/>
        <w:jc w:val="left"/>
      </w:pPr>
      <w:r>
        <w:rPr/>
        <w:pict>
          <v:shape style="position:absolute;margin-left:51.075001pt;margin-top:46.541725pt;width:494.5pt;height:1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2"/>
                    <w:gridCol w:w="3320"/>
                    <w:gridCol w:w="4265"/>
                  </w:tblGrid>
                  <w:tr>
                    <w:trPr>
                      <w:trHeight w:val="315" w:hRule="exact"/>
                    </w:trPr>
                    <w:tc>
                      <w:tcPr>
                        <w:tcW w:w="2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9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021"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2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126" w:right="0"/>
                          <w:jc w:val="left"/>
                          <w:rPr>
                            <w:rFonts w:ascii="宋体" w:hAnsi="宋体" w:cs="宋体" w:eastAsia="宋体" w:hint="default"/>
                            <w:sz w:val="18"/>
                            <w:szCs w:val="18"/>
                          </w:rPr>
                        </w:pPr>
                        <w:r>
                          <w:rPr>
                            <w:rFonts w:ascii="宋体" w:hAnsi="宋体" w:cs="宋体" w:eastAsia="宋体" w:hint="default"/>
                            <w:sz w:val="18"/>
                            <w:szCs w:val="18"/>
                          </w:rPr>
                          <w:t>计量预期信用损失的方法</w:t>
                        </w:r>
                      </w:p>
                    </w:tc>
                  </w:tr>
                </w:tbl>
                <w:p>
                  <w:pPr/>
                </w:p>
              </w:txbxContent>
            </v:textbox>
            <w10:wrap type="none"/>
          </v:shape>
        </w:pict>
      </w:r>
      <w:r>
        <w:rPr/>
        <w:t>③</w:t>
      </w:r>
      <w:r>
        <w:rPr>
          <w:spacing w:val="-15"/>
        </w:rPr>
        <w:t> </w:t>
      </w:r>
      <w:r>
        <w:rPr/>
        <w:t>按组合计量预期信用损失的应收款项</w:t>
      </w:r>
      <w:r>
        <w:rPr/>
        <w:t> </w:t>
      </w:r>
      <w:r>
        <w:rPr>
          <w:rFonts w:ascii="宋体" w:hAnsi="宋体" w:cs="宋体" w:eastAsia="宋体" w:hint="default"/>
        </w:rPr>
        <w:t>A.</w:t>
      </w:r>
      <w:r>
        <w:rPr/>
        <w:t>具体组合及计量预期信用损失的方法</w:t>
      </w:r>
    </w:p>
    <w:p>
      <w:pPr>
        <w:spacing w:after="0" w:line="472" w:lineRule="auto"/>
        <w:jc w:val="left"/>
        <w:sectPr>
          <w:pgSz w:w="11910" w:h="16850"/>
          <w:pgMar w:header="776" w:footer="1026" w:top="1100" w:bottom="1220" w:left="920" w:right="0"/>
        </w:sectPr>
      </w:pPr>
    </w:p>
    <w:p>
      <w:pPr>
        <w:spacing w:line="240" w:lineRule="auto" w:before="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282"/>
        <w:gridCol w:w="3320"/>
        <w:gridCol w:w="4265"/>
      </w:tblGrid>
      <w:tr>
        <w:trPr>
          <w:trHeight w:val="1456"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应收票据—银行承兑汇票</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票据承兑人为信用风险较小的银行</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21" w:lineRule="auto"/>
              <w:ind w:left="104" w:right="123"/>
              <w:jc w:val="both"/>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经济状况的预测，通过违约风险敞口和整个存续期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预期信用损失率，计算预期信用损失</w:t>
            </w:r>
          </w:p>
        </w:tc>
      </w:tr>
      <w:tr>
        <w:trPr>
          <w:trHeight w:val="1367"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应收票据—商业承兑汇票</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票据承兑人为信用风险较高的公司</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104" w:right="123"/>
              <w:jc w:val="both"/>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经济状况的预测，编制账龄与整个存续期预期信用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损失率对照表，计算预期信用损失</w:t>
            </w:r>
          </w:p>
        </w:tc>
      </w:tr>
      <w:tr>
        <w:trPr>
          <w:trHeight w:val="1426"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应收账款—账龄组合</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14" w:lineRule="auto"/>
              <w:ind w:left="104" w:right="118"/>
              <w:jc w:val="both"/>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经济状况的预测，编制应收账款账龄与整个存续期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预期信用损失率对照表，计算预期信用损失</w:t>
            </w:r>
          </w:p>
        </w:tc>
      </w:tr>
      <w:tr>
        <w:trPr>
          <w:trHeight w:val="1592" w:hRule="exact"/>
        </w:trPr>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21" w:lineRule="auto"/>
              <w:ind w:left="105" w:right="75"/>
              <w:jc w:val="left"/>
              <w:rPr>
                <w:rFonts w:ascii="宋体" w:hAnsi="宋体" w:cs="宋体" w:eastAsia="宋体" w:hint="default"/>
                <w:sz w:val="18"/>
                <w:szCs w:val="18"/>
              </w:rPr>
            </w:pPr>
            <w:r>
              <w:rPr>
                <w:rFonts w:ascii="宋体" w:hAnsi="宋体" w:cs="宋体" w:eastAsia="宋体" w:hint="default"/>
                <w:spacing w:val="9"/>
                <w:sz w:val="18"/>
                <w:szCs w:val="18"/>
              </w:rPr>
              <w:t>应收账款—合并范围内关</w:t>
            </w:r>
            <w:r>
              <w:rPr>
                <w:rFonts w:ascii="宋体" w:hAnsi="宋体" w:cs="宋体" w:eastAsia="宋体" w:hint="default"/>
                <w:sz w:val="18"/>
                <w:szCs w:val="18"/>
              </w:rPr>
              <w:t> 联往来组合</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合并范围内的关联方欠款</w:t>
            </w:r>
          </w:p>
        </w:tc>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left="104" w:right="123"/>
              <w:jc w:val="both"/>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经济状况的预测，通过违约风险敞口和整个存续期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预期信用损失率，计算预期信用损失</w:t>
            </w:r>
          </w:p>
        </w:tc>
      </w:tr>
    </w:tbl>
    <w:p>
      <w:pPr>
        <w:pStyle w:val="BodyText"/>
        <w:spacing w:line="240" w:lineRule="auto" w:before="89"/>
        <w:ind w:left="641" w:right="1108"/>
        <w:jc w:val="left"/>
      </w:pPr>
      <w:r>
        <w:rPr>
          <w:rFonts w:ascii="等线" w:hAnsi="等线" w:cs="等线" w:eastAsia="等线" w:hint="default"/>
        </w:rPr>
        <w:t>B.</w:t>
      </w:r>
      <w:r>
        <w:rPr/>
        <w:t>应收账款</w:t>
      </w:r>
      <w:r>
        <w:rPr>
          <w:rFonts w:ascii="Times New Roman" w:hAnsi="Times New Roman" w:cs="Times New Roman" w:eastAsia="Times New Roman" w:hint="default"/>
        </w:rPr>
        <w:t>——</w:t>
      </w:r>
      <w:r>
        <w:rPr/>
        <w:t>信用风险组合的账龄与整个存续期预期信用损失率对照表</w:t>
      </w: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220"/>
        <w:gridCol w:w="5647"/>
      </w:tblGrid>
      <w:tr>
        <w:trPr>
          <w:trHeight w:val="315" w:hRule="exact"/>
        </w:trPr>
        <w:tc>
          <w:tcPr>
            <w:tcW w:w="42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629" w:val="left" w:leader="none"/>
              </w:tabs>
              <w:spacing w:line="240" w:lineRule="exact"/>
              <w:ind w:left="20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56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left="1501" w:right="0"/>
              <w:jc w:val="left"/>
              <w:rPr>
                <w:rFonts w:ascii="宋体" w:hAnsi="宋体" w:cs="宋体" w:eastAsia="宋体" w:hint="default"/>
                <w:sz w:val="21"/>
                <w:szCs w:val="21"/>
              </w:rPr>
            </w:pPr>
            <w:r>
              <w:rPr>
                <w:rFonts w:ascii="宋体" w:hAnsi="宋体" w:cs="宋体" w:eastAsia="宋体" w:hint="default"/>
                <w:sz w:val="21"/>
                <w:szCs w:val="21"/>
              </w:rPr>
              <w:t>应收账款预期信用损失率</w:t>
            </w:r>
            <w:r>
              <w:rPr>
                <w:rFonts w:ascii="宋体" w:hAnsi="宋体" w:cs="宋体" w:eastAsia="宋体" w:hint="default"/>
                <w:sz w:val="21"/>
                <w:szCs w:val="21"/>
              </w:rPr>
              <w:t>(%)</w:t>
            </w:r>
          </w:p>
        </w:tc>
      </w:tr>
      <w:tr>
        <w:trPr>
          <w:trHeight w:val="315"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年以内（含，下同）</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3"/>
              <w:jc w:val="right"/>
              <w:rPr>
                <w:rFonts w:ascii="宋体" w:hAnsi="宋体" w:cs="宋体" w:eastAsia="宋体" w:hint="default"/>
                <w:sz w:val="21"/>
                <w:szCs w:val="21"/>
              </w:rPr>
            </w:pPr>
            <w:r>
              <w:rPr>
                <w:rFonts w:ascii="宋体"/>
                <w:sz w:val="21"/>
              </w:rPr>
              <w:t>3.00</w:t>
            </w:r>
          </w:p>
        </w:tc>
      </w:tr>
      <w:tr>
        <w:trPr>
          <w:trHeight w:val="330"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3"/>
              <w:jc w:val="right"/>
              <w:rPr>
                <w:rFonts w:ascii="宋体" w:hAnsi="宋体" w:cs="宋体" w:eastAsia="宋体" w:hint="default"/>
                <w:sz w:val="21"/>
                <w:szCs w:val="21"/>
              </w:rPr>
            </w:pPr>
            <w:r>
              <w:rPr>
                <w:rFonts w:ascii="宋体"/>
                <w:sz w:val="21"/>
              </w:rPr>
              <w:t>10.00</w:t>
            </w:r>
          </w:p>
        </w:tc>
      </w:tr>
      <w:tr>
        <w:trPr>
          <w:trHeight w:val="316"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3"/>
              <w:jc w:val="right"/>
              <w:rPr>
                <w:rFonts w:ascii="宋体" w:hAnsi="宋体" w:cs="宋体" w:eastAsia="宋体" w:hint="default"/>
                <w:sz w:val="21"/>
                <w:szCs w:val="21"/>
              </w:rPr>
            </w:pPr>
            <w:r>
              <w:rPr>
                <w:rFonts w:ascii="宋体"/>
                <w:sz w:val="21"/>
              </w:rPr>
              <w:t>20.00</w:t>
            </w:r>
          </w:p>
        </w:tc>
      </w:tr>
      <w:tr>
        <w:trPr>
          <w:trHeight w:val="331"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03"/>
              <w:jc w:val="right"/>
              <w:rPr>
                <w:rFonts w:ascii="宋体" w:hAnsi="宋体" w:cs="宋体" w:eastAsia="宋体" w:hint="default"/>
                <w:sz w:val="21"/>
                <w:szCs w:val="21"/>
              </w:rPr>
            </w:pPr>
            <w:r>
              <w:rPr>
                <w:rFonts w:ascii="宋体"/>
                <w:sz w:val="21"/>
              </w:rPr>
              <w:t>50.00</w:t>
            </w:r>
          </w:p>
        </w:tc>
      </w:tr>
      <w:tr>
        <w:trPr>
          <w:trHeight w:val="315"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3"/>
              <w:jc w:val="right"/>
              <w:rPr>
                <w:rFonts w:ascii="宋体" w:hAnsi="宋体" w:cs="宋体" w:eastAsia="宋体" w:hint="default"/>
                <w:sz w:val="21"/>
                <w:szCs w:val="21"/>
              </w:rPr>
            </w:pPr>
            <w:r>
              <w:rPr>
                <w:rFonts w:ascii="宋体"/>
                <w:sz w:val="21"/>
              </w:rPr>
              <w:t>50.00</w:t>
            </w:r>
          </w:p>
        </w:tc>
      </w:tr>
      <w:tr>
        <w:trPr>
          <w:trHeight w:val="315"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年以上</w:t>
            </w:r>
          </w:p>
        </w:tc>
        <w:tc>
          <w:tcPr>
            <w:tcW w:w="564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103"/>
              <w:jc w:val="right"/>
              <w:rPr>
                <w:rFonts w:ascii="宋体" w:hAnsi="宋体" w:cs="宋体" w:eastAsia="宋体" w:hint="default"/>
                <w:sz w:val="21"/>
                <w:szCs w:val="21"/>
              </w:rPr>
            </w:pPr>
            <w:r>
              <w:rPr>
                <w:rFonts w:ascii="宋体"/>
                <w:sz w:val="21"/>
              </w:rPr>
              <w:t>100.00</w:t>
            </w:r>
          </w:p>
        </w:tc>
      </w:tr>
    </w:tbl>
    <w:p>
      <w:pPr>
        <w:pStyle w:val="Heading3"/>
        <w:spacing w:line="240" w:lineRule="auto" w:before="69"/>
        <w:ind w:left="221" w:right="1108"/>
        <w:jc w:val="left"/>
        <w:rPr>
          <w:b w:val="0"/>
          <w:bCs w:val="0"/>
        </w:rPr>
      </w:pPr>
      <w:r>
        <w:rPr/>
        <w:t>（</w:t>
      </w:r>
      <w:r>
        <w:rPr>
          <w:rFonts w:ascii="宋体" w:hAnsi="宋体" w:cs="宋体" w:eastAsia="宋体" w:hint="default"/>
        </w:rPr>
        <w:t>6</w:t>
      </w:r>
      <w:r>
        <w:rPr/>
        <w:t>）金融资产和金融负债的抵销</w:t>
      </w:r>
      <w:r>
        <w:rPr>
          <w:b w:val="0"/>
          <w:bCs w:val="0"/>
        </w:rPr>
      </w:r>
    </w:p>
    <w:p>
      <w:pPr>
        <w:spacing w:line="240" w:lineRule="auto" w:before="3"/>
        <w:rPr>
          <w:rFonts w:ascii="宋体" w:hAnsi="宋体" w:cs="宋体" w:eastAsia="宋体" w:hint="default"/>
          <w:b/>
          <w:bCs/>
          <w:sz w:val="17"/>
          <w:szCs w:val="17"/>
        </w:rPr>
      </w:pPr>
    </w:p>
    <w:p>
      <w:pPr>
        <w:pStyle w:val="BodyText"/>
        <w:spacing w:line="475" w:lineRule="auto"/>
        <w:ind w:left="221" w:right="1125" w:firstLine="420"/>
        <w:jc w:val="both"/>
      </w:pPr>
      <w:r>
        <w:rPr/>
        <w:t>金融资产和金融负债在资产负债表内分别列示，不相互抵销。但同时满足下列条件的，公司以相互抵销后的净额在资 产负债表内列示：①公司具有抵销已确认金额的法定权利，且该种法定权利是当前可执行的；②</w:t>
      </w:r>
      <w:r>
        <w:rPr>
          <w:spacing w:val="6"/>
        </w:rPr>
        <w:t> </w:t>
      </w:r>
      <w:r>
        <w:rPr/>
        <w:t>公司计划以净额结算，或</w:t>
      </w:r>
      <w:r>
        <w:rPr/>
        <w:t> 同时变现该金融资产和清偿该金融负债。</w:t>
      </w:r>
    </w:p>
    <w:p>
      <w:pPr>
        <w:pStyle w:val="BodyText"/>
        <w:spacing w:line="240" w:lineRule="auto" w:before="53"/>
        <w:ind w:left="641" w:right="1108"/>
        <w:jc w:val="left"/>
      </w:pPr>
      <w:r>
        <w:rPr/>
        <w:t>不满足终止确认条件的金融资产转移，公司不对已转移的金融资产和相关负债进行抵销。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left="221" w:right="1108"/>
        <w:jc w:val="left"/>
        <w:rPr>
          <w:b w:val="0"/>
          <w:bCs w:val="0"/>
        </w:rPr>
      </w:pPr>
      <w:bookmarkStart w:name="11、应收票据" w:id="181"/>
      <w:bookmarkEnd w:id="18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240" w:lineRule="auto"/>
        <w:ind w:left="221" w:right="1108"/>
        <w:jc w:val="left"/>
      </w:pPr>
      <w:r>
        <w:rPr/>
        <w:t>详见</w:t>
      </w:r>
      <w:r>
        <w:rPr>
          <w:rFonts w:ascii="宋体" w:hAnsi="宋体" w:cs="宋体" w:eastAsia="宋体" w:hint="default"/>
        </w:rPr>
        <w:t>10</w:t>
      </w:r>
      <w:r>
        <w:rPr/>
        <w:t>、金融工具中应收票据的预期信用损失的确定方法及会计处理方法。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left="221" w:right="1108"/>
        <w:jc w:val="left"/>
        <w:rPr>
          <w:b w:val="0"/>
          <w:bCs w:val="0"/>
        </w:rPr>
      </w:pPr>
      <w:bookmarkStart w:name="12、应收账款" w:id="182"/>
      <w:bookmarkEnd w:id="18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221" w:right="1108"/>
        <w:jc w:val="left"/>
      </w:pPr>
      <w:r>
        <w:rPr/>
        <w:t>详见</w:t>
      </w:r>
      <w:r>
        <w:rPr>
          <w:rFonts w:ascii="宋体" w:hAnsi="宋体" w:cs="宋体" w:eastAsia="宋体" w:hint="default"/>
        </w:rPr>
        <w:t>10</w:t>
      </w:r>
      <w:r>
        <w:rPr/>
        <w:t>、金融工具中应收账款的预期信用损失的确定方法及会计处理方法。</w:t>
      </w:r>
    </w:p>
    <w:p>
      <w:pPr>
        <w:spacing w:after="0" w:line="240" w:lineRule="auto"/>
        <w:jc w:val="left"/>
        <w:sectPr>
          <w:pgSz w:w="11910" w:h="16850"/>
          <w:pgMar w:header="776" w:footer="1026" w:top="1100" w:bottom="1220" w:left="92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13、应收款项融资" w:id="183"/>
      <w:bookmarkEnd w:id="183"/>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4、其他应收款" w:id="184"/>
      <w:bookmarkEnd w:id="184"/>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其他应收款的预期信用损失的确定方法及会计处理方法</w:t>
      </w:r>
    </w:p>
    <w:p>
      <w:pPr>
        <w:spacing w:line="240" w:lineRule="auto" w:before="11"/>
        <w:rPr>
          <w:rFonts w:ascii="宋体" w:hAnsi="宋体" w:cs="宋体" w:eastAsia="宋体" w:hint="default"/>
          <w:sz w:val="19"/>
          <w:szCs w:val="19"/>
        </w:rPr>
      </w:pPr>
    </w:p>
    <w:p>
      <w:pPr>
        <w:pStyle w:val="BodyText"/>
        <w:spacing w:line="240" w:lineRule="auto"/>
        <w:ind w:right="0"/>
        <w:jc w:val="left"/>
      </w:pPr>
      <w:r>
        <w:rPr/>
        <w:t>详见</w:t>
      </w:r>
      <w:r>
        <w:rPr>
          <w:spacing w:val="-45"/>
        </w:rPr>
        <w:t> </w:t>
      </w:r>
      <w:r>
        <w:rPr>
          <w:rFonts w:ascii="Times New Roman" w:hAnsi="Times New Roman" w:cs="Times New Roman" w:eastAsia="Times New Roman" w:hint="default"/>
        </w:rPr>
        <w:t>10</w:t>
      </w:r>
      <w:r>
        <w:rPr/>
        <w:t>、金融工具中其他应收款的预期信用损失的确定方法及会计处理方法。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5、存货" w:id="185"/>
      <w:bookmarkEnd w:id="185"/>
      <w:r>
        <w:rPr>
          <w:b w:val="0"/>
          <w:bCs w:val="0"/>
        </w:rPr>
      </w:r>
      <w:r>
        <w:rPr>
          <w:rFonts w:ascii="Times New Roman" w:hAnsi="Times New Roman" w:cs="Times New Roman" w:eastAsia="Times New Roman" w:hint="default"/>
        </w:rPr>
        <w:t>15</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58" w:lineRule="auto"/>
        <w:ind w:right="1135" w:firstLine="360"/>
        <w:jc w:val="both"/>
      </w:pPr>
      <w:r>
        <w:rPr>
          <w:spacing w:val="-2"/>
        </w:rPr>
        <w:t>存货包括在日常活动中持有以备出售的产成品或商品、处在生产过程中的在产品、在生产过程或提供劳务过程中耗用的</w:t>
      </w:r>
      <w:r>
        <w:rPr/>
        <w:t> 材料和物料等。</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501" w:right="0"/>
        <w:jc w:val="left"/>
      </w:pPr>
      <w:r>
        <w:rPr/>
        <w:t>用于生产和销售的存货发出采用月末一次加权平均法计价，用于工程领用的存货发出采用先进先出法计价。</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5" w:lineRule="auto"/>
        <w:ind w:right="1132" w:firstLine="360"/>
        <w:jc w:val="both"/>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w:t>
      </w:r>
      <w:r>
        <w:rPr>
          <w:spacing w:val="-7"/>
        </w:rPr>
        <w:t> </w:t>
      </w:r>
      <w:r>
        <w:rPr>
          <w:spacing w:val="-7"/>
        </w:rPr>
      </w:r>
      <w:r>
        <w:rPr>
          <w:spacing w:val="-2"/>
        </w:rPr>
        <w:t>值；需要经过加工的存货，在正常生产经营过程中以所生产的产成品的估计售价减去至完工时估计将要发生的成本、估计的</w:t>
      </w:r>
      <w:r>
        <w:rPr>
          <w:spacing w:val="-71"/>
        </w:rPr>
        <w:t> </w:t>
      </w:r>
      <w:r>
        <w:rPr>
          <w:spacing w:val="-71"/>
        </w:rPr>
      </w:r>
      <w:r>
        <w:rPr>
          <w:spacing w:val="-2"/>
        </w:rPr>
        <w:t>销售费用和相关税费后的金额确定其可变现净值；资产负债表日，同一项存货中一部分有合同价格约定、其他部分不存在合</w:t>
      </w:r>
      <w:r>
        <w:rPr>
          <w:spacing w:val="-75"/>
        </w:rPr>
        <w:t> </w:t>
      </w:r>
      <w:r>
        <w:rPr>
          <w:spacing w:val="-75"/>
        </w:rPr>
      </w:r>
      <w:r>
        <w:rPr/>
        <w:t>同价格的，分别确定其可变现净值，并与其对应的成本进行比较，分别确定存货跌价准备的计提或转回的金额。</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501" w:right="0"/>
        <w:jc w:val="left"/>
      </w:pPr>
      <w:r>
        <w:rPr/>
        <w:t>存货的盘存制度为永续盘存制。</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591" w:right="0"/>
        <w:jc w:val="left"/>
      </w:pPr>
      <w:r>
        <w:rPr/>
        <w:t>①</w:t>
      </w:r>
      <w:r>
        <w:rPr>
          <w:spacing w:val="-15"/>
        </w:rPr>
        <w:t> </w:t>
      </w:r>
      <w:r>
        <w:rPr/>
        <w:t>低值易耗品</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591" w:right="0"/>
        <w:jc w:val="left"/>
      </w:pPr>
      <w:r>
        <w:rPr/>
        <w:t>按照一次转销法进行摊销。</w:t>
      </w:r>
    </w:p>
    <w:p>
      <w:pPr>
        <w:spacing w:line="240" w:lineRule="auto" w:before="0"/>
        <w:rPr>
          <w:rFonts w:ascii="宋体" w:hAnsi="宋体" w:cs="宋体" w:eastAsia="宋体" w:hint="default"/>
          <w:sz w:val="21"/>
          <w:szCs w:val="21"/>
        </w:rPr>
      </w:pPr>
    </w:p>
    <w:p>
      <w:pPr>
        <w:pStyle w:val="BodyText"/>
        <w:spacing w:line="520" w:lineRule="auto"/>
        <w:ind w:left="591" w:right="8139"/>
        <w:jc w:val="left"/>
      </w:pPr>
      <w:r>
        <w:rPr/>
        <w:t>②包装物 按照一次转销法进行摊销。</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16、合同资产" w:id="186"/>
      <w:bookmarkEnd w:id="186"/>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17、合同成本" w:id="187"/>
      <w:bookmarkEnd w:id="187"/>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8、持有待售资产" w:id="188"/>
      <w:bookmarkEnd w:id="188"/>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19、债权投资" w:id="189"/>
      <w:bookmarkEnd w:id="189"/>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0、其他债权投资" w:id="190"/>
      <w:bookmarkEnd w:id="190"/>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1、长期应收款" w:id="191"/>
      <w:bookmarkEnd w:id="191"/>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2、长期股权投资" w:id="192"/>
      <w:bookmarkEnd w:id="192"/>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）共同控制、重要影响的判断</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5" w:lineRule="auto"/>
        <w:ind w:right="1137" w:firstLine="360"/>
        <w:jc w:val="both"/>
      </w:pPr>
      <w:r>
        <w:rPr>
          <w:spacing w:val="-2"/>
        </w:rPr>
        <w:t>按照相关约定对某项安排所共有的控制，并且该安排的相关活动必须经过分享控制权的参与方一致同意后才能决策，认</w:t>
      </w:r>
      <w:r>
        <w:rPr/>
        <w:t> </w:t>
      </w:r>
      <w:r>
        <w:rPr>
          <w:spacing w:val="-2"/>
        </w:rPr>
        <w:t>定为共同控制。对被投资单位的财务和经营政策有参与决策的权力，但并不能够控制或者与其他方一起共同控制这些政策的</w:t>
      </w:r>
      <w:r>
        <w:rPr>
          <w:spacing w:val="-72"/>
        </w:rPr>
        <w:t> </w:t>
      </w:r>
      <w:r>
        <w:rPr>
          <w:spacing w:val="-72"/>
        </w:rPr>
      </w:r>
      <w:r>
        <w:rPr/>
        <w:t>制定，认定为重大影响。</w:t>
      </w:r>
    </w:p>
    <w:p>
      <w:pPr>
        <w:spacing w:after="0" w:line="475" w:lineRule="auto"/>
        <w:jc w:val="both"/>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r>
        <w:rPr/>
        <w:t>（</w:t>
      </w:r>
      <w:r>
        <w:rPr>
          <w:rFonts w:ascii="宋体" w:hAnsi="宋体" w:cs="宋体" w:eastAsia="宋体" w:hint="default"/>
        </w:rPr>
        <w:t>2</w:t>
      </w:r>
      <w:r>
        <w:rPr/>
        <w:t>）投资成本的确定</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75" w:lineRule="auto"/>
        <w:ind w:right="996" w:firstLine="450"/>
        <w:jc w:val="left"/>
      </w:pPr>
      <w:r>
        <w:rPr>
          <w:spacing w:val="-2"/>
        </w:rPr>
        <w:t>①同一控制下的企业合并形成的，合并方以支付现金、转让非现金资产、承担债务或发行权益性证券作为合并对价的，</w:t>
      </w:r>
      <w:r>
        <w:rPr/>
        <w:t> </w:t>
      </w:r>
      <w:r>
        <w:rPr>
          <w:spacing w:val="-2"/>
        </w:rPr>
        <w:t>在合并日按照取得被合并方所有者权益在最终控制方合并财务报表中的账面价值的份额作为其初始投资成本。长期股权投资</w:t>
      </w:r>
      <w:r>
        <w:rPr>
          <w:spacing w:val="-58"/>
        </w:rPr>
        <w:t> </w:t>
      </w:r>
      <w:r>
        <w:rPr>
          <w:spacing w:val="-58"/>
        </w:rPr>
      </w:r>
      <w:r>
        <w:rPr>
          <w:spacing w:val="-2"/>
        </w:rPr>
        <w:t>初始投资成本与支付的合并对价的账面价值或发行股份的面值总额之间的差额调整资本公积；资本公积不足冲减的，调整留</w:t>
      </w:r>
      <w:r>
        <w:rPr>
          <w:spacing w:val="-72"/>
        </w:rPr>
        <w:t> </w:t>
      </w:r>
      <w:r>
        <w:rPr>
          <w:spacing w:val="-72"/>
        </w:rPr>
      </w:r>
      <w:r>
        <w:rPr/>
        <w:t>存收益。</w:t>
      </w:r>
    </w:p>
    <w:p>
      <w:pPr>
        <w:pStyle w:val="BodyText"/>
        <w:spacing w:line="458" w:lineRule="auto" w:before="113"/>
        <w:ind w:right="1104" w:firstLine="375"/>
        <w:jc w:val="both"/>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1"/>
        </w:rPr>
        <w:t>的，把各项交易作为一项取得控制权的交易进行会计处理。不属于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的，在合并日，根据合并后应享有被合并方</w:t>
      </w:r>
      <w:r>
        <w:rPr>
          <w:spacing w:val="-83"/>
        </w:rPr>
        <w:t> </w:t>
      </w:r>
      <w:r>
        <w:rPr>
          <w:spacing w:val="-83"/>
        </w:rPr>
      </w:r>
      <w:r>
        <w:rPr>
          <w:spacing w:val="-2"/>
        </w:rPr>
        <w:t>净资产在最终控制方合并财务报表中的账面价值的份额确定初始投资成本。合并日长期股权投资的初始投资成本，与达到合</w:t>
      </w:r>
      <w:r>
        <w:rPr>
          <w:spacing w:val="-71"/>
        </w:rPr>
        <w:t> </w:t>
      </w:r>
      <w:r>
        <w:rPr>
          <w:spacing w:val="-71"/>
        </w:rPr>
      </w:r>
      <w:r>
        <w:rPr>
          <w:spacing w:val="-2"/>
        </w:rPr>
        <w:t>并前的长期股权投资账面价值加上合并日进一步取得股份新支付对价的账面价值之和的差额，调整资本公积；资本公积不足</w:t>
      </w:r>
      <w:r>
        <w:rPr>
          <w:spacing w:val="-72"/>
        </w:rPr>
        <w:t> </w:t>
      </w:r>
      <w:r>
        <w:rPr>
          <w:spacing w:val="-72"/>
        </w:rPr>
      </w:r>
      <w:r>
        <w:rPr/>
        <w:t>冲减的，调整留存收益。</w:t>
      </w:r>
    </w:p>
    <w:p>
      <w:pPr>
        <w:pStyle w:val="BodyText"/>
        <w:spacing w:line="240" w:lineRule="auto" w:before="111"/>
        <w:ind w:left="516" w:right="0"/>
        <w:jc w:val="left"/>
      </w:pPr>
      <w:r>
        <w:rPr/>
        <w:t>②</w:t>
      </w:r>
      <w:r>
        <w:rPr>
          <w:spacing w:val="-15"/>
        </w:rPr>
        <w:t> </w:t>
      </w:r>
      <w:r>
        <w:rPr/>
        <w:t>非同一控制下的企业合并形成的，在购买日按照支付的合并对价的公允价值作为其初始投资成本。</w:t>
      </w:r>
    </w:p>
    <w:p>
      <w:pPr>
        <w:spacing w:line="240" w:lineRule="auto" w:before="2"/>
        <w:rPr>
          <w:rFonts w:ascii="宋体" w:hAnsi="宋体" w:cs="宋体" w:eastAsia="宋体" w:hint="default"/>
          <w:sz w:val="22"/>
          <w:szCs w:val="22"/>
        </w:rPr>
      </w:pPr>
    </w:p>
    <w:p>
      <w:pPr>
        <w:pStyle w:val="BodyText"/>
        <w:spacing w:line="458" w:lineRule="auto"/>
        <w:ind w:right="1118"/>
        <w:jc w:val="left"/>
      </w:pPr>
      <w:r>
        <w:rPr>
          <w:spacing w:val="-2"/>
        </w:rPr>
        <w:t>公司通过多次交易分步实现非同一控制下企业合并形成的长期股权投资，区分个别财务报表和合并财务报表进行相关会计处</w:t>
      </w:r>
      <w:r>
        <w:rPr>
          <w:spacing w:val="-58"/>
        </w:rPr>
        <w:t> </w:t>
      </w:r>
      <w:r>
        <w:rPr>
          <w:spacing w:val="-58"/>
        </w:rPr>
      </w:r>
      <w:r>
        <w:rPr/>
        <w:t>理：</w:t>
      </w:r>
    </w:p>
    <w:p>
      <w:pPr>
        <w:pStyle w:val="BodyText"/>
        <w:spacing w:line="434" w:lineRule="auto" w:before="126"/>
        <w:ind w:right="1115" w:firstLine="300"/>
        <w:jc w:val="both"/>
      </w:pPr>
      <w:r>
        <w:rPr>
          <w:rFonts w:ascii="Times New Roman" w:hAnsi="Times New Roman" w:cs="Times New Roman" w:eastAsia="Times New Roman" w:hint="default"/>
          <w:spacing w:val="2"/>
        </w:rPr>
        <w:t>A</w:t>
      </w:r>
      <w:r>
        <w:rPr>
          <w:spacing w:val="2"/>
        </w:rPr>
        <w:t>、</w:t>
      </w:r>
      <w:r>
        <w:rPr>
          <w:spacing w:val="-53"/>
        </w:rPr>
        <w:t> </w:t>
      </w:r>
      <w:r>
        <w:rPr/>
        <w:t>在个别财务报表中，按照原持有的股权投资的账面价值加上新增投资成本之和，作为改按成本法核算的初始投资成</w:t>
      </w:r>
      <w:r>
        <w:rPr/>
        <w:t> 本。</w:t>
      </w:r>
    </w:p>
    <w:p>
      <w:pPr>
        <w:pStyle w:val="BodyText"/>
        <w:spacing w:line="460" w:lineRule="auto" w:before="144"/>
        <w:ind w:right="1102" w:firstLine="300"/>
        <w:jc w:val="both"/>
      </w:pPr>
      <w:r>
        <w:rPr>
          <w:rFonts w:ascii="Times New Roman" w:hAnsi="Times New Roman" w:cs="Times New Roman" w:eastAsia="Times New Roman" w:hint="default"/>
        </w:rPr>
        <w:t>B</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 </w:t>
      </w:r>
      <w:r>
        <w:rPr>
          <w:spacing w:val="-1"/>
        </w:rPr>
        <w:t>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的，对于购买日之前持有的被购买方的股权，按照该股权在购买日的公允价值进行重新计</w:t>
      </w:r>
      <w:r>
        <w:rPr>
          <w:spacing w:val="-72"/>
        </w:rPr>
        <w:t> </w:t>
      </w:r>
      <w:r>
        <w:rPr>
          <w:spacing w:val="-72"/>
        </w:rPr>
      </w:r>
      <w:r>
        <w:rPr>
          <w:spacing w:val="-2"/>
        </w:rPr>
        <w:t>量，公允价值与其账面价值的差额计入当期投资收益；购买日之前持有的被购买方的股权涉及权益法核算下的其他综合收益</w:t>
      </w:r>
      <w:r>
        <w:rPr>
          <w:spacing w:val="-72"/>
        </w:rPr>
        <w:t> </w:t>
      </w:r>
      <w:r>
        <w:rPr>
          <w:spacing w:val="-72"/>
        </w:rPr>
      </w:r>
      <w:r>
        <w:rPr>
          <w:spacing w:val="-2"/>
        </w:rPr>
        <w:t>等的，与其相关的其他综合收益等转为购买日所属当期收益。但由于被投资方重新计量设定受益计划净负债或净资产变动而</w:t>
      </w:r>
      <w:r>
        <w:rPr>
          <w:spacing w:val="-72"/>
        </w:rPr>
        <w:t> </w:t>
      </w:r>
      <w:r>
        <w:rPr>
          <w:spacing w:val="-72"/>
        </w:rPr>
      </w:r>
      <w:r>
        <w:rPr/>
        <w:t>产生的其他综合收益除外。</w:t>
      </w:r>
    </w:p>
    <w:p>
      <w:pPr>
        <w:pStyle w:val="BodyText"/>
        <w:spacing w:line="453" w:lineRule="auto" w:before="124"/>
        <w:ind w:right="994" w:firstLine="375"/>
        <w:jc w:val="left"/>
      </w:pPr>
      <w:r>
        <w:rPr>
          <w:spacing w:val="-2"/>
        </w:rPr>
        <w:t>③除企业合并形成以外的：以支付现金取得的，按照实际支付的购买价款作为其初始投资成本；以发行权益性证券取得</w:t>
      </w:r>
      <w:r>
        <w:rPr/>
        <w:t> </w:t>
      </w:r>
      <w:r>
        <w:rPr>
          <w:spacing w:val="-4"/>
        </w:rPr>
        <w:t>的，按照发行权益性证券的公允价值作为其初始投资成本；以债务重组方式取得的，按《企业会计准则第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债务重组》</w:t>
      </w:r>
      <w:r>
        <w:rPr>
          <w:spacing w:val="-36"/>
        </w:rPr>
        <w:t> </w:t>
      </w:r>
      <w:r>
        <w:rPr>
          <w:spacing w:val="-1"/>
        </w:rPr>
        <w:t>确定其初始投资成本；以非货币性资产交换取得的，按《企业会计准则第</w:t>
      </w:r>
      <w:r>
        <w:rPr>
          <w:rFonts w:ascii="Times New Roman" w:hAnsi="Times New Roman" w:cs="Times New Roman" w:eastAsia="Times New Roman" w:hint="default"/>
          <w:spacing w:val="-1"/>
        </w:rPr>
        <w:t>7</w:t>
      </w:r>
      <w:r>
        <w:rPr>
          <w:spacing w:val="-1"/>
        </w:rPr>
        <w:t>号</w:t>
      </w:r>
      <w:r>
        <w:rPr>
          <w:rFonts w:ascii="Times New Roman" w:hAnsi="Times New Roman" w:cs="Times New Roman" w:eastAsia="Times New Roman" w:hint="default"/>
          <w:spacing w:val="-1"/>
        </w:rPr>
        <w:t>——</w:t>
      </w:r>
      <w:r>
        <w:rPr>
          <w:spacing w:val="-1"/>
        </w:rPr>
        <w:t>非货币性资产交换》确定其初始投资成本。</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t>（</w:t>
      </w:r>
      <w:r>
        <w:rPr>
          <w:rFonts w:ascii="宋体" w:hAnsi="宋体" w:cs="宋体" w:eastAsia="宋体" w:hint="default"/>
        </w:rPr>
        <w:t>3</w:t>
      </w:r>
      <w:r>
        <w:rPr/>
        <w:t>）后续计量及损益确认方法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ind w:left="501" w:right="0"/>
        <w:jc w:val="left"/>
      </w:pPr>
      <w:r>
        <w:rPr/>
        <w:t>对被投资单位实施控制的长期股权投资采用成本法核算；对联营企业和合营企业的长期股权投资，采用权益法核算。</w:t>
      </w:r>
    </w:p>
    <w:p>
      <w:pPr>
        <w:spacing w:after="0" w:line="240" w:lineRule="auto"/>
        <w:jc w:val="left"/>
        <w:sectPr>
          <w:pgSz w:w="11910" w:h="16850"/>
          <w:pgMar w:header="776" w:footer="1026" w:top="1100" w:bottom="1220" w:left="1000" w:right="0"/>
        </w:sectPr>
      </w:pP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23、投资性房地产" w:id="193"/>
      <w:bookmarkEnd w:id="193"/>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10"/>
        <w:rPr>
          <w:rFonts w:ascii="宋体" w:hAnsi="宋体" w:cs="宋体" w:eastAsia="宋体" w:hint="default"/>
          <w:b/>
          <w:bCs/>
          <w:sz w:val="29"/>
          <w:szCs w:val="29"/>
        </w:rPr>
      </w:pPr>
    </w:p>
    <w:p>
      <w:pPr>
        <w:pStyle w:val="BodyText"/>
        <w:spacing w:line="520" w:lineRule="auto"/>
        <w:ind w:right="8949"/>
        <w:jc w:val="left"/>
      </w:pPr>
      <w:r>
        <w:rPr/>
        <w:t>投资性房地产计量模式 成本法计量 折旧或摊销方法</w:t>
      </w:r>
    </w:p>
    <w:p>
      <w:pPr>
        <w:pStyle w:val="BodyText"/>
        <w:spacing w:line="240" w:lineRule="auto" w:before="64"/>
        <w:ind w:right="0"/>
        <w:jc w:val="left"/>
      </w:pPr>
      <w:r>
        <w:rPr/>
        <w:t>（</w:t>
      </w: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spacing w:line="240" w:lineRule="auto" w:before="9"/>
        <w:rPr>
          <w:rFonts w:ascii="宋体" w:hAnsi="宋体" w:cs="宋体" w:eastAsia="宋体" w:hint="default"/>
          <w:sz w:val="17"/>
          <w:szCs w:val="17"/>
        </w:rPr>
      </w:pPr>
    </w:p>
    <w:p>
      <w:pPr>
        <w:pStyle w:val="BodyText"/>
        <w:spacing w:line="448" w:lineRule="auto"/>
        <w:ind w:right="1119"/>
        <w:jc w:val="left"/>
      </w:pPr>
      <w:r>
        <w:rPr/>
        <w:t>（</w:t>
      </w:r>
      <w:r>
        <w:rPr>
          <w:rFonts w:ascii="Times New Roman" w:hAnsi="Times New Roman" w:cs="Times New Roman" w:eastAsia="Times New Roman" w:hint="default"/>
        </w:rPr>
        <w:t>2</w:t>
      </w:r>
      <w:r>
        <w:rPr/>
        <w:t>）投资性房地产按照成本进行初始计量，采用成本模式进行后续计量，并采用与固定资产和无形资产相同的方法计提折 旧或进行摊销。</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4、固定资产" w:id="194"/>
      <w:bookmarkEnd w:id="194"/>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72" w:lineRule="auto"/>
        <w:ind w:right="0"/>
        <w:jc w:val="left"/>
      </w:pPr>
      <w:r>
        <w:rPr>
          <w:spacing w:val="-2"/>
        </w:rPr>
        <w:t>固定资产是指为生产商品、提供劳务、出租或经营管理而持有的，使用年限超过一个会计年度的有形资产。固定资产在同时</w:t>
      </w:r>
      <w:r>
        <w:rPr>
          <w:spacing w:val="-42"/>
        </w:rPr>
        <w:t> </w:t>
      </w:r>
      <w:r>
        <w:rPr>
          <w:spacing w:val="-42"/>
        </w:rPr>
      </w:r>
      <w:r>
        <w:rPr/>
        <w:t>满足经济利益很可能流入、成本能够可靠计量时予以确认。</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2.375-4.75</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19.00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研发及生产检测设备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宋体" w:hAnsi="宋体" w:cs="宋体" w:eastAsia="宋体" w:hint="default"/>
          <w:b/>
          <w:bCs/>
          <w:sz w:val="25"/>
          <w:szCs w:val="25"/>
        </w:rPr>
      </w:pPr>
    </w:p>
    <w:p>
      <w:pPr>
        <w:pStyle w:val="Heading3"/>
        <w:spacing w:line="240" w:lineRule="auto" w:before="35"/>
        <w:ind w:right="0"/>
        <w:jc w:val="left"/>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5、在建工程" w:id="195"/>
      <w:bookmarkEnd w:id="195"/>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34" w:lineRule="auto"/>
        <w:ind w:right="1119"/>
        <w:jc w:val="left"/>
      </w:pPr>
      <w:r>
        <w:rPr/>
        <w:t>（</w:t>
      </w:r>
      <w:r>
        <w:rPr>
          <w:rFonts w:ascii="Times New Roman" w:hAnsi="Times New Roman" w:cs="Times New Roman" w:eastAsia="Times New Roman" w:hint="default"/>
        </w:rPr>
        <w:t>1</w:t>
      </w:r>
      <w:r>
        <w:rPr/>
        <w:t>）在建工程同时满足经济利益很可能流入、成本能够可靠计量则予以确认。在建工程按建造该项资产达到预定可使用状 态前所发生的实际成本计量。</w:t>
      </w:r>
    </w:p>
    <w:p>
      <w:pPr>
        <w:pStyle w:val="BodyText"/>
        <w:spacing w:line="240" w:lineRule="auto" w:before="144"/>
        <w:ind w:right="0"/>
        <w:jc w:val="left"/>
      </w:pPr>
      <w:r>
        <w:rPr/>
        <w:t>（</w:t>
      </w: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）在建工程达到预定可使用状态时，按工程实际成本转入固定资产。已达到预定可使用状态但尚未办理竣工决算的，先</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6、借款费用" w:id="196"/>
      <w:bookmarkEnd w:id="196"/>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r>
        <w:rPr/>
        <w:t>（</w:t>
      </w:r>
      <w:r>
        <w:rPr>
          <w:rFonts w:ascii="宋体" w:hAnsi="宋体" w:cs="宋体" w:eastAsia="宋体" w:hint="default"/>
        </w:rPr>
        <w:t>1</w:t>
      </w:r>
      <w:r>
        <w:rPr/>
        <w:t>）借款费用资本化的确认原则</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475" w:lineRule="auto"/>
        <w:ind w:right="1137" w:firstLine="450"/>
        <w:jc w:val="both"/>
      </w:pPr>
      <w:r>
        <w:rPr/>
        <w:t>公司发生的借款费用，可直接归属于符合资本化条件的资产的购建或者生产的，予以资本化，计入相关资产成本；其 他借款费用，在发生时确认为费用，计入当期损益。</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r>
        <w:rPr/>
        <w:t>（</w:t>
      </w:r>
      <w:r>
        <w:rPr>
          <w:rFonts w:ascii="宋体" w:hAnsi="宋体" w:cs="宋体" w:eastAsia="宋体" w:hint="default"/>
        </w:rPr>
        <w:t>2</w:t>
      </w:r>
      <w:r>
        <w:rPr/>
        <w:t>）借款费用资本化期间</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34" w:lineRule="auto"/>
        <w:ind w:right="1112" w:firstLine="435"/>
        <w:jc w:val="both"/>
      </w:pPr>
      <w:r>
        <w:rPr/>
        <w:t>① 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为使资产达到预 定可使用或可销售状态所必要的购建或者生产活动已经开始。</w:t>
      </w:r>
    </w:p>
    <w:p>
      <w:pPr>
        <w:pStyle w:val="BodyText"/>
        <w:spacing w:line="434" w:lineRule="auto" w:before="144"/>
        <w:ind w:right="1158" w:firstLine="435"/>
        <w:jc w:val="both"/>
      </w:pPr>
      <w:r>
        <w:rPr/>
        <w:t>②</w:t>
      </w:r>
      <w:r>
        <w:rPr>
          <w:spacing w:val="-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 资本化；中断期间发生的借款费用确认为当期费用，直至资产的购建或者生产活动重新开始。</w:t>
      </w:r>
    </w:p>
    <w:p>
      <w:pPr>
        <w:pStyle w:val="BodyText"/>
        <w:spacing w:line="240" w:lineRule="auto" w:before="129"/>
        <w:ind w:left="591" w:right="0"/>
        <w:jc w:val="left"/>
      </w:pPr>
      <w:r>
        <w:rPr/>
        <w:t>③当所购建或者生产符合资本化条件的资产达到预定可使用或可销售状态时，借款费用停止资本化。</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3</w:t>
      </w:r>
      <w:r>
        <w:rPr/>
        <w:t>）借款费用资本化率以及资本化金额</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BodyText"/>
        <w:spacing w:line="468" w:lineRule="auto"/>
        <w:ind w:right="1113" w:firstLine="375"/>
        <w:jc w:val="both"/>
      </w:pPr>
      <w:r>
        <w:rPr>
          <w:spacing w:val="-2"/>
        </w:rPr>
        <w:t>为购建或者生产符合资本化条件的资产而借入专门借款的，以专门借款当期实际发生的利息费用（包括按照实际利率法</w:t>
      </w:r>
      <w:r>
        <w:rPr/>
        <w:t> </w:t>
      </w:r>
      <w:r>
        <w:rPr>
          <w:spacing w:val="-2"/>
        </w:rPr>
        <w:t>确定的折价或溢价的摊销），减去将尚未动用的借款资金存入银行取得的利息收入或进行暂时性投资取得的投资收益后的金</w:t>
      </w:r>
      <w:r>
        <w:rPr>
          <w:spacing w:val="-72"/>
        </w:rPr>
        <w:t> </w:t>
      </w:r>
      <w:r>
        <w:rPr>
          <w:spacing w:val="-72"/>
        </w:rPr>
      </w:r>
      <w:r>
        <w:rPr>
          <w:spacing w:val="-2"/>
        </w:rPr>
        <w:t>额，确定应予资本化的利息金额；为购建或者生产符合资本化条件的资产占用了一般借款的，根据累计资产支出超过专门借</w:t>
      </w:r>
      <w:r>
        <w:rPr>
          <w:spacing w:val="-75"/>
        </w:rPr>
        <w:t> </w:t>
      </w:r>
      <w:r>
        <w:rPr>
          <w:spacing w:val="-75"/>
        </w:rPr>
      </w:r>
      <w:r>
        <w:rPr/>
        <w:t>款的资产支出加权平均数乘以占用一般借款的资本化率，计算确定一般借款应予资本化的利息金额。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27、生物资产" w:id="197"/>
      <w:bookmarkEnd w:id="197"/>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6"/>
          <w:szCs w:val="1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8、油气资产" w:id="198"/>
      <w:bookmarkEnd w:id="198"/>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9、使用权资产" w:id="199"/>
      <w:bookmarkEnd w:id="199"/>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0、无形资产" w:id="200"/>
      <w:bookmarkEnd w:id="200"/>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r>
        <w:rPr/>
        <w:t>（</w:t>
      </w:r>
      <w:r>
        <w:rPr>
          <w:rFonts w:ascii="宋体" w:hAnsi="宋体" w:cs="宋体" w:eastAsia="宋体" w:hint="default"/>
        </w:rPr>
        <w:t>1</w:t>
      </w:r>
      <w:r>
        <w:rPr/>
        <w:t>）计价方法、使用寿命、减值测试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left"/>
      </w:pPr>
      <w:r>
        <w:rPr/>
        <w:t>①无形资产为软件，按成本进行初始计量。</w:t>
      </w:r>
    </w:p>
    <w:p>
      <w:pPr>
        <w:spacing w:line="240" w:lineRule="auto" w:before="2"/>
        <w:rPr>
          <w:rFonts w:ascii="宋体" w:hAnsi="宋体" w:cs="宋体" w:eastAsia="宋体" w:hint="default"/>
          <w:sz w:val="22"/>
          <w:szCs w:val="22"/>
        </w:rPr>
      </w:pPr>
    </w:p>
    <w:p>
      <w:pPr>
        <w:pStyle w:val="BodyText"/>
        <w:spacing w:line="458" w:lineRule="auto"/>
        <w:ind w:right="0"/>
        <w:jc w:val="left"/>
      </w:pPr>
      <w:r>
        <w:rPr>
          <w:spacing w:val="-2"/>
        </w:rPr>
        <w:t>②使用寿命有限的无形资产，在使用寿命内按照与该项无形资产有关的经济利益的预期实现方式系统合理地摊销，无法可靠</w:t>
      </w:r>
      <w:r>
        <w:rPr>
          <w:spacing w:val="-69"/>
        </w:rPr>
        <w:t> </w:t>
      </w:r>
      <w:r>
        <w:rPr>
          <w:spacing w:val="-69"/>
        </w:rPr>
      </w:r>
      <w:r>
        <w:rPr/>
        <w:t>确定预期实现方式的，采用直线法摊销。具体年限如下：</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920"/>
        <w:gridCol w:w="5286"/>
      </w:tblGrid>
      <w:tr>
        <w:trPr>
          <w:trHeight w:val="338" w:hRule="exact"/>
        </w:trPr>
        <w:tc>
          <w:tcPr>
            <w:tcW w:w="39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2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摊销年限（年）</w:t>
            </w:r>
          </w:p>
        </w:tc>
      </w:tr>
      <w:tr>
        <w:trPr>
          <w:trHeight w:val="353"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5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75" w:lineRule="auto"/>
        <w:ind w:right="0"/>
        <w:jc w:val="left"/>
      </w:pPr>
      <w:r>
        <w:rPr>
          <w:spacing w:val="-2"/>
        </w:rPr>
        <w:t>内部研究开发项目研究阶段的支出，于发生时计入当期损益。内部研究开发项目开发阶段的支出，同时满足下列条件的，确</w:t>
      </w:r>
      <w:r>
        <w:rPr>
          <w:spacing w:val="-42"/>
        </w:rPr>
        <w:t> </w:t>
      </w:r>
      <w:r>
        <w:rPr>
          <w:spacing w:val="-42"/>
        </w:rPr>
      </w:r>
      <w:r>
        <w:rPr>
          <w:spacing w:val="-4"/>
        </w:rPr>
        <w:t>认为无形资产：①完成该无形资产以使其能够使用或出售在技术上具有可行性；②具有完成该无形资产并使用或出售的意图；</w:t>
      </w:r>
    </w:p>
    <w:p>
      <w:pPr>
        <w:pStyle w:val="BodyText"/>
        <w:spacing w:line="465" w:lineRule="auto" w:before="68"/>
        <w:ind w:right="1121"/>
        <w:jc w:val="both"/>
      </w:pPr>
      <w:r>
        <w:rPr>
          <w:spacing w:val="-2"/>
        </w:rPr>
        <w:t>③无形资产产生经济利益的方式，包括能够证明运用该无形资产生产的产品存在市场或无形资产自身存在市场，无形资产将</w:t>
      </w:r>
      <w:r>
        <w:rPr>
          <w:spacing w:val="-63"/>
        </w:rPr>
        <w:t> </w:t>
      </w:r>
      <w:r>
        <w:rPr>
          <w:spacing w:val="-63"/>
        </w:rPr>
      </w:r>
      <w:r>
        <w:rPr>
          <w:spacing w:val="-2"/>
        </w:rPr>
        <w:t>在内部使用的，能证明其有用性；④有足够的技术、财务资源和其他资源支持，以完成该无形资产的开发，并有能力使用或</w:t>
      </w:r>
      <w:r>
        <w:rPr>
          <w:spacing w:val="-57"/>
        </w:rPr>
        <w:t> </w:t>
      </w:r>
      <w:r>
        <w:rPr>
          <w:spacing w:val="-57"/>
        </w:rPr>
      </w:r>
      <w:r>
        <w:rPr/>
        <w:t>出售该无形资产；⑤</w:t>
      </w:r>
      <w:r>
        <w:rPr>
          <w:spacing w:val="-13"/>
        </w:rPr>
        <w:t> </w:t>
      </w:r>
      <w:r>
        <w:rPr/>
        <w:t>归属于该无形资产开发阶段的支出能够可靠地计量。</w:t>
      </w:r>
    </w:p>
    <w:p>
      <w:pPr>
        <w:pStyle w:val="BodyText"/>
        <w:spacing w:line="240" w:lineRule="auto" w:before="106"/>
        <w:ind w:right="0"/>
        <w:jc w:val="left"/>
      </w:pPr>
      <w:r>
        <w:rPr/>
        <w:t>公司划分内部研究开发项目研究阶段支出和开发阶段支出的具体标准：</w:t>
      </w:r>
    </w:p>
    <w:p>
      <w:pPr>
        <w:spacing w:line="240" w:lineRule="auto" w:before="2"/>
        <w:rPr>
          <w:rFonts w:ascii="宋体" w:hAnsi="宋体" w:cs="宋体" w:eastAsia="宋体" w:hint="default"/>
          <w:sz w:val="22"/>
          <w:szCs w:val="22"/>
        </w:rPr>
      </w:pPr>
    </w:p>
    <w:p>
      <w:pPr>
        <w:pStyle w:val="BodyText"/>
        <w:spacing w:line="458" w:lineRule="auto"/>
        <w:ind w:right="1115"/>
        <w:jc w:val="left"/>
      </w:pPr>
      <w:r>
        <w:rPr>
          <w:spacing w:val="-2"/>
        </w:rPr>
        <w:t>①内部研究开发项目阶段支出：前期探索性研究、新技术研究、底层架构预先研究及产品完成后的后续迭代研发，属于研究</w:t>
      </w:r>
      <w:r>
        <w:rPr>
          <w:spacing w:val="-42"/>
        </w:rPr>
        <w:t> </w:t>
      </w:r>
      <w:r>
        <w:rPr>
          <w:spacing w:val="-42"/>
        </w:rPr>
      </w:r>
      <w:r>
        <w:rPr/>
        <w:t>阶段支出。</w:t>
      </w:r>
    </w:p>
    <w:p>
      <w:pPr>
        <w:pStyle w:val="BodyText"/>
        <w:spacing w:line="458" w:lineRule="auto" w:before="126"/>
        <w:ind w:right="0"/>
        <w:jc w:val="left"/>
      </w:pPr>
      <w:r>
        <w:rPr>
          <w:spacing w:val="-2"/>
        </w:rPr>
        <w:t>②开发阶段支出：基础架构明确、采用的技术明确、市场需求明确、产品功能目标明确、产品开发计划明确、开发过程控制</w:t>
      </w:r>
      <w:r>
        <w:rPr>
          <w:spacing w:val="-72"/>
        </w:rPr>
        <w:t> </w:t>
      </w:r>
      <w:r>
        <w:rPr>
          <w:spacing w:val="-72"/>
        </w:rPr>
      </w:r>
      <w:r>
        <w:rPr/>
        <w:t>有效、人员及相关投入有明确预算，按要求履行了公司立项手续，公司同意开发后的支出，属于开发阶段支出。</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bookmarkStart w:name="31、长期资产减值" w:id="201"/>
      <w:bookmarkEnd w:id="201"/>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0" w:lineRule="auto"/>
        <w:ind w:right="0"/>
        <w:jc w:val="left"/>
      </w:pPr>
      <w:r>
        <w:rPr/>
        <w:t>对长期股权投资、采用成本模式计量的投资性房地产、固定资产、在建工程、使用寿命有限的无形资产等长期资产</w:t>
      </w:r>
      <w:r>
        <w:rPr>
          <w:rFonts w:ascii="Times New Roman" w:hAnsi="Times New Roman" w:cs="Times New Roman" w:eastAsia="Times New Roman" w:hint="default"/>
        </w:rPr>
        <w:t>,</w:t>
      </w:r>
      <w:r>
        <w:rPr/>
        <w:t>在资产</w:t>
      </w:r>
      <w:r>
        <w:rPr>
          <w:spacing w:val="-38"/>
        </w:rPr>
        <w:t> </w:t>
      </w:r>
      <w:r>
        <w:rPr>
          <w:spacing w:val="-2"/>
        </w:rPr>
        <w:t>负债表日有迹象表明发生减值的，估计其可收回金额。对因企业合并所形成的商誉和使用寿命不确定的无形资产，无论是否</w:t>
      </w:r>
      <w:r>
        <w:rPr>
          <w:spacing w:val="-75"/>
        </w:rPr>
        <w:t> </w:t>
      </w:r>
      <w:r>
        <w:rPr>
          <w:spacing w:val="-75"/>
        </w:rPr>
      </w:r>
      <w:r>
        <w:rPr/>
        <w:t>存在减值迹象，每年都进行减值测试。商誉结合与其相关的资产组或者资产组组合进行减值测试。 若上述长期资产的可收回金额低于其账面价值的，按其差额确认资产减值准备并计入当期损益。</w:t>
      </w:r>
    </w:p>
    <w:p>
      <w:pPr>
        <w:spacing w:after="0" w:line="47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both"/>
        <w:rPr>
          <w:b w:val="0"/>
          <w:bCs w:val="0"/>
        </w:rPr>
      </w:pPr>
      <w:bookmarkStart w:name="32、长期待摊费用" w:id="202"/>
      <w:bookmarkEnd w:id="202"/>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68" w:lineRule="auto"/>
        <w:ind w:right="1115"/>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年）的各项费用。长期待摊费用按实际发生额入账，在受益期或规</w:t>
      </w:r>
      <w:r>
        <w:rPr>
          <w:spacing w:val="-51"/>
        </w:rPr>
        <w:t> </w:t>
      </w:r>
      <w:r>
        <w:rPr>
          <w:spacing w:val="-51"/>
        </w:rPr>
      </w:r>
      <w:r>
        <w:rPr>
          <w:spacing w:val="-2"/>
        </w:rPr>
        <w:t>定的期限内分期平均摊销。如果长期待摊的费用项目不能使以后会计期间受益则将尚未摊销的该项目的摊余价值全部转入当</w:t>
      </w:r>
      <w:r>
        <w:rPr>
          <w:spacing w:val="-58"/>
        </w:rPr>
        <w:t> </w:t>
      </w:r>
      <w:r>
        <w:rPr>
          <w:spacing w:val="-58"/>
        </w:rPr>
      </w:r>
      <w:r>
        <w:rPr/>
        <w:t>期损益。</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bookmarkStart w:name="33、合同负债" w:id="203"/>
      <w:bookmarkEnd w:id="203"/>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34、职工薪酬" w:id="204"/>
      <w:bookmarkEnd w:id="204"/>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both"/>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BodyText"/>
        <w:spacing w:line="240" w:lineRule="auto"/>
        <w:ind w:right="0"/>
        <w:jc w:val="both"/>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r>
        <w:rPr/>
        <w:t>（</w:t>
      </w: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right="0"/>
        <w:jc w:val="both"/>
      </w:pPr>
      <w:r>
        <w:rPr/>
        <w:t>离职后福利分为设定提存计划和设定受益计划。</w:t>
      </w:r>
    </w:p>
    <w:p>
      <w:pPr>
        <w:spacing w:line="240" w:lineRule="auto" w:before="11"/>
        <w:rPr>
          <w:rFonts w:ascii="宋体" w:hAnsi="宋体" w:cs="宋体" w:eastAsia="宋体" w:hint="default"/>
          <w:sz w:val="19"/>
          <w:szCs w:val="19"/>
        </w:rPr>
      </w:pPr>
    </w:p>
    <w:p>
      <w:pPr>
        <w:pStyle w:val="BodyText"/>
        <w:spacing w:line="475" w:lineRule="auto"/>
        <w:ind w:right="1101" w:firstLine="300"/>
        <w:jc w:val="both"/>
      </w:pPr>
      <w:r>
        <w:rPr/>
        <w:t>①在职工为公司提供服务的会计期间，根据设定提存计划计算的应缴存金额确认为负债，并计入当期损益或相关资产成 本。</w:t>
      </w:r>
    </w:p>
    <w:p>
      <w:pPr>
        <w:pStyle w:val="BodyText"/>
        <w:spacing w:line="240" w:lineRule="auto" w:before="113"/>
        <w:ind w:left="441" w:right="0"/>
        <w:jc w:val="left"/>
      </w:pPr>
      <w:r>
        <w:rPr/>
        <w:t>②对设定受益计划的会计处理通常包括下列步骤：</w:t>
      </w:r>
    </w:p>
    <w:p>
      <w:pPr>
        <w:spacing w:line="240" w:lineRule="auto" w:before="7"/>
        <w:rPr>
          <w:rFonts w:ascii="宋体" w:hAnsi="宋体" w:cs="宋体" w:eastAsia="宋体" w:hint="default"/>
          <w:sz w:val="17"/>
          <w:szCs w:val="17"/>
        </w:rPr>
      </w:pPr>
    </w:p>
    <w:p>
      <w:pPr>
        <w:pStyle w:val="BodyText"/>
        <w:spacing w:line="468" w:lineRule="auto"/>
        <w:ind w:right="1106" w:firstLine="300"/>
        <w:jc w:val="both"/>
      </w:pPr>
      <w:r>
        <w:rPr>
          <w:rFonts w:ascii="Times New Roman" w:hAnsi="Times New Roman" w:cs="Times New Roman" w:eastAsia="Times New Roman" w:hint="default"/>
        </w:rPr>
        <w:t>A</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42"/>
        </w:rPr>
        <w:t> </w:t>
      </w:r>
      <w:r>
        <w:rPr>
          <w:spacing w:val="-42"/>
        </w:rPr>
      </w:r>
      <w:r>
        <w:rPr/>
        <w:t>义务的现值和当期服务成本；</w:t>
      </w:r>
    </w:p>
    <w:p>
      <w:pPr>
        <w:pStyle w:val="BodyText"/>
        <w:spacing w:line="460" w:lineRule="auto" w:before="58"/>
        <w:ind w:right="1133" w:firstLine="300"/>
        <w:jc w:val="both"/>
      </w:pPr>
      <w:r>
        <w:rPr>
          <w:rFonts w:ascii="Times New Roman" w:hAnsi="Times New Roman" w:cs="Times New Roman" w:eastAsia="Times New Roman" w:hint="default"/>
        </w:rPr>
        <w:t>B</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9"/>
        </w:rPr>
        <w:t> </w:t>
      </w:r>
      <w:r>
        <w:rPr>
          <w:spacing w:val="-69"/>
        </w:rPr>
      </w:r>
      <w:r>
        <w:rPr/>
        <w:t>计划净资产；</w:t>
      </w:r>
    </w:p>
    <w:p>
      <w:pPr>
        <w:pStyle w:val="BodyText"/>
        <w:spacing w:line="470" w:lineRule="auto" w:before="64"/>
        <w:ind w:right="1121" w:firstLine="300"/>
        <w:jc w:val="both"/>
      </w:pPr>
      <w:r>
        <w:rPr>
          <w:rFonts w:ascii="Times New Roman" w:hAnsi="Times New Roman" w:cs="Times New Roman" w:eastAsia="Times New Roman" w:hint="default"/>
        </w:rPr>
        <w:t>C</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58"/>
        </w:rPr>
        <w:t> </w:t>
      </w:r>
      <w:r>
        <w:rPr>
          <w:spacing w:val="-58"/>
        </w:rPr>
      </w:r>
      <w:r>
        <w:rPr>
          <w:spacing w:val="-2"/>
        </w:rPr>
        <w:t>损益或相关资产成本，重新计量设定受益计划净负债或净资产所产生的变动计入其他综合收益，并且在后续会计期间不允许</w:t>
      </w:r>
      <w:r>
        <w:rPr>
          <w:spacing w:val="-72"/>
        </w:rPr>
        <w:t> </w:t>
      </w:r>
      <w:r>
        <w:rPr>
          <w:spacing w:val="-72"/>
        </w:rPr>
      </w:r>
      <w:r>
        <w:rPr/>
        <w:t>转回至损益，但可以在权益范围内转移这些在其他综合收益确认的金额。</w:t>
      </w:r>
    </w:p>
    <w:p>
      <w:pPr>
        <w:spacing w:after="0" w:line="470" w:lineRule="auto"/>
        <w:jc w:val="both"/>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75" w:lineRule="auto"/>
        <w:ind w:right="0"/>
        <w:jc w:val="left"/>
      </w:pPr>
      <w:r>
        <w:rPr>
          <w:spacing w:val="-2"/>
        </w:rPr>
        <w:t>向职工提供的辞退福利，在下列两者孰早日确认辞退福利产生的职工薪酬负债，并计入当期损益：①公司不能单方面撤回因</w:t>
      </w:r>
      <w:r>
        <w:rPr>
          <w:spacing w:val="-75"/>
        </w:rPr>
        <w:t> </w:t>
      </w:r>
      <w:r>
        <w:rPr>
          <w:spacing w:val="-75"/>
        </w:rPr>
      </w:r>
      <w:r>
        <w:rPr/>
        <w:t>解除劳动关系计划或裁减建议所提供的辞退福利时；②公司确认与涉及支付辞退福利的重组相关的成本或费用时。</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）其他长期职工福利的会计处理方法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75" w:lineRule="auto"/>
        <w:ind w:right="0"/>
        <w:jc w:val="left"/>
      </w:pPr>
      <w:r>
        <w:rPr>
          <w:spacing w:val="-2"/>
        </w:rPr>
        <w:t>向职工提供的其他长期福利，符合设定提存计划条件的，按照设定提存计划的有关规定进行会计处理；除此之外的其他长期</w:t>
      </w:r>
      <w:r>
        <w:rPr>
          <w:spacing w:val="-75"/>
        </w:rPr>
        <w:t> </w:t>
      </w:r>
      <w:r>
        <w:rPr>
          <w:spacing w:val="-75"/>
        </w:rPr>
      </w:r>
      <w:r>
        <w:rPr>
          <w:spacing w:val="-2"/>
        </w:rPr>
        <w:t>福利，按照设定受益计划的有关规定进行会计处理，为简化相关会计处理，将其产生的职工薪酬成本确认为服务成本、其他</w:t>
      </w:r>
      <w:r>
        <w:rPr>
          <w:spacing w:val="-42"/>
        </w:rPr>
        <w:t> </w:t>
      </w:r>
      <w:r>
        <w:rPr>
          <w:spacing w:val="-42"/>
        </w:rPr>
      </w:r>
      <w:r>
        <w:rPr/>
        <w:t>长期职工福利净负债或净资产的利息净额以及重新计量其他长期职工福利净负债或净资产所产生的变动等组成项目的总净</w:t>
      </w:r>
      <w:r>
        <w:rPr>
          <w:spacing w:val="-85"/>
        </w:rPr>
        <w:t> </w:t>
      </w:r>
      <w:r>
        <w:rPr>
          <w:spacing w:val="-85"/>
        </w:rPr>
      </w:r>
      <w:r>
        <w:rPr/>
        <w:t>额计入当期损益或相关资产成本。</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5、租赁负债" w:id="205"/>
      <w:bookmarkEnd w:id="205"/>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6、预计负债" w:id="206"/>
      <w:bookmarkEnd w:id="206"/>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48" w:lineRule="auto"/>
        <w:ind w:right="1119"/>
        <w:jc w:val="left"/>
      </w:pPr>
      <w:r>
        <w:rPr/>
        <w:t>（</w:t>
      </w:r>
      <w:r>
        <w:rPr>
          <w:rFonts w:ascii="Times New Roman" w:hAnsi="Times New Roman" w:cs="Times New Roman" w:eastAsia="Times New Roman" w:hint="default"/>
        </w:rPr>
        <w:t>1</w:t>
      </w:r>
      <w:r>
        <w:rPr/>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BodyText"/>
        <w:spacing w:line="448" w:lineRule="auto" w:before="88"/>
        <w:ind w:right="1119"/>
        <w:jc w:val="left"/>
      </w:pPr>
      <w:r>
        <w:rPr/>
        <w:t>（</w:t>
      </w:r>
      <w:r>
        <w:rPr>
          <w:rFonts w:ascii="Times New Roman" w:hAnsi="Times New Roman" w:cs="Times New Roman" w:eastAsia="Times New Roman" w:hint="default"/>
        </w:rPr>
        <w:t>2</w:t>
      </w:r>
      <w:r>
        <w:rPr/>
        <w:t>）公司按照履行相关现时义务所需支出的最佳估计数对预计负债进行初始计量，并在资产负债表日对预计负债的账面价 值进行复核。</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7、股份支付" w:id="207"/>
      <w:bookmarkEnd w:id="207"/>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r>
        <w:rPr/>
        <w:t>（</w:t>
      </w:r>
      <w:r>
        <w:rPr>
          <w:rFonts w:ascii="宋体" w:hAnsi="宋体" w:cs="宋体" w:eastAsia="宋体" w:hint="default"/>
        </w:rPr>
        <w:t>1</w:t>
      </w:r>
      <w:r>
        <w:rPr/>
        <w:t>）股份支付的种类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ind w:left="501" w:right="0"/>
        <w:jc w:val="left"/>
      </w:pPr>
      <w:r>
        <w:rPr/>
        <w:t>包括以权益结算的股份支付和以现金结算的股份支付。</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2</w:t>
      </w:r>
      <w:r>
        <w:rPr/>
        <w:t>）实施、修改、终止股份支付计划的相关会计处理</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535" w:lineRule="auto"/>
        <w:ind w:left="501" w:right="1029" w:firstLine="90"/>
        <w:jc w:val="left"/>
      </w:pPr>
      <w:r>
        <w:rPr/>
        <w:t>①以权益结算的股份支付 授予后立即可行权的换取职工服务的以权益结算的股份支付，在授予日按照权益工具的公允价值计入相关成本或费用，</w:t>
      </w:r>
    </w:p>
    <w:p>
      <w:pPr>
        <w:pStyle w:val="BodyText"/>
        <w:spacing w:line="240" w:lineRule="auto" w:before="8"/>
        <w:ind w:right="0"/>
        <w:jc w:val="left"/>
      </w:pPr>
      <w:r>
        <w:rPr/>
        <w:t>相应调整资本公积。完成等待期内的服务或达到规定业绩条件才可行权的换取职工服务的以权益结算的股份支付，在等待期</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58" w:lineRule="auto" w:before="44"/>
        <w:ind w:right="1136"/>
        <w:jc w:val="both"/>
      </w:pPr>
      <w:r>
        <w:rPr>
          <w:spacing w:val="-2"/>
        </w:rPr>
        <w:t>内的每个资产负债表日，以对可行权权益工具数量的最佳估计为基础，按权益工具授予日的公允价值，将当期取得的服务计</w:t>
      </w:r>
      <w:r>
        <w:rPr>
          <w:spacing w:val="-75"/>
        </w:rPr>
        <w:t> </w:t>
      </w:r>
      <w:r>
        <w:rPr>
          <w:spacing w:val="-75"/>
        </w:rPr>
      </w:r>
      <w:r>
        <w:rPr/>
        <w:t>入相关成本或费用，相应调整资本公积。</w:t>
      </w:r>
    </w:p>
    <w:p>
      <w:pPr>
        <w:pStyle w:val="BodyText"/>
        <w:spacing w:line="465" w:lineRule="auto" w:before="126"/>
        <w:ind w:right="1132"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75"/>
        </w:rPr>
        <w:t> </w:t>
      </w:r>
      <w:r>
        <w:rPr>
          <w:spacing w:val="-75"/>
        </w:rPr>
      </w:r>
      <w:r>
        <w:rPr/>
        <w:t>的公允价值计量，计入相关成本或费用，相应增加所有者权益。</w:t>
      </w:r>
    </w:p>
    <w:p>
      <w:pPr>
        <w:pStyle w:val="BodyText"/>
        <w:spacing w:line="535" w:lineRule="auto" w:before="105"/>
        <w:ind w:left="576" w:right="1134" w:hanging="75"/>
        <w:jc w:val="left"/>
      </w:pPr>
      <w:r>
        <w:rPr/>
        <w:t>②以现金结算的股份支付 授予后立即可行权的换取职工服务的以现金结算的股份支付，在授予日按公司承担负债的公允价值计入相关成本或费</w:t>
      </w:r>
    </w:p>
    <w:p>
      <w:pPr>
        <w:pStyle w:val="BodyText"/>
        <w:spacing w:line="475" w:lineRule="auto" w:before="8"/>
        <w:ind w:right="1132"/>
        <w:jc w:val="both"/>
      </w:pPr>
      <w:r>
        <w:rPr>
          <w:spacing w:val="-2"/>
        </w:rPr>
        <w:t>用，相应增加负债。完成等待期内的服务或达到规定业绩条件才可行权的换取职工服务的以现金结算的股份支付，在等待期</w:t>
      </w:r>
      <w:r>
        <w:rPr>
          <w:spacing w:val="-75"/>
        </w:rPr>
        <w:t> </w:t>
      </w:r>
      <w:r>
        <w:rPr>
          <w:spacing w:val="-75"/>
        </w:rPr>
      </w:r>
      <w:r>
        <w:rPr>
          <w:spacing w:val="-2"/>
        </w:rPr>
        <w:t>内的每个资产负债表日，以对可行权情况的最佳估计为基础，按公司承担负债的公允价值，将当期取得的服务计入相关成本</w:t>
      </w:r>
      <w:r>
        <w:rPr>
          <w:spacing w:val="-72"/>
        </w:rPr>
        <w:t> </w:t>
      </w:r>
      <w:r>
        <w:rPr>
          <w:spacing w:val="-72"/>
        </w:rPr>
      </w:r>
      <w:r>
        <w:rPr/>
        <w:t>或费用和相应的负债。</w:t>
      </w:r>
    </w:p>
    <w:p>
      <w:pPr>
        <w:pStyle w:val="BodyText"/>
        <w:spacing w:line="535" w:lineRule="auto" w:before="98"/>
        <w:ind w:left="441" w:right="1089" w:firstLine="120"/>
        <w:jc w:val="left"/>
      </w:pPr>
      <w:r>
        <w:rPr/>
        <w:t>② 修改、终止股份支付计划 如果修改增加了所授予的权益工具的公允价值，公司按照权益工具公允价值的增加相应地确认取得服务的增加；如果修</w:t>
      </w:r>
    </w:p>
    <w:p>
      <w:pPr>
        <w:pStyle w:val="BodyText"/>
        <w:spacing w:line="458" w:lineRule="auto" w:before="8"/>
        <w:ind w:right="1126"/>
        <w:jc w:val="both"/>
      </w:pPr>
      <w:r>
        <w:rPr>
          <w:spacing w:val="-2"/>
        </w:rPr>
        <w:t>改增加了所授予的权益工具的数量，公司将增加的权益工具的公允价值相应地确认为取得服务的增加；如果公司按照有利于</w:t>
      </w:r>
      <w:r>
        <w:rPr>
          <w:spacing w:val="-72"/>
        </w:rPr>
        <w:t> </w:t>
      </w:r>
      <w:r>
        <w:rPr>
          <w:spacing w:val="-72"/>
        </w:rPr>
      </w:r>
      <w:r>
        <w:rPr/>
        <w:t>职工的方式修改可行权条件，公司在处理可行权条件时，考虑修改后的可行权条件。</w:t>
      </w:r>
    </w:p>
    <w:p>
      <w:pPr>
        <w:pStyle w:val="BodyText"/>
        <w:spacing w:line="465" w:lineRule="auto" w:before="126"/>
        <w:ind w:right="1126"/>
        <w:jc w:val="both"/>
      </w:pPr>
      <w:r>
        <w:rPr>
          <w:spacing w:val="-2"/>
        </w:rPr>
        <w:t>如果修改减少了授予的权益工具的公允价值，公司继续以权益工具在授予日的公允价值为基础，确认取得服务的金额，而不</w:t>
      </w:r>
      <w:r>
        <w:rPr>
          <w:spacing w:val="-65"/>
        </w:rPr>
        <w:t> </w:t>
      </w:r>
      <w:r>
        <w:rPr>
          <w:spacing w:val="-65"/>
        </w:rPr>
      </w:r>
      <w:r>
        <w:rPr>
          <w:spacing w:val="-2"/>
        </w:rPr>
        <w:t>考虑权益工具公允价值的减少；如果修改减少了授予的权益工具的数量，公司将减少部分作为已授予的权益工具的取消来进</w:t>
      </w:r>
      <w:r>
        <w:rPr>
          <w:spacing w:val="-72"/>
        </w:rPr>
        <w:t> </w:t>
      </w:r>
      <w:r>
        <w:rPr>
          <w:spacing w:val="-72"/>
        </w:rPr>
      </w:r>
      <w:r>
        <w:rPr/>
        <w:t>行处理；如果以不利于职工的方式修改了可行权条件，在处理可行权条件时，不考虑修改后的可行权条件。</w:t>
      </w:r>
    </w:p>
    <w:p>
      <w:pPr>
        <w:pStyle w:val="BodyText"/>
        <w:spacing w:line="458" w:lineRule="auto" w:before="121"/>
        <w:ind w:right="1136"/>
        <w:jc w:val="both"/>
      </w:pPr>
      <w:r>
        <w:rPr>
          <w:spacing w:val="-2"/>
        </w:rPr>
        <w:t>如果公司在等待期内取消了所授予的权益工具或结算了所授予的权益工具（因未满足可行权条件而被取消的除外），则将取</w:t>
      </w:r>
      <w:r>
        <w:rPr>
          <w:spacing w:val="-75"/>
        </w:rPr>
        <w:t> </w:t>
      </w:r>
      <w:r>
        <w:rPr>
          <w:spacing w:val="-75"/>
        </w:rPr>
      </w:r>
      <w:r>
        <w:rPr/>
        <w:t>消或结算作为加速可行权处理，立即确认原本在剩余等待期内确认的金额。</w:t>
      </w:r>
    </w:p>
    <w:p>
      <w:pPr>
        <w:spacing w:line="240" w:lineRule="auto" w:before="0"/>
        <w:rPr>
          <w:rFonts w:ascii="宋体" w:hAnsi="宋体" w:cs="宋体" w:eastAsia="宋体" w:hint="default"/>
          <w:sz w:val="18"/>
          <w:szCs w:val="18"/>
        </w:rPr>
      </w:pPr>
    </w:p>
    <w:p>
      <w:pPr>
        <w:pStyle w:val="Heading3"/>
        <w:spacing w:line="240" w:lineRule="auto" w:before="126"/>
        <w:ind w:right="0"/>
        <w:jc w:val="both"/>
        <w:rPr>
          <w:b w:val="0"/>
          <w:bCs w:val="0"/>
        </w:rPr>
      </w:pPr>
      <w:bookmarkStart w:name="38、优先股、永续债等其他金融工具" w:id="208"/>
      <w:bookmarkEnd w:id="20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39、收入" w:id="209"/>
      <w:bookmarkEnd w:id="209"/>
      <w:r>
        <w:rPr>
          <w:b w:val="0"/>
          <w:bCs w:val="0"/>
        </w:rPr>
      </w:r>
      <w:r>
        <w:rPr>
          <w:rFonts w:ascii="Times New Roman" w:hAnsi="Times New Roman" w:cs="Times New Roman" w:eastAsia="Times New Roman" w:hint="default"/>
        </w:rPr>
        <w:t>39</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both"/>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）收入确认原则</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561" w:right="0"/>
        <w:jc w:val="left"/>
      </w:pPr>
      <w:r>
        <w:rPr/>
        <w:t>①销售商品</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48" w:lineRule="auto" w:before="44"/>
        <w:ind w:right="1125"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相关的已发生或将发生的成本能够可靠地计量。</w:t>
      </w:r>
    </w:p>
    <w:p>
      <w:pPr>
        <w:pStyle w:val="BodyText"/>
        <w:spacing w:line="472" w:lineRule="auto" w:before="58"/>
        <w:ind w:left="561" w:right="1118"/>
        <w:jc w:val="left"/>
      </w:pPr>
      <w:r>
        <w:rPr/>
        <w:t>②提供劳务 提供劳务交易的结果在资产负债表日能够可靠估计的（同时满足收入的金额能够可靠地计量、相关经济利益很可能流</w:t>
      </w:r>
    </w:p>
    <w:p>
      <w:pPr>
        <w:pStyle w:val="BodyText"/>
        <w:spacing w:line="480" w:lineRule="auto" w:before="55"/>
        <w:ind w:right="1102"/>
        <w:jc w:val="both"/>
      </w:pPr>
      <w:r>
        <w:rPr>
          <w:spacing w:val="-2"/>
        </w:rPr>
        <w:t>入、交易的完工进度能够可靠地确定、交易中已发生和将发生的成本能够可靠地计量），采用完工百分比法确认提供劳务的</w:t>
      </w:r>
      <w:r>
        <w:rPr>
          <w:spacing w:val="-39"/>
        </w:rPr>
        <w:t> </w:t>
      </w:r>
      <w:r>
        <w:rPr>
          <w:spacing w:val="-39"/>
        </w:rPr>
      </w:r>
      <w:r>
        <w:rPr>
          <w:spacing w:val="-2"/>
        </w:rPr>
        <w:t>收入，并按已经发生的成本占估计总成本的比例确定提供劳务交易的完工进度。提供劳务交易的结果在资产负债表日不能够</w:t>
      </w:r>
      <w:r>
        <w:rPr>
          <w:spacing w:val="-72"/>
        </w:rPr>
        <w:t> </w:t>
      </w:r>
      <w:r>
        <w:rPr>
          <w:spacing w:val="-72"/>
        </w:rPr>
      </w:r>
      <w:r>
        <w:rPr>
          <w:spacing w:val="-2"/>
        </w:rPr>
        <w:t>可靠估计的，若已经发生的劳务成本预计能够得到补偿，按已经发生的劳务成本金额确认提供劳务收入，并按相同金额结转</w:t>
      </w:r>
      <w:r>
        <w:rPr>
          <w:spacing w:val="-75"/>
        </w:rPr>
        <w:t> </w:t>
      </w:r>
      <w:r>
        <w:rPr>
          <w:spacing w:val="-75"/>
        </w:rPr>
      </w:r>
      <w:r>
        <w:rPr/>
        <w:t>劳务成本；若已经发生的劳务成本预计不能够得到补偿，将已经发生的劳务成本计入当期损益，不确认劳务收入。</w:t>
      </w:r>
    </w:p>
    <w:p>
      <w:pPr>
        <w:pStyle w:val="BodyText"/>
        <w:spacing w:line="475" w:lineRule="auto" w:before="49"/>
        <w:ind w:left="561" w:right="0"/>
        <w:jc w:val="left"/>
      </w:pPr>
      <w:r>
        <w:rPr/>
        <w:t>③让渡资产使用权 让渡资产使用权在同时满足相关的经济利益很可能流入、收入金额能够可靠计量时，确认让渡资产使用权的收入。利</w:t>
      </w:r>
    </w:p>
    <w:p>
      <w:pPr>
        <w:pStyle w:val="BodyText"/>
        <w:spacing w:line="475" w:lineRule="auto" w:before="53"/>
        <w:ind w:right="1116"/>
        <w:jc w:val="both"/>
      </w:pPr>
      <w:r>
        <w:rPr>
          <w:spacing w:val="-2"/>
        </w:rPr>
        <w:t>息收入按照他人使用本公司货币资金的时间和实际利率计算确定；使用费收入按有关合同或协议约定的收费时间和方法计算</w:t>
      </w:r>
      <w:r>
        <w:rPr>
          <w:spacing w:val="-51"/>
        </w:rPr>
        <w:t> </w:t>
      </w:r>
      <w:r>
        <w:rPr>
          <w:spacing w:val="-51"/>
        </w:rPr>
      </w:r>
      <w:r>
        <w:rPr/>
        <w:t>确定。</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r>
        <w:rPr/>
        <w:t>（</w:t>
      </w:r>
      <w:r>
        <w:rPr>
          <w:rFonts w:ascii="宋体" w:hAnsi="宋体" w:cs="宋体" w:eastAsia="宋体" w:hint="default"/>
        </w:rPr>
        <w:t>2</w:t>
      </w:r>
      <w:r>
        <w:rPr/>
        <w:t>）收入确认的具体方法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72" w:lineRule="auto"/>
        <w:ind w:right="1136" w:firstLine="420"/>
        <w:jc w:val="both"/>
      </w:pPr>
      <w:r>
        <w:rPr/>
        <w:t>公司的主营业务为安防业务，包括安防系统、安防设备销售、防盗报警工程、闭路电视监控系统等集成系统以及公共 安全大数据的处理服务。</w:t>
      </w:r>
    </w:p>
    <w:p>
      <w:pPr>
        <w:pStyle w:val="BodyText"/>
        <w:spacing w:line="480" w:lineRule="auto" w:before="55"/>
        <w:ind w:right="1106" w:firstLine="360"/>
        <w:jc w:val="both"/>
      </w:pPr>
      <w:r>
        <w:rPr>
          <w:spacing w:val="-2"/>
        </w:rPr>
        <w:t>①本公司安防系统业务主要系为金融企业提供安防综合管理系统、出入口控制系统、自助银行智能安防系统、营业网点</w:t>
      </w:r>
      <w:r>
        <w:rPr/>
        <w:t> </w:t>
      </w:r>
      <w:r>
        <w:rPr>
          <w:spacing w:val="-2"/>
        </w:rPr>
        <w:t>视音频系统的安防系统服务和维护收入服务，其实施阶段通常包括设备进场、实施工程、系统调试、客户确认安装设备清单</w:t>
      </w:r>
      <w:r>
        <w:rPr>
          <w:spacing w:val="-42"/>
        </w:rPr>
        <w:t> </w:t>
      </w:r>
      <w:r>
        <w:rPr>
          <w:spacing w:val="-42"/>
        </w:rPr>
      </w:r>
      <w:r>
        <w:rPr>
          <w:spacing w:val="-2"/>
        </w:rPr>
        <w:t>和工程验收。本公司在系统安装调试完毕且通过客户验收确认后，相关的收入已经收到或取得收款的凭据，与安防系统有关</w:t>
      </w:r>
      <w:r>
        <w:rPr>
          <w:spacing w:val="-65"/>
        </w:rPr>
        <w:t> </w:t>
      </w:r>
      <w:r>
        <w:rPr>
          <w:spacing w:val="-65"/>
        </w:rPr>
      </w:r>
      <w:r>
        <w:rPr/>
        <w:t>的成本能够可靠计量时，确认安防系统收入的实现。</w:t>
      </w:r>
    </w:p>
    <w:p>
      <w:pPr>
        <w:pStyle w:val="BodyText"/>
        <w:spacing w:line="472" w:lineRule="auto" w:before="50"/>
        <w:ind w:right="1137" w:firstLine="360"/>
        <w:jc w:val="both"/>
      </w:pPr>
      <w:r>
        <w:rPr>
          <w:spacing w:val="-2"/>
        </w:rPr>
        <w:t>②安防设备销售业务是指公司通过参加金融企业的集中采购，为金融企业或其指定的工程商提供产品。设备销售业务的</w:t>
      </w:r>
      <w:r>
        <w:rPr/>
        <w:t> 收入确认原则为产品交付并获得客户签收确认时确认收入。</w:t>
      </w:r>
    </w:p>
    <w:p>
      <w:pPr>
        <w:pStyle w:val="BodyText"/>
        <w:spacing w:line="484" w:lineRule="auto" w:before="85"/>
        <w:ind w:right="1029" w:firstLine="360"/>
        <w:jc w:val="left"/>
      </w:pPr>
      <w:r>
        <w:rPr/>
        <w:t>③公司的子公司深圳市润安科技发展有限公司主营业务为防盗报警工程、闭路电视监控系统等集成系统的安装与实施， </w:t>
      </w:r>
      <w:r>
        <w:rPr>
          <w:spacing w:val="-2"/>
        </w:rPr>
        <w:t>以及安全定位产品的销售。对于集成系统的收入，在系统安装调试完毕且通过客户验收确认后，相关的收入已经收到或取得</w:t>
      </w:r>
      <w:r>
        <w:rPr>
          <w:spacing w:val="-72"/>
        </w:rPr>
        <w:t> </w:t>
      </w:r>
      <w:r>
        <w:rPr>
          <w:spacing w:val="-72"/>
        </w:rPr>
      </w:r>
      <w:r>
        <w:rPr>
          <w:spacing w:val="-2"/>
        </w:rPr>
        <w:t>收款的凭据，与安防系统有关的成本能够可靠计量时，确认收入的实现；对于安全定位产品的销售，按照产品交付并获得客</w:t>
      </w:r>
      <w:r>
        <w:rPr>
          <w:spacing w:val="-41"/>
        </w:rPr>
        <w:t> </w:t>
      </w:r>
      <w:r>
        <w:rPr>
          <w:spacing w:val="-41"/>
        </w:rPr>
      </w:r>
      <w:r>
        <w:rPr/>
        <w:t>户签收确认时确认收入。</w:t>
      </w:r>
    </w:p>
    <w:p>
      <w:pPr>
        <w:pStyle w:val="BodyText"/>
        <w:spacing w:line="489" w:lineRule="auto" w:before="76"/>
        <w:ind w:right="1106" w:firstLine="360"/>
        <w:jc w:val="both"/>
      </w:pPr>
      <w:r>
        <w:rPr>
          <w:spacing w:val="-2"/>
        </w:rPr>
        <w:t>④公司的子公司广东冠网信息科技有限公司主营业务为公共安全行业提供车辆防逃系统工程、社区安防人脸或车辆识别</w:t>
      </w:r>
      <w:r>
        <w:rPr/>
        <w:t> </w:t>
      </w:r>
      <w:r>
        <w:rPr>
          <w:spacing w:val="-2"/>
        </w:rPr>
        <w:t>系统工程的安装与实施、安防技术服务、安防设备销售。对于集成系统的收入，按照工程完工验收并获取验收报告之日确认</w:t>
      </w:r>
    </w:p>
    <w:p>
      <w:pPr>
        <w:spacing w:after="0" w:line="489" w:lineRule="auto"/>
        <w:jc w:val="both"/>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75" w:lineRule="auto" w:before="44"/>
        <w:ind w:right="1118"/>
        <w:jc w:val="left"/>
      </w:pPr>
      <w:r>
        <w:rPr>
          <w:spacing w:val="-2"/>
        </w:rPr>
        <w:t>合同收入和合同费用；技术服务按照合同约定服务期限分期确认收入；对于设备销售，按照产品交付并获得客户签收确认时</w:t>
      </w:r>
      <w:r>
        <w:rPr>
          <w:spacing w:val="-75"/>
        </w:rPr>
        <w:t> </w:t>
      </w:r>
      <w:r>
        <w:rPr>
          <w:spacing w:val="-75"/>
        </w:rPr>
      </w:r>
      <w:r>
        <w:rPr/>
        <w:t>确认收入。</w:t>
      </w:r>
    </w:p>
    <w:p>
      <w:pPr>
        <w:pStyle w:val="BodyText"/>
        <w:spacing w:line="489" w:lineRule="auto" w:before="83"/>
        <w:ind w:right="0" w:firstLine="360"/>
        <w:jc w:val="left"/>
      </w:pPr>
      <w:r>
        <w:rPr>
          <w:spacing w:val="-2"/>
        </w:rPr>
        <w:t>⑤公共安全大数据的处理服务是指公司通过参加政府的集中采购，为政府或其指定的部门提供公共安全服务。本公司对</w:t>
      </w:r>
      <w:r>
        <w:rPr/>
        <w:t> 于公共安全服务按月收取服务费，按月与客户对账确认相关服务费时确认收入。</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40、政府补助" w:id="210"/>
      <w:bookmarkEnd w:id="21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r>
        <w:rPr/>
        <w:t>（</w:t>
      </w:r>
      <w:r>
        <w:rPr>
          <w:rFonts w:ascii="宋体" w:hAnsi="宋体" w:cs="宋体" w:eastAsia="宋体" w:hint="default"/>
        </w:rPr>
        <w:t>1</w:t>
      </w:r>
      <w:r>
        <w:rPr/>
        <w:t>）政府补助在同时满足下列条件时予以确认</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48" w:lineRule="auto"/>
        <w:ind w:right="1089" w:firstLine="360"/>
        <w:jc w:val="left"/>
      </w:pPr>
      <w:r>
        <w:rPr>
          <w:rFonts w:ascii="Times New Roman" w:hAnsi="Times New Roman" w:cs="Times New Roman" w:eastAsia="Times New Roman" w:hint="default"/>
        </w:rPr>
        <w:t>1)</w:t>
      </w:r>
      <w:r>
        <w:rPr/>
        <w:t>公司能够满足政府补助所附的条件；</w:t>
      </w:r>
      <w:r>
        <w:rPr>
          <w:rFonts w:ascii="Times New Roman" w:hAnsi="Times New Roman" w:cs="Times New Roman" w:eastAsia="Times New Roman" w:hint="default"/>
        </w:rPr>
        <w:t>2)</w:t>
      </w:r>
      <w:r>
        <w:rPr/>
        <w:t>公司能够收到政府补助。政府补助为货币性资产的，按照收到或应收的金额计</w:t>
      </w:r>
      <w:r>
        <w:rPr>
          <w:w w:val="99"/>
        </w:rPr>
        <w:t> </w:t>
      </w:r>
      <w:r>
        <w:rPr/>
        <w:t>量。政府补助为非货币性资产的，按照公允价值计量；公允价值不能可靠取得的，按照名义金额计量。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宋体" w:hAnsi="宋体" w:cs="宋体" w:eastAsia="宋体" w:hint="default"/>
        </w:rPr>
        <w:t>2</w:t>
      </w:r>
      <w:r>
        <w:rPr/>
        <w:t>）与资产相关的政府补助判断依据及会计处理方法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77" w:lineRule="auto"/>
        <w:ind w:right="1029" w:firstLine="360"/>
        <w:jc w:val="left"/>
      </w:pPr>
      <w:r>
        <w:rPr>
          <w:spacing w:val="-2"/>
        </w:rPr>
        <w:t>政府文件规定用于购建或以其他方式形成长期资产的政府补助划分为与资产相关的政府补助。政府文件不明确的，以取</w:t>
      </w:r>
      <w:r>
        <w:rPr/>
        <w:t> 得该补助必须具备的基本条件为基础进行判断，以购建或其他方式形成长期资产为基本条件的作为与资产相关的政府补助。 </w:t>
      </w:r>
      <w:r>
        <w:rPr>
          <w:spacing w:val="-2"/>
        </w:rPr>
        <w:t>与资产相关的政府补助，冲减相关资产的账面价值或确认为递延收益。与资产相关的政府补助确认为递延收益的，在相关资</w:t>
      </w:r>
      <w:r>
        <w:rPr>
          <w:spacing w:val="-75"/>
        </w:rPr>
        <w:t> </w:t>
      </w:r>
      <w:r>
        <w:rPr>
          <w:spacing w:val="-75"/>
        </w:rPr>
      </w:r>
      <w:r>
        <w:rPr>
          <w:spacing w:val="-2"/>
        </w:rPr>
        <w:t>产使用寿命内按照合理、系统的方法分期计入损益。按照名义金额计量的政府补助，直接计入当期损益。相关资产在使用寿</w:t>
      </w:r>
      <w:r>
        <w:rPr>
          <w:spacing w:val="-42"/>
        </w:rPr>
        <w:t> </w:t>
      </w:r>
      <w:r>
        <w:rPr>
          <w:spacing w:val="-42"/>
        </w:rPr>
      </w:r>
      <w:r>
        <w:rPr/>
        <w:t>命结束前被出售、转让、报废或发生毁损的，将尚未分配的相关递延收益余额转入资产处置当期的损益。</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r>
        <w:rPr/>
        <w:t>（</w:t>
      </w:r>
      <w:r>
        <w:rPr>
          <w:rFonts w:ascii="宋体" w:hAnsi="宋体" w:cs="宋体" w:eastAsia="宋体" w:hint="default"/>
        </w:rPr>
        <w:t>3</w:t>
      </w:r>
      <w:r>
        <w:rPr/>
        <w:t>）与收益相关的政府补助判断依据及会计处理方法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475" w:lineRule="auto"/>
        <w:ind w:right="0" w:firstLine="360"/>
        <w:jc w:val="left"/>
      </w:pPr>
      <w:r>
        <w:rPr>
          <w:spacing w:val="-2"/>
        </w:rPr>
        <w:t>除与资产相关的政府补助之外的政府补助划分为与收益相关的政府补助。对于同时包含与资产相关部分和与收益相关部</w:t>
      </w:r>
      <w:r>
        <w:rPr/>
        <w:t> </w:t>
      </w:r>
      <w:r>
        <w:rPr>
          <w:spacing w:val="-2"/>
        </w:rPr>
        <w:t>分的政府补助，难以区分与资产相关或与收益相关的，整体归类为与收益相关的政府补助。与收益相关的政府补助，用于补</w:t>
      </w:r>
      <w:r>
        <w:rPr>
          <w:spacing w:val="-42"/>
        </w:rPr>
        <w:t> </w:t>
      </w:r>
      <w:r>
        <w:rPr>
          <w:spacing w:val="-42"/>
        </w:rPr>
      </w:r>
      <w:r>
        <w:rPr>
          <w:spacing w:val="-4"/>
        </w:rPr>
        <w:t>偿以后期间的相关成本费用或损失的，确认为递延收益，在确认相关成本费用或损失的期间，计入当期损益或冲减相关成本；</w:t>
      </w:r>
      <w:r>
        <w:rPr>
          <w:spacing w:val="-50"/>
        </w:rPr>
        <w:t> </w:t>
      </w:r>
      <w:r>
        <w:rPr>
          <w:spacing w:val="-50"/>
        </w:rPr>
      </w:r>
      <w:r>
        <w:rPr/>
        <w:t>用于补偿已发生的相关成本费用或损失的，直接计入当期损益或冲减相关成本。</w:t>
      </w:r>
    </w:p>
    <w:p>
      <w:pPr>
        <w:spacing w:line="240" w:lineRule="auto" w:before="6"/>
        <w:rPr>
          <w:rFonts w:ascii="宋体" w:hAnsi="宋体" w:cs="宋体" w:eastAsia="宋体" w:hint="default"/>
          <w:sz w:val="25"/>
          <w:szCs w:val="25"/>
        </w:rPr>
      </w:pPr>
    </w:p>
    <w:p>
      <w:pPr>
        <w:pStyle w:val="Heading3"/>
        <w:spacing w:line="420" w:lineRule="auto"/>
        <w:ind w:right="0"/>
        <w:jc w:val="left"/>
        <w:rPr>
          <w:b w:val="0"/>
          <w:bCs w:val="0"/>
        </w:rPr>
      </w:pPr>
      <w:r>
        <w:rPr/>
        <w:t>（</w:t>
      </w:r>
      <w:r>
        <w:rPr>
          <w:rFonts w:ascii="宋体" w:hAnsi="宋体" w:cs="宋体" w:eastAsia="宋体" w:hint="default"/>
        </w:rPr>
        <w:t>4</w:t>
      </w:r>
      <w:r>
        <w:rPr/>
        <w:t>）与公司日常经营活动相关的政府补助，按照经济业务实质，计入其他收益或冲减相关成本费用。与</w:t>
      </w:r>
      <w:r>
        <w:rPr>
          <w:spacing w:val="-54"/>
        </w:rPr>
        <w:t> </w:t>
      </w:r>
      <w:r>
        <w:rPr>
          <w:spacing w:val="-54"/>
        </w:rPr>
      </w:r>
      <w:r>
        <w:rPr/>
        <w:t>公司日常活动无关的政府补助，计入营业外收支</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5</w:t>
      </w:r>
      <w:r>
        <w:rPr/>
        <w:t>）政策性优惠贷款贴息的会计处理方法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441" w:right="0"/>
        <w:jc w:val="left"/>
      </w:pPr>
      <w:r>
        <w:rPr/>
        <w:t>①财政将贴息资金拨付给贷款银行，由贷款银行以政策性优惠利率向公司提供贷款的，以实际收到的借款金额作为借款</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both"/>
      </w:pPr>
      <w:r>
        <w:rPr/>
        <w:t>的入账价值，按照借款本金和该政策性优惠利率计算相关借款费用。</w:t>
      </w:r>
    </w:p>
    <w:p>
      <w:pPr>
        <w:spacing w:line="240" w:lineRule="auto" w:before="7"/>
        <w:rPr>
          <w:rFonts w:ascii="宋体" w:hAnsi="宋体" w:cs="宋体" w:eastAsia="宋体" w:hint="default"/>
          <w:sz w:val="17"/>
          <w:szCs w:val="17"/>
        </w:rPr>
      </w:pPr>
    </w:p>
    <w:p>
      <w:pPr>
        <w:pStyle w:val="BodyText"/>
        <w:spacing w:line="240" w:lineRule="auto"/>
        <w:ind w:left="441" w:right="0"/>
        <w:jc w:val="left"/>
      </w:pPr>
      <w:r>
        <w:rPr/>
        <w:t>②财政将贴息资金直接拨付给公司的，将对应的贴息冲减相关借款费用。</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41、递延所得税资产/递延所得税负债" w:id="211"/>
      <w:bookmarkEnd w:id="211"/>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453" w:lineRule="auto"/>
        <w:ind w:right="1128"/>
        <w:jc w:val="both"/>
      </w:pPr>
      <w:r>
        <w:rPr/>
        <w:t>（</w:t>
      </w:r>
      <w:r>
        <w:rPr>
          <w:rFonts w:ascii="Times New Roman" w:hAnsi="Times New Roman" w:cs="Times New Roman" w:eastAsia="Times New Roman" w:hint="default"/>
        </w:rPr>
        <w:t>1</w:t>
      </w:r>
      <w:r>
        <w:rPr/>
        <w:t>）根据资产、负债的账面价值与其计税基础之间的差额（未作为资产和负债确认的项目按照税法规定可以确定其计税基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434" w:lineRule="auto" w:before="129"/>
        <w:ind w:right="1098" w:firstLine="75"/>
        <w:jc w:val="left"/>
      </w:pPr>
      <w:r>
        <w:rPr>
          <w:spacing w:val="-1"/>
        </w:rPr>
        <w:t>（</w:t>
      </w: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434" w:lineRule="auto" w:before="144"/>
        <w:ind w:right="1098" w:firstLine="75"/>
        <w:jc w:val="left"/>
      </w:pPr>
      <w:r>
        <w:rPr>
          <w:spacing w:val="-1"/>
        </w:rPr>
        <w:t>（</w:t>
      </w: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240" w:lineRule="auto" w:before="144"/>
        <w:ind w:left="216" w:right="0"/>
        <w:jc w:val="both"/>
      </w:pPr>
      <w:r>
        <w:rPr/>
        <w:t>（</w:t>
      </w:r>
      <w:r>
        <w:rPr>
          <w:rFonts w:ascii="Times New Roman" w:hAnsi="Times New Roman" w:cs="Times New Roman" w:eastAsia="Times New Roman" w:hint="default"/>
        </w:rPr>
        <w:t>4</w:t>
      </w:r>
      <w:r>
        <w:rPr/>
        <w:t>）公司当期所得税和递延所得税作为所得税费用或收益计入当期损益，但不包括下列情况产生的所得税：①企业合并；</w:t>
      </w:r>
    </w:p>
    <w:p>
      <w:pPr>
        <w:spacing w:line="240" w:lineRule="auto" w:before="5"/>
        <w:rPr>
          <w:rFonts w:ascii="宋体" w:hAnsi="宋体" w:cs="宋体" w:eastAsia="宋体" w:hint="default"/>
          <w:sz w:val="15"/>
          <w:szCs w:val="15"/>
        </w:rPr>
      </w:pPr>
    </w:p>
    <w:p>
      <w:pPr>
        <w:pStyle w:val="BodyText"/>
        <w:spacing w:line="240" w:lineRule="auto"/>
        <w:ind w:right="0"/>
        <w:jc w:val="both"/>
      </w:pPr>
      <w:r>
        <w:rPr/>
        <w:t>②</w:t>
      </w:r>
      <w:r>
        <w:rPr>
          <w:spacing w:val="-15"/>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both"/>
        <w:rPr>
          <w:b w:val="0"/>
          <w:bCs w:val="0"/>
        </w:rPr>
      </w:pPr>
      <w:bookmarkStart w:name="42、租赁" w:id="212"/>
      <w:bookmarkEnd w:id="212"/>
      <w:r>
        <w:rPr>
          <w:b w:val="0"/>
          <w:bCs w:val="0"/>
        </w:rPr>
      </w:r>
      <w:r>
        <w:rPr>
          <w:rFonts w:ascii="Times New Roman" w:hAnsi="Times New Roman" w:cs="Times New Roman" w:eastAsia="Times New Roman" w:hint="default"/>
        </w:rPr>
        <w:t>42</w:t>
      </w:r>
      <w:r>
        <w:rPr/>
        <w:t>、租赁</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both"/>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458" w:lineRule="auto"/>
        <w:ind w:right="0"/>
        <w:jc w:val="left"/>
      </w:pPr>
      <w:r>
        <w:rPr>
          <w:spacing w:val="-2"/>
        </w:rPr>
        <w:t>公司为承租人时，在租赁期内各个期间按照直线法将租金计入相关资产成本或确认为当期损益，发生的初始直接费用，直接</w:t>
      </w:r>
      <w:r>
        <w:rPr>
          <w:spacing w:val="-75"/>
        </w:rPr>
        <w:t> </w:t>
      </w:r>
      <w:r>
        <w:rPr>
          <w:spacing w:val="-75"/>
        </w:rPr>
      </w:r>
      <w:r>
        <w:rPr/>
        <w:t>计入当期损益。或有租金在实际发生时计入当期损益。</w:t>
      </w:r>
    </w:p>
    <w:p>
      <w:pPr>
        <w:pStyle w:val="BodyText"/>
        <w:spacing w:line="458" w:lineRule="auto" w:before="126"/>
        <w:ind w:right="0"/>
        <w:jc w:val="left"/>
      </w:pPr>
      <w:r>
        <w:rPr>
          <w:spacing w:val="-2"/>
        </w:rPr>
        <w:t>公司为出租人时，在租赁期内各个期间按照直线法将租金确认为当期损益，发生的初始直接费用，除金额较大的予以资本化</w:t>
      </w:r>
      <w:r>
        <w:rPr>
          <w:spacing w:val="-75"/>
        </w:rPr>
        <w:t> </w:t>
      </w:r>
      <w:r>
        <w:rPr>
          <w:spacing w:val="-75"/>
        </w:rPr>
      </w:r>
      <w:r>
        <w:rPr/>
        <w:t>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pStyle w:val="Heading3"/>
        <w:spacing w:line="240" w:lineRule="auto" w:before="125"/>
        <w:ind w:right="0"/>
        <w:jc w:val="both"/>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43、其他重要的会计政策和会计估计" w:id="213"/>
      <w:bookmarkEnd w:id="213"/>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475" w:lineRule="auto"/>
        <w:ind w:right="0"/>
        <w:jc w:val="left"/>
      </w:pPr>
      <w:r>
        <w:rPr/>
        <w:t>与回购公司股份相关的会计处理方法 </w:t>
      </w:r>
      <w:r>
        <w:rPr>
          <w:spacing w:val="-2"/>
        </w:rPr>
        <w:t>因减少注册资本或奖励职工等原因收购本公司股份的，按实际支付的金额作为库存股处理，同时进行备查登记。如果将回购</w:t>
      </w:r>
    </w:p>
    <w:p>
      <w:pPr>
        <w:spacing w:after="0" w:line="475"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r>
        <w:rPr/>
        <w:pict>
          <v:group style="position:absolute;margin-left:217.779999pt;margin-top:487.924988pt;width:156.950pt;height:33.050pt;mso-position-horizontal-relative:page;mso-position-vertical-relative:page;z-index:-1109224" coordorigin="4356,9758" coordsize="3139,661">
            <v:group style="position:absolute;left:4356;top:9758;width:3139;height:346" coordorigin="4356,9758" coordsize="3139,346">
              <v:shape style="position:absolute;left:4356;top:9758;width:3139;height:346" coordorigin="4356,9758" coordsize="3139,346" path="m4356,10104l7495,10104,7495,9758,4356,9758,4356,10104xe" filled="true" fillcolor="#ffffff" stroked="false">
                <v:path arrowok="t"/>
                <v:fill type="solid"/>
              </v:shape>
            </v:group>
            <v:group style="position:absolute;left:4356;top:10104;width:3139;height:315" coordorigin="4356,10104" coordsize="3139,315">
              <v:shape style="position:absolute;left:4356;top:10104;width:3139;height:315" coordorigin="4356,10104" coordsize="3139,315" path="m4356,10419l7495,10419,7495,10104,4356,10104,4356,10419xe" filled="true" fillcolor="#ffffff" stroked="false">
                <v:path arrowok="t"/>
                <v:fill type="solid"/>
              </v:shape>
            </v:group>
            <w10:wrap type="none"/>
          </v:group>
        </w:pict>
      </w:r>
      <w:r>
        <w:rPr/>
        <w:pict>
          <v:group style="position:absolute;margin-left:217.029999pt;margin-top:562.25pt;width:159.2pt;height:63.05pt;mso-position-horizontal-relative:page;mso-position-vertical-relative:page;z-index:-1109200" coordorigin="4341,11245" coordsize="3184,1261">
            <v:shape style="position:absolute;left:4341;top:11245;width:3184;height:1261" coordorigin="4341,11245" coordsize="3184,1261" path="m4341,12506l7525,12506,7525,11245,4341,11245,4341,12506xe" filled="true" fillcolor="#ffffff" stroked="false">
              <v:path arrowok="t"/>
              <v:fill type="solid"/>
            </v:shape>
            <w10:wrap type="none"/>
          </v:group>
        </w:pict>
      </w:r>
      <w:r>
        <w:rPr/>
        <w:pict>
          <v:group style="position:absolute;margin-left:217.029999pt;margin-top:675.599976pt;width:159.2pt;height:62.3pt;mso-position-horizontal-relative:page;mso-position-vertical-relative:page;z-index:-1109176" coordorigin="4341,13512" coordsize="3184,1246">
            <v:shape style="position:absolute;left:4341;top:13512;width:3184;height:1246" coordorigin="4341,13512" coordsize="3184,1246" path="m4341,14758l7525,14758,7525,13512,4341,13512,4341,14758xe" filled="true" fillcolor="#ffffff" stroked="false">
              <v:path arrowok="t"/>
              <v:fill type="solid"/>
            </v:shape>
            <w10:wrap type="none"/>
          </v:group>
        </w:pict>
      </w:r>
    </w:p>
    <w:p>
      <w:pPr>
        <w:pStyle w:val="BodyText"/>
        <w:spacing w:line="480" w:lineRule="auto" w:before="44"/>
        <w:ind w:right="1112"/>
        <w:jc w:val="both"/>
      </w:pPr>
      <w:r>
        <w:rPr>
          <w:spacing w:val="-2"/>
        </w:rPr>
        <w:t>的股份注销，则将按注销股票面值和注销股数计算的股票面值总额与实际回购所支付的金额之间的差额冲减资本公积，资本</w:t>
      </w:r>
      <w:r>
        <w:rPr>
          <w:spacing w:val="-72"/>
        </w:rPr>
        <w:t> </w:t>
      </w:r>
      <w:r>
        <w:rPr>
          <w:spacing w:val="-72"/>
        </w:rPr>
      </w:r>
      <w:r>
        <w:rPr>
          <w:spacing w:val="-2"/>
        </w:rPr>
        <w:t>公积不足冲减的，冲减留存收益；如果将回购的股份奖励给本公司职工属于以权益结算的股份支付，于职工行权购买本公司</w:t>
      </w:r>
      <w:r>
        <w:rPr>
          <w:spacing w:val="-75"/>
        </w:rPr>
        <w:t> </w:t>
      </w:r>
      <w:r>
        <w:rPr>
          <w:spacing w:val="-75"/>
        </w:rPr>
      </w:r>
      <w:r>
        <w:rPr>
          <w:spacing w:val="-2"/>
        </w:rPr>
        <w:t>股份收到价款时，转销交付职工的库存股成本和等待期内资本公积（其他资本公积）累计金额，同时，按照其差额调整资本</w:t>
      </w:r>
      <w:r>
        <w:rPr>
          <w:spacing w:val="-47"/>
        </w:rPr>
        <w:t> </w:t>
      </w:r>
      <w:r>
        <w:rPr>
          <w:spacing w:val="-47"/>
        </w:rPr>
      </w:r>
      <w:r>
        <w:rPr/>
        <w:t>公积（股本溢价）。</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44、重要会计政策和会计估计变更" w:id="214"/>
      <w:bookmarkEnd w:id="214"/>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both"/>
        <w:rPr>
          <w:b w:val="0"/>
          <w:bCs w:val="0"/>
        </w:rPr>
      </w:pPr>
      <w:r>
        <w:rPr/>
        <w:t>（</w:t>
      </w:r>
      <w:r>
        <w:rPr>
          <w:rFonts w:ascii="宋体" w:hAnsi="宋体" w:cs="宋体" w:eastAsia="宋体" w:hint="default"/>
        </w:rPr>
        <w:t>1</w:t>
      </w:r>
      <w:r>
        <w:rPr/>
        <w:t>）重要会计政策变更</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年，财政部颁布了修订的《企业会</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资产转移</w:t>
            </w:r>
            <w:r>
              <w:rPr>
                <w:rFonts w:ascii="宋体" w:hAnsi="宋体" w:cs="宋体" w:eastAsia="宋体" w:hint="default"/>
                <w:spacing w:val="-90"/>
                <w:sz w:val="18"/>
                <w:szCs w:val="18"/>
              </w:rPr>
              <w:t>》、</w:t>
            </w:r>
            <w:r>
              <w:rPr>
                <w:rFonts w:ascii="宋体" w:hAnsi="宋体" w:cs="宋体" w:eastAsia="宋体" w:hint="default"/>
                <w:sz w:val="18"/>
                <w:szCs w:val="18"/>
              </w:rPr>
              <w:t>《企业会计准则第</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p>
          <w:p>
            <w:pPr>
              <w:pStyle w:val="TableParagraph"/>
              <w:spacing w:line="302" w:lineRule="auto" w:before="51"/>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套期保值》以及《企业会计准则第 </w:t>
            </w:r>
            <w:r>
              <w:rPr>
                <w:rFonts w:ascii="Times New Roman" w:hAnsi="Times New Roman" w:cs="Times New Roman" w:eastAsia="Times New Roman" w:hint="default"/>
                <w:sz w:val="18"/>
                <w:szCs w:val="18"/>
              </w:rPr>
              <w:t>37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金融工具列报》（以上</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项准 </w:t>
            </w:r>
            <w:r>
              <w:rPr>
                <w:rFonts w:ascii="宋体" w:hAnsi="宋体" w:cs="宋体" w:eastAsia="宋体" w:hint="default"/>
                <w:spacing w:val="-5"/>
                <w:w w:val="100"/>
                <w:sz w:val="18"/>
                <w:szCs w:val="18"/>
              </w:rPr>
              <w:t>则以下统称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新金融工具准则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），并要求</w:t>
            </w:r>
            <w:r>
              <w:rPr>
                <w:rFonts w:ascii="宋体" w:hAnsi="宋体" w:cs="宋体" w:eastAsia="宋体" w:hint="default"/>
                <w:spacing w:val="-79"/>
                <w:w w:val="100"/>
                <w:sz w:val="18"/>
                <w:szCs w:val="18"/>
              </w:rPr>
              <w:t> </w:t>
            </w:r>
            <w:r>
              <w:rPr>
                <w:rFonts w:ascii="宋体" w:hAnsi="宋体" w:cs="宋体" w:eastAsia="宋体" w:hint="default"/>
                <w:spacing w:val="-79"/>
                <w:w w:val="100"/>
                <w:sz w:val="18"/>
                <w:szCs w:val="18"/>
              </w:rPr>
            </w:r>
            <w:r>
              <w:rPr>
                <w:rFonts w:ascii="宋体" w:hAnsi="宋体" w:cs="宋体" w:eastAsia="宋体" w:hint="default"/>
                <w:sz w:val="18"/>
                <w:szCs w:val="18"/>
              </w:rPr>
              <w:t>境内上市的企业自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 行新金融工具相关会计准则。本公司自 规定之日起开始执行。</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07" w:lineRule="auto"/>
              <w:ind w:left="14" w:right="92"/>
              <w:jc w:val="left"/>
              <w:rPr>
                <w:rFonts w:ascii="宋体" w:hAnsi="宋体" w:cs="宋体" w:eastAsia="宋体" w:hint="default"/>
                <w:sz w:val="18"/>
                <w:szCs w:val="18"/>
              </w:rPr>
            </w:pPr>
            <w:r>
              <w:rPr>
                <w:rFonts w:ascii="宋体" w:hAnsi="宋体" w:cs="宋体" w:eastAsia="宋体" w:hint="default"/>
                <w:sz w:val="18"/>
                <w:szCs w:val="18"/>
              </w:rPr>
              <w:t>经公司第三届董事会第十八次会议和第 三届监事会第十七次会议审议通过。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3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304" w:lineRule="auto" w:before="51"/>
              <w:ind w:left="15" w:right="98"/>
              <w:jc w:val="left"/>
              <w:rPr>
                <w:rFonts w:ascii="宋体" w:hAnsi="宋体" w:cs="宋体" w:eastAsia="宋体" w:hint="default"/>
                <w:sz w:val="18"/>
                <w:szCs w:val="18"/>
              </w:rPr>
            </w:pPr>
            <w:r>
              <w:rPr>
                <w:rFonts w:ascii="宋体" w:hAnsi="宋体" w:cs="宋体" w:eastAsia="宋体" w:hint="default"/>
                <w:sz w:val="18"/>
                <w:szCs w:val="18"/>
              </w:rPr>
              <w:t>于修订印发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 </w:t>
            </w:r>
            <w:r>
              <w:rPr>
                <w:rFonts w:ascii="宋体" w:hAnsi="宋体" w:cs="宋体" w:eastAsia="宋体" w:hint="default"/>
                <w:spacing w:val="-6"/>
                <w:sz w:val="18"/>
                <w:szCs w:val="18"/>
              </w:rPr>
              <w:t>表格式的通知》（财会</w:t>
            </w:r>
            <w:r>
              <w:rPr>
                <w:rFonts w:ascii="Times New Roman" w:hAnsi="Times New Roman" w:cs="Times New Roman" w:eastAsia="Times New Roman" w:hint="default"/>
                <w:spacing w:val="-6"/>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z w:val="18"/>
                <w:szCs w:val="18"/>
              </w:rPr>
              <w:t>号）要求</w:t>
            </w:r>
            <w:r>
              <w:rPr>
                <w:rFonts w:ascii="宋体" w:hAnsi="宋体" w:cs="宋体" w:eastAsia="宋体" w:hint="default"/>
                <w:spacing w:val="-76"/>
                <w:sz w:val="18"/>
                <w:szCs w:val="18"/>
              </w:rPr>
              <w:t> </w:t>
            </w:r>
            <w:r>
              <w:rPr>
                <w:rFonts w:ascii="宋体" w:hAnsi="宋体" w:cs="宋体" w:eastAsia="宋体" w:hint="default"/>
                <w:sz w:val="18"/>
                <w:szCs w:val="18"/>
              </w:rPr>
              <w:t>本公司对财务报表格式进行修订，并采 用追溯调整法变更了相关财务报表列 报。</w:t>
            </w:r>
          </w:p>
        </w:tc>
        <w:tc>
          <w:tcPr>
            <w:tcW w:w="31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00" w:lineRule="exact"/>
              <w:ind w:left="7" w:right="0"/>
              <w:jc w:val="left"/>
              <w:rPr>
                <w:rFonts w:ascii="宋体" w:hAnsi="宋体" w:cs="宋体" w:eastAsia="宋体" w:hint="default"/>
                <w:sz w:val="18"/>
                <w:szCs w:val="18"/>
              </w:rPr>
            </w:pPr>
            <w:r>
              <w:rPr>
                <w:rFonts w:ascii="宋体" w:hAnsi="宋体" w:cs="宋体" w:eastAsia="宋体" w:hint="default"/>
                <w:sz w:val="18"/>
                <w:szCs w:val="18"/>
              </w:rPr>
              <w:t>经公司第三届董事会第二十四次会议和</w:t>
            </w:r>
          </w:p>
          <w:p>
            <w:pPr>
              <w:pStyle w:val="TableParagraph"/>
              <w:spacing w:line="150"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5" w:lineRule="exact"/>
              <w:ind w:left="7" w:right="0"/>
              <w:jc w:val="left"/>
              <w:rPr>
                <w:rFonts w:ascii="宋体" w:hAnsi="宋体" w:cs="宋体" w:eastAsia="宋体" w:hint="default"/>
                <w:sz w:val="18"/>
                <w:szCs w:val="18"/>
              </w:rPr>
            </w:pPr>
            <w:r>
              <w:rPr>
                <w:rFonts w:ascii="宋体" w:hAnsi="宋体" w:cs="宋体" w:eastAsia="宋体" w:hint="default"/>
                <w:sz w:val="18"/>
                <w:szCs w:val="18"/>
              </w:rPr>
              <w:t>第三届监事会第二十三次会议审议通</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过。</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513"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44"/>
              <w:ind w:left="15" w:right="103"/>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日颁布了《关 </w:t>
            </w:r>
            <w:r>
              <w:rPr>
                <w:rFonts w:ascii="宋体" w:hAnsi="宋体" w:cs="宋体" w:eastAsia="宋体" w:hint="default"/>
                <w:spacing w:val="-4"/>
                <w:sz w:val="18"/>
                <w:szCs w:val="18"/>
              </w:rPr>
              <w:t>于修订印发合并财务报表格式（</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版</w:t>
            </w:r>
            <w:r>
              <w:rPr>
                <w:rFonts w:ascii="宋体" w:hAnsi="宋体" w:cs="宋体" w:eastAsia="宋体" w:hint="default"/>
                <w:spacing w:val="-71"/>
                <w:sz w:val="18"/>
                <w:szCs w:val="18"/>
              </w:rPr>
              <w:t> </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[2019]16</w:t>
            </w:r>
            <w:r>
              <w:rPr>
                <w:rFonts w:ascii="Times New Roman" w:hAnsi="Times New Roman" w:cs="Times New Roman" w:eastAsia="Times New Roman" w:hint="default"/>
                <w:sz w:val="18"/>
                <w:szCs w:val="18"/>
              </w:rPr>
              <w:t> </w:t>
            </w:r>
            <w:r>
              <w:rPr>
                <w:rFonts w:ascii="宋体" w:hAnsi="宋体" w:cs="宋体" w:eastAsia="宋体" w:hint="default"/>
                <w:sz w:val="18"/>
                <w:szCs w:val="18"/>
              </w:rPr>
              <w:t>号，以下简称 </w:t>
            </w:r>
            <w:r>
              <w:rPr>
                <w:rFonts w:ascii="宋体" w:hAnsi="宋体" w:cs="宋体" w:eastAsia="宋体" w:hint="default"/>
                <w:spacing w:val="-19"/>
                <w:sz w:val="18"/>
                <w:szCs w:val="18"/>
              </w:rPr>
              <w:t>“《修订通知》”），对合并财务报表格式</w:t>
            </w:r>
          </w:p>
          <w:p>
            <w:pPr>
              <w:pStyle w:val="TableParagraph"/>
              <w:spacing w:line="321" w:lineRule="auto" w:before="38"/>
              <w:ind w:left="15" w:right="16"/>
              <w:jc w:val="left"/>
              <w:rPr>
                <w:rFonts w:ascii="宋体" w:hAnsi="宋体" w:cs="宋体" w:eastAsia="宋体" w:hint="default"/>
                <w:sz w:val="18"/>
                <w:szCs w:val="18"/>
              </w:rPr>
            </w:pPr>
            <w:r>
              <w:rPr>
                <w:rFonts w:ascii="宋体" w:hAnsi="宋体" w:cs="宋体" w:eastAsia="宋体" w:hint="default"/>
                <w:sz w:val="18"/>
                <w:szCs w:val="18"/>
              </w:rPr>
              <w:t>进行了修订，要求执行企业会计准则的 企业按照会计准则和《修订通知》的要</w:t>
            </w:r>
          </w:p>
          <w:p>
            <w:pPr>
              <w:pStyle w:val="TableParagraph"/>
              <w:spacing w:line="309" w:lineRule="auto" w:before="33"/>
              <w:ind w:left="15" w:right="-42"/>
              <w:jc w:val="left"/>
              <w:rPr>
                <w:rFonts w:ascii="宋体" w:hAnsi="宋体" w:cs="宋体" w:eastAsia="宋体" w:hint="default"/>
                <w:sz w:val="18"/>
                <w:szCs w:val="18"/>
              </w:rPr>
            </w:pPr>
            <w:r>
              <w:rPr>
                <w:rFonts w:ascii="宋体" w:hAnsi="宋体" w:cs="宋体" w:eastAsia="宋体" w:hint="default"/>
                <w:sz w:val="18"/>
                <w:szCs w:val="18"/>
              </w:rPr>
              <w:t>求编制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年度合并财务报表及以后期 间的合并财务报表。根据《修订通知》 </w:t>
            </w:r>
            <w:r>
              <w:rPr>
                <w:rFonts w:ascii="宋体" w:hAnsi="宋体" w:cs="宋体" w:eastAsia="宋体" w:hint="default"/>
                <w:spacing w:val="-2"/>
                <w:sz w:val="18"/>
                <w:szCs w:val="18"/>
              </w:rPr>
              <w:t>的有关要求，公司应当结合《修订通知》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的要求对合并财务报表格式进行相应调 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4" w:right="92"/>
              <w:jc w:val="left"/>
              <w:rPr>
                <w:rFonts w:ascii="宋体" w:hAnsi="宋体" w:cs="宋体" w:eastAsia="宋体" w:hint="default"/>
                <w:sz w:val="18"/>
                <w:szCs w:val="18"/>
              </w:rPr>
            </w:pPr>
            <w:r>
              <w:rPr>
                <w:rFonts w:ascii="宋体" w:hAnsi="宋体" w:cs="宋体" w:eastAsia="宋体" w:hint="default"/>
                <w:sz w:val="18"/>
                <w:szCs w:val="18"/>
              </w:rPr>
              <w:t>经公司第三届董事会第二十六次会议和 第三届监事会第二十五次会议审议通 过。</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202" w:type="dxa"/>
        <w:tblLayout w:type="fixed"/>
        <w:tblCellMar>
          <w:top w:w="0" w:type="dxa"/>
          <w:left w:w="0" w:type="dxa"/>
          <w:bottom w:w="0" w:type="dxa"/>
          <w:right w:w="0" w:type="dxa"/>
        </w:tblCellMar>
        <w:tblLook w:val="01E0"/>
      </w:tblPr>
      <w:tblGrid>
        <w:gridCol w:w="3203"/>
        <w:gridCol w:w="3184"/>
        <w:gridCol w:w="3199"/>
      </w:tblGrid>
      <w:tr>
        <w:trPr>
          <w:trHeight w:val="8632" w:hRule="exact"/>
        </w:trPr>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10"/>
                <w:sz w:val="18"/>
                <w:szCs w:val="18"/>
              </w:rPr>
              <w:t>日颁布了《关</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收入</w:t>
            </w:r>
          </w:p>
          <w:p>
            <w:pPr>
              <w:pStyle w:val="TableParagraph"/>
              <w:spacing w:line="290" w:lineRule="auto" w:before="66"/>
              <w:ind w:left="15"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&gt;</w:t>
            </w:r>
            <w:r>
              <w:rPr>
                <w:rFonts w:ascii="宋体" w:hAnsi="宋体" w:cs="宋体" w:eastAsia="宋体" w:hint="default"/>
                <w:sz w:val="18"/>
                <w:szCs w:val="18"/>
              </w:rPr>
              <w:t>的通知</w:t>
            </w:r>
            <w:r>
              <w:rPr>
                <w:rFonts w:ascii="宋体" w:hAnsi="宋体" w:cs="宋体" w:eastAsia="宋体" w:hint="default"/>
                <w:spacing w:val="-105"/>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2017</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宋体" w:hAnsi="宋体" w:cs="宋体" w:eastAsia="宋体" w:hint="default"/>
                <w:spacing w:val="-105"/>
                <w:sz w:val="18"/>
                <w:szCs w:val="18"/>
              </w:rPr>
              <w:t>）</w:t>
            </w:r>
            <w:r>
              <w:rPr>
                <w:rFonts w:ascii="宋体" w:hAnsi="宋体" w:cs="宋体" w:eastAsia="宋体" w:hint="default"/>
                <w:sz w:val="18"/>
                <w:szCs w:val="18"/>
              </w:rPr>
              <w:t>（以下简</w:t>
            </w:r>
            <w:r>
              <w:rPr>
                <w:rFonts w:ascii="宋体" w:hAnsi="宋体" w:cs="宋体" w:eastAsia="宋体" w:hint="default"/>
                <w:sz w:val="18"/>
                <w:szCs w:val="18"/>
              </w:rPr>
              <w:t> 称“新收入准则</w:t>
            </w:r>
            <w:r>
              <w:rPr>
                <w:rFonts w:ascii="宋体" w:hAnsi="宋体" w:cs="宋体" w:eastAsia="宋体" w:hint="default"/>
                <w:spacing w:val="-90"/>
                <w:sz w:val="18"/>
                <w:szCs w:val="18"/>
              </w:rPr>
              <w:t>”）</w:t>
            </w:r>
            <w:r>
              <w:rPr>
                <w:rFonts w:ascii="宋体" w:hAnsi="宋体" w:cs="宋体" w:eastAsia="宋体" w:hint="default"/>
                <w:sz w:val="18"/>
                <w:szCs w:val="18"/>
              </w:rPr>
              <w:t>，对《企业会计准则</w:t>
            </w:r>
          </w:p>
          <w:p>
            <w:pPr>
              <w:pStyle w:val="TableParagraph"/>
              <w:spacing w:line="297" w:lineRule="auto" w:before="56"/>
              <w:ind w:left="15" w:right="1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收入》进行了修订。通知要求在</w:t>
            </w:r>
            <w:r>
              <w:rPr>
                <w:rFonts w:ascii="宋体" w:hAnsi="宋体" w:cs="宋体" w:eastAsia="宋体" w:hint="default"/>
                <w:sz w:val="18"/>
                <w:szCs w:val="18"/>
              </w:rPr>
              <w:t> 境内外同时上市的企业以及在境外上市 并采用国际财务报告准则或企业会计准</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则编制财务报表的企业，自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日起施行；其他境内上市企业，自</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日起施行；执行企业会计准则</w:t>
            </w:r>
          </w:p>
          <w:p>
            <w:pPr>
              <w:pStyle w:val="TableParagraph"/>
              <w:spacing w:line="288" w:lineRule="auto" w:before="51"/>
              <w:ind w:left="15" w:right="32"/>
              <w:jc w:val="left"/>
              <w:rPr>
                <w:rFonts w:ascii="宋体" w:hAnsi="宋体" w:cs="宋体" w:eastAsia="宋体" w:hint="default"/>
                <w:sz w:val="18"/>
                <w:szCs w:val="18"/>
              </w:rPr>
            </w:pPr>
            <w:r>
              <w:rPr>
                <w:rFonts w:ascii="宋体" w:hAnsi="宋体" w:cs="宋体" w:eastAsia="宋体" w:hint="default"/>
                <w:sz w:val="18"/>
                <w:szCs w:val="18"/>
              </w:rPr>
              <w:t>的非上市公司，自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日起施 行。同时，允许企业提前执行。</w:t>
            </w:r>
          </w:p>
          <w:p>
            <w:pPr>
              <w:pStyle w:val="TableParagraph"/>
              <w:spacing w:line="240" w:lineRule="auto" w:before="104"/>
              <w:ind w:left="1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0"/>
                <w:sz w:val="18"/>
                <w:szCs w:val="18"/>
              </w:rPr>
              <w:t>日发布了《关</w:t>
            </w:r>
          </w:p>
          <w:p>
            <w:pPr>
              <w:pStyle w:val="TableParagraph"/>
              <w:spacing w:line="297" w:lineRule="auto" w:before="51"/>
              <w:ind w:left="15" w:right="-41"/>
              <w:jc w:val="left"/>
              <w:rPr>
                <w:rFonts w:ascii="宋体" w:hAnsi="宋体" w:cs="宋体" w:eastAsia="宋体" w:hint="default"/>
                <w:sz w:val="18"/>
                <w:szCs w:val="18"/>
              </w:rPr>
            </w:pPr>
            <w:r>
              <w:rPr>
                <w:rFonts w:ascii="宋体" w:hAnsi="宋体" w:cs="宋体" w:eastAsia="宋体" w:hint="default"/>
                <w:sz w:val="18"/>
                <w:szCs w:val="18"/>
              </w:rPr>
              <w:t>于印发修订〈企业会计准则第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 </w:t>
            </w:r>
            <w:r>
              <w:rPr>
                <w:rFonts w:ascii="宋体" w:hAnsi="宋体" w:cs="宋体" w:eastAsia="宋体" w:hint="default"/>
                <w:spacing w:val="-5"/>
                <w:sz w:val="18"/>
                <w:szCs w:val="18"/>
              </w:rPr>
              <w:t>货币性资产交换〉的通知》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以下简称“新非货币性资产交换准 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，要求在所有执行企业会计准则的 企业范围内施行，自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 起施行。</w:t>
            </w:r>
          </w:p>
          <w:p>
            <w:pPr>
              <w:pStyle w:val="TableParagraph"/>
              <w:spacing w:line="240" w:lineRule="auto" w:before="9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w:t>
            </w:r>
            <w:r>
              <w:rPr>
                <w:rFonts w:ascii="宋体" w:hAnsi="宋体" w:cs="宋体" w:eastAsia="宋体" w:hint="default"/>
                <w:spacing w:val="-90"/>
                <w:sz w:val="18"/>
                <w:szCs w:val="18"/>
              </w:rPr>
              <w:t>了</w:t>
            </w:r>
            <w:r>
              <w:rPr>
                <w:rFonts w:ascii="宋体" w:hAnsi="宋体" w:cs="宋体" w:eastAsia="宋体" w:hint="default"/>
                <w:sz w:val="18"/>
                <w:szCs w:val="18"/>
              </w:rPr>
              <w:t>《关</w:t>
            </w:r>
          </w:p>
          <w:p>
            <w:pPr>
              <w:pStyle w:val="TableParagraph"/>
              <w:spacing w:line="295" w:lineRule="auto" w:before="66"/>
              <w:ind w:left="15" w:right="32"/>
              <w:jc w:val="both"/>
              <w:rPr>
                <w:rFonts w:ascii="宋体" w:hAnsi="宋体" w:cs="宋体" w:eastAsia="宋体" w:hint="default"/>
                <w:sz w:val="18"/>
                <w:szCs w:val="18"/>
              </w:rPr>
            </w:pPr>
            <w:r>
              <w:rPr>
                <w:rFonts w:ascii="宋体" w:hAnsi="宋体" w:cs="宋体" w:eastAsia="宋体" w:hint="default"/>
                <w:sz w:val="18"/>
                <w:szCs w:val="18"/>
              </w:rPr>
              <w:t>于印发修订〈企业会计准则第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 </w:t>
            </w:r>
            <w:r>
              <w:rPr>
                <w:rFonts w:ascii="宋体" w:hAnsi="宋体" w:cs="宋体" w:eastAsia="宋体" w:hint="default"/>
                <w:spacing w:val="-4"/>
                <w:sz w:val="18"/>
                <w:szCs w:val="18"/>
              </w:rPr>
              <w:t>务重组〉的通知》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86"/>
                <w:sz w:val="18"/>
                <w:szCs w:val="18"/>
              </w:rPr>
              <w:t> </w:t>
            </w:r>
            <w:r>
              <w:rPr>
                <w:rFonts w:ascii="宋体" w:hAnsi="宋体" w:cs="宋体" w:eastAsia="宋体" w:hint="default"/>
                <w:sz w:val="18"/>
                <w:szCs w:val="18"/>
              </w:rPr>
              <w:t>下简称“新债务重组准则”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，要求在所 有执行企业会计准则的企业范围内施</w:t>
            </w:r>
          </w:p>
          <w:p>
            <w:pPr>
              <w:pStyle w:val="TableParagraph"/>
              <w:spacing w:line="319" w:lineRule="auto" w:before="53"/>
              <w:ind w:left="285" w:right="35" w:hanging="271"/>
              <w:jc w:val="left"/>
              <w:rPr>
                <w:rFonts w:ascii="宋体" w:hAnsi="宋体" w:cs="宋体" w:eastAsia="宋体" w:hint="default"/>
                <w:sz w:val="18"/>
                <w:szCs w:val="18"/>
              </w:rPr>
            </w:pPr>
            <w:r>
              <w:rPr>
                <w:rFonts w:ascii="宋体" w:hAnsi="宋体" w:cs="宋体" w:eastAsia="宋体" w:hint="default"/>
                <w:sz w:val="18"/>
                <w:szCs w:val="18"/>
              </w:rPr>
              <w:t>行，自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日起施行。 </w:t>
            </w:r>
            <w:r>
              <w:rPr>
                <w:rFonts w:ascii="宋体" w:hAnsi="宋体" w:cs="宋体" w:eastAsia="宋体" w:hint="default"/>
                <w:spacing w:val="-1"/>
                <w:sz w:val="18"/>
                <w:szCs w:val="18"/>
              </w:rPr>
              <w:t>根据上述会计准则的修订要求，公司</w:t>
            </w:r>
          </w:p>
          <w:p>
            <w:pPr>
              <w:pStyle w:val="TableParagraph"/>
              <w:spacing w:line="240" w:lineRule="auto" w:before="20"/>
              <w:ind w:left="15" w:right="0"/>
              <w:jc w:val="left"/>
              <w:rPr>
                <w:rFonts w:ascii="宋体" w:hAnsi="宋体" w:cs="宋体" w:eastAsia="宋体" w:hint="default"/>
                <w:sz w:val="18"/>
                <w:szCs w:val="18"/>
              </w:rPr>
            </w:pPr>
            <w:r>
              <w:rPr>
                <w:rFonts w:ascii="宋体" w:hAnsi="宋体" w:cs="宋体" w:eastAsia="宋体" w:hint="default"/>
                <w:sz w:val="18"/>
                <w:szCs w:val="18"/>
              </w:rPr>
              <w:t>需对会计政策相关内容进行相应变更。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4" w:right="92"/>
              <w:jc w:val="left"/>
              <w:rPr>
                <w:rFonts w:ascii="宋体" w:hAnsi="宋体" w:cs="宋体" w:eastAsia="宋体" w:hint="default"/>
                <w:sz w:val="18"/>
                <w:szCs w:val="18"/>
              </w:rPr>
            </w:pPr>
            <w:r>
              <w:rPr>
                <w:rFonts w:ascii="宋体" w:hAnsi="宋体" w:cs="宋体" w:eastAsia="宋体" w:hint="default"/>
                <w:sz w:val="18"/>
                <w:szCs w:val="18"/>
              </w:rPr>
              <w:t>经公司第三届董事会第三十二次会议和 第三届监事会第二十七次会议审议通过</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82" w:lineRule="auto" w:before="89"/>
        <w:ind w:left="221" w:right="1126" w:firstLine="360"/>
        <w:jc w:val="both"/>
      </w:pPr>
      <w:r>
        <w:rPr/>
        <w:pict>
          <v:group style="position:absolute;margin-left:217.029999pt;margin-top:-198.218292pt;width:159.2pt;height:198.2pt;mso-position-horizontal-relative:page;mso-position-vertical-relative:paragraph;z-index:-1109152" coordorigin="4341,-3964" coordsize="3184,3964">
            <v:shape style="position:absolute;left:4341;top:-3964;width:3184;height:3964" coordorigin="4341,-3964" coordsize="3184,3964" path="m4341,-1l7525,-1,7525,-3964,4341,-3964,4341,-1xe" filled="true" fillcolor="#ffffff" stroked="false">
              <v:path arrowok="t"/>
              <v:fill type="solid"/>
            </v:shape>
            <w10:wrap type="none"/>
          </v:group>
        </w:pict>
      </w:r>
      <w:r>
        <w:rPr/>
        <w:pict>
          <v:shape style="position:absolute;margin-left:51.075001pt;margin-top:70.511703pt;width:494.5pt;height:123.1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8"/>
                    <w:gridCol w:w="2778"/>
                    <w:gridCol w:w="2192"/>
                    <w:gridCol w:w="2448"/>
                  </w:tblGrid>
                  <w:tr>
                    <w:trPr>
                      <w:trHeight w:val="526" w:hRule="exact"/>
                    </w:trPr>
                    <w:tc>
                      <w:tcPr>
                        <w:tcW w:w="522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71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64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1411"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15" w:hRule="exact"/>
                    </w:trPr>
                    <w:tc>
                      <w:tcPr>
                        <w:tcW w:w="2448" w:type="dxa"/>
                        <w:vMerge w:val="restart"/>
                        <w:tcBorders>
                          <w:top w:val="single" w:sz="6" w:space="0" w:color="000000"/>
                          <w:left w:val="single" w:sz="6" w:space="0" w:color="000000"/>
                          <w:right w:val="single" w:sz="6" w:space="0" w:color="000000"/>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778" w:type="dxa"/>
                        <w:vMerge w:val="restart"/>
                        <w:tcBorders>
                          <w:top w:val="single" w:sz="6" w:space="0" w:color="000000"/>
                          <w:left w:val="single" w:sz="6" w:space="0" w:color="000000"/>
                          <w:right w:val="single" w:sz="6" w:space="0" w:color="000000"/>
                        </w:tcBorders>
                      </w:tcPr>
                      <w:p>
                        <w:pPr>
                          <w:pStyle w:val="TableParagraph"/>
                          <w:spacing w:line="240" w:lineRule="auto" w:before="150"/>
                          <w:ind w:left="1396" w:right="0"/>
                          <w:jc w:val="left"/>
                          <w:rPr>
                            <w:rFonts w:ascii="宋体" w:hAnsi="宋体" w:cs="宋体" w:eastAsia="宋体" w:hint="default"/>
                            <w:sz w:val="18"/>
                            <w:szCs w:val="18"/>
                          </w:rPr>
                        </w:pPr>
                        <w:r>
                          <w:rPr>
                            <w:rFonts w:ascii="宋体"/>
                            <w:sz w:val="18"/>
                          </w:rPr>
                          <w:t>320,443,778.44</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3"/>
                          <w:jc w:val="right"/>
                          <w:rPr>
                            <w:rFonts w:ascii="宋体" w:hAnsi="宋体" w:cs="宋体" w:eastAsia="宋体" w:hint="default"/>
                            <w:sz w:val="18"/>
                            <w:szCs w:val="18"/>
                          </w:rPr>
                        </w:pPr>
                        <w:r>
                          <w:rPr>
                            <w:rFonts w:ascii="宋体"/>
                            <w:sz w:val="18"/>
                          </w:rPr>
                          <w:t>180,000.00</w:t>
                        </w:r>
                      </w:p>
                    </w:tc>
                  </w:tr>
                  <w:tr>
                    <w:trPr>
                      <w:trHeight w:val="315" w:hRule="exact"/>
                    </w:trPr>
                    <w:tc>
                      <w:tcPr>
                        <w:tcW w:w="2448" w:type="dxa"/>
                        <w:vMerge/>
                        <w:tcBorders>
                          <w:left w:val="single" w:sz="6" w:space="0" w:color="000000"/>
                          <w:bottom w:val="single" w:sz="6" w:space="0" w:color="000000"/>
                          <w:right w:val="single" w:sz="6" w:space="0" w:color="000000"/>
                        </w:tcBorders>
                      </w:tcPr>
                      <w:p>
                        <w:pPr/>
                      </w:p>
                    </w:tc>
                    <w:tc>
                      <w:tcPr>
                        <w:tcW w:w="2778" w:type="dxa"/>
                        <w:vMerge/>
                        <w:tcBorders>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320,263,778.44</w:t>
                        </w:r>
                      </w:p>
                    </w:tc>
                  </w:tr>
                  <w:tr>
                    <w:trPr>
                      <w:trHeight w:val="331" w:hRule="exact"/>
                    </w:trPr>
                    <w:tc>
                      <w:tcPr>
                        <w:tcW w:w="244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78"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6" w:right="0"/>
                          <w:jc w:val="left"/>
                          <w:rPr>
                            <w:rFonts w:ascii="宋体" w:hAnsi="宋体" w:cs="宋体" w:eastAsia="宋体" w:hint="default"/>
                            <w:sz w:val="18"/>
                            <w:szCs w:val="18"/>
                          </w:rPr>
                        </w:pPr>
                        <w:r>
                          <w:rPr>
                            <w:rFonts w:ascii="宋体"/>
                            <w:sz w:val="18"/>
                          </w:rPr>
                          <w:t>61,441,136.39</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4"/>
                          <w:jc w:val="right"/>
                          <w:rPr>
                            <w:rFonts w:ascii="宋体" w:hAnsi="宋体" w:cs="宋体" w:eastAsia="宋体" w:hint="default"/>
                            <w:sz w:val="18"/>
                            <w:szCs w:val="18"/>
                          </w:rPr>
                        </w:pPr>
                        <w:r>
                          <w:rPr>
                            <w:rFonts w:ascii="宋体"/>
                            <w:sz w:val="18"/>
                          </w:rPr>
                          <w:t>8,100,833.00</w:t>
                        </w:r>
                      </w:p>
                    </w:tc>
                  </w:tr>
                  <w:tr>
                    <w:trPr>
                      <w:trHeight w:val="315" w:hRule="exact"/>
                    </w:trPr>
                    <w:tc>
                      <w:tcPr>
                        <w:tcW w:w="2448" w:type="dxa"/>
                        <w:vMerge/>
                        <w:tcBorders>
                          <w:left w:val="single" w:sz="6" w:space="0" w:color="000000"/>
                          <w:bottom w:val="single" w:sz="6" w:space="0" w:color="000000"/>
                          <w:right w:val="single" w:sz="6" w:space="0" w:color="000000"/>
                        </w:tcBorders>
                      </w:tcPr>
                      <w:p>
                        <w:pPr/>
                      </w:p>
                    </w:tc>
                    <w:tc>
                      <w:tcPr>
                        <w:tcW w:w="2778" w:type="dxa"/>
                        <w:vMerge/>
                        <w:tcBorders>
                          <w:left w:val="single" w:sz="6" w:space="0" w:color="000000"/>
                          <w:bottom w:val="single" w:sz="6" w:space="0" w:color="000000"/>
                          <w:right w:val="single" w:sz="6" w:space="0" w:color="000000"/>
                        </w:tcBorders>
                      </w:tcPr>
                      <w:p>
                        <w:pP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53,340,303.39</w:t>
                        </w:r>
                      </w:p>
                    </w:tc>
                  </w:tr>
                  <w:tr>
                    <w:trPr>
                      <w:trHeight w:val="330"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6"/>
                          <w:jc w:val="right"/>
                          <w:rPr>
                            <w:rFonts w:ascii="宋体" w:hAnsi="宋体" w:cs="宋体" w:eastAsia="宋体" w:hint="default"/>
                            <w:sz w:val="18"/>
                            <w:szCs w:val="18"/>
                          </w:rPr>
                        </w:pPr>
                        <w:r>
                          <w:rPr>
                            <w:rFonts w:ascii="宋体"/>
                            <w:sz w:val="18"/>
                          </w:rPr>
                          <w:t>68,005,664.55</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4"/>
                          <w:jc w:val="right"/>
                          <w:rPr>
                            <w:rFonts w:ascii="宋体" w:hAnsi="宋体" w:cs="宋体" w:eastAsia="宋体" w:hint="default"/>
                            <w:sz w:val="18"/>
                            <w:szCs w:val="18"/>
                          </w:rPr>
                        </w:pPr>
                        <w:r>
                          <w:rPr>
                            <w:rFonts w:ascii="宋体"/>
                            <w:sz w:val="18"/>
                          </w:rPr>
                          <w:t>68,005,664.55</w:t>
                        </w:r>
                      </w:p>
                    </w:tc>
                  </w:tr>
                  <w:tr>
                    <w:trPr>
                      <w:trHeight w:val="315"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6"/>
                          <w:jc w:val="right"/>
                          <w:rPr>
                            <w:rFonts w:ascii="宋体" w:hAnsi="宋体" w:cs="宋体" w:eastAsia="宋体" w:hint="default"/>
                            <w:sz w:val="18"/>
                            <w:szCs w:val="18"/>
                          </w:rPr>
                        </w:pPr>
                        <w:r>
                          <w:rPr>
                            <w:rFonts w:ascii="宋体"/>
                            <w:sz w:val="18"/>
                          </w:rPr>
                          <w:t>42,856,277.15</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42,856,277.15</w:t>
                        </w:r>
                      </w:p>
                    </w:tc>
                  </w:tr>
                </w:tbl>
                <w:p>
                  <w:pPr/>
                </w:p>
              </w:txbxContent>
            </v:textbox>
            <w10:wrap type="none"/>
          </v:shape>
        </w:pict>
      </w:r>
      <w:r>
        <w:rPr>
          <w:rFonts w:ascii="宋体" w:hAnsi="宋体" w:cs="宋体" w:eastAsia="宋体" w:hint="default"/>
        </w:rPr>
        <w:t>1)</w:t>
      </w:r>
      <w:r>
        <w:rPr/>
        <w:t>本公司根据财政部《关于修订印发</w:t>
      </w:r>
      <w:r>
        <w:rPr>
          <w:rFonts w:ascii="宋体" w:hAnsi="宋体" w:cs="宋体" w:eastAsia="宋体" w:hint="default"/>
        </w:rPr>
        <w:t>2019</w:t>
      </w:r>
      <w:r>
        <w:rPr/>
        <w:t>年度一般企业财务报表格式的通知》</w:t>
      </w:r>
      <w:r>
        <w:rPr>
          <w:rFonts w:ascii="宋体" w:hAnsi="宋体" w:cs="宋体" w:eastAsia="宋体" w:hint="default"/>
        </w:rPr>
        <w:t>(</w:t>
      </w:r>
      <w:r>
        <w:rPr/>
        <w:t>财会〔</w:t>
      </w:r>
      <w:r>
        <w:rPr>
          <w:rFonts w:ascii="宋体" w:hAnsi="宋体" w:cs="宋体" w:eastAsia="宋体" w:hint="default"/>
        </w:rPr>
        <w:t>2019</w:t>
      </w:r>
      <w:r>
        <w:rPr/>
        <w:t>〕</w:t>
      </w:r>
      <w:r>
        <w:rPr>
          <w:rFonts w:ascii="宋体" w:hAnsi="宋体" w:cs="宋体" w:eastAsia="宋体" w:hint="default"/>
        </w:rPr>
        <w:t>6</w:t>
      </w:r>
      <w:r>
        <w:rPr/>
        <w:t>号</w:t>
      </w:r>
      <w:r>
        <w:rPr>
          <w:rFonts w:ascii="宋体" w:hAnsi="宋体" w:cs="宋体" w:eastAsia="宋体" w:hint="default"/>
        </w:rPr>
        <w:t>)</w:t>
      </w:r>
      <w:r>
        <w:rPr/>
        <w:t>、《关于修订印发合 </w:t>
      </w:r>
      <w:r>
        <w:rPr>
          <w:spacing w:val="-2"/>
        </w:rPr>
        <w:t>并财务报表格式（</w:t>
      </w:r>
      <w:r>
        <w:rPr>
          <w:rFonts w:ascii="宋体" w:hAnsi="宋体" w:cs="宋体" w:eastAsia="宋体" w:hint="default"/>
          <w:spacing w:val="-2"/>
        </w:rPr>
        <w:t>2019</w:t>
      </w:r>
      <w:r>
        <w:rPr>
          <w:spacing w:val="-2"/>
        </w:rPr>
        <w:t>版）的通知》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和企业会计准则的要求编制</w:t>
      </w:r>
      <w:r>
        <w:rPr>
          <w:rFonts w:ascii="宋体" w:hAnsi="宋体" w:cs="宋体" w:eastAsia="宋体" w:hint="default"/>
          <w:spacing w:val="-2"/>
        </w:rPr>
        <w:t>2019</w:t>
      </w:r>
      <w:r>
        <w:rPr>
          <w:spacing w:val="-2"/>
        </w:rPr>
        <w:t>年度财务报表，此项会计政策变更</w:t>
      </w:r>
      <w:r>
        <w:rPr>
          <w:spacing w:val="-52"/>
        </w:rPr>
        <w:t> </w:t>
      </w:r>
      <w:r>
        <w:rPr>
          <w:spacing w:val="-52"/>
        </w:rPr>
      </w:r>
      <w:r>
        <w:rPr/>
        <w:t>采用追溯调整法。</w:t>
      </w:r>
      <w:r>
        <w:rPr>
          <w:rFonts w:ascii="宋体" w:hAnsi="宋体" w:cs="宋体" w:eastAsia="宋体" w:hint="default"/>
        </w:rPr>
        <w:t>2018</w:t>
      </w:r>
      <w:r>
        <w:rPr/>
        <w:t>年度财务报表受重要影响的报表项目和金额如下：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641" w:right="1108"/>
        <w:jc w:val="left"/>
      </w:pPr>
      <w:r>
        <w:rPr>
          <w:rFonts w:ascii="宋体" w:hAnsi="宋体" w:cs="宋体" w:eastAsia="宋体" w:hint="default"/>
        </w:rPr>
        <w:t>2)</w:t>
      </w:r>
      <w:r>
        <w:rPr/>
        <w:t>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日起执行财政部修订后的《企业会计准则第</w:t>
      </w:r>
      <w:r>
        <w:rPr>
          <w:rFonts w:ascii="宋体" w:hAnsi="宋体" w:cs="宋体" w:eastAsia="宋体" w:hint="default"/>
        </w:rPr>
        <w:t>22</w:t>
      </w:r>
      <w:r>
        <w:rPr/>
        <w:t>号——金融工具确认和计量》《企业会计准则第</w:t>
      </w:r>
    </w:p>
    <w:p>
      <w:pPr>
        <w:spacing w:line="240" w:lineRule="auto" w:before="8"/>
        <w:rPr>
          <w:rFonts w:ascii="宋体" w:hAnsi="宋体" w:cs="宋体" w:eastAsia="宋体" w:hint="default"/>
          <w:sz w:val="17"/>
          <w:szCs w:val="17"/>
        </w:rPr>
      </w:pPr>
    </w:p>
    <w:p>
      <w:pPr>
        <w:pStyle w:val="BodyText"/>
        <w:spacing w:line="475" w:lineRule="auto"/>
        <w:ind w:left="221" w:right="1108"/>
        <w:jc w:val="left"/>
      </w:pPr>
      <w:r>
        <w:rPr>
          <w:rFonts w:ascii="宋体" w:hAnsi="宋体" w:cs="宋体" w:eastAsia="宋体" w:hint="default"/>
          <w:spacing w:val="-2"/>
        </w:rPr>
        <w:t>23</w:t>
      </w:r>
      <w:r>
        <w:rPr>
          <w:spacing w:val="-2"/>
        </w:rPr>
        <w:t>号——金融资产转移》《企业会计准则第</w:t>
      </w:r>
      <w:r>
        <w:rPr>
          <w:rFonts w:ascii="宋体" w:hAnsi="宋体" w:cs="宋体" w:eastAsia="宋体" w:hint="default"/>
          <w:spacing w:val="-2"/>
        </w:rPr>
        <w:t>24</w:t>
      </w:r>
      <w:r>
        <w:rPr>
          <w:spacing w:val="-2"/>
        </w:rPr>
        <w:t>号——套期保值》以及《企业会计准则第</w:t>
      </w:r>
      <w:r>
        <w:rPr>
          <w:rFonts w:ascii="宋体" w:hAnsi="宋体" w:cs="宋体" w:eastAsia="宋体" w:hint="default"/>
          <w:spacing w:val="-2"/>
        </w:rPr>
        <w:t>37</w:t>
      </w:r>
      <w:r>
        <w:rPr>
          <w:spacing w:val="-2"/>
        </w:rPr>
        <w:t>号——金融工具列报》（以下简称</w:t>
      </w:r>
      <w:r>
        <w:rPr>
          <w:spacing w:val="-63"/>
        </w:rPr>
        <w:t> </w:t>
      </w:r>
      <w:r>
        <w:rPr>
          <w:spacing w:val="-63"/>
        </w:rPr>
      </w:r>
      <w:r>
        <w:rPr>
          <w:spacing w:val="-2"/>
        </w:rPr>
        <w:t>新金融工具准则）。根据相关新旧准则衔接规定，对可比期间信息不予调整，首次执行日执行新准则与原准则的差异追溯调</w:t>
      </w:r>
    </w:p>
    <w:p>
      <w:pPr>
        <w:spacing w:after="0" w:line="475" w:lineRule="auto"/>
        <w:jc w:val="left"/>
        <w:sectPr>
          <w:pgSz w:w="11910" w:h="16850"/>
          <w:pgMar w:header="776" w:footer="1026" w:top="1100" w:bottom="1220" w:left="920" w:right="0"/>
        </w:sectPr>
      </w:pPr>
    </w:p>
    <w:p>
      <w:pPr>
        <w:spacing w:line="240" w:lineRule="auto" w:before="6"/>
        <w:rPr>
          <w:rFonts w:ascii="宋体" w:hAnsi="宋体" w:cs="宋体" w:eastAsia="宋体" w:hint="default"/>
          <w:sz w:val="29"/>
          <w:szCs w:val="29"/>
        </w:rPr>
      </w:pPr>
    </w:p>
    <w:p>
      <w:pPr>
        <w:pStyle w:val="BodyText"/>
        <w:spacing w:line="475" w:lineRule="auto" w:before="44"/>
        <w:ind w:left="641" w:right="1108" w:hanging="421"/>
        <w:jc w:val="left"/>
      </w:pPr>
      <w:r>
        <w:rPr/>
        <w:t>整本报告期期初留存收益或其他综合收益。 新金融工具准则改变了金融资产的分类和计量方式，确定了三个计量类别：摊余成本；以公允价值计量且其变动计入</w:t>
      </w:r>
    </w:p>
    <w:p>
      <w:pPr>
        <w:pStyle w:val="BodyText"/>
        <w:spacing w:line="482" w:lineRule="auto" w:before="53"/>
        <w:ind w:left="221" w:right="1136"/>
        <w:jc w:val="both"/>
      </w:pPr>
      <w:r>
        <w:rPr>
          <w:spacing w:val="-2"/>
        </w:rPr>
        <w:t>其他综合收益；以公允价值计量且其变动计入当期损益。公司考虑自身业务模式，以及金融资产的合同现金流特征进行上述</w:t>
      </w:r>
      <w:r>
        <w:rPr>
          <w:spacing w:val="-75"/>
        </w:rPr>
        <w:t> </w:t>
      </w:r>
      <w:r>
        <w:rPr>
          <w:spacing w:val="-75"/>
        </w:rPr>
      </w:r>
      <w:r>
        <w:rPr>
          <w:spacing w:val="-2"/>
        </w:rPr>
        <w:t>分类。权益类投资需按公允价值计量且其变动计入当期损益，但非交易性权益类投资在初始确认时可选择按公允价值计量且</w:t>
      </w:r>
      <w:r>
        <w:rPr>
          <w:spacing w:val="-72"/>
        </w:rPr>
        <w:t> </w:t>
      </w:r>
      <w:r>
        <w:rPr>
          <w:spacing w:val="-72"/>
        </w:rPr>
      </w:r>
      <w:r>
        <w:rPr/>
        <w:t>其变动计入其他综合收益</w:t>
      </w:r>
      <w:r>
        <w:rPr>
          <w:rFonts w:ascii="宋体" w:hAnsi="宋体" w:cs="宋体" w:eastAsia="宋体" w:hint="default"/>
        </w:rPr>
        <w:t>(</w:t>
      </w:r>
      <w:r>
        <w:rPr/>
        <w:t>处置时的利得或损失不能回转到损益，但股利收入计入当期损益</w:t>
      </w:r>
      <w:r>
        <w:rPr>
          <w:rFonts w:ascii="宋体" w:hAnsi="宋体" w:cs="宋体" w:eastAsia="宋体" w:hint="default"/>
        </w:rPr>
        <w:t>)</w:t>
      </w:r>
      <w:r>
        <w:rPr/>
        <w:t>，且该选择不可撤销。</w:t>
      </w:r>
    </w:p>
    <w:p>
      <w:pPr>
        <w:pStyle w:val="BodyText"/>
        <w:spacing w:line="475" w:lineRule="auto" w:before="48"/>
        <w:ind w:left="221" w:right="1108" w:firstLine="420"/>
        <w:jc w:val="left"/>
      </w:pPr>
      <w:r>
        <w:rPr/>
        <w:t>新金融工具准则要求金融资产减值计量由“已发生损失模型”改为“预期信用损失模型”，适用于以摊余成本计量的 金融资产、以公允价值计量且其变动计入其他综合收益的金融资产、租赁应收款。</w:t>
      </w:r>
    </w:p>
    <w:p>
      <w:pPr>
        <w:pStyle w:val="BodyText"/>
        <w:spacing w:line="240" w:lineRule="auto" w:before="53"/>
        <w:ind w:left="641" w:right="1108"/>
        <w:jc w:val="left"/>
      </w:pPr>
      <w:r>
        <w:rPr/>
        <w:t>①</w:t>
      </w:r>
      <w:r>
        <w:rPr>
          <w:spacing w:val="2"/>
        </w:rPr>
        <w:t> </w:t>
      </w:r>
      <w:r>
        <w:rPr/>
        <w:t>执行新金融工具准则对公司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日财务报表的主要影响如下：</w:t>
      </w: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914"/>
        <w:gridCol w:w="2628"/>
        <w:gridCol w:w="2449"/>
        <w:gridCol w:w="1877"/>
      </w:tblGrid>
      <w:tr>
        <w:trPr>
          <w:trHeight w:val="316" w:hRule="exact"/>
        </w:trPr>
        <w:tc>
          <w:tcPr>
            <w:tcW w:w="291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50"/>
              <w:ind w:left="1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95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330" w:hRule="exact"/>
        </w:trPr>
        <w:tc>
          <w:tcPr>
            <w:tcW w:w="2914" w:type="dxa"/>
            <w:vMerge/>
            <w:tcBorders>
              <w:left w:val="single" w:sz="6" w:space="0" w:color="000000"/>
              <w:bottom w:val="single" w:sz="6" w:space="0" w:color="000000"/>
              <w:right w:val="single" w:sz="6" w:space="0" w:color="000000"/>
            </w:tcBorders>
            <w:shd w:val="clear" w:color="auto" w:fill="D2D2D2"/>
          </w:tcPr>
          <w:p>
            <w:pPr/>
          </w:p>
        </w:tc>
        <w:tc>
          <w:tcPr>
            <w:tcW w:w="26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55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25" w:right="0"/>
              <w:jc w:val="left"/>
              <w:rPr>
                <w:rFonts w:ascii="宋体" w:hAnsi="宋体" w:cs="宋体" w:eastAsia="宋体" w:hint="default"/>
                <w:sz w:val="18"/>
                <w:szCs w:val="18"/>
              </w:rPr>
            </w:pPr>
            <w:r>
              <w:rPr>
                <w:rFonts w:ascii="宋体" w:hAnsi="宋体" w:cs="宋体" w:eastAsia="宋体" w:hint="default"/>
                <w:sz w:val="18"/>
                <w:szCs w:val="18"/>
              </w:rPr>
              <w:t>新金融工具准则调整影响</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8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1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18,000,000.00</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91"/>
              <w:jc w:val="right"/>
              <w:rPr>
                <w:rFonts w:ascii="宋体" w:hAnsi="宋体" w:cs="宋体" w:eastAsia="宋体" w:hint="default"/>
                <w:sz w:val="18"/>
                <w:szCs w:val="18"/>
              </w:rPr>
            </w:pPr>
            <w:r>
              <w:rPr>
                <w:rFonts w:ascii="宋体"/>
                <w:sz w:val="18"/>
              </w:rPr>
              <w:t>-18,000,000.00</w:t>
            </w: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628" w:type="dxa"/>
            <w:tcBorders>
              <w:top w:val="single" w:sz="6" w:space="0" w:color="000000"/>
              <w:left w:val="single" w:sz="6" w:space="0" w:color="000000"/>
              <w:bottom w:val="single" w:sz="6" w:space="0" w:color="000000"/>
              <w:right w:val="single" w:sz="6" w:space="0" w:color="000000"/>
            </w:tcBorders>
          </w:tcPr>
          <w:p>
            <w:pP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18,000,000.00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18,000,000.00</w:t>
            </w:r>
          </w:p>
        </w:tc>
      </w:tr>
      <w:tr>
        <w:trPr>
          <w:trHeight w:val="330"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4"/>
              <w:jc w:val="right"/>
              <w:rPr>
                <w:rFonts w:ascii="宋体" w:hAnsi="宋体" w:cs="宋体" w:eastAsia="宋体" w:hint="default"/>
                <w:sz w:val="18"/>
                <w:szCs w:val="18"/>
              </w:rPr>
            </w:pPr>
            <w:r>
              <w:rPr>
                <w:rFonts w:ascii="宋体"/>
                <w:sz w:val="18"/>
              </w:rPr>
              <w:t>119,037,741.97</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1"/>
              <w:jc w:val="right"/>
              <w:rPr>
                <w:rFonts w:ascii="宋体" w:hAnsi="宋体" w:cs="宋体" w:eastAsia="宋体" w:hint="default"/>
                <w:sz w:val="18"/>
                <w:szCs w:val="18"/>
              </w:rPr>
            </w:pPr>
            <w:r>
              <w:rPr>
                <w:rFonts w:ascii="宋体"/>
                <w:sz w:val="18"/>
              </w:rPr>
              <w:t>-115,000,000.00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4,037,741.97</w:t>
            </w:r>
          </w:p>
        </w:tc>
      </w:tr>
      <w:tr>
        <w:trPr>
          <w:trHeight w:val="31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19,092,638.98</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-695,725.48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18,396,913.50</w:t>
            </w:r>
          </w:p>
        </w:tc>
      </w:tr>
      <w:tr>
        <w:trPr>
          <w:trHeight w:val="330"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628" w:type="dxa"/>
            <w:tcBorders>
              <w:top w:val="single" w:sz="6" w:space="0" w:color="000000"/>
              <w:left w:val="single" w:sz="6" w:space="0" w:color="000000"/>
              <w:bottom w:val="single" w:sz="6" w:space="0" w:color="000000"/>
              <w:right w:val="single" w:sz="6" w:space="0" w:color="000000"/>
            </w:tcBorders>
          </w:tcPr>
          <w:p>
            <w:pP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115,695,725.48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115,695,725.48</w:t>
            </w:r>
          </w:p>
        </w:tc>
      </w:tr>
    </w:tbl>
    <w:p>
      <w:pPr>
        <w:pStyle w:val="BodyText"/>
        <w:spacing w:line="472" w:lineRule="auto" w:before="90"/>
        <w:ind w:left="221" w:right="1119" w:firstLine="360"/>
        <w:jc w:val="left"/>
      </w:pPr>
      <w:r>
        <w:rPr/>
        <w:pict>
          <v:shape style="position:absolute;margin-left:51.075001pt;margin-top:46.531712pt;width:494.5pt;height:318.3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2"/>
                    <w:gridCol w:w="2208"/>
                    <w:gridCol w:w="1907"/>
                    <w:gridCol w:w="1953"/>
                    <w:gridCol w:w="1877"/>
                  </w:tblGrid>
                  <w:tr>
                    <w:trPr>
                      <w:trHeight w:val="31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1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382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3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22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1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474,556,354.49</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474,556,354.49</w:t>
                        </w:r>
                      </w:p>
                    </w:tc>
                  </w:tr>
                  <w:tr>
                    <w:trPr>
                      <w:trHeight w:val="79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0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105" w:right="75"/>
                          <w:jc w:val="left"/>
                          <w:rPr>
                            <w:rFonts w:ascii="宋体" w:hAnsi="宋体" w:cs="宋体" w:eastAsia="宋体" w:hint="default"/>
                            <w:sz w:val="18"/>
                            <w:szCs w:val="18"/>
                          </w:rPr>
                        </w:pPr>
                        <w:r>
                          <w:rPr>
                            <w:rFonts w:ascii="宋体" w:hAnsi="宋体" w:cs="宋体" w:eastAsia="宋体" w:hint="default"/>
                            <w:spacing w:val="15"/>
                            <w:sz w:val="18"/>
                            <w:szCs w:val="18"/>
                          </w:rPr>
                          <w:t>以公允价值计量且其 </w:t>
                        </w:r>
                        <w:r>
                          <w:rPr>
                            <w:rFonts w:ascii="宋体" w:hAnsi="宋体" w:cs="宋体" w:eastAsia="宋体" w:hint="default"/>
                            <w:sz w:val="18"/>
                            <w:szCs w:val="18"/>
                          </w:rPr>
                          <w:t>变动计入当期损益</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115,695,725.48</w:t>
                        </w:r>
                      </w:p>
                    </w:tc>
                  </w:tr>
                  <w:tr>
                    <w:trPr>
                      <w:trHeight w:val="31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180,000.00</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8"/>
                          <w:jc w:val="right"/>
                          <w:rPr>
                            <w:rFonts w:ascii="宋体" w:hAnsi="宋体" w:cs="宋体" w:eastAsia="宋体" w:hint="default"/>
                            <w:sz w:val="18"/>
                            <w:szCs w:val="18"/>
                          </w:rPr>
                        </w:pPr>
                        <w:r>
                          <w:rPr>
                            <w:rFonts w:ascii="宋体"/>
                            <w:sz w:val="18"/>
                          </w:rPr>
                          <w:t>180,000.00</w:t>
                        </w:r>
                      </w:p>
                    </w:tc>
                  </w:tr>
                  <w:tr>
                    <w:trPr>
                      <w:trHeight w:val="33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1"/>
                          <w:jc w:val="right"/>
                          <w:rPr>
                            <w:rFonts w:ascii="宋体" w:hAnsi="宋体" w:cs="宋体" w:eastAsia="宋体" w:hint="default"/>
                            <w:sz w:val="18"/>
                            <w:szCs w:val="18"/>
                          </w:rPr>
                        </w:pPr>
                        <w:r>
                          <w:rPr>
                            <w:rFonts w:ascii="宋体"/>
                            <w:sz w:val="18"/>
                          </w:rPr>
                          <w:t>320,263,778.44</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320,263,778.44</w:t>
                        </w:r>
                      </w:p>
                    </w:tc>
                  </w:tr>
                  <w:tr>
                    <w:trPr>
                      <w:trHeight w:val="31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19,092,638.98</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18,396,913.50</w:t>
                        </w:r>
                      </w:p>
                    </w:tc>
                  </w:tr>
                  <w:tr>
                    <w:trPr>
                      <w:trHeight w:val="52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1"/>
                          <w:jc w:val="right"/>
                          <w:rPr>
                            <w:rFonts w:ascii="宋体" w:hAnsi="宋体" w:cs="宋体" w:eastAsia="宋体" w:hint="default"/>
                            <w:sz w:val="18"/>
                            <w:szCs w:val="18"/>
                          </w:rPr>
                        </w:pPr>
                        <w:r>
                          <w:rPr>
                            <w:rFonts w:ascii="宋体"/>
                            <w:sz w:val="18"/>
                          </w:rPr>
                          <w:t>115,000,000.00</w:t>
                        </w:r>
                      </w:p>
                    </w:tc>
                    <w:tc>
                      <w:tcPr>
                        <w:tcW w:w="1953"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0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计入其他综合收益</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91"/>
                          <w:jc w:val="right"/>
                          <w:rPr>
                            <w:rFonts w:ascii="宋体" w:hAnsi="宋体" w:cs="宋体" w:eastAsia="宋体" w:hint="default"/>
                            <w:sz w:val="18"/>
                            <w:szCs w:val="18"/>
                          </w:rPr>
                        </w:pPr>
                        <w:r>
                          <w:rPr>
                            <w:rFonts w:ascii="宋体"/>
                            <w:sz w:val="18"/>
                          </w:rPr>
                          <w:t>18,000,000.00</w:t>
                        </w:r>
                      </w:p>
                    </w:tc>
                    <w:tc>
                      <w:tcPr>
                        <w:tcW w:w="1953"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r>
                  <w:tr>
                    <w:trPr>
                      <w:trHeight w:val="79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08"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105" w:right="75"/>
                          <w:jc w:val="left"/>
                          <w:rPr>
                            <w:rFonts w:ascii="宋体" w:hAnsi="宋体" w:cs="宋体" w:eastAsia="宋体" w:hint="default"/>
                            <w:sz w:val="18"/>
                            <w:szCs w:val="18"/>
                          </w:rPr>
                        </w:pPr>
                        <w:r>
                          <w:rPr>
                            <w:rFonts w:ascii="宋体" w:hAnsi="宋体" w:cs="宋体" w:eastAsia="宋体" w:hint="default"/>
                            <w:spacing w:val="15"/>
                            <w:sz w:val="18"/>
                            <w:szCs w:val="18"/>
                          </w:rPr>
                          <w:t>以公允价值计量且其 </w:t>
                        </w:r>
                        <w:r>
                          <w:rPr>
                            <w:rFonts w:ascii="宋体" w:hAnsi="宋体" w:cs="宋体" w:eastAsia="宋体" w:hint="default"/>
                            <w:sz w:val="18"/>
                            <w:szCs w:val="18"/>
                          </w:rPr>
                          <w:t>变动计入当期损益</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z w:val="18"/>
                          </w:rPr>
                          <w:t>18,000,000.00</w:t>
                        </w:r>
                      </w:p>
                    </w:tc>
                  </w:tr>
                  <w:tr>
                    <w:trPr>
                      <w:trHeight w:val="31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14,000,000.00</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14,000,000.00</w:t>
                        </w:r>
                      </w:p>
                    </w:tc>
                  </w:tr>
                  <w:tr>
                    <w:trPr>
                      <w:trHeight w:val="33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8,100,833.00</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8,100,833.00</w:t>
                        </w:r>
                      </w:p>
                    </w:tc>
                  </w:tr>
                  <w:tr>
                    <w:trPr>
                      <w:trHeight w:val="31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1"/>
                          <w:jc w:val="right"/>
                          <w:rPr>
                            <w:rFonts w:ascii="宋体" w:hAnsi="宋体" w:cs="宋体" w:eastAsia="宋体" w:hint="default"/>
                            <w:sz w:val="18"/>
                            <w:szCs w:val="18"/>
                          </w:rPr>
                        </w:pPr>
                        <w:r>
                          <w:rPr>
                            <w:rFonts w:ascii="宋体"/>
                            <w:sz w:val="18"/>
                          </w:rPr>
                          <w:t>53,340,303.39</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53,340,303.39</w:t>
                        </w:r>
                      </w:p>
                    </w:tc>
                  </w:tr>
                  <w:tr>
                    <w:trPr>
                      <w:trHeight w:val="33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1"/>
                          <w:jc w:val="right"/>
                          <w:rPr>
                            <w:rFonts w:ascii="宋体" w:hAnsi="宋体" w:cs="宋体" w:eastAsia="宋体" w:hint="default"/>
                            <w:sz w:val="18"/>
                            <w:szCs w:val="18"/>
                          </w:rPr>
                        </w:pPr>
                        <w:r>
                          <w:rPr>
                            <w:rFonts w:ascii="宋体"/>
                            <w:sz w:val="18"/>
                          </w:rPr>
                          <w:t>99,765,012.48</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89"/>
                          <w:jc w:val="right"/>
                          <w:rPr>
                            <w:rFonts w:ascii="宋体" w:hAnsi="宋体" w:cs="宋体" w:eastAsia="宋体" w:hint="default"/>
                            <w:sz w:val="18"/>
                            <w:szCs w:val="18"/>
                          </w:rPr>
                        </w:pPr>
                        <w:r>
                          <w:rPr>
                            <w:rFonts w:ascii="宋体"/>
                            <w:sz w:val="18"/>
                          </w:rPr>
                          <w:t>99,765,012.48</w:t>
                        </w:r>
                      </w:p>
                    </w:tc>
                  </w:tr>
                </w:tbl>
                <w:p>
                  <w:pPr/>
                </w:p>
              </w:txbxContent>
            </v:textbox>
            <w10:wrap type="none"/>
          </v:shape>
        </w:pict>
      </w:r>
      <w:r>
        <w:rPr/>
        <w:t>②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日，公司金融资产和金融负债按照新金融工具准则和按原金融工具准则的规定进行分类和计量结果对比 如下表：</w:t>
      </w:r>
    </w:p>
    <w:p>
      <w:pPr>
        <w:spacing w:after="0" w:line="472" w:lineRule="auto"/>
        <w:jc w:val="left"/>
        <w:sectPr>
          <w:pgSz w:w="11910" w:h="16850"/>
          <w:pgMar w:header="776" w:footer="1026" w:top="1100" w:bottom="1220" w:left="920" w:right="0"/>
        </w:sectPr>
      </w:pPr>
    </w:p>
    <w:p>
      <w:pPr>
        <w:spacing w:line="240" w:lineRule="auto" w:before="6"/>
        <w:rPr>
          <w:rFonts w:ascii="宋体" w:hAnsi="宋体" w:cs="宋体" w:eastAsia="宋体" w:hint="default"/>
          <w:sz w:val="29"/>
          <w:szCs w:val="29"/>
        </w:rPr>
      </w:pPr>
      <w:r>
        <w:rPr/>
        <w:pict>
          <v:shape style="position:absolute;margin-left:55.575001pt;margin-top:118.599998pt;width:485.5pt;height:644.1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8"/>
                    <w:gridCol w:w="1862"/>
                    <w:gridCol w:w="2058"/>
                    <w:gridCol w:w="1141"/>
                    <w:gridCol w:w="2117"/>
                  </w:tblGrid>
                  <w:tr>
                    <w:trPr>
                      <w:trHeight w:val="1171" w:hRule="exact"/>
                    </w:trPr>
                    <w:tc>
                      <w:tcPr>
                        <w:tcW w:w="25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120"/>
                          <w:ind w:left="-1" w:right="13" w:hanging="2"/>
                          <w:jc w:val="center"/>
                          <w:rPr>
                            <w:rFonts w:ascii="宋体" w:hAnsi="宋体" w:cs="宋体" w:eastAsia="宋体" w:hint="default"/>
                            <w:sz w:val="18"/>
                            <w:szCs w:val="18"/>
                          </w:rPr>
                        </w:pPr>
                        <w:r>
                          <w:rPr>
                            <w:rFonts w:ascii="宋体" w:hAnsi="宋体" w:cs="宋体" w:eastAsia="宋体" w:hint="default"/>
                            <w:sz w:val="18"/>
                            <w:szCs w:val="18"/>
                          </w:rPr>
                          <w:t>按原金融工具准则列示 </w:t>
                        </w:r>
                        <w:r>
                          <w:rPr>
                            <w:rFonts w:ascii="宋体" w:hAnsi="宋体" w:cs="宋体" w:eastAsia="宋体" w:hint="default"/>
                            <w:spacing w:val="-6"/>
                            <w:sz w:val="18"/>
                            <w:szCs w:val="18"/>
                          </w:rPr>
                          <w:t>的账面价值（</w:t>
                        </w:r>
                        <w:r>
                          <w:rPr>
                            <w:rFonts w:ascii="宋体" w:hAnsi="宋体" w:cs="宋体" w:eastAsia="宋体" w:hint="default"/>
                            <w:spacing w:val="-6"/>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p>
                      <w:p>
                        <w:pPr>
                          <w:pStyle w:val="TableParagraph"/>
                          <w:spacing w:line="240" w:lineRule="auto" w:before="4"/>
                          <w:ind w:right="14"/>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120"/>
                          <w:ind w:left="60" w:right="59" w:hanging="3"/>
                          <w:jc w:val="center"/>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p>
                    </w:tc>
                  </w:tr>
                  <w:tr>
                    <w:trPr>
                      <w:trHeight w:val="420"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金融资产</w:t>
                        </w:r>
                      </w:p>
                    </w:tc>
                  </w:tr>
                  <w:tr>
                    <w:trPr>
                      <w:trHeight w:val="421"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摊余成本</w:t>
                        </w:r>
                      </w:p>
                    </w:tc>
                  </w:tr>
                  <w:tr>
                    <w:trPr>
                      <w:trHeight w:val="40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474,556,354.49</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474,556,354.49</w:t>
                        </w:r>
                      </w:p>
                    </w:tc>
                  </w:tr>
                  <w:tr>
                    <w:trPr>
                      <w:trHeight w:val="42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180,000.00</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right"/>
                          <w:rPr>
                            <w:rFonts w:ascii="宋体" w:hAnsi="宋体" w:cs="宋体" w:eastAsia="宋体" w:hint="default"/>
                            <w:sz w:val="18"/>
                            <w:szCs w:val="18"/>
                          </w:rPr>
                        </w:pPr>
                        <w:r>
                          <w:rPr>
                            <w:rFonts w:ascii="宋体"/>
                            <w:sz w:val="18"/>
                          </w:rPr>
                          <w:t>180,000.00</w:t>
                        </w:r>
                      </w:p>
                    </w:tc>
                  </w:tr>
                  <w:tr>
                    <w:trPr>
                      <w:trHeight w:val="42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320,263,778.44</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320,263,778.44</w:t>
                        </w:r>
                      </w:p>
                    </w:tc>
                  </w:tr>
                  <w:tr>
                    <w:trPr>
                      <w:trHeight w:val="42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宋体" w:hAnsi="宋体" w:cs="宋体" w:eastAsia="宋体" w:hint="default"/>
                            <w:sz w:val="18"/>
                            <w:szCs w:val="18"/>
                          </w:rPr>
                        </w:pPr>
                        <w:r>
                          <w:rPr>
                            <w:rFonts w:ascii="宋体"/>
                            <w:sz w:val="18"/>
                          </w:rPr>
                          <w:t>19,092,638.98</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宋体" w:hAnsi="宋体" w:cs="宋体" w:eastAsia="宋体" w:hint="default"/>
                            <w:sz w:val="18"/>
                            <w:szCs w:val="18"/>
                          </w:rPr>
                        </w:pPr>
                        <w:r>
                          <w:rPr>
                            <w:rFonts w:ascii="宋体"/>
                            <w:sz w:val="18"/>
                          </w:rPr>
                          <w:t>-695,725.48</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宋体" w:hAnsi="宋体" w:cs="宋体" w:eastAsia="宋体" w:hint="default"/>
                            <w:sz w:val="18"/>
                            <w:szCs w:val="18"/>
                          </w:rPr>
                        </w:pPr>
                        <w:r>
                          <w:rPr>
                            <w:rFonts w:ascii="宋体"/>
                            <w:sz w:val="18"/>
                          </w:rPr>
                          <w:t>18,396,913.50</w:t>
                        </w:r>
                      </w:p>
                    </w:tc>
                  </w:tr>
                  <w:tr>
                    <w:trPr>
                      <w:trHeight w:val="63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4"/>
                          <w:jc w:val="right"/>
                          <w:rPr>
                            <w:rFonts w:ascii="宋体" w:hAnsi="宋体" w:cs="宋体" w:eastAsia="宋体" w:hint="default"/>
                            <w:sz w:val="18"/>
                            <w:szCs w:val="18"/>
                          </w:rPr>
                        </w:pPr>
                        <w:r>
                          <w:rPr>
                            <w:rFonts w:ascii="宋体"/>
                            <w:sz w:val="18"/>
                          </w:rPr>
                          <w:t>115,000,000.00</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4"/>
                          <w:jc w:val="right"/>
                          <w:rPr>
                            <w:rFonts w:ascii="宋体" w:hAnsi="宋体" w:cs="宋体" w:eastAsia="宋体" w:hint="default"/>
                            <w:sz w:val="18"/>
                            <w:szCs w:val="18"/>
                          </w:rPr>
                        </w:pPr>
                        <w:r>
                          <w:rPr>
                            <w:rFonts w:ascii="宋体"/>
                            <w:sz w:val="18"/>
                          </w:rPr>
                          <w:t>-115,000,000.00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929,092,771.91</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-115,695,725.48</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813,397,046.43</w:t>
                        </w:r>
                      </w:p>
                    </w:tc>
                  </w:tr>
                  <w:tr>
                    <w:trPr>
                      <w:trHeight w:val="420"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p>
                    </w:tc>
                  </w:tr>
                  <w:tr>
                    <w:trPr>
                      <w:trHeight w:val="49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62" w:type="dxa"/>
                        <w:tcBorders>
                          <w:top w:val="single" w:sz="6" w:space="0" w:color="000000"/>
                          <w:left w:val="single" w:sz="6" w:space="0" w:color="000000"/>
                          <w:bottom w:val="single" w:sz="6" w:space="0" w:color="000000"/>
                          <w:right w:val="single" w:sz="6" w:space="0" w:color="000000"/>
                        </w:tcBorders>
                      </w:tcPr>
                      <w:p>
                        <w:pP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宋体" w:hAnsi="宋体" w:cs="宋体" w:eastAsia="宋体" w:hint="default"/>
                            <w:sz w:val="18"/>
                            <w:szCs w:val="18"/>
                          </w:rPr>
                        </w:pPr>
                        <w:r>
                          <w:rPr>
                            <w:rFonts w:ascii="宋体"/>
                            <w:sz w:val="18"/>
                          </w:rPr>
                          <w:t>18,000,000.00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宋体" w:hAnsi="宋体" w:cs="宋体" w:eastAsia="宋体" w:hint="default"/>
                            <w:sz w:val="18"/>
                            <w:szCs w:val="18"/>
                          </w:rPr>
                        </w:pPr>
                        <w:r>
                          <w:rPr>
                            <w:rFonts w:ascii="宋体"/>
                            <w:sz w:val="18"/>
                          </w:rPr>
                          <w:t>18,000,000.00</w:t>
                        </w:r>
                      </w:p>
                    </w:tc>
                  </w:tr>
                  <w:tr>
                    <w:trPr>
                      <w:trHeight w:val="48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62" w:type="dxa"/>
                        <w:tcBorders>
                          <w:top w:val="single" w:sz="6" w:space="0" w:color="000000"/>
                          <w:left w:val="single" w:sz="6" w:space="0" w:color="000000"/>
                          <w:bottom w:val="single" w:sz="6" w:space="0" w:color="000000"/>
                          <w:right w:val="single" w:sz="6" w:space="0" w:color="000000"/>
                        </w:tcBorders>
                      </w:tcPr>
                      <w:p>
                        <w:pP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宋体" w:hAnsi="宋体" w:cs="宋体" w:eastAsia="宋体" w:hint="default"/>
                            <w:sz w:val="18"/>
                            <w:szCs w:val="18"/>
                          </w:rPr>
                        </w:pPr>
                        <w:r>
                          <w:rPr>
                            <w:rFonts w:ascii="宋体"/>
                            <w:sz w:val="18"/>
                          </w:rPr>
                          <w:t>115,695,725.48</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宋体" w:hAnsi="宋体" w:cs="宋体" w:eastAsia="宋体" w:hint="default"/>
                            <w:sz w:val="18"/>
                            <w:szCs w:val="18"/>
                          </w:rPr>
                        </w:pPr>
                        <w:r>
                          <w:rPr>
                            <w:rFonts w:ascii="宋体"/>
                            <w:sz w:val="18"/>
                          </w:rPr>
                          <w:t>115,695,725.48</w:t>
                        </w:r>
                      </w:p>
                    </w:tc>
                  </w:tr>
                  <w:tr>
                    <w:trPr>
                      <w:trHeight w:val="1172"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307" w:lineRule="auto"/>
                          <w:ind w:left="15" w:right="-1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当期损益的总金融资产</w:t>
                        </w:r>
                      </w:p>
                    </w:tc>
                    <w:tc>
                      <w:tcPr>
                        <w:tcW w:w="1862" w:type="dxa"/>
                        <w:tcBorders>
                          <w:top w:val="single" w:sz="6" w:space="0" w:color="000000"/>
                          <w:left w:val="single" w:sz="6" w:space="0" w:color="000000"/>
                          <w:bottom w:val="single" w:sz="6" w:space="0" w:color="000000"/>
                          <w:right w:val="single" w:sz="6" w:space="0" w:color="000000"/>
                        </w:tcBorders>
                      </w:tcPr>
                      <w:p>
                        <w:pP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133,695,725.48</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133,695,725.48</w:t>
                        </w:r>
                      </w:p>
                    </w:tc>
                  </w:tr>
                  <w:tr>
                    <w:trPr>
                      <w:trHeight w:val="420"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c. </w:t>
                        </w:r>
                        <w:r>
                          <w:rPr>
                            <w:rFonts w:ascii="宋体" w:hAnsi="宋体" w:cs="宋体" w:eastAsia="宋体" w:hint="default"/>
                            <w:sz w:val="18"/>
                            <w:szCs w:val="18"/>
                          </w:rPr>
                          <w:t>以公允价值计量且其变动计入其他综合收益</w:t>
                        </w:r>
                      </w:p>
                    </w:tc>
                  </w:tr>
                  <w:tr>
                    <w:trPr>
                      <w:trHeight w:val="48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4"/>
                          <w:jc w:val="right"/>
                          <w:rPr>
                            <w:rFonts w:ascii="宋体" w:hAnsi="宋体" w:cs="宋体" w:eastAsia="宋体" w:hint="default"/>
                            <w:sz w:val="18"/>
                            <w:szCs w:val="18"/>
                          </w:rPr>
                        </w:pPr>
                        <w:r>
                          <w:rPr>
                            <w:rFonts w:ascii="宋体"/>
                            <w:sz w:val="18"/>
                          </w:rPr>
                          <w:t>18,000,000.00</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4"/>
                          <w:jc w:val="right"/>
                          <w:rPr>
                            <w:rFonts w:ascii="宋体" w:hAnsi="宋体" w:cs="宋体" w:eastAsia="宋体" w:hint="default"/>
                            <w:sz w:val="18"/>
                            <w:szCs w:val="18"/>
                          </w:rPr>
                        </w:pPr>
                        <w:r>
                          <w:rPr>
                            <w:rFonts w:ascii="宋体"/>
                            <w:sz w:val="18"/>
                          </w:rPr>
                          <w:t>-18,000,000.00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117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307" w:lineRule="auto"/>
                          <w:ind w:left="15" w:right="-1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其他综合收益的总金融资产</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18,000,000.00</w:t>
                        </w:r>
                      </w:p>
                    </w:tc>
                    <w:tc>
                      <w:tcPr>
                        <w:tcW w:w="2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-18,000,000.00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金融负债</w:t>
                        </w:r>
                      </w:p>
                    </w:tc>
                  </w:tr>
                  <w:tr>
                    <w:trPr>
                      <w:trHeight w:val="421" w:hRule="exact"/>
                    </w:trPr>
                    <w:tc>
                      <w:tcPr>
                        <w:tcW w:w="96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摊余成本</w:t>
                        </w:r>
                      </w:p>
                    </w:tc>
                  </w:tr>
                  <w:tr>
                    <w:trPr>
                      <w:trHeight w:val="42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14,000,000.00</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14,000,000.00</w:t>
                        </w:r>
                      </w:p>
                    </w:tc>
                  </w:tr>
                  <w:tr>
                    <w:trPr>
                      <w:trHeight w:val="40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8,100,833.00</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8,100,833.00</w:t>
                        </w:r>
                      </w:p>
                    </w:tc>
                  </w:tr>
                  <w:tr>
                    <w:trPr>
                      <w:trHeight w:val="420"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53,340,303.39</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53,340,303.39</w:t>
                        </w:r>
                      </w:p>
                    </w:tc>
                  </w:tr>
                  <w:tr>
                    <w:trPr>
                      <w:trHeight w:val="42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99,765,012.48</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99,765,012.48</w:t>
                        </w:r>
                      </w:p>
                    </w:tc>
                  </w:tr>
                  <w:tr>
                    <w:trPr>
                      <w:trHeight w:val="70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以摊余成本计量的总金融负债</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175,206,148.87</w:t>
                        </w:r>
                      </w:p>
                    </w:tc>
                    <w:tc>
                      <w:tcPr>
                        <w:tcW w:w="205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175,206,148.87</w:t>
                        </w:r>
                      </w:p>
                    </w:tc>
                  </w:tr>
                </w:tbl>
                <w:p>
                  <w:pPr/>
                </w:p>
              </w:txbxContent>
            </v:textbox>
            <w10:wrap type="none"/>
          </v:shape>
        </w:pict>
      </w:r>
    </w:p>
    <w:p>
      <w:pPr>
        <w:pStyle w:val="BodyText"/>
        <w:spacing w:line="475" w:lineRule="auto" w:before="44"/>
        <w:ind w:right="1112" w:firstLine="360"/>
        <w:jc w:val="left"/>
      </w:pPr>
      <w:r>
        <w:rPr/>
        <w:t>③</w:t>
      </w:r>
      <w:r>
        <w:rPr>
          <w:spacing w:val="7"/>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日，公司原金融资产和金融负债账面价值调整为按照新金融工具准则的规定进行分类和计量的新金融资 产和金融负债账面价值的调节表如下：</w:t>
      </w:r>
    </w:p>
    <w:p>
      <w:pPr>
        <w:spacing w:after="0" w:line="475"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489" w:lineRule="auto" w:before="44"/>
        <w:ind w:left="221" w:right="1108" w:firstLine="360"/>
        <w:jc w:val="left"/>
      </w:pPr>
      <w:r>
        <w:rPr/>
        <w:pict>
          <v:shape style="position:absolute;margin-left:51.075001pt;margin-top:44.981701pt;width:494.5pt;height:86.3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2"/>
                    <w:gridCol w:w="3770"/>
                    <w:gridCol w:w="1036"/>
                    <w:gridCol w:w="946"/>
                    <w:gridCol w:w="2252"/>
                  </w:tblGrid>
                  <w:tr>
                    <w:trPr>
                      <w:trHeight w:val="675"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0" w:right="119" w:hanging="30"/>
                          <w:jc w:val="left"/>
                          <w:rPr>
                            <w:rFonts w:ascii="宋体" w:hAnsi="宋体" w:cs="宋体" w:eastAsia="宋体" w:hint="default"/>
                            <w:sz w:val="18"/>
                            <w:szCs w:val="18"/>
                          </w:rPr>
                        </w:pPr>
                        <w:r>
                          <w:rPr>
                            <w:rFonts w:ascii="宋体" w:hAnsi="宋体" w:cs="宋体" w:eastAsia="宋体" w:hint="default"/>
                            <w:sz w:val="18"/>
                            <w:szCs w:val="18"/>
                          </w:rPr>
                          <w:t>按原金融工具准则计提损失准备</w:t>
                        </w:r>
                        <w:r>
                          <w:rPr>
                            <w:rFonts w:ascii="宋体" w:hAnsi="宋体" w:cs="宋体" w:eastAsia="宋体" w:hint="default"/>
                            <w:sz w:val="18"/>
                            <w:szCs w:val="18"/>
                          </w:rPr>
                          <w:t>/</w:t>
                        </w:r>
                        <w:r>
                          <w:rPr>
                            <w:rFonts w:ascii="宋体" w:hAnsi="宋体" w:cs="宋体" w:eastAsia="宋体" w:hint="default"/>
                            <w:sz w:val="18"/>
                            <w:szCs w:val="18"/>
                          </w:rPr>
                          <w:t>按或有事项</w:t>
                        </w:r>
                        <w:r>
                          <w:rPr>
                            <w:rFonts w:ascii="宋体" w:hAnsi="宋体" w:cs="宋体" w:eastAsia="宋体" w:hint="default"/>
                            <w:spacing w:val="-87"/>
                            <w:sz w:val="18"/>
                            <w:szCs w:val="18"/>
                          </w:rPr>
                          <w:t> </w:t>
                        </w:r>
                        <w:r>
                          <w:rPr>
                            <w:rFonts w:ascii="宋体" w:hAnsi="宋体" w:cs="宋体" w:eastAsia="宋体" w:hint="default"/>
                            <w:sz w:val="18"/>
                            <w:szCs w:val="18"/>
                          </w:rPr>
                          <w:t>准则确认的预计负债（</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05" w:right="13" w:firstLine="15"/>
                          <w:jc w:val="left"/>
                          <w:rPr>
                            <w:rFonts w:ascii="宋体" w:hAnsi="宋体" w:cs="宋体" w:eastAsia="宋体" w:hint="default"/>
                            <w:sz w:val="18"/>
                            <w:szCs w:val="18"/>
                          </w:rPr>
                        </w:pPr>
                        <w:r>
                          <w:rPr>
                            <w:rFonts w:ascii="宋体" w:hAnsi="宋体" w:cs="宋体" w:eastAsia="宋体" w:hint="default"/>
                            <w:sz w:val="18"/>
                            <w:szCs w:val="18"/>
                          </w:rPr>
                          <w:t>按新金融工具准则计提损 </w:t>
                        </w:r>
                        <w:r>
                          <w:rPr>
                            <w:rFonts w:ascii="宋体" w:hAnsi="宋体" w:cs="宋体" w:eastAsia="宋体" w:hint="default"/>
                            <w:spacing w:val="-12"/>
                            <w:sz w:val="18"/>
                            <w:szCs w:val="18"/>
                          </w:rPr>
                          <w:t>失准备（</w:t>
                        </w:r>
                        <w:r>
                          <w:rPr>
                            <w:rFonts w:ascii="宋体" w:hAnsi="宋体" w:cs="宋体" w:eastAsia="宋体" w:hint="default"/>
                            <w:spacing w:val="-12"/>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26"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1"/>
                          <w:jc w:val="right"/>
                          <w:rPr>
                            <w:rFonts w:ascii="宋体" w:hAnsi="宋体" w:cs="宋体" w:eastAsia="宋体" w:hint="default"/>
                            <w:sz w:val="18"/>
                            <w:szCs w:val="18"/>
                          </w:rPr>
                        </w:pPr>
                        <w:r>
                          <w:rPr>
                            <w:rFonts w:ascii="宋体"/>
                            <w:sz w:val="18"/>
                          </w:rPr>
                          <w:t>30,664,617.86</w:t>
                        </w:r>
                      </w:p>
                    </w:tc>
                    <w:tc>
                      <w:tcPr>
                        <w:tcW w:w="103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04"/>
                          <w:jc w:val="right"/>
                          <w:rPr>
                            <w:rFonts w:ascii="宋体" w:hAnsi="宋体" w:cs="宋体" w:eastAsia="宋体" w:hint="default"/>
                            <w:sz w:val="18"/>
                            <w:szCs w:val="18"/>
                          </w:rPr>
                        </w:pPr>
                        <w:r>
                          <w:rPr>
                            <w:rFonts w:ascii="宋体"/>
                            <w:sz w:val="18"/>
                          </w:rPr>
                          <w:t>30,664,617.86</w:t>
                        </w:r>
                      </w:p>
                    </w:tc>
                  </w:tr>
                  <w:tr>
                    <w:trPr>
                      <w:trHeight w:val="510" w:hRule="exact"/>
                    </w:trPr>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05"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89"/>
                          <w:jc w:val="right"/>
                          <w:rPr>
                            <w:rFonts w:ascii="宋体" w:hAnsi="宋体" w:cs="宋体" w:eastAsia="宋体" w:hint="default"/>
                            <w:sz w:val="18"/>
                            <w:szCs w:val="18"/>
                          </w:rPr>
                        </w:pPr>
                        <w:r>
                          <w:rPr>
                            <w:rFonts w:ascii="宋体"/>
                            <w:sz w:val="18"/>
                          </w:rPr>
                          <w:t>2,229,078.51</w:t>
                        </w:r>
                      </w:p>
                    </w:tc>
                    <w:tc>
                      <w:tcPr>
                        <w:tcW w:w="103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04"/>
                          <w:jc w:val="right"/>
                          <w:rPr>
                            <w:rFonts w:ascii="宋体" w:hAnsi="宋体" w:cs="宋体" w:eastAsia="宋体" w:hint="default"/>
                            <w:sz w:val="18"/>
                            <w:szCs w:val="18"/>
                          </w:rPr>
                        </w:pPr>
                        <w:r>
                          <w:rPr>
                            <w:rFonts w:ascii="宋体"/>
                            <w:sz w:val="18"/>
                          </w:rPr>
                          <w:t>2,229,078.51</w:t>
                        </w:r>
                      </w:p>
                    </w:tc>
                  </w:tr>
                </w:tbl>
                <w:p>
                  <w:pPr/>
                </w:p>
              </w:txbxContent>
            </v:textbox>
            <w10:wrap type="none"/>
          </v:shape>
        </w:pict>
      </w:r>
      <w:r>
        <w:rPr/>
        <w:t>④</w:t>
      </w:r>
      <w:r>
        <w:rPr>
          <w:spacing w:val="-9"/>
        </w:rPr>
        <w:t> </w:t>
      </w:r>
      <w:r>
        <w:rPr>
          <w:rFonts w:ascii="宋体" w:hAnsi="宋体" w:cs="宋体" w:eastAsia="宋体" w:hint="default"/>
        </w:rPr>
        <w:t>2019</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日，公司原金融资产减值准备期末金额调整为按照新金融工具准则的规定进行分类和计量的新损失准 备的调节表如下：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5" w:lineRule="auto"/>
        <w:ind w:left="221" w:right="1108" w:firstLine="420"/>
        <w:jc w:val="left"/>
      </w:pPr>
      <w:r>
        <w:rPr>
          <w:rFonts w:ascii="宋体" w:hAnsi="宋体" w:cs="宋体" w:eastAsia="宋体" w:hint="default"/>
          <w:spacing w:val="-1"/>
        </w:rPr>
        <w:t>3)</w:t>
      </w:r>
      <w:r>
        <w:rPr>
          <w:spacing w:val="-1"/>
        </w:rPr>
        <w:t>本公司自</w:t>
      </w:r>
      <w:r>
        <w:rPr>
          <w:rFonts w:ascii="宋体" w:hAnsi="宋体" w:cs="宋体" w:eastAsia="宋体" w:hint="default"/>
          <w:spacing w:val="-1"/>
        </w:rPr>
        <w:t>2019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10</w:t>
      </w:r>
      <w:r>
        <w:rPr>
          <w:spacing w:val="-1"/>
        </w:rPr>
        <w:t>日起执行经修订的《企业会计准则第</w:t>
      </w:r>
      <w:r>
        <w:rPr>
          <w:rFonts w:ascii="宋体" w:hAnsi="宋体" w:cs="宋体" w:eastAsia="宋体" w:hint="default"/>
          <w:spacing w:val="-1"/>
        </w:rPr>
        <w:t>7</w:t>
      </w:r>
      <w:r>
        <w:rPr>
          <w:spacing w:val="-1"/>
        </w:rPr>
        <w:t>号——非货币性资产交换》，自</w:t>
      </w:r>
      <w:r>
        <w:rPr>
          <w:rFonts w:ascii="宋体" w:hAnsi="宋体" w:cs="宋体" w:eastAsia="宋体" w:hint="default"/>
          <w:spacing w:val="-1"/>
        </w:rPr>
        <w:t>2019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17</w:t>
      </w:r>
      <w:r>
        <w:rPr>
          <w:spacing w:val="-1"/>
        </w:rPr>
        <w:t>日起执行经</w:t>
      </w:r>
      <w:r>
        <w:rPr/>
        <w:t> 修订的《企业会计准则第</w:t>
      </w:r>
      <w:r>
        <w:rPr>
          <w:rFonts w:ascii="宋体" w:hAnsi="宋体" w:cs="宋体" w:eastAsia="宋体" w:hint="default"/>
        </w:rPr>
        <w:t>12</w:t>
      </w:r>
      <w:r>
        <w:rPr/>
        <w:t>号——债务重组》。该项会计政策变更采用未来适用法处理。</w:t>
      </w:r>
    </w:p>
    <w:p>
      <w:pPr>
        <w:spacing w:line="240" w:lineRule="auto" w:before="6"/>
        <w:rPr>
          <w:rFonts w:ascii="宋体" w:hAnsi="宋体" w:cs="宋体" w:eastAsia="宋体" w:hint="default"/>
          <w:sz w:val="25"/>
          <w:szCs w:val="25"/>
        </w:rPr>
      </w:pPr>
    </w:p>
    <w:p>
      <w:pPr>
        <w:pStyle w:val="Heading3"/>
        <w:spacing w:line="240" w:lineRule="auto"/>
        <w:ind w:left="221" w:right="1108"/>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ind w:left="221" w:right="11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left="221" w:right="1108"/>
        <w:jc w:val="left"/>
        <w:rPr>
          <w:b w:val="0"/>
          <w:bCs w:val="0"/>
        </w:rPr>
      </w:pPr>
      <w:r>
        <w:rPr/>
        <w:t>（</w:t>
      </w:r>
      <w:r>
        <w:rPr>
          <w:rFonts w:ascii="宋体" w:hAnsi="宋体" w:cs="宋体" w:eastAsia="宋体" w:hint="default"/>
        </w:rPr>
        <w:t>3</w:t>
      </w:r>
      <w:r>
        <w:rPr/>
        <w:t>）</w:t>
      </w:r>
      <w:r>
        <w:rPr>
          <w:rFonts w:ascii="宋体" w:hAnsi="宋体" w:cs="宋体" w:eastAsia="宋体" w:hint="default"/>
        </w:rPr>
        <w:t>2019</w:t>
      </w:r>
      <w:r>
        <w:rPr/>
        <w:t>年起执行新金融工具准则、新收入准则或新租赁准则调整执行当年年初财务报表相关项目情况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491" w:lineRule="auto"/>
        <w:ind w:left="221"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pStyle w:val="BodyText"/>
        <w:spacing w:line="240" w:lineRule="auto" w:before="86"/>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213" w:type="dxa"/>
        <w:tblLayout w:type="fixed"/>
        <w:tblCellMar>
          <w:top w:w="0" w:type="dxa"/>
          <w:left w:w="0" w:type="dxa"/>
          <w:bottom w:w="0" w:type="dxa"/>
          <w:right w:w="0" w:type="dxa"/>
        </w:tblCellMar>
        <w:tblLook w:val="01E0"/>
      </w:tblPr>
      <w:tblGrid>
        <w:gridCol w:w="2192"/>
        <w:gridCol w:w="2471"/>
        <w:gridCol w:w="2448"/>
        <w:gridCol w:w="2463"/>
      </w:tblGrid>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474,556,354.49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474,556,354.49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115,695,725.48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06" w:right="0"/>
              <w:jc w:val="left"/>
              <w:rPr>
                <w:rFonts w:ascii="Times New Roman" w:hAnsi="Times New Roman" w:cs="Times New Roman" w:eastAsia="Times New Roman" w:hint="default"/>
                <w:sz w:val="18"/>
                <w:szCs w:val="18"/>
              </w:rPr>
            </w:pPr>
            <w:r>
              <w:rPr>
                <w:rFonts w:ascii="Times New Roman"/>
                <w:sz w:val="18"/>
              </w:rPr>
              <w:t>115,695,725.48</w:t>
            </w: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320,263,778.44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320,263,778.44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24,125,058.04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24,125,058.04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9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87"/>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19,092,638.98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18,396,913.50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-695,725.48</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695,725.48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-695,725.48</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151,342,880.49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151,342,880.49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119,037,741.97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4,037,741.97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-115,000,000.00</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1,108,598,452.41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1,108,598,452.41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18,000,000.00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75,220,907.64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75,220,907.64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257,252,488.54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257,252,488.54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1,236,854.70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1,236,854.70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25,980,229.64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25,980,229.64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5,530,382.01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5,530,382.01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106,053,284.20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106,053,284.20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2,170,623.63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2,170,623.63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8,842,742.36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8,842,742.36</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1,096,100.43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1,096,100.43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501,383,613.15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501,383,613.15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1,609,982,065.56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1,609,982,065.56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8,100,833.00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8,100,833.00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53,340,303.39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53,340,303.39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42,565,744.39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42,565,744.39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17,677,183.27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17,677,183.27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43,220,830.24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43,220,830.24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99,765,012.48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99,765,012.48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85,385.62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85,385.62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278,669,906.77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278,669,906.77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188,923.20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188,923.20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5,578,225.90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5,578,225.90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5,767,149.10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5,767,149.10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284,437,055.87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284,437,055.87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408,490,226.00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408,490,226.00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504,973,328.75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504,973,328.75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113,067,750.83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113,067,750.83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45,887,798.57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45,887,798.57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411,342,892.28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411,342,892.28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1,257,626,494.77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1,257,626,494.77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67,918,514.92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67,918,514.92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1,325,545,009.69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1,325,545,009.69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1,609,982,065.56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1,609,982,065.56</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6"/>
          <w:szCs w:val="6"/>
        </w:rPr>
      </w:pPr>
    </w:p>
    <w:p>
      <w:pPr>
        <w:pStyle w:val="BodyText"/>
        <w:spacing w:line="240" w:lineRule="auto" w:before="44"/>
        <w:ind w:right="0"/>
        <w:jc w:val="left"/>
      </w:pPr>
      <w:r>
        <w:rPr/>
        <w:t>调整情况说明</w:t>
      </w:r>
    </w:p>
    <w:p>
      <w:pPr>
        <w:spacing w:line="240" w:lineRule="auto" w:before="13"/>
        <w:rPr>
          <w:rFonts w:ascii="宋体" w:hAnsi="宋体" w:cs="宋体" w:eastAsia="宋体" w:hint="default"/>
          <w:sz w:val="20"/>
          <w:szCs w:val="20"/>
        </w:rPr>
      </w:pPr>
    </w:p>
    <w:p>
      <w:pPr>
        <w:pStyle w:val="BodyText"/>
        <w:spacing w:line="456" w:lineRule="auto"/>
        <w:ind w:right="1118"/>
        <w:jc w:val="left"/>
      </w:pPr>
      <w:r>
        <w:rPr/>
        <w:t>本次调整将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日在其他流动资产和应收利息列报的银行理财产品本金及应收利息在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日调整至交易性</w:t>
      </w:r>
      <w:r>
        <w:rPr>
          <w:spacing w:val="-84"/>
        </w:rPr>
        <w:t> </w:t>
      </w:r>
      <w:r>
        <w:rPr>
          <w:spacing w:val="-2"/>
        </w:rPr>
        <w:t>金融资产科目列报，将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日在可供出售金融资产列报的权益工具在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日调整至其他非流动金融资产科目</w:t>
      </w:r>
      <w:r>
        <w:rPr>
          <w:spacing w:val="-38"/>
        </w:rPr>
        <w:t> </w:t>
      </w:r>
      <w:r>
        <w:rPr/>
        <w:t>列报。</w:t>
      </w:r>
    </w:p>
    <w:p>
      <w:pPr>
        <w:pStyle w:val="BodyText"/>
        <w:spacing w:line="240" w:lineRule="auto" w:before="98"/>
        <w:ind w:right="0"/>
        <w:jc w:val="left"/>
      </w:pPr>
      <w:r>
        <w:rPr/>
        <w:t>母公司资产负债表</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10"/>
        <w:jc w:val="right"/>
      </w:pPr>
      <w:r>
        <w:rPr/>
        <w:t>单位：元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312,040,432.39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312,040,432.39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115,695,725.48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115,695,725.48</w:t>
            </w: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227,215,753.81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227,215,753.81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15,808,383.91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15,808,383.91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27,851,460.26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27,155,734.78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-695,725.48</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695,725.48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-695,725.48</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128,656,956.61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128,656,956.61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118,846,178.86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3,846,178.86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115,000,000.00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830,419,165.84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830,419,165.84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-1,000,000.00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254,591,771.87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254,591,771.87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75,220,907.64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75,220,907.64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203,285,721.62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203,285,721.62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7,953,307.76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7,953,307.76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5,530,382.01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5,530,382.01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1,214,160.23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1,214,160.23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6,244,099.59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6,244,099.59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555,040,350.72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555,040,350.72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1,385,459,516.56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1,385,459,516.56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4,791,681.00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4,791,681.00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16,244,927.91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16,244,927.91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21,647,056.44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21,647,056.44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14,466,021.04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14,466,021.04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20,764,003.99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20,764,003.99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177,992,942.27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177,992,942.27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1"/>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85,385.62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85,385.62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255,906,632.65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255,906,632.65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188,923.20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188,923.20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188,923.20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188,923.20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256,095,555.85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256,095,555.85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408,490,226.00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408,490,226.00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506,561,100.60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506,561,100.60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113,067,750.83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113,067,750.83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45,987,939.90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45,987,939.90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281,392,445.04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281,392,445.04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1,129,363,960.71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1,129,363,960.71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1,385,459,516.56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1,385,459,516.56</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6"/>
          <w:szCs w:val="6"/>
        </w:rPr>
      </w:pPr>
    </w:p>
    <w:p>
      <w:pPr>
        <w:pStyle w:val="BodyText"/>
        <w:spacing w:line="240" w:lineRule="auto" w:before="44"/>
        <w:ind w:right="0"/>
        <w:jc w:val="left"/>
      </w:pPr>
      <w:r>
        <w:rPr/>
        <w:t>调整情况说明</w:t>
      </w:r>
    </w:p>
    <w:p>
      <w:pPr>
        <w:spacing w:line="240" w:lineRule="auto" w:before="0"/>
        <w:rPr>
          <w:rFonts w:ascii="宋体" w:hAnsi="宋体" w:cs="宋体" w:eastAsia="宋体" w:hint="default"/>
          <w:sz w:val="21"/>
          <w:szCs w:val="21"/>
        </w:rPr>
      </w:pPr>
    </w:p>
    <w:p>
      <w:pPr>
        <w:pStyle w:val="BodyText"/>
        <w:spacing w:line="456" w:lineRule="auto"/>
        <w:ind w:right="1118"/>
        <w:jc w:val="left"/>
      </w:pPr>
      <w:r>
        <w:rPr/>
        <w:t>本次调整将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日在其他流动资产和应收利息列报的银行理财产品本金及应收利息在</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日调整至交易性</w:t>
      </w:r>
      <w:r>
        <w:rPr>
          <w:spacing w:val="-84"/>
        </w:rPr>
        <w:t> </w:t>
      </w:r>
      <w:r>
        <w:rPr>
          <w:spacing w:val="-2"/>
        </w:rPr>
        <w:t>金融资产科目列报，将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日在可供出售金融资产列报的权益工具在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日调整至其他非流动金融资产科目</w:t>
      </w:r>
      <w:r>
        <w:rPr>
          <w:spacing w:val="-38"/>
        </w:rPr>
        <w:t> </w:t>
      </w:r>
      <w:r>
        <w:rPr/>
        <w:t>列报。</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w:t>
      </w:r>
      <w:r>
        <w:rPr>
          <w:rFonts w:ascii="宋体" w:hAnsi="宋体" w:cs="宋体" w:eastAsia="宋体" w:hint="default"/>
        </w:rPr>
        <w:t>2019</w:t>
      </w:r>
      <w:r>
        <w:rPr/>
        <w:t>年起执行新金融工具准则或新租赁准则追溯调整前期比较数据说明</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spacing w:line="607" w:lineRule="auto" w:before="35"/>
        <w:ind w:left="141" w:right="8977" w:firstLine="0"/>
        <w:jc w:val="left"/>
        <w:rPr>
          <w:rFonts w:ascii="宋体" w:hAnsi="宋体" w:cs="宋体" w:eastAsia="宋体" w:hint="default"/>
          <w:sz w:val="21"/>
          <w:szCs w:val="21"/>
        </w:rPr>
      </w:pPr>
      <w:bookmarkStart w:name="45、其他" w:id="215"/>
      <w:bookmarkEnd w:id="215"/>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17"/>
      <w:bookmarkEnd w:id="217"/>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4" w:right="30"/>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4"/>
        <w:ind w:right="0"/>
        <w:jc w:val="left"/>
      </w:pPr>
      <w:r>
        <w:rPr/>
        <w:t>存在不同企业所得税税率纳税主体的，披露情况说明</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浩云科技股份有限公司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广州市苏瑞计算机科技有限公司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广州市浩云安防设备有限公司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重庆浩云公共安全物联网技术有限公司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西藏浩云创业投资有限公司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辛集市浩云智慧城市科技有限公司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广州浩昀宏信息技术有限公司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7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7"/>
              <w:jc w:val="left"/>
              <w:rPr>
                <w:rFonts w:ascii="宋体" w:hAnsi="宋体" w:cs="宋体" w:eastAsia="宋体" w:hint="default"/>
                <w:sz w:val="18"/>
                <w:szCs w:val="18"/>
              </w:rPr>
            </w:pPr>
            <w:r>
              <w:rPr>
                <w:rFonts w:ascii="宋体" w:hAnsi="宋体" w:cs="宋体" w:eastAsia="宋体" w:hint="default"/>
                <w:sz w:val="18"/>
                <w:szCs w:val="18"/>
              </w:rPr>
              <w:t>湖北浩威保安服务有限公司（原名：武汉浩立威保安服务有 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甲壳云计算有限公司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信泽云（武汉）计算机软件有限公司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杭州全实鹰科技有限公司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云盾智能物联有限公司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11</w:t>
      </w:r>
      <w:r>
        <w:rPr/>
        <w:t>日，浩云科技股份有限公司获得广东省科学技术厅、广东省财政厅、广东省国税局和广东省地税局颁发</w:t>
      </w:r>
    </w:p>
    <w:p>
      <w:pPr>
        <w:spacing w:after="0" w:line="240"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的编号为</w:t>
      </w:r>
      <w:r>
        <w:rPr>
          <w:rFonts w:ascii="宋体" w:hAnsi="宋体" w:cs="宋体" w:eastAsia="宋体" w:hint="default"/>
        </w:rPr>
        <w:t>GR201744011638</w:t>
      </w:r>
      <w:r>
        <w:rPr/>
        <w:t>的《高新技术企业证书》，</w:t>
      </w:r>
      <w:r>
        <w:rPr>
          <w:rFonts w:ascii="宋体" w:hAnsi="宋体" w:cs="宋体" w:eastAsia="宋体" w:hint="default"/>
        </w:rPr>
        <w:t>2017-2019</w:t>
      </w:r>
      <w:r>
        <w:rPr/>
        <w:t>年度减按</w:t>
      </w:r>
      <w:r>
        <w:rPr>
          <w:rFonts w:ascii="宋体" w:hAnsi="宋体" w:cs="宋体" w:eastAsia="宋体" w:hint="default"/>
        </w:rPr>
        <w:t>15%</w:t>
      </w:r>
      <w:r>
        <w:rPr/>
        <w:t>的税率计缴企业所得税。</w:t>
      </w:r>
    </w:p>
    <w:p>
      <w:pPr>
        <w:spacing w:line="240" w:lineRule="auto" w:before="7"/>
        <w:rPr>
          <w:rFonts w:ascii="宋体" w:hAnsi="宋体" w:cs="宋体" w:eastAsia="宋体" w:hint="default"/>
          <w:sz w:val="17"/>
          <w:szCs w:val="17"/>
        </w:rPr>
      </w:pPr>
    </w:p>
    <w:p>
      <w:pPr>
        <w:pStyle w:val="BodyText"/>
        <w:spacing w:line="480" w:lineRule="auto"/>
        <w:ind w:right="1096"/>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w:t>
      </w:r>
      <w:r>
        <w:rPr>
          <w:spacing w:val="-2"/>
        </w:rPr>
        <w:t>日，广州市苏瑞计算机科技有限公司获得广东省科技技术厅、广东省财政厅、广东省国家税务局、广东省</w:t>
      </w:r>
      <w:r>
        <w:rPr>
          <w:spacing w:val="-45"/>
        </w:rPr>
        <w:t> </w:t>
      </w:r>
      <w:r>
        <w:rPr>
          <w:spacing w:val="-45"/>
        </w:rPr>
      </w:r>
      <w:r>
        <w:rPr>
          <w:spacing w:val="-1"/>
        </w:rPr>
        <w:t>地方税务局联合颁发的编号为</w:t>
      </w:r>
      <w:r>
        <w:rPr>
          <w:rFonts w:ascii="宋体" w:hAnsi="宋体" w:cs="宋体" w:eastAsia="宋体" w:hint="default"/>
          <w:spacing w:val="-1"/>
        </w:rPr>
        <w:t>GR201944003857</w:t>
      </w:r>
      <w:r>
        <w:rPr>
          <w:spacing w:val="-1"/>
        </w:rPr>
        <w:t>的《高新技术企业证书》，</w:t>
      </w:r>
      <w:r>
        <w:rPr>
          <w:rFonts w:ascii="宋体" w:hAnsi="宋体" w:cs="宋体" w:eastAsia="宋体" w:hint="default"/>
          <w:spacing w:val="-1"/>
        </w:rPr>
        <w:t>2019-2021</w:t>
      </w:r>
      <w:r>
        <w:rPr>
          <w:spacing w:val="-1"/>
        </w:rPr>
        <w:t>年度减按</w:t>
      </w:r>
      <w:r>
        <w:rPr>
          <w:rFonts w:ascii="宋体" w:hAnsi="宋体" w:cs="宋体" w:eastAsia="宋体" w:hint="default"/>
          <w:spacing w:val="-1"/>
        </w:rPr>
        <w:t>15%</w:t>
      </w:r>
      <w:r>
        <w:rPr>
          <w:spacing w:val="-1"/>
        </w:rPr>
        <w:t>的税率计缴企业所得税。根</w:t>
      </w:r>
      <w:r>
        <w:rPr>
          <w:spacing w:val="-77"/>
        </w:rPr>
        <w:t> </w:t>
      </w:r>
      <w:r>
        <w:rPr>
          <w:spacing w:val="-77"/>
        </w:rPr>
      </w:r>
      <w:r>
        <w:rPr/>
        <w:t>据《财政部国家税务总局关于软件产品增值税政策的通知》（财税〔</w:t>
      </w:r>
      <w:r>
        <w:rPr>
          <w:rFonts w:ascii="宋体" w:hAnsi="宋体" w:cs="宋体" w:eastAsia="宋体" w:hint="default"/>
        </w:rPr>
        <w:t>2011</w:t>
      </w:r>
      <w:r>
        <w:rPr/>
        <w:t>〕</w:t>
      </w:r>
      <w:r>
        <w:rPr>
          <w:rFonts w:ascii="宋体" w:hAnsi="宋体" w:cs="宋体" w:eastAsia="宋体" w:hint="default"/>
        </w:rPr>
        <w:t>100</w:t>
      </w:r>
      <w:r>
        <w:rPr/>
        <w:t>号）的规定，广州市苏瑞计算机科技有限公</w:t>
      </w:r>
      <w:r>
        <w:rPr>
          <w:spacing w:val="-84"/>
        </w:rPr>
        <w:t> </w:t>
      </w:r>
      <w:r>
        <w:rPr/>
        <w:t>司销售其自行开发生产的软件产品，按规定税率申报缴纳增值税后，增值税实际税负超过</w:t>
      </w:r>
      <w:r>
        <w:rPr>
          <w:rFonts w:ascii="宋体" w:hAnsi="宋体" w:cs="宋体" w:eastAsia="宋体" w:hint="default"/>
        </w:rPr>
        <w:t>3%</w:t>
      </w:r>
      <w:r>
        <w:rPr/>
        <w:t>的部分实行即征即退政策。</w:t>
      </w:r>
    </w:p>
    <w:p>
      <w:pPr>
        <w:pStyle w:val="BodyText"/>
        <w:spacing w:line="475" w:lineRule="auto" w:before="50"/>
        <w:ind w:right="0"/>
        <w:jc w:val="left"/>
      </w:pPr>
      <w:r>
        <w:rPr>
          <w:spacing w:val="-2"/>
        </w:rPr>
        <w:t>（</w:t>
      </w:r>
      <w:r>
        <w:rPr>
          <w:rFonts w:ascii="宋体" w:hAnsi="宋体" w:cs="宋体" w:eastAsia="宋体" w:hint="default"/>
          <w:spacing w:val="-2"/>
        </w:rPr>
        <w:t>3</w:t>
      </w:r>
      <w:r>
        <w:rPr>
          <w:spacing w:val="-2"/>
        </w:rPr>
        <w:t>）根据财政部、海关总署、国家税务总局《关于深入实施西部大开发战略有关税收政策问题的通知》（财税</w:t>
      </w:r>
      <w:r>
        <w:rPr>
          <w:rFonts w:ascii="宋体" w:hAnsi="宋体" w:cs="宋体" w:eastAsia="宋体" w:hint="default"/>
          <w:spacing w:val="-2"/>
        </w:rPr>
        <w:t>[2011]58</w:t>
      </w:r>
      <w:r>
        <w:rPr>
          <w:spacing w:val="-2"/>
        </w:rPr>
        <w:t>号）</w:t>
      </w:r>
      <w:r>
        <w:rPr>
          <w:spacing w:val="-53"/>
        </w:rPr>
        <w:t> </w:t>
      </w:r>
      <w:r>
        <w:rPr/>
        <w:t>的规定，对设在西部地区国家鼓励类产业的内资企业，在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日期间，减按</w:t>
      </w:r>
      <w:r>
        <w:rPr>
          <w:rFonts w:ascii="宋体" w:hAnsi="宋体" w:cs="宋体" w:eastAsia="宋体" w:hint="default"/>
        </w:rPr>
        <w:t>15%</w:t>
      </w:r>
      <w:r>
        <w:rPr/>
        <w:t>的税率征收企业所</w:t>
      </w:r>
      <w:r>
        <w:rPr>
          <w:spacing w:val="-84"/>
        </w:rPr>
        <w:t> </w:t>
      </w:r>
      <w:r>
        <w:rPr/>
        <w:t>得税。本公司子公司重庆浩云公共安全物联网技术有限公司享受此项优惠，按</w:t>
      </w:r>
      <w:r>
        <w:rPr>
          <w:rFonts w:ascii="宋体" w:hAnsi="宋体" w:cs="宋体" w:eastAsia="宋体" w:hint="default"/>
        </w:rPr>
        <w:t>15%</w:t>
      </w:r>
      <w:r>
        <w:rPr/>
        <w:t>的税率缴纳企业所得税。</w:t>
      </w:r>
    </w:p>
    <w:p>
      <w:pPr>
        <w:pStyle w:val="BodyText"/>
        <w:spacing w:line="475" w:lineRule="auto" w:before="68"/>
        <w:ind w:right="1046"/>
        <w:jc w:val="left"/>
      </w:pPr>
      <w:r>
        <w:rPr/>
        <w:t>（</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日，深圳市润安科技发展有限公司取得深圳市科技创新委员会、深圳市财政委员会、深圳市国家税务局、 </w:t>
      </w:r>
      <w:r>
        <w:rPr>
          <w:spacing w:val="-2"/>
        </w:rPr>
        <w:t>深圳市地方税务局联合颁发的编号为</w:t>
      </w:r>
      <w:r>
        <w:rPr>
          <w:rFonts w:ascii="宋体" w:hAnsi="宋体" w:cs="宋体" w:eastAsia="宋体" w:hint="default"/>
          <w:spacing w:val="-2"/>
        </w:rPr>
        <w:t>GR201944203000</w:t>
      </w:r>
      <w:r>
        <w:rPr>
          <w:spacing w:val="-2"/>
        </w:rPr>
        <w:t>的《高新技术企业证书》，</w:t>
      </w:r>
      <w:r>
        <w:rPr>
          <w:rFonts w:ascii="宋体" w:hAnsi="宋体" w:cs="宋体" w:eastAsia="宋体" w:hint="default"/>
          <w:spacing w:val="-2"/>
        </w:rPr>
        <w:t>2019-2021</w:t>
      </w:r>
      <w:r>
        <w:rPr>
          <w:spacing w:val="-2"/>
        </w:rPr>
        <w:t>年度减按</w:t>
      </w:r>
      <w:r>
        <w:rPr>
          <w:rFonts w:ascii="宋体" w:hAnsi="宋体" w:cs="宋体" w:eastAsia="宋体" w:hint="default"/>
          <w:spacing w:val="-2"/>
        </w:rPr>
        <w:t>15%</w:t>
      </w:r>
      <w:r>
        <w:rPr>
          <w:spacing w:val="-2"/>
        </w:rPr>
        <w:t>的税率计缴企业所得</w:t>
      </w:r>
      <w:r>
        <w:rPr>
          <w:spacing w:val="-41"/>
        </w:rPr>
        <w:t> </w:t>
      </w:r>
      <w:r>
        <w:rPr/>
        <w:t>税。</w:t>
      </w:r>
    </w:p>
    <w:p>
      <w:pPr>
        <w:pStyle w:val="BodyText"/>
        <w:spacing w:line="480" w:lineRule="auto" w:before="53"/>
        <w:ind w:right="1094"/>
        <w:jc w:val="both"/>
      </w:pPr>
      <w:r>
        <w:rPr>
          <w:spacing w:val="7"/>
        </w:rPr>
        <w:t>（</w:t>
      </w:r>
      <w:r>
        <w:rPr>
          <w:rFonts w:ascii="宋体" w:hAnsi="宋体" w:cs="宋体" w:eastAsia="宋体" w:hint="default"/>
          <w:spacing w:val="7"/>
        </w:rPr>
        <w:t>5</w:t>
      </w:r>
      <w:r>
        <w:rPr>
          <w:spacing w:val="7"/>
        </w:rPr>
        <w:t>）</w:t>
      </w:r>
      <w:r>
        <w:rPr>
          <w:rFonts w:ascii="宋体" w:hAnsi="宋体" w:cs="宋体" w:eastAsia="宋体" w:hint="default"/>
          <w:spacing w:val="7"/>
        </w:rPr>
        <w:t>2017</w:t>
      </w:r>
      <w:r>
        <w:rPr>
          <w:spacing w:val="7"/>
        </w:rPr>
        <w:t>年，广东冠网信息科技有限公司及其子公司杭州全实鹰科技有限公司获得证书编号分别为</w:t>
      </w:r>
      <w:r>
        <w:rPr>
          <w:spacing w:val="-54"/>
        </w:rPr>
        <w:t> </w:t>
      </w:r>
      <w:r>
        <w:rPr>
          <w:rFonts w:ascii="宋体" w:hAnsi="宋体" w:cs="宋体" w:eastAsia="宋体" w:hint="default"/>
        </w:rPr>
        <w:t>GR201744003781</w:t>
      </w:r>
      <w:r>
        <w:rPr>
          <w:rFonts w:ascii="宋体" w:hAnsi="宋体" w:cs="宋体" w:eastAsia="宋体" w:hint="default"/>
          <w:spacing w:val="-70"/>
        </w:rPr>
        <w:t> </w:t>
      </w:r>
      <w:r>
        <w:rPr/>
        <w:t>和</w:t>
      </w:r>
      <w:r>
        <w:rPr>
          <w:spacing w:val="-85"/>
        </w:rPr>
        <w:t> </w:t>
      </w:r>
      <w:r>
        <w:rPr>
          <w:rFonts w:ascii="宋体" w:hAnsi="宋体" w:cs="宋体" w:eastAsia="宋体" w:hint="default"/>
          <w:spacing w:val="-2"/>
        </w:rPr>
        <w:t>GR201733002142</w:t>
      </w:r>
      <w:r>
        <w:rPr>
          <w:spacing w:val="-2"/>
        </w:rPr>
        <w:t>的《高新技术企业证书》，</w:t>
      </w:r>
      <w:r>
        <w:rPr>
          <w:rFonts w:ascii="宋体" w:hAnsi="宋体" w:cs="宋体" w:eastAsia="宋体" w:hint="default"/>
          <w:spacing w:val="-2"/>
        </w:rPr>
        <w:t>2017-2019</w:t>
      </w:r>
      <w:r>
        <w:rPr>
          <w:spacing w:val="-2"/>
        </w:rPr>
        <w:t>年度减按</w:t>
      </w:r>
      <w:r>
        <w:rPr>
          <w:rFonts w:ascii="宋体" w:hAnsi="宋体" w:cs="宋体" w:eastAsia="宋体" w:hint="default"/>
          <w:spacing w:val="-2"/>
        </w:rPr>
        <w:t>15%</w:t>
      </w:r>
      <w:r>
        <w:rPr>
          <w:spacing w:val="-2"/>
        </w:rPr>
        <w:t>的税率计缴企业所得税。根据《财政部国家税务总局关于</w:t>
      </w:r>
      <w:r>
        <w:rPr>
          <w:spacing w:val="-27"/>
        </w:rPr>
        <w:t> </w:t>
      </w:r>
      <w:r>
        <w:rPr>
          <w:spacing w:val="-27"/>
        </w:rPr>
      </w:r>
      <w:r>
        <w:rPr/>
        <w:t>软件产品增值税政策的通知》（财税〔</w:t>
      </w:r>
      <w:r>
        <w:rPr>
          <w:rFonts w:ascii="宋体" w:hAnsi="宋体" w:cs="宋体" w:eastAsia="宋体" w:hint="default"/>
        </w:rPr>
        <w:t>2011</w:t>
      </w:r>
      <w:r>
        <w:rPr/>
        <w:t>〕</w:t>
      </w:r>
      <w:r>
        <w:rPr>
          <w:rFonts w:ascii="宋体" w:hAnsi="宋体" w:cs="宋体" w:eastAsia="宋体" w:hint="default"/>
        </w:rPr>
        <w:t>100</w:t>
      </w:r>
      <w:r>
        <w:rPr/>
        <w:t>号）的规定，广东冠网信息科技有限公司自行开发研制的软件产品销售收</w:t>
      </w:r>
      <w:r>
        <w:rPr>
          <w:spacing w:val="-87"/>
        </w:rPr>
        <w:t> </w:t>
      </w:r>
      <w:r>
        <w:rPr/>
        <w:t>入按规定税率申报缴纳增值税后，增值税实际税负超过</w:t>
      </w:r>
      <w:r>
        <w:rPr>
          <w:rFonts w:ascii="宋体" w:hAnsi="宋体" w:cs="宋体" w:eastAsia="宋体" w:hint="default"/>
        </w:rPr>
        <w:t>3%</w:t>
      </w:r>
      <w:r>
        <w:rPr/>
        <w:t>部分享受即征即退优惠。</w:t>
      </w:r>
    </w:p>
    <w:p>
      <w:pPr>
        <w:pStyle w:val="BodyText"/>
        <w:spacing w:line="477" w:lineRule="auto" w:before="49"/>
        <w:ind w:right="1125"/>
        <w:jc w:val="both"/>
      </w:pPr>
      <w:r>
        <w:rPr/>
        <w:t>（</w:t>
      </w:r>
      <w:r>
        <w:rPr>
          <w:rFonts w:ascii="宋体" w:hAnsi="宋体" w:cs="宋体" w:eastAsia="宋体" w:hint="default"/>
        </w:rPr>
        <w:t>6</w:t>
      </w:r>
      <w:r>
        <w:rPr/>
        <w:t>）根据《关于实施小微企业普惠性税收减免政策的通知》（财税〔</w:t>
      </w:r>
      <w:r>
        <w:rPr>
          <w:rFonts w:ascii="宋体" w:hAnsi="宋体" w:cs="宋体" w:eastAsia="宋体" w:hint="default"/>
        </w:rPr>
        <w:t>2019</w:t>
      </w:r>
      <w:r>
        <w:rPr/>
        <w:t>〕</w:t>
      </w:r>
      <w:r>
        <w:rPr>
          <w:rFonts w:ascii="宋体" w:hAnsi="宋体" w:cs="宋体" w:eastAsia="宋体" w:hint="default"/>
        </w:rPr>
        <w:t>13</w:t>
      </w:r>
      <w:r>
        <w:rPr/>
        <w:t>号）的规定，对小型微利企业年应纳税所得</w:t>
      </w:r>
      <w:r>
        <w:rPr>
          <w:spacing w:val="-84"/>
        </w:rPr>
        <w:t> </w:t>
      </w:r>
      <w:r>
        <w:rPr>
          <w:spacing w:val="-2"/>
        </w:rPr>
        <w:t>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的税率缴纳企业所得税；对年应纳税所得额超过</w:t>
      </w:r>
      <w:r>
        <w:rPr>
          <w:rFonts w:ascii="宋体" w:hAnsi="宋体" w:cs="宋体" w:eastAsia="宋体" w:hint="default"/>
          <w:spacing w:val="-2"/>
        </w:rPr>
        <w:t>100</w:t>
      </w:r>
      <w:r>
        <w:rPr>
          <w:spacing w:val="-2"/>
        </w:rPr>
        <w:t>万元但不超</w:t>
      </w:r>
      <w:r>
        <w:rPr>
          <w:spacing w:val="-55"/>
        </w:rPr>
        <w:t> </w:t>
      </w:r>
      <w:r>
        <w:rPr/>
        <w:t>过</w:t>
      </w:r>
      <w:r>
        <w:rPr>
          <w:rFonts w:ascii="宋体" w:hAnsi="宋体" w:cs="宋体" w:eastAsia="宋体" w:hint="default"/>
        </w:rPr>
        <w:t>300</w:t>
      </w:r>
      <w:r>
        <w:rPr/>
        <w:t>万元的部分，减按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的税率缴纳企业所得税。西藏浩云创业投资有限公司满足小型微利企</w:t>
      </w:r>
      <w:r>
        <w:rPr>
          <w:spacing w:val="-86"/>
        </w:rPr>
        <w:t> </w:t>
      </w:r>
      <w:r>
        <w:rPr/>
        <w:t>业条件，按照</w:t>
      </w:r>
      <w:r>
        <w:rPr>
          <w:rFonts w:ascii="宋体" w:hAnsi="宋体" w:cs="宋体" w:eastAsia="宋体" w:hint="default"/>
        </w:rPr>
        <w:t>20%</w:t>
      </w:r>
      <w:r>
        <w:rPr/>
        <w:t>的税率缴纳企业所得税，辛集市浩云智慧城市科技有限公司、甲壳云计算有限公司、孙公司云盾智能物联 有限公司满足小型微利企业条件，按</w:t>
      </w:r>
      <w:r>
        <w:rPr>
          <w:rFonts w:ascii="宋体" w:hAnsi="宋体" w:cs="宋体" w:eastAsia="宋体" w:hint="default"/>
        </w:rPr>
        <w:t>20%</w:t>
      </w:r>
      <w:r>
        <w:rPr/>
        <w:t>的税率缴纳企业所得税。</w:t>
      </w:r>
    </w:p>
    <w:p>
      <w:pPr>
        <w:pStyle w:val="BodyText"/>
        <w:spacing w:line="489" w:lineRule="auto" w:before="82"/>
        <w:ind w:right="0"/>
        <w:jc w:val="left"/>
      </w:pPr>
      <w:r>
        <w:rPr/>
        <w:t>公司需遵守《深圳证券交易所行业信息披露指引第</w:t>
      </w:r>
      <w:r>
        <w:rPr>
          <w:spacing w:val="-40"/>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4"/>
        </w:rPr>
        <w:t>公司根据上述税收优惠所述享受企业所得税及增值税退税优惠，税收优惠对公司当期损益的影响为：减少所得税费用：</w:t>
      </w:r>
      <w:r>
        <w:rPr>
          <w:spacing w:val="-47"/>
        </w:rPr>
        <w:t> </w:t>
      </w:r>
      <w:r>
        <w:rPr>
          <w:spacing w:val="-47"/>
        </w:rPr>
      </w:r>
      <w:r>
        <w:rPr>
          <w:rFonts w:ascii="宋体" w:hAnsi="宋体" w:cs="宋体" w:eastAsia="宋体" w:hint="default"/>
        </w:rPr>
        <w:t>1,577.99</w:t>
      </w:r>
      <w:r>
        <w:rPr/>
        <w:t>万元，增加其他收益</w:t>
      </w:r>
      <w:r>
        <w:rPr>
          <w:rFonts w:ascii="宋体" w:hAnsi="宋体" w:cs="宋体" w:eastAsia="宋体" w:hint="default"/>
        </w:rPr>
        <w:t>619.74</w:t>
      </w:r>
      <w:r>
        <w:rPr/>
        <w:t>万元，合计增加净利润：</w:t>
      </w:r>
      <w:r>
        <w:rPr>
          <w:rFonts w:ascii="宋体" w:hAnsi="宋体" w:cs="宋体" w:eastAsia="宋体" w:hint="default"/>
        </w:rPr>
        <w:t>2,042.80</w:t>
      </w:r>
      <w:r>
        <w:rPr/>
        <w:t>万元。</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无</w:t>
      </w:r>
    </w:p>
    <w:p>
      <w:pPr>
        <w:spacing w:after="0" w:line="240" w:lineRule="auto"/>
        <w:jc w:val="left"/>
        <w:sectPr>
          <w:pgSz w:w="11910" w:h="16850"/>
          <w:pgMar w:header="776" w:footer="1026" w:top="1100" w:bottom="1220" w:left="1000" w:right="0"/>
        </w:sectPr>
      </w:pPr>
    </w:p>
    <w:p>
      <w:pPr>
        <w:spacing w:line="240" w:lineRule="auto" w:before="11"/>
        <w:rPr>
          <w:rFonts w:ascii="宋体" w:hAnsi="宋体" w:cs="宋体" w:eastAsia="宋体" w:hint="default"/>
          <w:sz w:val="27"/>
          <w:szCs w:val="27"/>
        </w:rPr>
      </w:pPr>
    </w:p>
    <w:p>
      <w:pPr>
        <w:pStyle w:val="Heading2"/>
        <w:spacing w:line="240" w:lineRule="auto" w:before="26"/>
        <w:ind w:right="0"/>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239,112.89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286,349.13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622,328,721.17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461,930,208.93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11,076,728.45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12,339,796.43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633,644,562.51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474,556,354.49</w:t>
            </w:r>
          </w:p>
        </w:tc>
      </w:tr>
    </w:tbl>
    <w:p>
      <w:pPr>
        <w:spacing w:line="240" w:lineRule="auto" w:before="10"/>
        <w:rPr>
          <w:rFonts w:ascii="宋体" w:hAnsi="宋体" w:cs="宋体" w:eastAsia="宋体" w:hint="default"/>
          <w:sz w:val="5"/>
          <w:szCs w:val="5"/>
        </w:rPr>
      </w:pPr>
    </w:p>
    <w:p>
      <w:pPr>
        <w:pStyle w:val="BodyText"/>
        <w:spacing w:line="504" w:lineRule="auto" w:before="44"/>
        <w:ind w:right="1816"/>
        <w:jc w:val="left"/>
      </w:pPr>
      <w:r>
        <w:rPr/>
        <w:t>其他说明          </w:t>
      </w:r>
      <w:r>
        <w:rPr>
          <w:spacing w:val="50"/>
        </w:rPr>
        <w:t> </w:t>
      </w:r>
      <w:r>
        <w:rPr>
          <w:spacing w:val="3"/>
        </w:rPr>
        <w:t>期末其他货币资金中使用受到限制的有保函保证金</w:t>
      </w:r>
      <w:r>
        <w:rPr>
          <w:rFonts w:ascii="宋体" w:hAnsi="宋体" w:cs="宋体" w:eastAsia="宋体" w:hint="default"/>
          <w:spacing w:val="3"/>
        </w:rPr>
        <w:t>1,907,484.51</w:t>
      </w:r>
      <w:r>
        <w:rPr>
          <w:rFonts w:ascii="宋体" w:hAnsi="宋体" w:cs="宋体" w:eastAsia="宋体" w:hint="default"/>
          <w:spacing w:val="-74"/>
        </w:rPr>
        <w:t> </w:t>
      </w:r>
      <w:r>
        <w:rPr>
          <w:rFonts w:ascii="宋体" w:hAnsi="宋体" w:cs="宋体" w:eastAsia="宋体" w:hint="default"/>
          <w:spacing w:val="-74"/>
        </w:rPr>
        <w:t>                                                        </w:t>
      </w:r>
      <w:r>
        <w:rPr>
          <w:spacing w:val="2"/>
        </w:rPr>
        <w:t>元、住宅专项维修资金</w:t>
      </w:r>
      <w:r>
        <w:rPr>
          <w:rFonts w:ascii="宋体" w:hAnsi="宋体" w:cs="宋体" w:eastAsia="宋体" w:hint="default"/>
          <w:spacing w:val="2"/>
        </w:rPr>
        <w:t>301,910.36                                        </w:t>
      </w:r>
      <w:r>
        <w:rPr>
          <w:rFonts w:ascii="宋体" w:hAnsi="宋体" w:cs="宋体" w:eastAsia="宋体" w:hint="default"/>
          <w:spacing w:val="36"/>
        </w:rPr>
        <w:t> </w:t>
      </w:r>
      <w:r>
        <w:rPr>
          <w:spacing w:val="4"/>
        </w:rPr>
        <w:t>元、承兑汇票保证金</w:t>
      </w:r>
      <w:r>
        <w:rPr/>
        <w:t> </w:t>
      </w:r>
      <w:r>
        <w:rPr/>
        <w:t>                                         </w:t>
      </w:r>
      <w:r>
        <w:rPr>
          <w:rFonts w:ascii="宋体" w:hAnsi="宋体" w:cs="宋体" w:eastAsia="宋体" w:hint="default"/>
        </w:rPr>
        <w:t>8,866,709.15</w:t>
      </w:r>
      <w:r>
        <w:rPr/>
        <w:t>元。</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bookmarkStart w:name="2、交易性金融资产" w:id="222"/>
      <w:bookmarkEnd w:id="222"/>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115,695,725.48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其中：保本浮动收益型理财产品</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115,695,725.48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115,695,725.48</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BodyText"/>
        <w:spacing w:line="475" w:lineRule="auto"/>
        <w:ind w:right="1569"/>
        <w:jc w:val="left"/>
      </w:pPr>
      <w:r>
        <w:rPr>
          <w:rFonts w:ascii="宋体" w:hAnsi="宋体" w:cs="宋体" w:eastAsia="宋体" w:hint="default"/>
        </w:rPr>
        <w:t>[</w:t>
      </w:r>
      <w:r>
        <w:rPr/>
        <w:t>注</w:t>
      </w:r>
      <w:r>
        <w:rPr>
          <w:rFonts w:ascii="宋体" w:hAnsi="宋体" w:cs="宋体" w:eastAsia="宋体" w:hint="default"/>
        </w:rPr>
        <w:t>]</w:t>
      </w:r>
      <w:r>
        <w:rPr/>
        <w:t>：期初余额与上年期末余额（</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日）差异详见财务报表附注五、</w:t>
      </w:r>
      <w:r>
        <w:rPr>
          <w:rFonts w:ascii="宋体" w:hAnsi="宋体" w:cs="宋体" w:eastAsia="宋体" w:hint="default"/>
        </w:rPr>
        <w:t>44</w:t>
      </w:r>
      <w:r>
        <w:rPr/>
        <w:t>、重要会计政策和会计估计变更之</w:t>
      </w:r>
      <w:r>
        <w:rPr>
          <w:spacing w:val="-85"/>
        </w:rPr>
        <w:t> </w:t>
      </w:r>
      <w:r>
        <w:rPr/>
        <w:t>说明。</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180,000.00</w:t>
            </w:r>
          </w:p>
        </w:tc>
      </w:tr>
    </w:tbl>
    <w:p>
      <w:pPr>
        <w:spacing w:line="240" w:lineRule="auto" w:before="10"/>
        <w:rPr>
          <w:rFonts w:ascii="宋体" w:hAnsi="宋体" w:cs="宋体" w:eastAsia="宋体" w:hint="default"/>
          <w:sz w:val="5"/>
          <w:szCs w:val="5"/>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2"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80"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2"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7"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6" w:type="dxa"/>
            <w:tcBorders>
              <w:top w:val="single" w:sz="6" w:space="0" w:color="000000"/>
              <w:left w:val="single" w:sz="12"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按单项计提坏账准备：</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按组合计提坏账准备：</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240" w:lineRule="auto" w:before="10"/>
        <w:rPr>
          <w:rFonts w:ascii="宋体" w:hAnsi="宋体" w:cs="宋体" w:eastAsia="宋体" w:hint="default"/>
          <w:sz w:val="5"/>
          <w:szCs w:val="5"/>
        </w:rPr>
      </w:pPr>
    </w:p>
    <w:p>
      <w:pPr>
        <w:pStyle w:val="BodyText"/>
        <w:spacing w:line="520" w:lineRule="auto" w:before="44"/>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6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本期计提坏账准备情况：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其中本期坏账准备收回或转回金额重要的：</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期末公司已质押的应收票据" w:id="227"/>
      <w:bookmarkEnd w:id="227"/>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期末公司已背书或贴现且在资产负债表日尚未到期的应收票据" w:id="228"/>
      <w:bookmarkEnd w:id="228"/>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5）期末公司因出票人未履约而将其转应收账款的票据" w:id="229"/>
      <w:bookmarkEnd w:id="229"/>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6）本期实际核销的应收票据情况" w:id="230"/>
      <w:bookmarkEnd w:id="230"/>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其中重要的应收票据核销情况：</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07"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应收票据核销说明：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应收账款" w:id="231"/>
      <w:bookmarkEnd w:id="23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应收账款分类披露" w:id="232"/>
      <w:bookmarkEnd w:id="2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431,991,</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051.50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38,223,3</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34.54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393,767,7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16.96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350,928,3</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96.30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30,664,61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7.86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8.74%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320,263,77</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8.44</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431,991,</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051.50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38,223,3</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34.54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393,767,7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16.96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350,928,3</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96.30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30,664,61</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7.86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8.74%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320,263,77</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8.44</w:t>
            </w: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431,991,</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051.50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38,223,3</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34.54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393,767,7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16.96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350,928,3</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96.30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30,664,61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7.86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8.74%</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320,263,77</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8.44</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按单项计提坏账准备：</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7,558,716.68</w:t>
      </w:r>
    </w:p>
    <w:p>
      <w:pPr>
        <w:spacing w:line="240" w:lineRule="auto" w:before="10"/>
        <w:rPr>
          <w:rFonts w:ascii="Times New Roman" w:hAnsi="Times New Roman" w:cs="Times New Roman" w:eastAsia="Times New Roman" w:hint="default"/>
          <w:sz w:val="18"/>
          <w:szCs w:val="18"/>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431,991,051.50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center"/>
              <w:rPr>
                <w:rFonts w:ascii="Times New Roman" w:hAnsi="Times New Roman" w:cs="Times New Roman" w:eastAsia="Times New Roman" w:hint="default"/>
                <w:sz w:val="18"/>
                <w:szCs w:val="18"/>
              </w:rPr>
            </w:pPr>
            <w:r>
              <w:rPr>
                <w:rFonts w:ascii="Times New Roman"/>
                <w:sz w:val="18"/>
              </w:rPr>
              <w:t>38,223,334.54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8.85%</w:t>
            </w:r>
          </w:p>
        </w:tc>
      </w:tr>
    </w:tbl>
    <w:p>
      <w:pPr>
        <w:spacing w:line="240" w:lineRule="auto" w:before="10"/>
        <w:rPr>
          <w:rFonts w:ascii="宋体" w:hAnsi="宋体" w:cs="宋体" w:eastAsia="宋体" w:hint="default"/>
          <w:sz w:val="5"/>
          <w:szCs w:val="5"/>
        </w:rPr>
      </w:pPr>
    </w:p>
    <w:p>
      <w:pPr>
        <w:pStyle w:val="BodyText"/>
        <w:spacing w:line="504" w:lineRule="auto" w:before="44"/>
        <w:ind w:right="1749"/>
        <w:jc w:val="left"/>
      </w:pPr>
      <w:r>
        <w:rPr/>
        <w:t>确定该组合依据的说明： 如是按照预期信用损失一般模型计提应收账款坏账准备，请参照其他应收款的披露方式披露坏账准备的相关信息：</w:t>
      </w:r>
    </w:p>
    <w:p>
      <w:pPr>
        <w:pStyle w:val="BodyText"/>
        <w:spacing w:line="491" w:lineRule="auto" w:before="77"/>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86"/>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311,276,107.86</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65,414,224.60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23,955,940.34</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31,344,778.70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13,895,571.58</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13,689,105.15</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3,760,101.97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431,991,051.50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公司需要遵守《深圳证券交易所行业信息披露指引第</w:t>
      </w:r>
      <w:r>
        <w:rPr>
          <w:spacing w:val="-39"/>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本期计提坏账准备情况：</w:t>
      </w:r>
    </w:p>
    <w:p>
      <w:pPr>
        <w:spacing w:line="240" w:lineRule="auto" w:before="0"/>
        <w:rPr>
          <w:rFonts w:ascii="宋体" w:hAnsi="宋体" w:cs="宋体" w:eastAsia="宋体" w:hint="default"/>
          <w:sz w:val="21"/>
          <w:szCs w:val="21"/>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30,664,617.86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7,558,716.68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38,223,334.54</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30,664,617.86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7,558,716.68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38,223,334.54</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其中本期坏账准备收回或转回金额重要的：</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本期实际核销的应收账款情况" w:id="234"/>
      <w:bookmarkEnd w:id="2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其中重要的应收账款核销情况：</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应收账款核销说明：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按欠款方归集的期末余额前五名的应收账款情况" w:id="235"/>
      <w:bookmarkEnd w:id="2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33,259,495.66</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7.70%</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2,375,118.35</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27,941,733.44</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4,034,111.86</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22,372,689.79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3,551,296.07</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14,425,670.48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432,770.11</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11,458,767.00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2.65%</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343,763.01</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109,458,356.37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25.34%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5）因金融资产转移而终止确认的应收账款" w:id="236"/>
      <w:bookmarkEnd w:id="2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6）转移应收账款且继续涉入形成的资产、负债金额" w:id="237"/>
      <w:bookmarkEnd w:id="2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6、应收款项融资" w:id="238"/>
      <w:bookmarkEnd w:id="238"/>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应收款项融资本期增减变动及公允价值变动情况</w:t>
      </w:r>
    </w:p>
    <w:p>
      <w:pPr>
        <w:spacing w:line="240" w:lineRule="auto" w:before="0"/>
        <w:rPr>
          <w:rFonts w:ascii="宋体" w:hAnsi="宋体" w:cs="宋体" w:eastAsia="宋体" w:hint="default"/>
          <w:sz w:val="21"/>
          <w:szCs w:val="21"/>
        </w:rPr>
      </w:pPr>
    </w:p>
    <w:p>
      <w:pPr>
        <w:pStyle w:val="BodyText"/>
        <w:spacing w:line="491" w:lineRule="auto"/>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477" w:lineRule="auto" w:before="86"/>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7、预付款项" w:id="239"/>
      <w:bookmarkEnd w:id="239"/>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预付款项按账龄列示" w:id="240"/>
      <w:bookmarkEnd w:id="24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21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2"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7"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17,274,037.14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92.18%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21,039,179.97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87.21%</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1,042,122.91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5.56%</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3,061,760.68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12.69%</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400,005.20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24,117.39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24,117.39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18,740,282.64</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24,125,058.04</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left="221" w:right="1108"/>
        <w:jc w:val="left"/>
        <w:rPr>
          <w:b w:val="0"/>
          <w:bCs w:val="0"/>
        </w:rPr>
      </w:pPr>
      <w:bookmarkStart w:name="（2）按预付对象归集的期末余额前五名的预付款情况" w:id="241"/>
      <w:bookmarkEnd w:id="24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454"/>
        <w:gridCol w:w="3409"/>
        <w:gridCol w:w="3003"/>
      </w:tblGrid>
      <w:tr>
        <w:trPr>
          <w:trHeight w:val="331"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1846" w:val="left" w:leader="none"/>
              </w:tabs>
              <w:spacing w:line="240" w:lineRule="auto" w:before="15"/>
              <w:ind w:left="3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占预付款项余额</w:t>
              <w:tab/>
              <w:t>的比例</w:t>
            </w:r>
            <w:r>
              <w:rPr>
                <w:rFonts w:ascii="Times New Roman" w:hAnsi="Times New Roman" w:cs="Times New Roman" w:eastAsia="Times New Roman" w:hint="default"/>
                <w:sz w:val="18"/>
                <w:szCs w:val="18"/>
              </w:rPr>
              <w:t>(%)</w:t>
            </w:r>
          </w:p>
        </w:tc>
      </w:tr>
      <w:tr>
        <w:trPr>
          <w:trHeight w:val="315"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1,605,000.00</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3"/>
              <w:jc w:val="right"/>
              <w:rPr>
                <w:rFonts w:ascii="宋体" w:hAnsi="宋体" w:cs="宋体" w:eastAsia="宋体" w:hint="default"/>
                <w:sz w:val="18"/>
                <w:szCs w:val="18"/>
              </w:rPr>
            </w:pPr>
            <w:r>
              <w:rPr>
                <w:rFonts w:ascii="宋体"/>
                <w:sz w:val="18"/>
              </w:rPr>
              <w:t>8.56</w:t>
            </w:r>
          </w:p>
        </w:tc>
      </w:tr>
      <w:tr>
        <w:trPr>
          <w:trHeight w:val="330"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4"/>
              <w:jc w:val="right"/>
              <w:rPr>
                <w:rFonts w:ascii="宋体" w:hAnsi="宋体" w:cs="宋体" w:eastAsia="宋体" w:hint="default"/>
                <w:sz w:val="18"/>
                <w:szCs w:val="18"/>
              </w:rPr>
            </w:pPr>
            <w:r>
              <w:rPr>
                <w:rFonts w:ascii="宋体"/>
                <w:sz w:val="18"/>
              </w:rPr>
              <w:t>1,297,765.44</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sz w:val="18"/>
              </w:rPr>
              <w:t>6.93</w:t>
            </w:r>
          </w:p>
        </w:tc>
      </w:tr>
      <w:tr>
        <w:trPr>
          <w:trHeight w:val="316"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1,218,547.65</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3"/>
              <w:jc w:val="right"/>
              <w:rPr>
                <w:rFonts w:ascii="宋体" w:hAnsi="宋体" w:cs="宋体" w:eastAsia="宋体" w:hint="default"/>
                <w:sz w:val="18"/>
                <w:szCs w:val="18"/>
              </w:rPr>
            </w:pPr>
            <w:r>
              <w:rPr>
                <w:rFonts w:ascii="宋体"/>
                <w:sz w:val="18"/>
              </w:rPr>
              <w:t>6.50</w:t>
            </w:r>
          </w:p>
        </w:tc>
      </w:tr>
      <w:tr>
        <w:trPr>
          <w:trHeight w:val="330"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1,003,870.26</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sz w:val="18"/>
              </w:rPr>
              <w:t>5.36</w:t>
            </w:r>
          </w:p>
        </w:tc>
      </w:tr>
      <w:tr>
        <w:trPr>
          <w:trHeight w:val="315"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976,139.36</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3"/>
              <w:jc w:val="right"/>
              <w:rPr>
                <w:rFonts w:ascii="宋体" w:hAnsi="宋体" w:cs="宋体" w:eastAsia="宋体" w:hint="default"/>
                <w:sz w:val="18"/>
                <w:szCs w:val="18"/>
              </w:rPr>
            </w:pPr>
            <w:r>
              <w:rPr>
                <w:rFonts w:ascii="宋体"/>
                <w:sz w:val="18"/>
              </w:rPr>
              <w:t>5.21</w:t>
            </w:r>
          </w:p>
        </w:tc>
      </w:tr>
      <w:tr>
        <w:trPr>
          <w:trHeight w:val="315"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6,101,322.71</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sz w:val="18"/>
              </w:rPr>
              <w:t>32.56</w:t>
            </w:r>
          </w:p>
        </w:tc>
      </w:tr>
    </w:tbl>
    <w:p>
      <w:pPr>
        <w:spacing w:line="240" w:lineRule="auto" w:before="10"/>
        <w:rPr>
          <w:rFonts w:ascii="宋体" w:hAnsi="宋体" w:cs="宋体" w:eastAsia="宋体" w:hint="default"/>
          <w:b/>
          <w:bCs/>
          <w:sz w:val="5"/>
          <w:szCs w:val="5"/>
        </w:rPr>
      </w:pPr>
    </w:p>
    <w:p>
      <w:pPr>
        <w:pStyle w:val="BodyText"/>
        <w:spacing w:line="240" w:lineRule="auto" w:before="44"/>
        <w:ind w:left="221" w:right="1108"/>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left="221" w:right="1108"/>
        <w:jc w:val="left"/>
        <w:rPr>
          <w:b w:val="0"/>
          <w:bCs w:val="0"/>
        </w:rPr>
      </w:pPr>
      <w:bookmarkStart w:name="8、其他应收款" w:id="242"/>
      <w:bookmarkEnd w:id="242"/>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12,352,085.91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18,396,913.50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12,352,085.91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18,396,913.50</w:t>
            </w:r>
          </w:p>
        </w:tc>
      </w:tr>
    </w:tbl>
    <w:p>
      <w:pPr>
        <w:pStyle w:val="BodyText"/>
        <w:spacing w:line="472" w:lineRule="auto" w:before="90"/>
        <w:ind w:left="221" w:right="1569"/>
        <w:jc w:val="left"/>
      </w:pPr>
      <w:r>
        <w:rPr>
          <w:rFonts w:ascii="宋体" w:hAnsi="宋体" w:cs="宋体" w:eastAsia="宋体" w:hint="default"/>
        </w:rPr>
        <w:t>[</w:t>
      </w:r>
      <w:r>
        <w:rPr/>
        <w:t>注</w:t>
      </w:r>
      <w:r>
        <w:rPr>
          <w:rFonts w:ascii="宋体" w:hAnsi="宋体" w:cs="宋体" w:eastAsia="宋体" w:hint="default"/>
        </w:rPr>
        <w:t>]</w:t>
      </w:r>
      <w:r>
        <w:rPr/>
        <w:t>：期初余额与上年期末余额（</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日）差异详见财务报表附注五、</w:t>
      </w:r>
      <w:r>
        <w:rPr>
          <w:rFonts w:ascii="宋体" w:hAnsi="宋体" w:cs="宋体" w:eastAsia="宋体" w:hint="default"/>
        </w:rPr>
        <w:t>44</w:t>
      </w:r>
      <w:r>
        <w:rPr/>
        <w:t>、重要会计政策和会计估计变更之</w:t>
      </w:r>
      <w:r>
        <w:rPr>
          <w:spacing w:val="-85"/>
        </w:rPr>
        <w:t> </w:t>
      </w:r>
      <w:r>
        <w:rPr/>
        <w:t>说明。</w:t>
      </w:r>
    </w:p>
    <w:p>
      <w:pPr>
        <w:spacing w:line="240" w:lineRule="auto" w:before="11"/>
        <w:rPr>
          <w:rFonts w:ascii="宋体" w:hAnsi="宋体" w:cs="宋体" w:eastAsia="宋体" w:hint="default"/>
          <w:sz w:val="26"/>
          <w:szCs w:val="26"/>
        </w:rPr>
      </w:pPr>
    </w:p>
    <w:p>
      <w:pPr>
        <w:pStyle w:val="Heading3"/>
        <w:spacing w:line="631" w:lineRule="auto"/>
        <w:ind w:left="221" w:right="8229"/>
        <w:jc w:val="left"/>
        <w:rPr>
          <w:b w:val="0"/>
          <w:bCs w:val="0"/>
        </w:rPr>
      </w:pPr>
      <w:bookmarkStart w:name="（1）应收利息" w:id="243"/>
      <w:bookmarkEnd w:id="243"/>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44"/>
      <w:bookmarkEnd w:id="244"/>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101"/>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76" w:footer="1026" w:top="1100" w:bottom="1220" w:left="92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重要逾期利息" w:id="245"/>
      <w:bookmarkEnd w:id="24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坏账准备计提情况" w:id="246"/>
      <w:bookmarkEnd w:id="24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Heading3"/>
        <w:spacing w:line="643" w:lineRule="auto"/>
        <w:ind w:right="8534"/>
        <w:jc w:val="left"/>
        <w:rPr>
          <w:b w:val="0"/>
          <w:bCs w:val="0"/>
        </w:rPr>
      </w:pPr>
      <w:bookmarkStart w:name="（2）应收股利" w:id="247"/>
      <w:bookmarkEnd w:id="247"/>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48"/>
      <w:bookmarkEnd w:id="248"/>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9"/>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重要的账龄超过1年的应收股利" w:id="249"/>
      <w:bookmarkEnd w:id="249"/>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坏账准备计提情况" w:id="250"/>
      <w:bookmarkEnd w:id="25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9"/>
        <w:rPr>
          <w:rFonts w:ascii="宋体" w:hAnsi="宋体" w:cs="宋体" w:eastAsia="宋体" w:hint="default"/>
          <w:sz w:val="25"/>
          <w:szCs w:val="25"/>
        </w:rPr>
      </w:pPr>
    </w:p>
    <w:p>
      <w:pPr>
        <w:pStyle w:val="Heading3"/>
        <w:spacing w:line="631" w:lineRule="auto"/>
        <w:ind w:right="7481"/>
        <w:jc w:val="left"/>
        <w:rPr>
          <w:b w:val="0"/>
          <w:bCs w:val="0"/>
        </w:rPr>
      </w:pPr>
      <w:bookmarkStart w:name="（3）其他应收款" w:id="251"/>
      <w:bookmarkEnd w:id="251"/>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52"/>
      <w:bookmarkEnd w:id="252"/>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101"/>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11,841,507.53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17,369,479.62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3,155,089.94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3,256,512.39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14,996,597.47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20,625,992.01</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坏账准备计提情况" w:id="253"/>
      <w:bookmarkEnd w:id="25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7"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307,777.75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649,885.33</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1,271,415.43</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2,229,078.51</w:t>
            </w:r>
          </w:p>
        </w:tc>
      </w:tr>
      <w:tr>
        <w:trPr>
          <w:trHeight w:val="158"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6" w:hRule="exact"/>
        </w:trPr>
        <w:tc>
          <w:tcPr>
            <w:tcW w:w="1922" w:type="dxa"/>
            <w:vMerge/>
            <w:tcBorders>
              <w:left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53"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28" w:right="0"/>
              <w:jc w:val="left"/>
              <w:rPr>
                <w:rFonts w:ascii="Times New Roman" w:hAnsi="Times New Roman" w:cs="Times New Roman" w:eastAsia="Times New Roman" w:hint="default"/>
                <w:sz w:val="18"/>
                <w:szCs w:val="18"/>
              </w:rPr>
            </w:pPr>
            <w:r>
              <w:rPr>
                <w:rFonts w:ascii="Times New Roman"/>
                <w:sz w:val="18"/>
              </w:rPr>
              <w:t>-130,541.72</w:t>
            </w:r>
          </w:p>
        </w:tc>
        <w:tc>
          <w:tcPr>
            <w:tcW w:w="21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86" w:right="0"/>
              <w:jc w:val="left"/>
              <w:rPr>
                <w:rFonts w:ascii="Times New Roman" w:hAnsi="Times New Roman" w:cs="Times New Roman" w:eastAsia="Times New Roman" w:hint="default"/>
                <w:sz w:val="18"/>
                <w:szCs w:val="18"/>
              </w:rPr>
            </w:pPr>
            <w:r>
              <w:rPr>
                <w:rFonts w:ascii="Times New Roman"/>
                <w:sz w:val="18"/>
              </w:rPr>
              <w:t>-227,538.84</w:t>
            </w:r>
          </w:p>
        </w:tc>
        <w:tc>
          <w:tcPr>
            <w:tcW w:w="21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774,549.84</w:t>
            </w:r>
          </w:p>
        </w:tc>
        <w:tc>
          <w:tcPr>
            <w:tcW w:w="18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61" w:right="0"/>
              <w:jc w:val="left"/>
              <w:rPr>
                <w:rFonts w:ascii="Times New Roman" w:hAnsi="Times New Roman" w:cs="Times New Roman" w:eastAsia="Times New Roman" w:hint="default"/>
                <w:sz w:val="18"/>
                <w:szCs w:val="18"/>
              </w:rPr>
            </w:pPr>
            <w:r>
              <w:rPr>
                <w:rFonts w:ascii="Times New Roman"/>
                <w:sz w:val="18"/>
              </w:rPr>
              <w:t>416,469.28</w:t>
            </w:r>
          </w:p>
        </w:tc>
      </w:tr>
      <w:tr>
        <w:trPr>
          <w:trHeight w:val="391"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vMerge/>
            <w:tcBorders>
              <w:left w:val="single" w:sz="12" w:space="0" w:color="D2D2D2"/>
              <w:right w:val="single" w:sz="6" w:space="0" w:color="000000"/>
            </w:tcBorders>
          </w:tcPr>
          <w:p>
            <w:pPr/>
          </w:p>
        </w:tc>
        <w:tc>
          <w:tcPr>
            <w:tcW w:w="2103" w:type="dxa"/>
            <w:vMerge/>
            <w:tcBorders>
              <w:left w:val="single" w:sz="6" w:space="0" w:color="000000"/>
              <w:right w:val="single" w:sz="6" w:space="0" w:color="000000"/>
            </w:tcBorders>
          </w:tcPr>
          <w:p>
            <w:pPr/>
          </w:p>
        </w:tc>
        <w:tc>
          <w:tcPr>
            <w:tcW w:w="2102" w:type="dxa"/>
            <w:vMerge/>
            <w:tcBorders>
              <w:left w:val="single" w:sz="6" w:space="0" w:color="000000"/>
              <w:right w:val="single" w:sz="6" w:space="0" w:color="000000"/>
            </w:tcBorders>
          </w:tcPr>
          <w:p>
            <w:pPr/>
          </w:p>
        </w:tc>
        <w:tc>
          <w:tcPr>
            <w:tcW w:w="1802" w:type="dxa"/>
            <w:vMerge/>
            <w:tcBorders>
              <w:left w:val="single" w:sz="6" w:space="0" w:color="000000"/>
              <w:right w:val="single" w:sz="6" w:space="0" w:color="000000"/>
            </w:tcBorders>
          </w:tcPr>
          <w:p>
            <w:pPr/>
          </w:p>
        </w:tc>
      </w:tr>
      <w:tr>
        <w:trPr>
          <w:trHeight w:val="36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12" w:space="0" w:color="D2D2D2"/>
              <w:bottom w:val="single" w:sz="6" w:space="0" w:color="000000"/>
              <w:right w:val="single" w:sz="6" w:space="0" w:color="000000"/>
            </w:tcBorders>
          </w:tcPr>
          <w:p>
            <w:pPr/>
          </w:p>
        </w:tc>
        <w:tc>
          <w:tcPr>
            <w:tcW w:w="2103" w:type="dxa"/>
            <w:vMerge/>
            <w:tcBorders>
              <w:left w:val="single" w:sz="6" w:space="0" w:color="000000"/>
              <w:bottom w:val="single" w:sz="6" w:space="0" w:color="000000"/>
              <w:right w:val="single" w:sz="6" w:space="0" w:color="000000"/>
            </w:tcBorders>
          </w:tcPr>
          <w:p>
            <w:pPr/>
          </w:p>
        </w:tc>
        <w:tc>
          <w:tcPr>
            <w:tcW w:w="2102" w:type="dxa"/>
            <w:vMerge/>
            <w:tcBorders>
              <w:left w:val="single" w:sz="6" w:space="0" w:color="000000"/>
              <w:bottom w:val="single" w:sz="6" w:space="0" w:color="000000"/>
              <w:right w:val="single" w:sz="6" w:space="0" w:color="000000"/>
            </w:tcBorders>
          </w:tcPr>
          <w:p>
            <w:pPr/>
          </w:p>
        </w:tc>
        <w:tc>
          <w:tcPr>
            <w:tcW w:w="1802" w:type="dxa"/>
            <w:vMerge/>
            <w:tcBorders>
              <w:left w:val="single" w:sz="6" w:space="0" w:color="000000"/>
              <w:bottom w:val="single" w:sz="6" w:space="0" w:color="000000"/>
              <w:right w:val="single" w:sz="6" w:space="0" w:color="000000"/>
            </w:tcBorders>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-1,036.23</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-1,036.23</w:t>
            </w:r>
            <w:r>
              <w:rPr>
                <w:rFonts w:ascii="Times New Roman"/>
                <w:sz w:val="18"/>
              </w:rPr>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176,199.80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422,346.49</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2,045,965.27</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2,644,511.56</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损失准备本期变动金额重大的账面余额变动情况</w:t>
      </w:r>
    </w:p>
    <w:p>
      <w:pPr>
        <w:spacing w:line="240" w:lineRule="auto" w:before="11"/>
        <w:rPr>
          <w:rFonts w:ascii="宋体" w:hAnsi="宋体" w:cs="宋体" w:eastAsia="宋体" w:hint="default"/>
          <w:sz w:val="19"/>
          <w:szCs w:val="19"/>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86"/>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5,873,326.45</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4,223,464.97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1,783,827.08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3,115,978.97</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2,440,975.73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412,582.54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262,420.70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14,996,597.47</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本期计提、收回或转回的坏账准备情况" w:id="254"/>
      <w:bookmarkEnd w:id="25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本期计提坏账准备情况：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336"/>
        <w:gridCol w:w="1337"/>
        <w:gridCol w:w="1322"/>
        <w:gridCol w:w="1336"/>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9"/>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2,229,078.51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416,469.28</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-1,036.23</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2,644,511.56</w:t>
            </w: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2,229,078.51</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416,469.28</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-1,036.23</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2,644,511.56</w:t>
            </w:r>
          </w:p>
        </w:tc>
      </w:tr>
    </w:tbl>
    <w:p>
      <w:pPr>
        <w:pStyle w:val="BodyText"/>
        <w:spacing w:line="240" w:lineRule="auto" w:before="60"/>
        <w:ind w:right="0"/>
        <w:jc w:val="left"/>
      </w:pPr>
      <w:r>
        <w:rPr/>
        <w:t>本期计提其他应收款坏账准备</w:t>
      </w:r>
      <w:r>
        <w:rPr>
          <w:spacing w:val="-73"/>
        </w:rPr>
        <w:t> </w:t>
      </w:r>
      <w:r>
        <w:rPr>
          <w:rFonts w:ascii="Times New Roman" w:hAnsi="Times New Roman" w:cs="Times New Roman" w:eastAsia="Times New Roman" w:hint="default"/>
        </w:rPr>
        <w:t>416,469.28</w:t>
      </w:r>
      <w:r>
        <w:rPr>
          <w:rFonts w:ascii="Times New Roman" w:hAnsi="Times New Roman" w:cs="Times New Roman" w:eastAsia="Times New Roman" w:hint="default"/>
          <w:spacing w:val="-30"/>
        </w:rPr>
        <w:t> </w:t>
      </w:r>
      <w:r>
        <w:rPr/>
        <w:t>元，因湖北浩威保安服务有限公司（原名：武汉浩立威保安服务有限公司）不再纳</w:t>
      </w:r>
    </w:p>
    <w:p>
      <w:pPr>
        <w:pStyle w:val="BodyText"/>
        <w:spacing w:line="333" w:lineRule="auto" w:before="51"/>
        <w:ind w:right="6606"/>
        <w:jc w:val="left"/>
      </w:pPr>
      <w:r>
        <w:rPr/>
        <w:t>入合并范围，减少其他应收款坏账准备</w:t>
      </w:r>
      <w:r>
        <w:rPr>
          <w:spacing w:val="-42"/>
        </w:rPr>
        <w:t> </w:t>
      </w:r>
      <w:r>
        <w:rPr>
          <w:rFonts w:ascii="Times New Roman" w:hAnsi="Times New Roman" w:cs="Times New Roman" w:eastAsia="Times New Roman" w:hint="default"/>
        </w:rPr>
        <w:t>1,036.23 </w:t>
      </w:r>
      <w:r>
        <w:rPr/>
        <w:t>元。 其中本期坏账准备转回或收回金额重要的：</w:t>
      </w:r>
    </w:p>
    <w:p>
      <w:pPr>
        <w:pStyle w:val="BodyText"/>
        <w:spacing w:line="240" w:lineRule="auto" w:before="11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本期实际核销的其他应收款情况" w:id="255"/>
      <w:bookmarkEnd w:id="25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其中重要的其他应收款核销情况：</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其他应收款核销说明：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按欠款方归集的期末余额前五名的其他应收款情况" w:id="256"/>
      <w:bookmarkEnd w:id="25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3,483,639.74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23.23%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499,349.40</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4.67%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350,000.00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640,000.00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19,200.00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483,627.61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3.22%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191,826.96</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435,912.00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2.91%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13,077.36</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5,743,179.35</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38.30%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1,073,453.72</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6）涉及政府补助的应收款项" w:id="257"/>
      <w:bookmarkEnd w:id="25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7）因金融资产转移而终止确认的其他应收款" w:id="258"/>
      <w:bookmarkEnd w:id="25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8）转移其他应收款且继续涉入形成的资产、负债金额" w:id="259"/>
      <w:bookmarkEnd w:id="25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9、存货" w:id="260"/>
      <w:bookmarkEnd w:id="260"/>
      <w:r>
        <w:rPr>
          <w:b w:val="0"/>
          <w:bCs w:val="0"/>
        </w:rPr>
      </w:r>
      <w:r>
        <w:rPr>
          <w:rFonts w:ascii="Times New Roman" w:hAnsi="Times New Roman" w:cs="Times New Roman" w:eastAsia="Times New Roman" w:hint="default"/>
        </w:rPr>
        <w:t>9</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141,286,230.74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7,036,312.78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134,249,917.96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107,574,461.46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5,266,468.93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102,307,992.53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1,616,578.10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1,616,578.10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1,031,680.41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1,031,680.41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14,366,391.84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14,366,391.84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21,291,889.51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21,291,889.51</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15,215,348.04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15,215,348.04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11,282,630.31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11,282,630.31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31,968,196.55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31,968,196.55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15,428,687.73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15,428,687.73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204,452,745.27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7,036,312.78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197,416,432.49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156,609,349.42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5,266,468.93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151,342,880.49</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213" w:type="dxa"/>
        <w:tblLayout w:type="fixed"/>
        <w:tblCellMar>
          <w:top w:w="0" w:type="dxa"/>
          <w:left w:w="0" w:type="dxa"/>
          <w:bottom w:w="0" w:type="dxa"/>
          <w:right w:w="0" w:type="dxa"/>
        </w:tblCellMar>
        <w:tblLook w:val="01E0"/>
      </w:tblPr>
      <w:tblGrid>
        <w:gridCol w:w="1359"/>
        <w:gridCol w:w="1367"/>
        <w:gridCol w:w="1382"/>
        <w:gridCol w:w="1367"/>
        <w:gridCol w:w="1366"/>
        <w:gridCol w:w="1367"/>
        <w:gridCol w:w="1367"/>
      </w:tblGrid>
      <w:tr>
        <w:trPr>
          <w:trHeight w:val="203" w:hRule="exact"/>
        </w:trPr>
        <w:tc>
          <w:tcPr>
            <w:tcW w:w="13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59"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17"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5,266,468.93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2,812,587.34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1,042,743.49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7,036,312.78</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5,266,468.93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2,812,587.34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1,042,743.49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7,036,312.78</w:t>
            </w:r>
          </w:p>
        </w:tc>
      </w:tr>
    </w:tbl>
    <w:p>
      <w:pPr>
        <w:spacing w:line="240" w:lineRule="auto" w:before="10"/>
        <w:rPr>
          <w:rFonts w:ascii="宋体" w:hAnsi="宋体" w:cs="宋体" w:eastAsia="宋体" w:hint="default"/>
          <w:sz w:val="5"/>
          <w:szCs w:val="5"/>
        </w:rPr>
      </w:pPr>
    </w:p>
    <w:p>
      <w:pPr>
        <w:pStyle w:val="BodyText"/>
        <w:spacing w:line="240" w:lineRule="auto" w:before="44"/>
        <w:ind w:left="581" w:right="1108"/>
        <w:jc w:val="left"/>
      </w:pPr>
      <w:r>
        <w:rPr/>
        <w:t>确定可变现净值的具体依据、本期转回或转销存货跌价准备的原因</w:t>
      </w:r>
    </w:p>
    <w:p>
      <w:pPr>
        <w:spacing w:line="240" w:lineRule="auto" w:before="2"/>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17"/>
        <w:gridCol w:w="3845"/>
        <w:gridCol w:w="4505"/>
      </w:tblGrid>
      <w:tr>
        <w:trPr>
          <w:trHeight w:val="540"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48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840" w:right="0"/>
              <w:jc w:val="left"/>
              <w:rPr>
                <w:rFonts w:ascii="宋体" w:hAnsi="宋体" w:cs="宋体" w:eastAsia="宋体" w:hint="default"/>
                <w:sz w:val="18"/>
                <w:szCs w:val="18"/>
              </w:rPr>
            </w:pPr>
            <w:r>
              <w:rPr>
                <w:rFonts w:ascii="宋体" w:hAnsi="宋体" w:cs="宋体" w:eastAsia="宋体" w:hint="default"/>
                <w:sz w:val="18"/>
                <w:szCs w:val="18"/>
              </w:rPr>
              <w:t>确定可变现净值的具体依据</w:t>
            </w:r>
          </w:p>
        </w:tc>
        <w:tc>
          <w:tcPr>
            <w:tcW w:w="45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1066" w:right="0"/>
              <w:jc w:val="left"/>
              <w:rPr>
                <w:rFonts w:ascii="宋体" w:hAnsi="宋体" w:cs="宋体" w:eastAsia="宋体" w:hint="default"/>
                <w:sz w:val="18"/>
                <w:szCs w:val="18"/>
              </w:rPr>
            </w:pPr>
            <w:r>
              <w:rPr>
                <w:rFonts w:ascii="宋体" w:hAnsi="宋体" w:cs="宋体" w:eastAsia="宋体" w:hint="default"/>
                <w:sz w:val="18"/>
                <w:szCs w:val="18"/>
              </w:rPr>
              <w:t>本期转销存货跌价准备的原因</w:t>
            </w:r>
          </w:p>
        </w:tc>
      </w:tr>
      <w:tr>
        <w:trPr>
          <w:trHeight w:val="1562" w:hRule="exact"/>
        </w:trPr>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21" w:lineRule="auto"/>
              <w:ind w:left="105" w:right="107"/>
              <w:jc w:val="both"/>
              <w:rPr>
                <w:rFonts w:ascii="宋体" w:hAnsi="宋体" w:cs="宋体" w:eastAsia="宋体" w:hint="default"/>
                <w:sz w:val="18"/>
                <w:szCs w:val="18"/>
              </w:rPr>
            </w:pPr>
            <w:r>
              <w:rPr>
                <w:rFonts w:ascii="宋体" w:hAnsi="宋体" w:cs="宋体" w:eastAsia="宋体" w:hint="default"/>
                <w:sz w:val="18"/>
                <w:szCs w:val="18"/>
              </w:rPr>
              <w:t>相关产成品估计售价减去至完工估计将要发生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的成本、估计的销售费用以及相关税费后的金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额确定可变现净值</w:t>
            </w:r>
          </w:p>
        </w:tc>
        <w:tc>
          <w:tcPr>
            <w:tcW w:w="4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z w:val="18"/>
                <w:szCs w:val="18"/>
              </w:rPr>
              <w:t>本期已将期初计提存货跌价准备的存货耗用</w:t>
            </w:r>
            <w:r>
              <w:rPr>
                <w:rFonts w:ascii="宋体" w:hAnsi="宋体" w:cs="宋体" w:eastAsia="宋体" w:hint="default"/>
                <w:sz w:val="18"/>
                <w:szCs w:val="18"/>
              </w:rPr>
              <w:t>/</w:t>
            </w:r>
            <w:r>
              <w:rPr>
                <w:rFonts w:ascii="宋体" w:hAnsi="宋体" w:cs="宋体" w:eastAsia="宋体" w:hint="default"/>
                <w:sz w:val="18"/>
                <w:szCs w:val="18"/>
              </w:rPr>
              <w:t>售出</w:t>
            </w:r>
          </w:p>
        </w:tc>
      </w:tr>
    </w:tbl>
    <w:p>
      <w:pPr>
        <w:spacing w:line="240" w:lineRule="auto" w:before="8"/>
        <w:rPr>
          <w:rFonts w:ascii="宋体" w:hAnsi="宋体" w:cs="宋体" w:eastAsia="宋体" w:hint="default"/>
          <w:sz w:val="25"/>
          <w:szCs w:val="25"/>
        </w:rPr>
      </w:pPr>
    </w:p>
    <w:p>
      <w:pPr>
        <w:pStyle w:val="Heading3"/>
        <w:spacing w:line="240" w:lineRule="auto" w:before="35"/>
        <w:ind w:left="221" w:right="1108"/>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left="221" w:right="1108"/>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left="221" w:right="1108"/>
        <w:jc w:val="left"/>
        <w:rPr>
          <w:b w:val="0"/>
          <w:bCs w:val="0"/>
        </w:rPr>
      </w:pPr>
      <w:bookmarkStart w:name="10、合同资产" w:id="265"/>
      <w:bookmarkEnd w:id="26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t>合同资产的账面价值在本期内发生的重大变动金额和原因：</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206" w:type="dxa"/>
        <w:tblLayout w:type="fixed"/>
        <w:tblCellMar>
          <w:top w:w="0" w:type="dxa"/>
          <w:left w:w="0" w:type="dxa"/>
          <w:bottom w:w="0" w:type="dxa"/>
          <w:right w:w="0" w:type="dxa"/>
        </w:tblCellMar>
        <w:tblLook w:val="01E0"/>
      </w:tblPr>
      <w:tblGrid>
        <w:gridCol w:w="2207"/>
        <w:gridCol w:w="2418"/>
        <w:gridCol w:w="4956"/>
      </w:tblGrid>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t>如是按照预期信用损失一般模型计提合同资产坏账准备，请参照其他应收款的披露方式披露坏账准备的相关信息：</w:t>
      </w:r>
    </w:p>
    <w:p>
      <w:pPr>
        <w:spacing w:line="240" w:lineRule="auto" w:before="11"/>
        <w:rPr>
          <w:rFonts w:ascii="宋体" w:hAnsi="宋体" w:cs="宋体" w:eastAsia="宋体" w:hint="default"/>
          <w:sz w:val="19"/>
          <w:szCs w:val="19"/>
        </w:rPr>
      </w:pPr>
    </w:p>
    <w:p>
      <w:pPr>
        <w:pStyle w:val="BodyText"/>
        <w:spacing w:line="491" w:lineRule="auto"/>
        <w:ind w:left="221"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本期合同资产计提减值准备情况</w:t>
      </w:r>
    </w:p>
    <w:p>
      <w:pPr>
        <w:pStyle w:val="BodyText"/>
        <w:spacing w:line="240" w:lineRule="auto" w:before="86"/>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50"/>
          <w:pgMar w:header="776" w:footer="1026" w:top="1100" w:bottom="1220" w:left="92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1、持有待售资产" w:id="266"/>
      <w:bookmarkEnd w:id="26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重要的债权投资</w:t>
      </w:r>
      <w:r>
        <w:rPr>
          <w:rFonts w:ascii="Times New Roman" w:hAnsi="Times New Roman" w:cs="Times New Roman" w:eastAsia="Times New Roman" w:hint="default"/>
        </w:rPr>
        <w:t>/</w:t>
      </w:r>
      <w:r>
        <w:rPr/>
        <w:t>其他债权投资</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1,872,394.57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1,737,966.62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1,292,385.33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2,299,775.35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648,112.01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3,812,891.91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4,037,741.97</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21"/>
          <w:szCs w:val="21"/>
        </w:rPr>
      </w:pPr>
    </w:p>
    <w:p>
      <w:pPr>
        <w:pStyle w:val="BodyText"/>
        <w:spacing w:line="520" w:lineRule="auto"/>
        <w:ind w:right="1339"/>
        <w:jc w:val="left"/>
      </w:pPr>
      <w:r>
        <w:rPr>
          <w:rFonts w:ascii="宋体" w:hAnsi="宋体" w:cs="宋体" w:eastAsia="宋体" w:hint="default"/>
        </w:rPr>
        <w:t>[</w:t>
      </w:r>
      <w:r>
        <w:rPr/>
        <w:t>注</w:t>
      </w:r>
      <w:r>
        <w:rPr>
          <w:rFonts w:ascii="宋体" w:hAnsi="宋体" w:cs="宋体" w:eastAsia="宋体" w:hint="default"/>
        </w:rPr>
        <w:t>]</w:t>
      </w:r>
      <w:r>
        <w:rPr/>
        <w:t>：期初余额与上年期末余额（</w:t>
      </w:r>
      <w:r>
        <w:rPr>
          <w:rFonts w:ascii="宋体" w:hAnsi="宋体" w:cs="宋体" w:eastAsia="宋体" w:hint="default"/>
        </w:rPr>
        <w:t>2018</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日）差异详见财务报表附注五、</w:t>
      </w:r>
      <w:r>
        <w:rPr>
          <w:rFonts w:ascii="宋体" w:hAnsi="宋体" w:cs="宋体" w:eastAsia="宋体" w:hint="default"/>
        </w:rPr>
        <w:t>44</w:t>
      </w:r>
      <w:r>
        <w:rPr/>
        <w:t>、重要会计政策和会计估计变更之 说明。</w:t>
      </w:r>
    </w:p>
    <w:p>
      <w:pPr>
        <w:spacing w:after="0" w:line="52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14、债权投资" w:id="269"/>
      <w:bookmarkEnd w:id="26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重要的债权投资</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减值准备计提情况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损失准备本期变动金额重大的账面余额变动情况</w:t>
      </w:r>
    </w:p>
    <w:p>
      <w:pPr>
        <w:spacing w:line="240" w:lineRule="auto" w:before="0"/>
        <w:rPr>
          <w:rFonts w:ascii="宋体" w:hAnsi="宋体" w:cs="宋体" w:eastAsia="宋体" w:hint="default"/>
          <w:sz w:val="21"/>
          <w:szCs w:val="21"/>
        </w:rPr>
      </w:pPr>
    </w:p>
    <w:p>
      <w:pPr>
        <w:pStyle w:val="BodyText"/>
        <w:spacing w:line="477"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15、其他债权投资" w:id="270"/>
      <w:bookmarkEnd w:id="27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重要的其他债权投资</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减值准备计提情况</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损失准备本期变动金额重大的账面余额变动情况</w:t>
      </w:r>
    </w:p>
    <w:p>
      <w:pPr>
        <w:spacing w:line="240" w:lineRule="auto" w:before="11"/>
        <w:rPr>
          <w:rFonts w:ascii="宋体" w:hAnsi="宋体" w:cs="宋体" w:eastAsia="宋体" w:hint="default"/>
          <w:sz w:val="19"/>
          <w:szCs w:val="19"/>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6、长期应收款" w:id="271"/>
      <w:bookmarkEnd w:id="27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5"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坏账准备减值情况</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损失准备本期变动金额重大的账面余额变动情况</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17、长期股权投资" w:id="275"/>
      <w:bookmarkEnd w:id="27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18、其他权益工具投资" w:id="276"/>
      <w:bookmarkEnd w:id="276"/>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分项披露本期非交易性权益工具投资</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9、其他非流动金融资产" w:id="277"/>
      <w:bookmarkEnd w:id="27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2"/>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 期损益的金融资产</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26,570,000.00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26,570,000.00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18,000,000.00</w:t>
            </w:r>
          </w:p>
        </w:tc>
      </w:tr>
    </w:tbl>
    <w:p>
      <w:pPr>
        <w:pStyle w:val="BodyText"/>
        <w:spacing w:line="475" w:lineRule="auto" w:before="90"/>
        <w:ind w:right="1569"/>
        <w:jc w:val="left"/>
      </w:pPr>
      <w:r>
        <w:rPr/>
        <w:t>其他说明： </w:t>
      </w:r>
      <w:r>
        <w:rPr>
          <w:rFonts w:ascii="宋体" w:hAnsi="宋体" w:cs="宋体" w:eastAsia="宋体" w:hint="default"/>
        </w:rPr>
        <w:t>[</w:t>
      </w:r>
      <w:r>
        <w:rPr/>
        <w:t>注</w:t>
      </w:r>
      <w:r>
        <w:rPr>
          <w:rFonts w:ascii="宋体" w:hAnsi="宋体" w:cs="宋体" w:eastAsia="宋体" w:hint="default"/>
        </w:rPr>
        <w:t>]</w:t>
      </w:r>
      <w:r>
        <w:rPr/>
        <w:t>：期初余额与上年期末余额（</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日）差异详见财务报表附注五、</w:t>
      </w:r>
      <w:r>
        <w:rPr>
          <w:rFonts w:ascii="宋体" w:hAnsi="宋体" w:cs="宋体" w:eastAsia="宋体" w:hint="default"/>
        </w:rPr>
        <w:t>44</w:t>
      </w:r>
      <w:r>
        <w:rPr/>
        <w:t>、重要会计政策和会计估计变更之</w:t>
      </w:r>
      <w:r>
        <w:rPr>
          <w:spacing w:val="-85"/>
        </w:rPr>
        <w:t> </w:t>
      </w:r>
      <w:r>
        <w:rPr/>
        <w:t>说明。</w:t>
      </w:r>
    </w:p>
    <w:p>
      <w:pPr>
        <w:spacing w:after="0" w:line="475"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t>该权益工具投资为非上市股权投资，不具有活跃市场报价，以成本价确定其公允价值。</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0、投资性房地产" w:id="278"/>
      <w:bookmarkEnd w:id="27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采用成本计量模式的投资性房地产" w:id="279"/>
      <w:bookmarkEnd w:id="27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15"/>
          <w:szCs w:val="15"/>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88,016,165.92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88,016,165.92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2,223,908.86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2,223,908.86</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2,223,908.86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2,223,908.86</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90,240,074.78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90,240,074.78</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12,795,258.28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12,795,258.28</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3,585,357.14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3,585,357.14</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3,351,338.87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3,351,338.87</w:t>
            </w: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）固定资产转</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234,018.27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234,018.27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16,380,615.42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16,380,615.42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73,859,459.36</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73,859,459.36</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75,220,907.64</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75,220,907.64</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采用公允价值计量模式的投资性房地产" w:id="280"/>
      <w:bookmarkEnd w:id="28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未办妥产权证书的投资性房地产情况" w:id="281"/>
      <w:bookmarkEnd w:id="28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天安总部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号楼地下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个车位</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595,483.24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车位无法办理产权证</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595,483.24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1、固定资产" w:id="282"/>
      <w:bookmarkEnd w:id="28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236,548,483.23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257,252,488.54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236,548,483.23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257,252,488.54</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1）固定资产情况" w:id="283"/>
      <w:bookmarkEnd w:id="28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157" w:hRule="exact"/>
        </w:trPr>
        <w:tc>
          <w:tcPr>
            <w:tcW w:w="1352" w:type="dxa"/>
            <w:tcBorders>
              <w:top w:val="single" w:sz="6" w:space="0" w:color="000000"/>
              <w:left w:val="single" w:sz="6" w:space="0" w:color="000000"/>
              <w:bottom w:val="nil" w:sz="6" w:space="0" w:color="auto"/>
              <w:right w:val="single" w:sz="6" w:space="0" w:color="000000"/>
            </w:tcBorders>
            <w:shd w:val="clear" w:color="auto" w:fill="D2D2D2"/>
          </w:tcPr>
          <w:p>
            <w:pP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95" w:right="61" w:hanging="451"/>
              <w:jc w:val="left"/>
              <w:rPr>
                <w:rFonts w:ascii="宋体" w:hAnsi="宋体" w:cs="宋体" w:eastAsia="宋体" w:hint="default"/>
                <w:sz w:val="18"/>
                <w:szCs w:val="18"/>
              </w:rPr>
            </w:pPr>
            <w:r>
              <w:rPr>
                <w:rFonts w:ascii="宋体" w:hAnsi="宋体" w:cs="宋体" w:eastAsia="宋体" w:hint="default"/>
                <w:sz w:val="18"/>
                <w:szCs w:val="18"/>
              </w:rPr>
              <w:t>研发及生产检测 设备</w:t>
            </w:r>
          </w:p>
        </w:tc>
        <w:tc>
          <w:tcPr>
            <w:tcW w:w="13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35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施工设备</w:t>
            </w:r>
          </w:p>
        </w:tc>
        <w:tc>
          <w:tcPr>
            <w:tcW w:w="1382" w:type="dxa"/>
            <w:vMerge/>
            <w:tcBorders>
              <w:left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2"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206,113,033.91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1,595,037.31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84,478,249.61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28,495,689.44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13,930,646.80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334,612,657.07</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65,181.99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9,851,006.17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1,581,579.82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193,590.46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11,691,358.44</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65,181.99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9,767,734.28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1,581,579.82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193,590.46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11,608,086.55</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w:t>
            </w:r>
            <w:r>
              <w:rPr>
                <w:rFonts w:ascii="宋体" w:hAnsi="宋体" w:cs="宋体" w:eastAsia="宋体" w:hint="default"/>
                <w:sz w:val="18"/>
                <w:szCs w:val="18"/>
              </w:rPr>
              <w:t> 程转入</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83,271.89</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83,271.89</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w:t>
            </w:r>
            <w:r>
              <w:rPr>
                <w:rFonts w:ascii="宋体" w:hAnsi="宋体" w:cs="宋体" w:eastAsia="宋体" w:hint="default"/>
                <w:sz w:val="18"/>
                <w:szCs w:val="18"/>
              </w:rPr>
              <w:t> 并增加</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2,223,908.86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206,564.10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1,512,873.83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1,339,899.61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22,886.32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5,306,132.72</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206,564.10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2,136.75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1,035,991.91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4,786.32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1,249,479.08</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66"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入投资性房地产</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2,223,908.86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2,223,908.86</w:t>
            </w:r>
          </w:p>
        </w:tc>
      </w:tr>
      <w:tr>
        <w:trPr>
          <w:trHeight w:val="103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22" w:firstLine="540"/>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）子公</w:t>
            </w:r>
            <w:r>
              <w:rPr>
                <w:rFonts w:ascii="宋体" w:hAnsi="宋体" w:cs="宋体" w:eastAsia="宋体" w:hint="default"/>
                <w:sz w:val="18"/>
                <w:szCs w:val="18"/>
              </w:rPr>
              <w:t> 司处置导致固定 资产转出</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303,907.70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18,100.00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322,007.70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）其他</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1,510,737.08</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1,510,737.08</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203,889,125.05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1,453,655.20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92,816,381.95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28,737,369.65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14,101,350.94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340,997,882.79</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14,738,068.84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878,882.86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33,823,645.39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19,604,833.24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8,314,738.20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77,360,168.53</w:t>
            </w: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6,723,659.77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259,912.86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17,035,037.09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3,001,420.20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1,821,204.83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28,841,234.75</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6,723,659.77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259,912.86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17,035,037.09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3,001,420.20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1,821,204.83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28,841,234.75</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234,018.27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168,636.75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341,165.63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1,004,507.74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3,675.33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1,752,003.72</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168,636.75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1,894.56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927,517.66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3,675.33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1,101,724.30</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22"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）转入</w:t>
            </w:r>
            <w:r>
              <w:rPr>
                <w:rFonts w:ascii="宋体" w:hAnsi="宋体" w:cs="宋体" w:eastAsia="宋体" w:hint="default"/>
                <w:sz w:val="18"/>
                <w:szCs w:val="18"/>
              </w:rPr>
              <w:t> 投资性房地产</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234,018.27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234,018.27</w:t>
            </w:r>
          </w:p>
        </w:tc>
      </w:tr>
      <w:tr>
        <w:trPr>
          <w:trHeight w:val="10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66" w:firstLine="63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）子 公司处置导致固 定资产转出</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76,990.08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76,990.08</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4</w:t>
            </w:r>
            <w:r>
              <w:rPr>
                <w:rFonts w:ascii="宋体" w:hAnsi="宋体" w:cs="宋体" w:eastAsia="宋体" w:hint="default"/>
                <w:spacing w:val="-23"/>
                <w:sz w:val="18"/>
                <w:szCs w:val="18"/>
              </w:rPr>
              <w:t>）其</w:t>
            </w:r>
            <w:r>
              <w:rPr>
                <w:rFonts w:ascii="宋体" w:hAnsi="宋体" w:cs="宋体" w:eastAsia="宋体" w:hint="default"/>
                <w:sz w:val="18"/>
                <w:szCs w:val="18"/>
              </w:rPr>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339,271.07</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339,271.07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21,227,710.34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970,158.97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50,517,516.85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21,601,745.70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10,132,267.70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104,449,399.56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182,661,414.71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483,496.23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42,298,865.10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7,135,623.95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3,969,083.24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236,548,483.23</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191,374,965.07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716,154.45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50,654,604.22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8,890,856.20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5,615,908.60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257,252,488.54</w:t>
            </w:r>
          </w:p>
        </w:tc>
      </w:tr>
    </w:tbl>
    <w:p>
      <w:pPr>
        <w:spacing w:line="240" w:lineRule="auto" w:before="1"/>
        <w:rPr>
          <w:rFonts w:ascii="Times New Roman" w:hAnsi="Times New Roman" w:cs="Times New Roman" w:eastAsia="Times New Roman" w:hint="default"/>
          <w:sz w:val="29"/>
          <w:szCs w:val="29"/>
        </w:rPr>
      </w:pPr>
    </w:p>
    <w:p>
      <w:pPr>
        <w:pStyle w:val="Heading3"/>
        <w:spacing w:line="240" w:lineRule="auto" w:before="35"/>
        <w:ind w:right="0"/>
        <w:jc w:val="left"/>
        <w:rPr>
          <w:b w:val="0"/>
          <w:bCs w:val="0"/>
        </w:rPr>
      </w:pPr>
      <w:bookmarkStart w:name="（2）暂时闲置的固定资产情况" w:id="284"/>
      <w:bookmarkEnd w:id="28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通过融资租赁租入的固定资产情况" w:id="285"/>
      <w:bookmarkEnd w:id="28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通过经营租赁租出的固定资产" w:id="286"/>
      <w:bookmarkEnd w:id="28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5）未办妥产权证书的固定资产情况" w:id="287"/>
      <w:bookmarkEnd w:id="28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6）固定资产清理" w:id="288"/>
      <w:bookmarkEnd w:id="28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2、在建工程" w:id="289"/>
      <w:bookmarkEnd w:id="289"/>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83,271.89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1,091,987.07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1,153,582.81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1,091,987.07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1,236,854.70</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1）在建工程情况" w:id="290"/>
      <w:bookmarkEnd w:id="29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w:t>
            </w:r>
            <w:r>
              <w:rPr>
                <w:rFonts w:ascii="宋体" w:hAnsi="宋体" w:cs="宋体" w:eastAsia="宋体" w:hint="default"/>
                <w:spacing w:val="-88"/>
                <w:sz w:val="18"/>
                <w:szCs w:val="18"/>
              </w:rPr>
              <w:t> </w:t>
            </w:r>
            <w:r>
              <w:rPr>
                <w:rFonts w:ascii="宋体" w:hAnsi="宋体" w:cs="宋体" w:eastAsia="宋体" w:hint="default"/>
                <w:sz w:val="18"/>
                <w:szCs w:val="18"/>
              </w:rPr>
              <w:t>平台</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9,339.19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9,339.19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悦来清溪口项目</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73,932.70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73,932.70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83,271.89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83,271.89</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重要在建工程项目本期变动情况" w:id="291"/>
      <w:bookmarkEnd w:id="29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智慧天 网</w:t>
            </w:r>
            <w:r>
              <w:rPr>
                <w:rFonts w:ascii="Times New Roman" w:hAnsi="Times New Roman" w:cs="Times New Roman" w:eastAsia="Times New Roman" w:hint="default"/>
                <w:sz w:val="18"/>
                <w:szCs w:val="18"/>
              </w:rPr>
              <w:t>"</w:t>
            </w:r>
            <w:r>
              <w:rPr>
                <w:rFonts w:ascii="宋体" w:hAnsi="宋体" w:cs="宋体" w:eastAsia="宋体" w:hint="default"/>
                <w:sz w:val="18"/>
                <w:szCs w:val="18"/>
              </w:rPr>
              <w:t>监控 平台</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71,579,4</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95.46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9,339.19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9,339.19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99.01%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63"/>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悦来清 溪口项 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73,932.7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73,932.7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98.58%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63"/>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71,654,4</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95.46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83,271.8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83,271.8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本期计提在建工程减值准备情况" w:id="292"/>
      <w:bookmarkEnd w:id="29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工程物资" w:id="293"/>
      <w:bookmarkEnd w:id="29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1"/>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1,091,987.07</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1,091,987.07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1,153,582.81</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1,153,582.81</w:t>
            </w: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1,091,987.07</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1,091,987.07</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1,153,582.81</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1,153,582.81</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3、生产性生物资产" w:id="294"/>
      <w:bookmarkEnd w:id="29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采用成本计量模式的生产性生物资产" w:id="295"/>
      <w:bookmarkEnd w:id="29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采用公允价值计量模式的生产性生物资产" w:id="296"/>
      <w:bookmarkEnd w:id="29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4、油气资产" w:id="297"/>
      <w:bookmarkEnd w:id="29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5、使用权资产" w:id="298"/>
      <w:bookmarkEnd w:id="298"/>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6、无形资产" w:id="299"/>
      <w:bookmarkEnd w:id="299"/>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无形资产情况" w:id="300"/>
      <w:bookmarkEnd w:id="30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34,326,774.60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34,326,774.60</w:t>
            </w: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15,272,778.57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15,272,778.57</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15,272,778.57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15,272,778.57</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49,599,553.17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49,599,553.17</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8,346,544.96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8,346,544.96</w:t>
            </w: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6,932,133.87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6,932,133.87</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6,932,133.87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6,932,133.87</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15,278,678.83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15,278,678.83</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34,320,874.34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34,320,874.34</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25,980,229.64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25,980,229.64</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未办妥产权证书的土地使用权情况" w:id="301"/>
      <w:bookmarkEnd w:id="30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7、开发支出" w:id="302"/>
      <w:bookmarkEnd w:id="30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90" w:hRule="exact"/>
        </w:trPr>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3" w:hRule="exact"/>
        </w:trPr>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2"/>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0"/>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0"/>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0"/>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6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95" w:hRule="exact"/>
        </w:trPr>
        <w:tc>
          <w:tcPr>
            <w:tcW w:w="1066"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软件定义物 联网应用平 台</w:t>
            </w:r>
          </w:p>
        </w:tc>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5,530,382.01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15,830,939.2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21,361,321.3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3"/>
              <w:jc w:val="left"/>
              <w:rPr>
                <w:rFonts w:ascii="宋体" w:hAnsi="宋体" w:cs="宋体" w:eastAsia="宋体" w:hint="default"/>
                <w:sz w:val="18"/>
                <w:szCs w:val="18"/>
              </w:rPr>
            </w:pPr>
            <w:r>
              <w:rPr>
                <w:rFonts w:ascii="宋体" w:hAnsi="宋体" w:cs="宋体" w:eastAsia="宋体" w:hint="default"/>
                <w:sz w:val="18"/>
                <w:szCs w:val="18"/>
              </w:rPr>
              <w:t>物联网智慧 管理平台</w:t>
            </w:r>
          </w:p>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IOTMP)</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4,226,909.52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4,226,909.52</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IOTMP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移动</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端</w:t>
            </w:r>
          </w:p>
        </w:tc>
        <w:tc>
          <w:tcPr>
            <w:tcW w:w="1066"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2,735,649.99</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2,735,649.99</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5,530,382.01</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22,793,498.8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28,323,880.8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477" w:lineRule="auto" w:before="89"/>
        <w:ind w:right="996"/>
        <w:jc w:val="left"/>
      </w:pPr>
      <w:r>
        <w:rPr/>
        <w:t>其他说明 </w:t>
      </w:r>
      <w:r>
        <w:rPr>
          <w:rFonts w:ascii="宋体" w:hAnsi="宋体" w:cs="宋体" w:eastAsia="宋体" w:hint="default"/>
          <w:spacing w:val="-2"/>
        </w:rPr>
        <w:t>1</w:t>
      </w:r>
      <w:r>
        <w:rPr>
          <w:spacing w:val="-2"/>
        </w:rPr>
        <w:t>、软件定义物联网应用平台项目</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月进入开发阶段，开始资本化，截至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日，已完成软件架构的设计、软</w:t>
      </w:r>
      <w:r>
        <w:rPr>
          <w:spacing w:val="-38"/>
        </w:rPr>
        <w:t> </w:t>
      </w:r>
      <w:r>
        <w:rPr>
          <w:spacing w:val="-38"/>
        </w:rPr>
      </w:r>
      <w:r>
        <w:rPr/>
        <w:t>件详细的设计、开发框架搭建、需求细化及原型制作、关键技术问题攻关、软件的编码开发等工作。 </w:t>
      </w:r>
      <w:r>
        <w:rPr>
          <w:rFonts w:ascii="宋体" w:hAnsi="宋体" w:cs="宋体" w:eastAsia="宋体" w:hint="default"/>
        </w:rPr>
        <w:t>2</w:t>
      </w:r>
      <w:r>
        <w:rPr/>
        <w:t>、物联网智慧管理平台</w:t>
      </w:r>
      <w:r>
        <w:rPr>
          <w:rFonts w:ascii="宋体" w:hAnsi="宋体" w:cs="宋体" w:eastAsia="宋体" w:hint="default"/>
        </w:rPr>
        <w:t>(IOTMP)</w:t>
      </w:r>
      <w:r>
        <w:rPr/>
        <w:t>项目</w:t>
      </w:r>
      <w:r>
        <w:rPr>
          <w:rFonts w:ascii="宋体" w:hAnsi="宋体" w:cs="宋体" w:eastAsia="宋体" w:hint="default"/>
        </w:rPr>
        <w:t>2019</w:t>
      </w:r>
      <w:r>
        <w:rPr/>
        <w:t>年</w:t>
      </w:r>
      <w:r>
        <w:rPr>
          <w:rFonts w:ascii="宋体" w:hAnsi="宋体" w:cs="宋体" w:eastAsia="宋体" w:hint="default"/>
        </w:rPr>
        <w:t>4</w:t>
      </w:r>
      <w:r>
        <w:rPr/>
        <w:t>月进入开发阶段，开始资本化，截至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日，已完成已完成软件的系</w:t>
      </w:r>
      <w:r>
        <w:rPr>
          <w:spacing w:val="-85"/>
        </w:rPr>
        <w:t> </w:t>
      </w:r>
      <w:r>
        <w:rPr/>
        <w:t>统架构设计、开发框架搭建、系统设计测试验证、测试缺陷分析</w:t>
      </w:r>
      <w:r>
        <w:rPr>
          <w:rFonts w:ascii="宋体" w:hAnsi="宋体" w:cs="宋体" w:eastAsia="宋体" w:hint="default"/>
        </w:rPr>
        <w:t>/</w:t>
      </w:r>
      <w:r>
        <w:rPr/>
        <w:t>修复及系统集成测试验证，关键技术问题攻关、软件的编</w:t>
      </w:r>
      <w:r>
        <w:rPr>
          <w:spacing w:val="-84"/>
        </w:rPr>
        <w:t> </w:t>
      </w:r>
      <w:r>
        <w:rPr/>
        <w:t>码开发等工作。 </w:t>
      </w:r>
      <w:r>
        <w:rPr>
          <w:rFonts w:ascii="宋体" w:hAnsi="宋体" w:cs="宋体" w:eastAsia="宋体" w:hint="default"/>
        </w:rPr>
        <w:t>3</w:t>
      </w:r>
      <w:r>
        <w:rPr/>
        <w:t>、</w:t>
      </w:r>
      <w:r>
        <w:rPr>
          <w:rFonts w:ascii="宋体" w:hAnsi="宋体" w:cs="宋体" w:eastAsia="宋体" w:hint="default"/>
        </w:rPr>
        <w:t>IOTMP</w:t>
      </w:r>
      <w:r>
        <w:rPr/>
        <w:t>移动端项目</w:t>
      </w:r>
      <w:r>
        <w:rPr>
          <w:rFonts w:ascii="宋体" w:hAnsi="宋体" w:cs="宋体" w:eastAsia="宋体" w:hint="default"/>
        </w:rPr>
        <w:t>2019</w:t>
      </w:r>
      <w:r>
        <w:rPr/>
        <w:t>年</w:t>
      </w:r>
      <w:r>
        <w:rPr>
          <w:rFonts w:ascii="宋体" w:hAnsi="宋体" w:cs="宋体" w:eastAsia="宋体" w:hint="default"/>
        </w:rPr>
        <w:t>4</w:t>
      </w:r>
      <w:r>
        <w:rPr/>
        <w:t>月进入开发阶段，开始资本化，截至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日，已完成软件的系统架构设计、开发框架</w:t>
      </w:r>
      <w:r>
        <w:rPr>
          <w:spacing w:val="-85"/>
        </w:rPr>
        <w:t> </w:t>
      </w:r>
      <w:r>
        <w:rPr/>
        <w:t>搭建、系统设计测试验证、关键技术问题攻关、软件的编码开发等工作。</w:t>
      </w: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28、商誉" w:id="303"/>
      <w:bookmarkEnd w:id="303"/>
      <w:r>
        <w:rPr>
          <w:b w:val="0"/>
          <w:bCs w:val="0"/>
        </w:rPr>
      </w:r>
      <w:r>
        <w:rPr>
          <w:rFonts w:ascii="Times New Roman" w:hAnsi="Times New Roman" w:cs="Times New Roman" w:eastAsia="Times New Roman" w:hint="default"/>
        </w:rPr>
        <w:t>28</w:t>
      </w:r>
      <w:r>
        <w:rPr/>
        <w:t>、商誉</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商誉账面原值" w:id="304"/>
      <w:bookmarkEnd w:id="30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7"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08"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47,382,353.08</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47,382,353.08</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20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广东冠网信息科 技有限公司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58,670,931.12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58,670,931.12</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106,053,284.20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106,053,284.20</w:t>
            </w:r>
          </w:p>
        </w:tc>
      </w:tr>
    </w:tbl>
    <w:p>
      <w:pPr>
        <w:spacing w:line="240" w:lineRule="auto" w:before="8"/>
        <w:rPr>
          <w:rFonts w:ascii="宋体" w:hAnsi="宋体" w:cs="宋体" w:eastAsia="宋体" w:hint="default"/>
          <w:sz w:val="25"/>
          <w:szCs w:val="25"/>
        </w:rPr>
      </w:pPr>
    </w:p>
    <w:p>
      <w:pPr>
        <w:pStyle w:val="Heading3"/>
        <w:spacing w:line="240" w:lineRule="auto" w:before="35"/>
        <w:ind w:left="221" w:right="1108"/>
        <w:jc w:val="left"/>
        <w:rPr>
          <w:b w:val="0"/>
          <w:bCs w:val="0"/>
        </w:rPr>
      </w:pPr>
      <w:bookmarkStart w:name="（2）商誉减值准备" w:id="305"/>
      <w:bookmarkEnd w:id="30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21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2"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504" w:lineRule="auto" w:before="44"/>
        <w:ind w:left="221" w:right="7509"/>
        <w:jc w:val="left"/>
      </w:pPr>
      <w:r>
        <w:rPr/>
        <w:t>商誉所在资产组或资产组组合的相关信息 深圳市润安科技发展有限公司资产组</w:t>
      </w:r>
    </w:p>
    <w:p>
      <w:pPr>
        <w:pStyle w:val="BodyText"/>
        <w:spacing w:line="240" w:lineRule="auto" w:before="77"/>
        <w:ind w:left="221" w:right="1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商誉所在资产组或资产组组合相关信息</w:t>
      </w: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956"/>
        <w:gridCol w:w="4911"/>
      </w:tblGrid>
      <w:tr>
        <w:trPr>
          <w:trHeight w:val="540"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color w:val="333333"/>
                <w:sz w:val="18"/>
                <w:szCs w:val="18"/>
              </w:rPr>
              <w:t>资产组或资产组组合的构成</w:t>
            </w:r>
            <w:r>
              <w:rPr>
                <w:rFonts w:ascii="宋体" w:hAnsi="宋体" w:cs="宋体" w:eastAsia="宋体" w:hint="default"/>
                <w:sz w:val="18"/>
                <w:szCs w:val="18"/>
              </w:rPr>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深圳市润安科技发展有限公司资产组</w:t>
            </w:r>
          </w:p>
        </w:tc>
      </w:tr>
      <w:tr>
        <w:trPr>
          <w:trHeight w:val="510"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4"/>
              <w:jc w:val="right"/>
              <w:rPr>
                <w:rFonts w:ascii="宋体" w:hAnsi="宋体" w:cs="宋体" w:eastAsia="宋体" w:hint="default"/>
                <w:sz w:val="18"/>
                <w:szCs w:val="18"/>
              </w:rPr>
            </w:pPr>
            <w:r>
              <w:rPr>
                <w:rFonts w:ascii="宋体"/>
                <w:sz w:val="18"/>
              </w:rPr>
              <w:t>26,704,739.50</w:t>
            </w:r>
          </w:p>
        </w:tc>
      </w:tr>
      <w:tr>
        <w:trPr>
          <w:trHeight w:val="541"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分摊至本资产组或资产组组合的商誉账面价值及分摊方法</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全部分摊至深圳市润安科技发展有限公司资产组</w:t>
            </w:r>
          </w:p>
        </w:tc>
      </w:tr>
      <w:tr>
        <w:trPr>
          <w:trHeight w:val="541"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129,934,266.91</w:t>
            </w:r>
          </w:p>
        </w:tc>
      </w:tr>
      <w:tr>
        <w:trPr>
          <w:trHeight w:val="780"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105" w:right="109"/>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时所确定的资产组或资产组组合一致</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商誉减值测试的过程与方法、结论</w:t>
      </w:r>
    </w:p>
    <w:p>
      <w:pPr>
        <w:spacing w:line="240" w:lineRule="auto" w:before="13"/>
        <w:rPr>
          <w:rFonts w:ascii="宋体" w:hAnsi="宋体" w:cs="宋体" w:eastAsia="宋体" w:hint="default"/>
          <w:sz w:val="19"/>
          <w:szCs w:val="19"/>
        </w:rPr>
      </w:pPr>
    </w:p>
    <w:p>
      <w:pPr>
        <w:pStyle w:val="BodyText"/>
        <w:spacing w:line="240" w:lineRule="auto"/>
        <w:ind w:left="221" w:right="0"/>
        <w:jc w:val="left"/>
      </w:pPr>
      <w:r>
        <w:rPr/>
        <w:t>商誉的可收回金额按照预计未来现金流量的现值计算，其预计现金流量根据公司批准的</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spacing w:val="-3"/>
        </w:rPr>
        <w:t>年期现金流量预测为基础，现金流</w:t>
      </w:r>
    </w:p>
    <w:p>
      <w:pPr>
        <w:spacing w:line="240" w:lineRule="auto" w:before="9"/>
        <w:rPr>
          <w:rFonts w:ascii="宋体" w:hAnsi="宋体" w:cs="宋体" w:eastAsia="宋体" w:hint="default"/>
          <w:sz w:val="17"/>
          <w:szCs w:val="17"/>
        </w:rPr>
      </w:pPr>
    </w:p>
    <w:p>
      <w:pPr>
        <w:pStyle w:val="BodyText"/>
        <w:spacing w:line="240" w:lineRule="auto"/>
        <w:ind w:left="221" w:right="0"/>
        <w:jc w:val="left"/>
      </w:pPr>
      <w:r>
        <w:rPr/>
        <w:t>量预测使用的折现率 </w:t>
      </w:r>
      <w:r>
        <w:rPr>
          <w:rFonts w:ascii="Times New Roman" w:hAnsi="Times New Roman" w:cs="Times New Roman" w:eastAsia="Times New Roman" w:hint="default"/>
        </w:rPr>
        <w:t>10.00%(2018</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10.00%)</w:t>
      </w:r>
      <w:r>
        <w:rPr/>
        <w:t>，公司根据历史实际经营数据、行业发展趋势、预期收入增长率、毛利率等</w:t>
      </w:r>
    </w:p>
    <w:p>
      <w:pPr>
        <w:spacing w:line="240" w:lineRule="auto" w:before="5"/>
        <w:rPr>
          <w:rFonts w:ascii="宋体" w:hAnsi="宋体" w:cs="宋体" w:eastAsia="宋体" w:hint="default"/>
          <w:sz w:val="15"/>
          <w:szCs w:val="15"/>
        </w:rPr>
      </w:pPr>
    </w:p>
    <w:p>
      <w:pPr>
        <w:pStyle w:val="BodyText"/>
        <w:spacing w:line="506" w:lineRule="auto"/>
        <w:ind w:left="221" w:right="1108"/>
        <w:jc w:val="left"/>
      </w:pPr>
      <w:r>
        <w:rPr/>
        <w:t>指标编制预测未来</w:t>
      </w:r>
      <w:r>
        <w:rPr>
          <w:spacing w:val="-43"/>
        </w:rPr>
        <w:t> </w:t>
      </w:r>
      <w:r>
        <w:rPr>
          <w:rFonts w:ascii="Times New Roman" w:hAnsi="Times New Roman" w:cs="Times New Roman" w:eastAsia="Times New Roman" w:hint="default"/>
        </w:rPr>
        <w:t>5 </w:t>
      </w:r>
      <w:r>
        <w:rPr/>
        <w:t>年现金流量，预测期以后的现金流量维持不变。 </w:t>
      </w:r>
      <w:r>
        <w:rPr>
          <w:spacing w:val="-2"/>
        </w:rPr>
        <w:t>减值测试中采用的其他关键数据包括：产品预计售价、销量、生产成本及其他相关费用。公司根据历史经验及对市场发展的</w:t>
      </w:r>
    </w:p>
    <w:p>
      <w:pPr>
        <w:pStyle w:val="BodyText"/>
        <w:spacing w:line="520" w:lineRule="auto" w:before="15"/>
        <w:ind w:left="221" w:right="2109"/>
        <w:jc w:val="left"/>
      </w:pPr>
      <w:r>
        <w:rPr/>
        <w:t>预测确定上述关键数据。公司采用的折现率是反映当前市场货币时间价值和相关资产组特定风险的税前利率。 上述对可收回金额的预计表明商誉并未出现减值损失</w:t>
      </w:r>
    </w:p>
    <w:p>
      <w:pPr>
        <w:pStyle w:val="BodyText"/>
        <w:spacing w:line="240" w:lineRule="auto" w:before="64"/>
        <w:ind w:left="221" w:right="1108"/>
        <w:jc w:val="left"/>
      </w:pPr>
      <w:r>
        <w:rPr/>
        <w:t>广东冠网信息科技有限公司资产组</w:t>
      </w:r>
    </w:p>
    <w:p>
      <w:pPr>
        <w:spacing w:line="240" w:lineRule="auto" w:before="0"/>
        <w:rPr>
          <w:rFonts w:ascii="宋体" w:hAnsi="宋体" w:cs="宋体" w:eastAsia="宋体" w:hint="default"/>
          <w:sz w:val="21"/>
          <w:szCs w:val="21"/>
        </w:rPr>
      </w:pPr>
    </w:p>
    <w:p>
      <w:pPr>
        <w:pStyle w:val="BodyText"/>
        <w:spacing w:line="240" w:lineRule="auto"/>
        <w:ind w:left="221" w:right="1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商誉所在资产组或资产组组合相关信息</w:t>
      </w:r>
    </w:p>
    <w:p>
      <w:pPr>
        <w:spacing w:after="0" w:line="240" w:lineRule="auto"/>
        <w:jc w:val="left"/>
        <w:sectPr>
          <w:pgSz w:w="11910" w:h="16850"/>
          <w:pgMar w:header="776" w:footer="1026" w:top="1100" w:bottom="1220" w:left="920" w:right="0"/>
        </w:sectPr>
      </w:pPr>
    </w:p>
    <w:p>
      <w:pPr>
        <w:spacing w:line="240" w:lineRule="auto" w:before="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4956"/>
        <w:gridCol w:w="4911"/>
      </w:tblGrid>
      <w:tr>
        <w:trPr>
          <w:trHeight w:val="540"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color w:val="333333"/>
                <w:sz w:val="18"/>
                <w:szCs w:val="18"/>
              </w:rPr>
              <w:t>资产组或资产组组合的构成</w:t>
            </w:r>
            <w:r>
              <w:rPr>
                <w:rFonts w:ascii="宋体" w:hAnsi="宋体" w:cs="宋体" w:eastAsia="宋体" w:hint="default"/>
                <w:sz w:val="18"/>
                <w:szCs w:val="18"/>
              </w:rPr>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广东冠网信息科技有限公司资产组</w:t>
            </w:r>
          </w:p>
        </w:tc>
      </w:tr>
      <w:tr>
        <w:trPr>
          <w:trHeight w:val="570"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3"/>
              <w:jc w:val="right"/>
              <w:rPr>
                <w:rFonts w:ascii="宋体" w:hAnsi="宋体" w:cs="宋体" w:eastAsia="宋体" w:hint="default"/>
                <w:sz w:val="18"/>
                <w:szCs w:val="18"/>
              </w:rPr>
            </w:pPr>
            <w:r>
              <w:rPr>
                <w:rFonts w:ascii="宋体"/>
                <w:sz w:val="18"/>
              </w:rPr>
              <w:t>520,215.48</w:t>
            </w:r>
          </w:p>
        </w:tc>
      </w:tr>
      <w:tr>
        <w:trPr>
          <w:trHeight w:val="525"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分摊至本资产组或资产组组合的商誉账面价值及分摊方法</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全部分摊至广东冠网信息科技有限公司资产组</w:t>
            </w:r>
          </w:p>
        </w:tc>
      </w:tr>
      <w:tr>
        <w:trPr>
          <w:trHeight w:val="541"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包含商誉的资产组或资产组组合的账面价值</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111,220,085.52</w:t>
            </w:r>
          </w:p>
        </w:tc>
      </w:tr>
      <w:tr>
        <w:trPr>
          <w:trHeight w:val="781" w:hRule="exact"/>
        </w:trPr>
        <w:tc>
          <w:tcPr>
            <w:tcW w:w="495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5"/>
              <w:ind w:left="105" w:right="109"/>
              <w:jc w:val="left"/>
              <w:rPr>
                <w:rFonts w:ascii="宋体" w:hAnsi="宋体" w:cs="宋体" w:eastAsia="宋体" w:hint="default"/>
                <w:sz w:val="18"/>
                <w:szCs w:val="18"/>
              </w:rPr>
            </w:pPr>
            <w:r>
              <w:rPr>
                <w:rFonts w:ascii="宋体" w:hAnsi="宋体" w:cs="宋体" w:eastAsia="宋体" w:hint="default"/>
                <w:sz w:val="18"/>
                <w:szCs w:val="18"/>
              </w:rPr>
              <w:t>资产组或资产组组合是否与购买日、以前年度商誉减值测试</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时所确定的资产组或资产组组合一致</w:t>
            </w:r>
          </w:p>
        </w:tc>
        <w:tc>
          <w:tcPr>
            <w:tcW w:w="4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宋体" w:hAnsi="宋体" w:cs="宋体" w:eastAsia="宋体" w:hint="default"/>
          <w:sz w:val="5"/>
          <w:szCs w:val="5"/>
        </w:rPr>
      </w:pPr>
    </w:p>
    <w:p>
      <w:pPr>
        <w:pStyle w:val="BodyText"/>
        <w:spacing w:line="475" w:lineRule="auto" w:before="44"/>
        <w:ind w:left="221" w:right="1108"/>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240" w:lineRule="auto" w:before="98"/>
        <w:ind w:left="221" w:right="1108"/>
        <w:jc w:val="left"/>
      </w:pPr>
      <w:r>
        <w:rPr/>
        <w:t>商誉的可收回金额按照预计未来现金流量的现值计算，其预计现金流量根据公司批准的</w:t>
      </w:r>
    </w:p>
    <w:p>
      <w:pPr>
        <w:spacing w:line="240" w:lineRule="auto" w:before="2"/>
        <w:rPr>
          <w:rFonts w:ascii="宋体" w:hAnsi="宋体" w:cs="宋体" w:eastAsia="宋体" w:hint="default"/>
          <w:sz w:val="22"/>
          <w:szCs w:val="22"/>
        </w:rPr>
      </w:pPr>
    </w:p>
    <w:p>
      <w:pPr>
        <w:pStyle w:val="BodyText"/>
        <w:spacing w:line="240" w:lineRule="auto"/>
        <w:ind w:left="221" w:right="0"/>
        <w:jc w:val="left"/>
      </w:pPr>
      <w:r>
        <w:rPr>
          <w:rFonts w:ascii="Times New Roman" w:hAnsi="Times New Roman" w:cs="Times New Roman" w:eastAsia="Times New Roman" w:hint="default"/>
        </w:rPr>
        <w:t>5  </w:t>
      </w:r>
      <w:r>
        <w:rPr/>
        <w:t>年期现金流量预测为基础，现金流量预测使用的折现率 </w:t>
      </w:r>
      <w:r>
        <w:rPr>
          <w:rFonts w:ascii="Times New Roman" w:hAnsi="Times New Roman" w:cs="Times New Roman" w:eastAsia="Times New Roman" w:hint="default"/>
        </w:rPr>
        <w:t>10.00%(2018</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10.00%)</w:t>
      </w:r>
      <w:r>
        <w:rPr/>
        <w:t>，公司根据历史实际经营数据、行业发</w:t>
      </w:r>
    </w:p>
    <w:p>
      <w:pPr>
        <w:spacing w:line="240" w:lineRule="auto" w:before="5"/>
        <w:rPr>
          <w:rFonts w:ascii="宋体" w:hAnsi="宋体" w:cs="宋体" w:eastAsia="宋体" w:hint="default"/>
          <w:sz w:val="15"/>
          <w:szCs w:val="15"/>
        </w:rPr>
      </w:pPr>
    </w:p>
    <w:p>
      <w:pPr>
        <w:pStyle w:val="BodyText"/>
        <w:spacing w:line="506" w:lineRule="auto"/>
        <w:ind w:left="221" w:right="1111"/>
        <w:jc w:val="left"/>
      </w:pPr>
      <w:r>
        <w:rPr/>
        <w:t>展趋势、预期收入增长率、毛利率等指标编制预测未来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年现金流量，预测期以后的现金流量维持不变。 减值测试中采用的其他关键数据包括：产品预计售价、销量、生产成本及其他相关费用。</w:t>
      </w:r>
      <w:r>
        <w:rPr>
          <w:spacing w:val="8"/>
        </w:rPr>
        <w:t> </w:t>
      </w:r>
      <w:r>
        <w:rPr/>
        <w:t>公司根据历史经验及对市场发展</w:t>
      </w:r>
    </w:p>
    <w:p>
      <w:pPr>
        <w:pStyle w:val="BodyText"/>
        <w:spacing w:line="520" w:lineRule="auto" w:before="14"/>
        <w:ind w:left="221" w:right="1929"/>
        <w:jc w:val="left"/>
      </w:pPr>
      <w:r>
        <w:rPr/>
        <w:t>的预测确定上述关键数据。公司采用的折现率是反映当前市场货币时间价值和相关资产组特定风险的税前利率。 上述对可收回金额的预计表明商誉并未出现减值损失。</w:t>
      </w:r>
    </w:p>
    <w:p>
      <w:pPr>
        <w:pStyle w:val="BodyText"/>
        <w:spacing w:line="240" w:lineRule="auto" w:before="64"/>
        <w:ind w:left="221" w:right="1108"/>
        <w:jc w:val="left"/>
      </w:pPr>
      <w:r>
        <w:rPr/>
        <w:t>商誉减值测试的影响</w:t>
      </w:r>
    </w:p>
    <w:p>
      <w:pPr>
        <w:spacing w:line="240" w:lineRule="auto" w:before="2"/>
        <w:rPr>
          <w:rFonts w:ascii="宋体" w:hAnsi="宋体" w:cs="宋体" w:eastAsia="宋体" w:hint="default"/>
          <w:sz w:val="22"/>
          <w:szCs w:val="22"/>
        </w:rPr>
      </w:pPr>
    </w:p>
    <w:p>
      <w:pPr>
        <w:pStyle w:val="BodyText"/>
        <w:spacing w:line="240" w:lineRule="auto"/>
        <w:ind w:left="221" w:right="0"/>
        <w:jc w:val="left"/>
      </w:pPr>
      <w:r>
        <w:rPr/>
        <w:t>广东冠网信息科技有限公司</w:t>
      </w:r>
      <w:r>
        <w:rPr>
          <w:spacing w:val="-43"/>
        </w:rPr>
        <w:t> </w:t>
      </w:r>
      <w:r>
        <w:rPr>
          <w:rFonts w:ascii="Times New Roman" w:hAnsi="Times New Roman" w:cs="Times New Roman" w:eastAsia="Times New Roman" w:hint="default"/>
        </w:rPr>
        <w:t>2019 </w:t>
      </w:r>
      <w:r>
        <w:rPr/>
        <w:t>年度经审计的扣除非经常性损益后归属于母公司股东的净利润</w:t>
      </w:r>
      <w:r>
        <w:rPr>
          <w:spacing w:val="-39"/>
        </w:rPr>
        <w:t> </w:t>
      </w:r>
      <w:r>
        <w:rPr>
          <w:rFonts w:ascii="Times New Roman" w:hAnsi="Times New Roman" w:cs="Times New Roman" w:eastAsia="Times New Roman" w:hint="default"/>
        </w:rPr>
        <w:t>1,040.63 </w:t>
      </w:r>
      <w:r>
        <w:rPr/>
        <w:t>万元，超过承诺数</w:t>
      </w:r>
    </w:p>
    <w:p>
      <w:pPr>
        <w:spacing w:line="240" w:lineRule="auto" w:before="5"/>
        <w:rPr>
          <w:rFonts w:ascii="宋体" w:hAnsi="宋体" w:cs="宋体" w:eastAsia="宋体" w:hint="default"/>
          <w:sz w:val="15"/>
          <w:szCs w:val="15"/>
        </w:rPr>
      </w:pPr>
    </w:p>
    <w:p>
      <w:pPr>
        <w:pStyle w:val="BodyText"/>
        <w:spacing w:line="491" w:lineRule="auto"/>
        <w:ind w:left="221" w:right="7042"/>
        <w:jc w:val="left"/>
      </w:pPr>
      <w:r>
        <w:rPr>
          <w:rFonts w:ascii="Times New Roman" w:hAnsi="Times New Roman" w:cs="Times New Roman" w:eastAsia="Times New Roman" w:hint="default"/>
        </w:rPr>
        <w:t>1,000.00 </w:t>
      </w:r>
      <w:r>
        <w:rPr/>
        <w:t>万元，完成本年预测盈利的</w:t>
      </w:r>
      <w:r>
        <w:rPr>
          <w:spacing w:val="-43"/>
        </w:rPr>
        <w:t> </w:t>
      </w:r>
      <w:r>
        <w:rPr>
          <w:rFonts w:ascii="Times New Roman" w:hAnsi="Times New Roman" w:cs="Times New Roman" w:eastAsia="Times New Roman" w:hint="default"/>
        </w:rPr>
        <w:t>104.06%</w:t>
      </w:r>
      <w:r>
        <w:rPr/>
        <w:t>。 其他说明</w:t>
      </w:r>
    </w:p>
    <w:p>
      <w:pPr>
        <w:spacing w:line="240" w:lineRule="auto" w:before="9"/>
        <w:rPr>
          <w:rFonts w:ascii="宋体" w:hAnsi="宋体" w:cs="宋体" w:eastAsia="宋体" w:hint="default"/>
          <w:sz w:val="25"/>
          <w:szCs w:val="25"/>
        </w:rPr>
      </w:pPr>
    </w:p>
    <w:p>
      <w:pPr>
        <w:pStyle w:val="Heading3"/>
        <w:spacing w:line="240" w:lineRule="auto"/>
        <w:ind w:left="221" w:right="1108"/>
        <w:jc w:val="left"/>
        <w:rPr>
          <w:b w:val="0"/>
          <w:bCs w:val="0"/>
        </w:rPr>
      </w:pPr>
      <w:bookmarkStart w:name="29、长期待摊费用" w:id="306"/>
      <w:bookmarkEnd w:id="30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20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1,859,873.63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2,224,032.24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963,317.97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3,120,587.90</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310,750.00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277,750.00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2,170,623.63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2,224,032.24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996,317.97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3,398,337.90</w:t>
            </w:r>
          </w:p>
        </w:tc>
      </w:tr>
    </w:tbl>
    <w:p>
      <w:pPr>
        <w:spacing w:line="240" w:lineRule="auto" w:before="10"/>
        <w:rPr>
          <w:rFonts w:ascii="宋体" w:hAnsi="宋体" w:cs="宋体" w:eastAsia="宋体" w:hint="default"/>
          <w:sz w:val="5"/>
          <w:szCs w:val="5"/>
        </w:rPr>
      </w:pPr>
    </w:p>
    <w:p>
      <w:pPr>
        <w:pStyle w:val="BodyText"/>
        <w:spacing w:line="240" w:lineRule="auto" w:before="44"/>
        <w:ind w:left="221" w:right="1108"/>
        <w:jc w:val="left"/>
      </w:pPr>
      <w:r>
        <w:rPr/>
        <w:t>其他说明</w:t>
      </w:r>
    </w:p>
    <w:p>
      <w:pPr>
        <w:spacing w:after="0" w:line="240" w:lineRule="auto"/>
        <w:jc w:val="left"/>
        <w:sectPr>
          <w:pgSz w:w="11910" w:h="16850"/>
          <w:pgMar w:header="776" w:footer="1026" w:top="1100" w:bottom="1220" w:left="92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0、递延所得税资产/递延所得税负债" w:id="307"/>
      <w:bookmarkEnd w:id="3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未经抵销的递延所得税资产" w:id="308"/>
      <w:bookmarkEnd w:id="30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47,588,239.60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7,138,235.93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37,790,501.00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5,668,575.15</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258,336.68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38,750.50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188,923.20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28,338.48</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73,828,330.33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11,074,249.55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18,638,341.00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2,795,751.15</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15,389,806.57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2,308,470.99</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不征税收入用于支出所 形成的费用</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2,333,850.55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350,077.58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137,064,713.18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20,559,706.97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58,951,615.75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8,842,742.36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未经抵销的递延所得税负债" w:id="309"/>
      <w:bookmarkEnd w:id="30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以抵销后净额列示的递延所得税资产或负债" w:id="310"/>
      <w:bookmarkEnd w:id="31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15"/>
        <w:gridCol w:w="1915"/>
        <w:gridCol w:w="1915"/>
        <w:gridCol w:w="1907"/>
      </w:tblGrid>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05"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23"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405" w:right="53"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23" w:right="37"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r>
      <w:tr>
        <w:trPr>
          <w:trHeight w:val="15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9" w:right="0"/>
              <w:jc w:val="left"/>
              <w:rPr>
                <w:rFonts w:ascii="Times New Roman" w:hAnsi="Times New Roman" w:cs="Times New Roman" w:eastAsia="Times New Roman" w:hint="default"/>
                <w:sz w:val="18"/>
                <w:szCs w:val="18"/>
              </w:rPr>
            </w:pPr>
            <w:r>
              <w:rPr>
                <w:rFonts w:ascii="Times New Roman"/>
                <w:sz w:val="18"/>
              </w:rPr>
              <w:t>20,559,706.97</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8" w:right="0"/>
              <w:jc w:val="left"/>
              <w:rPr>
                <w:rFonts w:ascii="Times New Roman" w:hAnsi="Times New Roman" w:cs="Times New Roman" w:eastAsia="Times New Roman" w:hint="default"/>
                <w:sz w:val="18"/>
                <w:szCs w:val="18"/>
              </w:rPr>
            </w:pPr>
            <w:r>
              <w:rPr>
                <w:rFonts w:ascii="Times New Roman"/>
                <w:sz w:val="18"/>
              </w:rPr>
              <w:t>8,842,742.36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未确认递延所得税资产明细" w:id="311"/>
      <w:bookmarkEnd w:id="31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315,919.28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16,539,530.94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8,623,237.45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7,686,259.33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8,939,156.73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24,225,790.27</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5）未确认递延所得税资产的可抵扣亏损将于以下年度到期" w:id="312"/>
      <w:bookmarkEnd w:id="31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692,663.92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1,132,370.64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1,132,370.64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2,368,893.33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2,368,893.33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1,831,858.67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1,861,835.37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1,555,577.96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1,630,496.07</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1,734,536.85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8,623,237.45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7,686,259.33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1、其他非流动资产" w:id="313"/>
      <w:bookmarkEnd w:id="31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1,096,100.43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1,096,100.43</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2、短期借款" w:id="314"/>
      <w:bookmarkEnd w:id="31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短期借款分类" w:id="315"/>
      <w:bookmarkEnd w:id="31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31,200,000.00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14,000,000.00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短期借款分类的说明：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已逾期未偿还的短期借款情况" w:id="316"/>
      <w:bookmarkEnd w:id="31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本期末已逾期未偿还的短期借款总额为元，其中重要的已逾期未偿还的短期借款情况如下：</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3、交易性金融负债" w:id="317"/>
      <w:bookmarkEnd w:id="317"/>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4、衍生金融负债" w:id="318"/>
      <w:bookmarkEnd w:id="318"/>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5、应付票据" w:id="319"/>
      <w:bookmarkEnd w:id="319"/>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32,322,617.10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8,100,833.00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32,322,617.10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8,100,833.00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本期末已到期未支付的应付票据总额为</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4"/>
        </w:rPr>
        <w:t> </w:t>
      </w:r>
      <w:r>
        <w:rPr/>
        <w:t>元。</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6、应付账款" w:id="320"/>
      <w:bookmarkEnd w:id="320"/>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应付账款列示" w:id="321"/>
      <w:bookmarkEnd w:id="32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39,680,732.84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53,340,303.39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39,680,732.84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53,340,303.39</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账龄超过1年的重要应付账款" w:id="322"/>
      <w:bookmarkEnd w:id="322"/>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7、预收款项" w:id="323"/>
      <w:bookmarkEnd w:id="323"/>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预收款项列示" w:id="324"/>
      <w:bookmarkEnd w:id="32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物联网平台建设及解决方案</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27,573,677.42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40,391,506.83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物联设备及软件销售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1,417,429.51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2,174,237.56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28,991,106.93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42,565,744.39</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账龄超过1年的重要预收款项" w:id="325"/>
      <w:bookmarkEnd w:id="325"/>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期末建造合同形成的已结算未完工项目情况" w:id="326"/>
      <w:bookmarkEnd w:id="32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8、合同负债" w:id="327"/>
      <w:bookmarkEnd w:id="327"/>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报告期内账面价值发生重大变动的金额和原因</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5"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9、应付职工薪酬" w:id="328"/>
      <w:bookmarkEnd w:id="328"/>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应付职工薪酬列示" w:id="329"/>
      <w:bookmarkEnd w:id="32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17,677,183.27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167,093,580.29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164,270,375.40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20,500,388.16</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8,713,852.83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8,713,852.83</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1,751,493.86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1,751,493.86</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17,677,183.27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177,558,926.98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174,735,722.09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20,500,388.16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短期薪酬列示" w:id="330"/>
      <w:bookmarkEnd w:id="33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17,677,183.27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153,386,284.82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150,563,079.93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20,500,388.16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4,649,080.68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4,649,080.68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5,656,334.01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5,656,334.01</w:t>
            </w: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4,932,773.47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4,932,773.47</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125,739.42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125,739.42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597,821.12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597,821.12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3,386,598.22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3,386,598.22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15,282.56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15,282.56</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6" w:right="0"/>
              <w:jc w:val="left"/>
              <w:rPr>
                <w:rFonts w:ascii="Times New Roman" w:hAnsi="Times New Roman" w:cs="Times New Roman" w:eastAsia="Times New Roman" w:hint="default"/>
                <w:sz w:val="18"/>
                <w:szCs w:val="18"/>
              </w:rPr>
            </w:pPr>
            <w:r>
              <w:rPr>
                <w:rFonts w:ascii="Times New Roman"/>
                <w:sz w:val="18"/>
              </w:rPr>
              <w:t>17,677,183.27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167,093,580.29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164,270,375.40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6" w:right="0"/>
              <w:jc w:val="left"/>
              <w:rPr>
                <w:rFonts w:ascii="Times New Roman" w:hAnsi="Times New Roman" w:cs="Times New Roman" w:eastAsia="Times New Roman" w:hint="default"/>
                <w:sz w:val="18"/>
                <w:szCs w:val="18"/>
              </w:rPr>
            </w:pPr>
            <w:r>
              <w:rPr>
                <w:rFonts w:ascii="Times New Roman"/>
                <w:sz w:val="18"/>
              </w:rPr>
              <w:t>20,500,388.16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设定提存计划列示" w:id="331"/>
      <w:bookmarkEnd w:id="33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8,485,418.71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8,485,418.71</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228,434.12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228,434.12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8,713,852.83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8,713,852.83</w:t>
            </w: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0、应交税费" w:id="332"/>
      <w:bookmarkEnd w:id="332"/>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20,293,729.94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16,387,387.39</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18,261,026.35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19,800,697.08</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5,200,886.75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201,289.76</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648,408.18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674,828.33</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277,510.59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285,849.28</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184,771.21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190,301.55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5,400,000.00</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112,088.51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280,476.85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44,978,421.53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43,220,830.24</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1、其他应付款" w:id="333"/>
      <w:bookmarkEnd w:id="33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481,836.66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85,385.62</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62,089,513.08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99,679,626.86</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62,571,349.74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99,765,012.48</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1）应付利息" w:id="334"/>
      <w:bookmarkEnd w:id="33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重要的已逾期未支付的利息情况：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应付股利" w:id="335"/>
      <w:bookmarkEnd w:id="33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481,836.66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85,385.62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481,836.66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85,385.62</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631" w:lineRule="auto"/>
        <w:ind w:right="7903"/>
        <w:jc w:val="left"/>
        <w:rPr>
          <w:b w:val="0"/>
          <w:bCs w:val="0"/>
        </w:rPr>
      </w:pPr>
      <w:bookmarkStart w:name="（3）其他应付款" w:id="336"/>
      <w:bookmarkEnd w:id="336"/>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37"/>
      <w:bookmarkEnd w:id="337"/>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115"/>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股权激励限制性股票回购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57,056,409.73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94,072,447.16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未支付员工报销款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344,285.48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266,541.33</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2,456,466.53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2,578,805.39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2,232,351.34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2,761,832.98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62,089,513.08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99,679,626.86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账龄超过1年的重要其他应付款" w:id="338"/>
      <w:bookmarkEnd w:id="338"/>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2、持有待售负债" w:id="339"/>
      <w:bookmarkEnd w:id="339"/>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3、一年内到期的非流动负债" w:id="340"/>
      <w:bookmarkEnd w:id="34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10,494,000.00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10,494,000.00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4、其他流动负债" w:id="341"/>
      <w:bookmarkEnd w:id="34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短期应付债券的增减变动：</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5、长期借款" w:id="342"/>
      <w:bookmarkEnd w:id="34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长期借款分类" w:id="343"/>
      <w:bookmarkEnd w:id="34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19,239,000.00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19,239,000.00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520" w:lineRule="auto" w:before="44"/>
        <w:ind w:right="8589"/>
        <w:jc w:val="left"/>
      </w:pPr>
      <w:r>
        <w:rPr/>
        <w:t>长期借款分类的说明： 其他说明，包括利率区间：</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46、应付债券" w:id="344"/>
      <w:bookmarkEnd w:id="34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应付债券" w:id="345"/>
      <w:bookmarkEnd w:id="34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应付债券的增减变动（不包括划分为金融负债的优先股、永续债等其他金融工具）" w:id="346"/>
      <w:bookmarkEnd w:id="34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73"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可转换公司债券的转股条件、转股时间说明" w:id="347"/>
      <w:bookmarkEnd w:id="34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4）划分为金融负债的其他金融工具说明" w:id="348"/>
      <w:bookmarkEnd w:id="34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期末发行在外的优先股、永续债等其他金融工具基本情况</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期末发行在外的优先股、永续债等金融工具变动情况表</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5"/>
          <w:szCs w:val="5"/>
        </w:rPr>
      </w:pPr>
    </w:p>
    <w:p>
      <w:pPr>
        <w:pStyle w:val="BodyText"/>
        <w:spacing w:line="520" w:lineRule="auto" w:before="44"/>
        <w:ind w:right="7509"/>
        <w:jc w:val="left"/>
      </w:pPr>
      <w:r>
        <w:rPr/>
        <w:t>其他金融工具划分为金融负债的依据说明 其他说明</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47、租赁负债" w:id="349"/>
      <w:bookmarkEnd w:id="349"/>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11"/>
        <w:jc w:val="right"/>
      </w:pPr>
      <w:r>
        <w:rPr/>
        <w:t>单位：</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8、长期应付款" w:id="350"/>
      <w:bookmarkEnd w:id="350"/>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1）按款项性质列示长期应付款" w:id="351"/>
      <w:bookmarkEnd w:id="35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专项应付款" w:id="352"/>
      <w:bookmarkEnd w:id="35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9、长期应付职工薪酬" w:id="353"/>
      <w:bookmarkEnd w:id="353"/>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设定受益计划义务现值：</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计划资产：</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设定受益计划净负债（净资产）</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504" w:lineRule="auto" w:before="44"/>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77"/>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0、预计负债" w:id="356"/>
      <w:bookmarkEnd w:id="35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是否已执行新收入准则</w:t>
      </w:r>
    </w:p>
    <w:p>
      <w:pPr>
        <w:spacing w:line="240" w:lineRule="auto" w:before="13"/>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15"/>
          <w:szCs w:val="15"/>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258,336.68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188,923.20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为产品提供质量保证</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258,336.68</w:t>
            </w:r>
          </w:p>
        </w:tc>
        <w:tc>
          <w:tcPr>
            <w:tcW w:w="238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188,923.20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其他说明，包括重要预计负债的相关重要假设、估计说明：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51、递延收益" w:id="357"/>
      <w:bookmarkEnd w:id="35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577"/>
        <w:gridCol w:w="1615"/>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5,578,225.90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4,167,305.00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1,780,920.90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5,578,225.90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4,167,305.00</w:t>
            </w:r>
          </w:p>
        </w:tc>
        <w:tc>
          <w:tcPr>
            <w:tcW w:w="1592"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1,780,920.90</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涉及政府补助的项目：</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超宽频高精 度无线定位 通讯模块关 键技术的研 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808,225.90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381,802.68</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426,423.22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面向社区矫 正定位跟踪 的可穿戴装 备的研发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3,015,502.32</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984,497.68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部分与收益 相关、部分 与资产相关</w:t>
            </w:r>
          </w:p>
        </w:tc>
      </w:tr>
      <w:tr>
        <w:trPr>
          <w:trHeight w:val="165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3"/>
              <w:jc w:val="both"/>
              <w:rPr>
                <w:rFonts w:ascii="宋体" w:hAnsi="宋体" w:cs="宋体" w:eastAsia="宋体" w:hint="default"/>
                <w:sz w:val="18"/>
                <w:szCs w:val="18"/>
              </w:rPr>
            </w:pPr>
            <w:r>
              <w:rPr>
                <w:rFonts w:ascii="宋体" w:hAnsi="宋体" w:cs="宋体" w:eastAsia="宋体" w:hint="default"/>
                <w:sz w:val="18"/>
                <w:szCs w:val="18"/>
              </w:rPr>
              <w:t>一种超宽频 高精度无线 定位通讯电 路的研制专 项资金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警民通大数 据项目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73"/>
              <w:jc w:val="both"/>
              <w:rPr>
                <w:rFonts w:ascii="宋体" w:hAnsi="宋体" w:cs="宋体" w:eastAsia="宋体" w:hint="default"/>
                <w:sz w:val="18"/>
                <w:szCs w:val="18"/>
              </w:rPr>
            </w:pPr>
            <w:r>
              <w:rPr>
                <w:rFonts w:ascii="宋体" w:hAnsi="宋体" w:cs="宋体" w:eastAsia="宋体" w:hint="default"/>
                <w:sz w:val="18"/>
                <w:szCs w:val="18"/>
              </w:rPr>
              <w:t>基于监控视 频的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SKRY</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识别关键技</w:t>
            </w:r>
          </w:p>
          <w:p>
            <w:pPr>
              <w:pStyle w:val="TableParagraph"/>
              <w:spacing w:line="321" w:lineRule="auto" w:before="10"/>
              <w:ind w:left="15" w:right="73"/>
              <w:jc w:val="both"/>
              <w:rPr>
                <w:rFonts w:ascii="宋体" w:hAnsi="宋体" w:cs="宋体" w:eastAsia="宋体" w:hint="default"/>
                <w:sz w:val="18"/>
                <w:szCs w:val="18"/>
              </w:rPr>
            </w:pPr>
            <w:r>
              <w:rPr>
                <w:rFonts w:ascii="宋体" w:hAnsi="宋体" w:cs="宋体" w:eastAsia="宋体" w:hint="default"/>
                <w:sz w:val="18"/>
                <w:szCs w:val="18"/>
              </w:rPr>
              <w:t>术研究与应 用示范</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5,578,225.90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3,897,305.00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1,780,920.90</w:t>
            </w:r>
          </w:p>
        </w:tc>
        <w:tc>
          <w:tcPr>
            <w:tcW w:w="10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2、其他非流动负债" w:id="358"/>
      <w:bookmarkEnd w:id="35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是否已执行新收入准则</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3、股本" w:id="359"/>
      <w:bookmarkEnd w:id="359"/>
      <w:r>
        <w:rPr>
          <w:b w:val="0"/>
          <w:bCs w:val="0"/>
        </w:rPr>
      </w:r>
      <w:r>
        <w:rPr>
          <w:rFonts w:ascii="Times New Roman" w:hAnsi="Times New Roman" w:cs="Times New Roman" w:eastAsia="Times New Roman" w:hint="default"/>
        </w:rPr>
        <w:t>53</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10"/>
        <w:jc w:val="right"/>
      </w:pPr>
      <w:r>
        <w:rPr/>
        <w:t>单位：元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02"/>
        <w:gridCol w:w="1194"/>
        <w:gridCol w:w="1194"/>
        <w:gridCol w:w="1202"/>
        <w:gridCol w:w="1201"/>
        <w:gridCol w:w="1186"/>
        <w:gridCol w:w="1194"/>
        <w:gridCol w:w="1209"/>
      </w:tblGrid>
      <w:tr>
        <w:trPr>
          <w:trHeight w:val="203" w:hRule="exact"/>
        </w:trPr>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202"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408,490,226.00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7" w:right="0"/>
              <w:jc w:val="left"/>
              <w:rPr>
                <w:rFonts w:ascii="Times New Roman" w:hAnsi="Times New Roman" w:cs="Times New Roman" w:eastAsia="Times New Roman" w:hint="default"/>
                <w:sz w:val="18"/>
                <w:szCs w:val="18"/>
              </w:rPr>
            </w:pPr>
            <w:r>
              <w:rPr>
                <w:rFonts w:ascii="Times New Roman"/>
                <w:sz w:val="18"/>
              </w:rPr>
              <w:t>1,409,600.00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283,165,304.00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-743,716.00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283,831,188.00</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692,321,414.00</w:t>
            </w:r>
          </w:p>
        </w:tc>
      </w:tr>
    </w:tbl>
    <w:p>
      <w:pPr>
        <w:pStyle w:val="BodyText"/>
        <w:spacing w:line="240" w:lineRule="auto" w:before="44"/>
        <w:ind w:right="0"/>
        <w:jc w:val="left"/>
      </w:pPr>
      <w:r>
        <w:rPr/>
        <w:t>其他说明：</w:t>
      </w:r>
    </w:p>
    <w:p>
      <w:pPr>
        <w:pStyle w:val="BodyText"/>
        <w:spacing w:line="240" w:lineRule="auto" w:before="125"/>
        <w:ind w:right="0"/>
        <w:jc w:val="left"/>
      </w:pPr>
      <w:r>
        <w:rPr>
          <w:rFonts w:ascii="Times New Roman" w:hAnsi="Times New Roman" w:cs="Times New Roman" w:eastAsia="Times New Roman" w:hint="default"/>
        </w:rPr>
        <w:t>1</w:t>
      </w:r>
      <w:r>
        <w:rPr/>
        <w:t>）本期股权激励授予情况</w:t>
      </w:r>
    </w:p>
    <w:p>
      <w:pPr>
        <w:pStyle w:val="BodyText"/>
        <w:spacing w:line="240" w:lineRule="auto" w:before="111"/>
        <w:ind w:left="411" w:right="0"/>
        <w:jc w:val="left"/>
      </w:pP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4 </w:t>
      </w:r>
      <w:r>
        <w:rPr/>
        <w:t>日，公司第三届董事会第十七次会议通过了《关于向激励对象授予</w:t>
      </w:r>
      <w:r>
        <w:rPr>
          <w:spacing w:val="-38"/>
        </w:rPr>
        <w:t> </w:t>
      </w:r>
      <w:r>
        <w:rPr>
          <w:rFonts w:ascii="Times New Roman" w:hAnsi="Times New Roman" w:cs="Times New Roman" w:eastAsia="Times New Roman" w:hint="default"/>
        </w:rPr>
        <w:t>2018 </w:t>
      </w:r>
      <w:r>
        <w:rPr/>
        <w:t>年股权激励计划预留部分限制性</w:t>
      </w:r>
    </w:p>
    <w:p>
      <w:pPr>
        <w:pStyle w:val="BodyText"/>
        <w:spacing w:line="240" w:lineRule="auto" w:before="66"/>
        <w:ind w:right="0"/>
        <w:jc w:val="left"/>
      </w:pPr>
      <w:r>
        <w:rPr/>
        <w:t>股票的议案</w:t>
      </w:r>
      <w:r>
        <w:rPr>
          <w:spacing w:val="-90"/>
        </w:rPr>
        <w:t>》</w:t>
      </w:r>
      <w:r>
        <w:rPr/>
        <w:t>，同意以</w:t>
      </w:r>
      <w:r>
        <w:rPr>
          <w:spacing w:val="-43"/>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4 </w:t>
      </w:r>
      <w:r>
        <w:rPr/>
        <w:t>日为授予日，向</w:t>
      </w:r>
      <w:r>
        <w:rPr>
          <w:spacing w:val="-44"/>
        </w:rPr>
        <w:t> </w:t>
      </w:r>
      <w:r>
        <w:rPr>
          <w:rFonts w:ascii="Times New Roman" w:hAnsi="Times New Roman" w:cs="Times New Roman" w:eastAsia="Times New Roman" w:hint="default"/>
        </w:rPr>
        <w:t>22 </w:t>
      </w:r>
      <w:r>
        <w:rPr/>
        <w:t>名激励对象授予</w:t>
      </w:r>
      <w:r>
        <w:rPr>
          <w:spacing w:val="-44"/>
        </w:rPr>
        <w:t> </w:t>
      </w:r>
      <w:r>
        <w:rPr>
          <w:rFonts w:ascii="Times New Roman" w:hAnsi="Times New Roman" w:cs="Times New Roman" w:eastAsia="Times New Roman" w:hint="default"/>
        </w:rPr>
        <w:t>965,000</w:t>
      </w:r>
      <w:r>
        <w:rPr>
          <w:rFonts w:ascii="Times New Roman" w:hAnsi="Times New Roman" w:cs="Times New Roman" w:eastAsia="Times New Roman" w:hint="default"/>
          <w:spacing w:val="1"/>
        </w:rPr>
        <w:t> </w:t>
      </w:r>
      <w:r>
        <w:rPr/>
        <w:t>股限制性股票，每股面值</w:t>
      </w:r>
      <w:r>
        <w:rPr>
          <w:spacing w:val="-43"/>
        </w:rPr>
        <w:t> </w:t>
      </w:r>
      <w:r>
        <w:rPr>
          <w:rFonts w:ascii="Times New Roman" w:hAnsi="Times New Roman" w:cs="Times New Roman" w:eastAsia="Times New Roman" w:hint="default"/>
        </w:rPr>
        <w:t>1 </w:t>
      </w:r>
      <w:r>
        <w:rPr/>
        <w:t>元，每股发行</w:t>
      </w:r>
    </w:p>
    <w:p>
      <w:pPr>
        <w:pStyle w:val="BodyText"/>
        <w:spacing w:line="302" w:lineRule="auto" w:before="51"/>
        <w:ind w:right="1036"/>
        <w:jc w:val="left"/>
      </w:pPr>
      <w:r>
        <w:rPr/>
        <w:t>价格</w:t>
      </w:r>
      <w:r>
        <w:rPr>
          <w:spacing w:val="-53"/>
        </w:rPr>
        <w:t> </w:t>
      </w:r>
      <w:r>
        <w:rPr>
          <w:rFonts w:ascii="Times New Roman" w:hAnsi="Times New Roman" w:cs="Times New Roman" w:eastAsia="Times New Roman" w:hint="default"/>
        </w:rPr>
        <w:t>5.94</w:t>
      </w:r>
      <w:r>
        <w:rPr>
          <w:rFonts w:ascii="Times New Roman" w:hAnsi="Times New Roman" w:cs="Times New Roman" w:eastAsia="Times New Roman" w:hint="default"/>
          <w:spacing w:val="-8"/>
        </w:rPr>
        <w:t> </w:t>
      </w:r>
      <w:r>
        <w:rPr/>
        <w:t>元。募集资金金额为</w:t>
      </w:r>
      <w:r>
        <w:rPr>
          <w:spacing w:val="-51"/>
        </w:rPr>
        <w:t> </w:t>
      </w:r>
      <w:r>
        <w:rPr>
          <w:rFonts w:ascii="Times New Roman" w:hAnsi="Times New Roman" w:cs="Times New Roman" w:eastAsia="Times New Roman" w:hint="default"/>
        </w:rPr>
        <w:t>5,732,100.00</w:t>
      </w:r>
      <w:r>
        <w:rPr>
          <w:rFonts w:ascii="Times New Roman" w:hAnsi="Times New Roman" w:cs="Times New Roman" w:eastAsia="Times New Roman" w:hint="default"/>
          <w:spacing w:val="-8"/>
        </w:rPr>
        <w:t> </w:t>
      </w:r>
      <w:r>
        <w:rPr>
          <w:spacing w:val="-4"/>
        </w:rPr>
        <w:t>元。其中，计入股本</w:t>
      </w:r>
      <w:r>
        <w:rPr>
          <w:spacing w:val="-51"/>
        </w:rPr>
        <w:t> </w:t>
      </w:r>
      <w:r>
        <w:rPr>
          <w:rFonts w:ascii="Times New Roman" w:hAnsi="Times New Roman" w:cs="Times New Roman" w:eastAsia="Times New Roman" w:hint="default"/>
        </w:rPr>
        <w:t>965,000.00</w:t>
      </w:r>
      <w:r>
        <w:rPr>
          <w:rFonts w:ascii="Times New Roman" w:hAnsi="Times New Roman" w:cs="Times New Roman" w:eastAsia="Times New Roman" w:hint="default"/>
          <w:spacing w:val="-7"/>
        </w:rPr>
        <w:t> </w:t>
      </w:r>
      <w:r>
        <w:rPr/>
        <w:t>元，计入资本公积（股本溢价）</w:t>
      </w:r>
      <w:r>
        <w:rPr>
          <w:rFonts w:ascii="Times New Roman" w:hAnsi="Times New Roman" w:cs="Times New Roman" w:eastAsia="Times New Roman" w:hint="default"/>
        </w:rPr>
        <w:t>4,767,100.00</w:t>
      </w:r>
      <w:r>
        <w:rPr>
          <w:rFonts w:ascii="Times New Roman" w:hAnsi="Times New Roman" w:cs="Times New Roman" w:eastAsia="Times New Roman" w:hint="default"/>
          <w:spacing w:val="-7"/>
        </w:rPr>
        <w:t> </w:t>
      </w:r>
      <w:r>
        <w:rPr/>
        <w:t>元。 </w:t>
      </w:r>
      <w:r>
        <w:rPr>
          <w:spacing w:val="-2"/>
        </w:rPr>
        <w:t>本次增资业经天健会计师事务所（特殊普通合伙）审验，并由其出具《验资报告》（天健验〔</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7-34</w:t>
      </w:r>
      <w:r>
        <w:rPr>
          <w:rFonts w:ascii="Times New Roman" w:hAnsi="Times New Roman" w:cs="Times New Roman" w:eastAsia="Times New Roman" w:hint="default"/>
          <w:spacing w:val="18"/>
        </w:rPr>
        <w:t> </w:t>
      </w:r>
      <w:r>
        <w:rPr>
          <w:spacing w:val="-30"/>
        </w:rPr>
        <w:t>号）。</w:t>
      </w:r>
    </w:p>
    <w:p>
      <w:pPr>
        <w:pStyle w:val="BodyText"/>
        <w:spacing w:line="240" w:lineRule="auto" w:before="59"/>
        <w:ind w:left="411"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日，公司第三届董事会第二十二次会议审议通过了《关于公司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年股权激励计划第一个考核期可行权</w:t>
      </w:r>
    </w:p>
    <w:p>
      <w:pPr>
        <w:pStyle w:val="BodyText"/>
        <w:spacing w:line="240" w:lineRule="auto" w:before="51"/>
        <w:ind w:right="0"/>
        <w:jc w:val="left"/>
      </w:pPr>
      <w:r>
        <w:rPr>
          <w:rFonts w:ascii="Times New Roman" w:hAnsi="Times New Roman" w:cs="Times New Roman" w:eastAsia="Times New Roman" w:hint="default"/>
        </w:rPr>
        <w:t>/</w:t>
      </w:r>
      <w:r>
        <w:rPr/>
        <w:t>解除限售的议案》</w:t>
      </w:r>
      <w:r>
        <w:rPr>
          <w:spacing w:val="-16"/>
        </w:rPr>
        <w:t> </w:t>
      </w:r>
      <w:r>
        <w:rPr>
          <w:spacing w:val="-5"/>
        </w:rPr>
        <w:t>，同意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名激励对象可自主行权，行权期为</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日，可行权股票期权数</w:t>
      </w:r>
    </w:p>
    <w:p>
      <w:pPr>
        <w:pStyle w:val="BodyText"/>
        <w:spacing w:line="240" w:lineRule="auto" w:before="66"/>
        <w:ind w:right="0"/>
        <w:jc w:val="left"/>
      </w:pPr>
      <w:r>
        <w:rPr/>
        <w:t>量为</w:t>
      </w:r>
      <w:r>
        <w:rPr>
          <w:spacing w:val="-46"/>
        </w:rPr>
        <w:t> </w:t>
      </w:r>
      <w:r>
        <w:rPr>
          <w:rFonts w:ascii="Times New Roman" w:hAnsi="Times New Roman" w:cs="Times New Roman" w:eastAsia="Times New Roman" w:hint="default"/>
        </w:rPr>
        <w:t>675,096</w:t>
      </w:r>
      <w:r>
        <w:rPr>
          <w:rFonts w:ascii="Times New Roman" w:hAnsi="Times New Roman" w:cs="Times New Roman" w:eastAsia="Times New Roman" w:hint="default"/>
          <w:spacing w:val="-1"/>
        </w:rPr>
        <w:t> </w:t>
      </w:r>
      <w:r>
        <w:rPr>
          <w:spacing w:val="-3"/>
        </w:rPr>
        <w:t>份，行权价格</w:t>
      </w:r>
      <w:r>
        <w:rPr>
          <w:spacing w:val="-45"/>
        </w:rPr>
        <w:t> </w:t>
      </w:r>
      <w:r>
        <w:rPr>
          <w:rFonts w:ascii="Times New Roman" w:hAnsi="Times New Roman" w:cs="Times New Roman" w:eastAsia="Times New Roman" w:hint="default"/>
        </w:rPr>
        <w:t>6.72</w:t>
      </w:r>
      <w:r>
        <w:rPr>
          <w:rFonts w:ascii="Times New Roman" w:hAnsi="Times New Roman" w:cs="Times New Roman" w:eastAsia="Times New Roman" w:hint="default"/>
          <w:spacing w:val="-1"/>
        </w:rPr>
        <w:t> </w:t>
      </w:r>
      <w:r>
        <w:rPr>
          <w:spacing w:val="-4"/>
        </w:rPr>
        <w:t>元。截至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日，激励对象实际行权股票期权数量为</w:t>
      </w:r>
      <w:r>
        <w:rPr>
          <w:spacing w:val="-44"/>
        </w:rPr>
        <w:t> </w:t>
      </w:r>
      <w:r>
        <w:rPr>
          <w:rFonts w:ascii="Times New Roman" w:hAnsi="Times New Roman" w:cs="Times New Roman" w:eastAsia="Times New Roman" w:hint="default"/>
        </w:rPr>
        <w:t>444,600</w:t>
      </w:r>
      <w:r>
        <w:rPr>
          <w:rFonts w:ascii="Times New Roman" w:hAnsi="Times New Roman" w:cs="Times New Roman" w:eastAsia="Times New Roman" w:hint="default"/>
          <w:spacing w:val="-1"/>
        </w:rPr>
        <w:t> </w:t>
      </w:r>
      <w:r>
        <w:rPr/>
        <w:t>份，未行权股票期</w:t>
      </w:r>
    </w:p>
    <w:p>
      <w:pPr>
        <w:pStyle w:val="BodyText"/>
        <w:spacing w:line="290" w:lineRule="auto" w:before="66"/>
        <w:ind w:right="1088"/>
        <w:jc w:val="left"/>
      </w:pPr>
      <w:r>
        <w:rPr/>
        <w:t>权数量为</w:t>
      </w:r>
      <w:r>
        <w:rPr>
          <w:spacing w:val="-41"/>
        </w:rPr>
        <w:t> </w:t>
      </w:r>
      <w:r>
        <w:rPr>
          <w:rFonts w:ascii="Times New Roman" w:hAnsi="Times New Roman" w:cs="Times New Roman" w:eastAsia="Times New Roman" w:hint="default"/>
        </w:rPr>
        <w:t>230,496</w:t>
      </w:r>
      <w:r>
        <w:rPr>
          <w:rFonts w:ascii="Times New Roman" w:hAnsi="Times New Roman" w:cs="Times New Roman" w:eastAsia="Times New Roman" w:hint="default"/>
          <w:spacing w:val="3"/>
        </w:rPr>
        <w:t> </w:t>
      </w:r>
      <w:r>
        <w:rPr>
          <w:spacing w:val="-7"/>
        </w:rPr>
        <w:t>份。募集资金金额为</w:t>
      </w:r>
      <w:r>
        <w:rPr>
          <w:spacing w:val="-41"/>
        </w:rPr>
        <w:t> </w:t>
      </w:r>
      <w:r>
        <w:rPr>
          <w:rFonts w:ascii="Times New Roman" w:hAnsi="Times New Roman" w:cs="Times New Roman" w:eastAsia="Times New Roman" w:hint="default"/>
        </w:rPr>
        <w:t>2,987,712.00</w:t>
      </w:r>
      <w:r>
        <w:rPr>
          <w:rFonts w:ascii="Times New Roman" w:hAnsi="Times New Roman" w:cs="Times New Roman" w:eastAsia="Times New Roman" w:hint="default"/>
          <w:spacing w:val="4"/>
        </w:rPr>
        <w:t> </w:t>
      </w:r>
      <w:r>
        <w:rPr>
          <w:spacing w:val="-14"/>
        </w:rPr>
        <w:t>元。其中，计入股本</w:t>
      </w:r>
      <w:r>
        <w:rPr>
          <w:spacing w:val="-41"/>
        </w:rPr>
        <w:t> </w:t>
      </w:r>
      <w:r>
        <w:rPr>
          <w:rFonts w:ascii="Times New Roman" w:hAnsi="Times New Roman" w:cs="Times New Roman" w:eastAsia="Times New Roman" w:hint="default"/>
        </w:rPr>
        <w:t>444,600.00</w:t>
      </w:r>
      <w:r>
        <w:rPr>
          <w:rFonts w:ascii="Times New Roman" w:hAnsi="Times New Roman" w:cs="Times New Roman" w:eastAsia="Times New Roman" w:hint="default"/>
          <w:spacing w:val="4"/>
        </w:rPr>
        <w:t> </w:t>
      </w:r>
      <w:r>
        <w:rPr>
          <w:spacing w:val="-8"/>
        </w:rPr>
        <w:t>元，计入资本公积（股本溢价）</w:t>
      </w:r>
      <w:r>
        <w:rPr>
          <w:rFonts w:ascii="Times New Roman" w:hAnsi="Times New Roman" w:cs="Times New Roman" w:eastAsia="Times New Roman" w:hint="default"/>
          <w:spacing w:val="-8"/>
        </w:rPr>
        <w:t>2,543,112.00</w:t>
      </w:r>
      <w:r>
        <w:rPr>
          <w:rFonts w:ascii="Times New Roman" w:hAnsi="Times New Roman" w:cs="Times New Roman" w:eastAsia="Times New Roman" w:hint="default"/>
        </w:rPr>
        <w:t> </w:t>
      </w:r>
      <w:r>
        <w:rPr/>
        <w:t>元。</w:t>
      </w:r>
    </w:p>
    <w:p>
      <w:pPr>
        <w:pStyle w:val="BodyText"/>
        <w:spacing w:line="240" w:lineRule="auto" w:before="87"/>
        <w:ind w:right="0"/>
        <w:jc w:val="left"/>
      </w:pPr>
      <w:r>
        <w:rPr>
          <w:rFonts w:ascii="Times New Roman" w:hAnsi="Times New Roman" w:cs="Times New Roman" w:eastAsia="Times New Roman" w:hint="default"/>
        </w:rPr>
        <w:t>2</w:t>
      </w:r>
      <w:r>
        <w:rPr/>
        <w:t>）资本公积转增股本</w:t>
      </w:r>
    </w:p>
    <w:p>
      <w:pPr>
        <w:pStyle w:val="BodyText"/>
        <w:spacing w:line="240" w:lineRule="auto" w:before="111"/>
        <w:ind w:left="411" w:right="0"/>
        <w:jc w:val="left"/>
      </w:pPr>
      <w:r>
        <w:rPr>
          <w:rFonts w:ascii="Times New Roman" w:hAnsi="Times New Roman" w:cs="Times New Roman" w:eastAsia="Times New Roman" w:hint="default"/>
        </w:rPr>
        <w:t>2019 </w:t>
      </w:r>
      <w:r>
        <w:rPr/>
        <w:t>年</w:t>
      </w:r>
      <w:r>
        <w:rPr>
          <w:spacing w:val="-46"/>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14 </w:t>
      </w:r>
      <w:r>
        <w:rPr/>
        <w:t>日，公司</w:t>
      </w:r>
      <w:r>
        <w:rPr>
          <w:spacing w:val="-45"/>
        </w:rPr>
        <w:t> </w:t>
      </w:r>
      <w:r>
        <w:rPr>
          <w:rFonts w:ascii="Times New Roman" w:hAnsi="Times New Roman" w:cs="Times New Roman" w:eastAsia="Times New Roman" w:hint="default"/>
        </w:rPr>
        <w:t>2018 </w:t>
      </w:r>
      <w:r>
        <w:rPr/>
        <w:t>年年度股东大会审议通过了</w:t>
      </w:r>
      <w:r>
        <w:rPr>
          <w:spacing w:val="-42"/>
        </w:rPr>
        <w:t> </w:t>
      </w:r>
      <w:r>
        <w:rPr>
          <w:rFonts w:ascii="Times New Roman" w:hAnsi="Times New Roman" w:cs="Times New Roman" w:eastAsia="Times New Roman" w:hint="default"/>
        </w:rPr>
        <w:t>2018 </w:t>
      </w:r>
      <w:r>
        <w:rPr/>
        <w:t>年年度权益分派方案，公司按照</w:t>
      </w:r>
      <w:r>
        <w:rPr>
          <w:spacing w:val="-42"/>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16 </w:t>
      </w:r>
      <w:r>
        <w:rPr/>
        <w:t>日当日</w:t>
      </w:r>
    </w:p>
    <w:p>
      <w:pPr>
        <w:pStyle w:val="BodyText"/>
        <w:spacing w:line="240" w:lineRule="auto" w:before="66"/>
        <w:ind w:right="0"/>
        <w:jc w:val="left"/>
      </w:pPr>
      <w:r>
        <w:rPr/>
        <w:t>股本总额计算的</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年度权益分派：以公司现有总股本剔除已回购股份后</w:t>
      </w:r>
      <w:r>
        <w:rPr>
          <w:spacing w:val="-53"/>
        </w:rPr>
        <w:t> </w:t>
      </w:r>
      <w:r>
        <w:rPr>
          <w:rFonts w:ascii="Times New Roman" w:hAnsi="Times New Roman" w:cs="Times New Roman" w:eastAsia="Times New Roman" w:hint="default"/>
        </w:rPr>
        <w:t>405,486,865</w:t>
      </w:r>
      <w:r>
        <w:rPr>
          <w:rFonts w:ascii="Times New Roman" w:hAnsi="Times New Roman" w:cs="Times New Roman" w:eastAsia="Times New Roman" w:hint="default"/>
          <w:spacing w:val="-10"/>
        </w:rPr>
        <w:t> </w:t>
      </w:r>
      <w:r>
        <w:rPr>
          <w:spacing w:val="-3"/>
        </w:rPr>
        <w:t>股为基数，以资本公积金向全体股东</w:t>
      </w:r>
    </w:p>
    <w:p>
      <w:pPr>
        <w:pStyle w:val="BodyText"/>
        <w:spacing w:line="240" w:lineRule="auto" w:before="51"/>
        <w:ind w:right="0"/>
        <w:jc w:val="left"/>
      </w:pPr>
      <w:r>
        <w:rPr/>
        <w:t>每</w:t>
      </w:r>
      <w:r>
        <w:rPr>
          <w:spacing w:val="-45"/>
        </w:rPr>
        <w:t> </w:t>
      </w:r>
      <w:r>
        <w:rPr>
          <w:rFonts w:ascii="Times New Roman" w:hAnsi="Times New Roman" w:cs="Times New Roman" w:eastAsia="Times New Roman" w:hint="default"/>
        </w:rPr>
        <w:t>10 </w:t>
      </w:r>
      <w:r>
        <w:rPr/>
        <w:t>股转增</w:t>
      </w:r>
      <w:r>
        <w:rPr>
          <w:spacing w:val="-45"/>
        </w:rPr>
        <w:t> </w:t>
      </w:r>
      <w:r>
        <w:rPr>
          <w:rFonts w:ascii="Times New Roman" w:hAnsi="Times New Roman" w:cs="Times New Roman" w:eastAsia="Times New Roman" w:hint="default"/>
        </w:rPr>
        <w:t>6.983341 </w:t>
      </w:r>
      <w:r>
        <w:rPr>
          <w:rFonts w:ascii="Times New Roman" w:hAnsi="Times New Roman" w:cs="Times New Roman" w:eastAsia="Times New Roman" w:hint="default"/>
          <w:spacing w:val="1"/>
        </w:rPr>
        <w:t> </w:t>
      </w:r>
      <w:r>
        <w:rPr/>
        <w:t>股，合计转增股本合计转增股份数量为</w:t>
      </w:r>
      <w:r>
        <w:rPr>
          <w:spacing w:val="-41"/>
        </w:rPr>
        <w:t> </w:t>
      </w:r>
      <w:r>
        <w:rPr>
          <w:rFonts w:ascii="Times New Roman" w:hAnsi="Times New Roman" w:cs="Times New Roman" w:eastAsia="Times New Roman" w:hint="default"/>
        </w:rPr>
        <w:t>283,165,304 </w:t>
      </w:r>
      <w:r>
        <w:rPr/>
        <w:t>股，金额</w:t>
      </w:r>
      <w:r>
        <w:rPr>
          <w:spacing w:val="-44"/>
        </w:rPr>
        <w:t> </w:t>
      </w:r>
      <w:r>
        <w:rPr>
          <w:rFonts w:ascii="Times New Roman" w:hAnsi="Times New Roman" w:cs="Times New Roman" w:eastAsia="Times New Roman" w:hint="default"/>
        </w:rPr>
        <w:t>283,165,304.00</w:t>
      </w:r>
      <w:r>
        <w:rPr>
          <w:rFonts w:ascii="Times New Roman" w:hAnsi="Times New Roman" w:cs="Times New Roman" w:eastAsia="Times New Roman" w:hint="default"/>
          <w:spacing w:val="1"/>
        </w:rPr>
        <w:t> </w:t>
      </w:r>
      <w:r>
        <w:rPr/>
        <w:t>元。</w:t>
      </w:r>
    </w:p>
    <w:p>
      <w:pPr>
        <w:pStyle w:val="BodyText"/>
        <w:spacing w:line="240" w:lineRule="auto" w:before="111"/>
        <w:ind w:right="0"/>
        <w:jc w:val="left"/>
      </w:pPr>
      <w:r>
        <w:rPr>
          <w:rFonts w:ascii="Times New Roman" w:hAnsi="Times New Roman" w:cs="Times New Roman" w:eastAsia="Times New Roman" w:hint="default"/>
        </w:rPr>
        <w:t>3</w:t>
      </w:r>
      <w:r>
        <w:rPr/>
        <w:t>）其他变动的情况</w:t>
      </w:r>
    </w:p>
    <w:p>
      <w:pPr>
        <w:pStyle w:val="BodyText"/>
        <w:spacing w:line="240" w:lineRule="auto" w:before="96"/>
        <w:ind w:left="411" w:right="0"/>
        <w:jc w:val="left"/>
      </w:pPr>
      <w:r>
        <w:rPr/>
        <w:t>①</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11 </w:t>
      </w:r>
      <w:r>
        <w:rPr/>
        <w:t>月</w:t>
      </w:r>
      <w:r>
        <w:rPr>
          <w:spacing w:val="-45"/>
        </w:rPr>
        <w:t> </w:t>
      </w:r>
      <w:r>
        <w:rPr>
          <w:rFonts w:ascii="Times New Roman" w:hAnsi="Times New Roman" w:cs="Times New Roman" w:eastAsia="Times New Roman" w:hint="default"/>
        </w:rPr>
        <w:t>9 </w:t>
      </w:r>
      <w:r>
        <w:rPr/>
        <w:t>日</w:t>
      </w:r>
      <w:r>
        <w:rPr>
          <w:spacing w:val="-15"/>
        </w:rPr>
        <w:t>，</w:t>
      </w:r>
      <w:r>
        <w:rPr/>
        <w:t>公司第三届董事会第十三次会议决议通过</w:t>
      </w:r>
      <w:r>
        <w:rPr>
          <w:spacing w:val="-15"/>
        </w:rPr>
        <w:t>的</w:t>
      </w:r>
      <w:r>
        <w:rPr/>
        <w:t>《关于回购注销部分限制性股票的议案</w:t>
      </w:r>
      <w:r>
        <w:rPr>
          <w:spacing w:val="-90"/>
        </w:rPr>
        <w:t>》</w:t>
      </w:r>
      <w:r>
        <w:rPr>
          <w:spacing w:val="-15"/>
        </w:rPr>
        <w:t>，</w:t>
      </w:r>
      <w:r>
        <w:rPr/>
        <w:t>同意回购注</w:t>
      </w:r>
    </w:p>
    <w:p>
      <w:pPr>
        <w:pStyle w:val="BodyText"/>
        <w:spacing w:line="304" w:lineRule="auto" w:before="66"/>
        <w:ind w:right="1009"/>
        <w:jc w:val="left"/>
      </w:pPr>
      <w:r>
        <w:rPr/>
        <w:t>销</w:t>
      </w:r>
      <w:r>
        <w:rPr>
          <w:spacing w:val="-45"/>
        </w:rPr>
        <w:t> </w:t>
      </w:r>
      <w:r>
        <w:rPr>
          <w:rFonts w:ascii="Times New Roman" w:hAnsi="Times New Roman" w:cs="Times New Roman" w:eastAsia="Times New Roman" w:hint="default"/>
        </w:rPr>
        <w:t>7 </w:t>
      </w:r>
      <w:r>
        <w:rPr/>
        <w:t>名激励对象已授予但未满足解锁条件的限制性股票</w:t>
      </w:r>
      <w:r>
        <w:rPr>
          <w:spacing w:val="-40"/>
        </w:rPr>
        <w:t> </w:t>
      </w:r>
      <w:r>
        <w:rPr>
          <w:rFonts w:ascii="Times New Roman" w:hAnsi="Times New Roman" w:cs="Times New Roman" w:eastAsia="Times New Roman" w:hint="default"/>
        </w:rPr>
        <w:t>8.4761 </w:t>
      </w:r>
      <w:r>
        <w:rPr/>
        <w:t>万股。公司向该</w:t>
      </w:r>
      <w:r>
        <w:rPr>
          <w:spacing w:val="-44"/>
        </w:rPr>
        <w:t> </w:t>
      </w:r>
      <w:r>
        <w:rPr>
          <w:rFonts w:ascii="Times New Roman" w:hAnsi="Times New Roman" w:cs="Times New Roman" w:eastAsia="Times New Roman" w:hint="default"/>
        </w:rPr>
        <w:t>7 </w:t>
      </w:r>
      <w:r>
        <w:rPr/>
        <w:t>名激励对象支付回购款</w:t>
      </w:r>
      <w:r>
        <w:rPr>
          <w:spacing w:val="-43"/>
        </w:rPr>
        <w:t> </w:t>
      </w:r>
      <w:r>
        <w:rPr>
          <w:rFonts w:ascii="Times New Roman" w:hAnsi="Times New Roman" w:cs="Times New Roman" w:eastAsia="Times New Roman" w:hint="default"/>
        </w:rPr>
        <w:t>559,926.00</w:t>
      </w:r>
      <w:r>
        <w:rPr>
          <w:rFonts w:ascii="Times New Roman" w:hAnsi="Times New Roman" w:cs="Times New Roman" w:eastAsia="Times New Roman" w:hint="default"/>
          <w:spacing w:val="1"/>
        </w:rPr>
        <w:t> </w:t>
      </w:r>
      <w:r>
        <w:rPr/>
        <w:t>元。本 次减资减少股本</w:t>
      </w:r>
      <w:r>
        <w:rPr>
          <w:spacing w:val="-48"/>
        </w:rPr>
        <w:t> </w:t>
      </w:r>
      <w:r>
        <w:rPr>
          <w:rFonts w:ascii="Times New Roman" w:hAnsi="Times New Roman" w:cs="Times New Roman" w:eastAsia="Times New Roman" w:hint="default"/>
        </w:rPr>
        <w:t>84,761.00</w:t>
      </w:r>
      <w:r>
        <w:rPr>
          <w:rFonts w:ascii="Times New Roman" w:hAnsi="Times New Roman" w:cs="Times New Roman" w:eastAsia="Times New Roman" w:hint="default"/>
          <w:spacing w:val="-3"/>
        </w:rPr>
        <w:t> </w:t>
      </w:r>
      <w:r>
        <w:rPr/>
        <w:t>元，减少资本公积（股本溢价）</w:t>
      </w:r>
      <w:r>
        <w:rPr>
          <w:rFonts w:ascii="Times New Roman" w:hAnsi="Times New Roman" w:cs="Times New Roman" w:eastAsia="Times New Roman" w:hint="default"/>
        </w:rPr>
        <w:t>475,165.00</w:t>
      </w:r>
      <w:r>
        <w:rPr>
          <w:rFonts w:ascii="Times New Roman" w:hAnsi="Times New Roman" w:cs="Times New Roman" w:eastAsia="Times New Roman" w:hint="default"/>
          <w:spacing w:val="-3"/>
        </w:rPr>
        <w:t> </w:t>
      </w:r>
      <w:r>
        <w:rPr/>
        <w:t>元。本次减资业经天健会计师事务所（特殊普通合伙） </w:t>
      </w:r>
      <w:r>
        <w:rPr>
          <w:spacing w:val="-4"/>
        </w:rPr>
        <w:t>审验，并由其出具《验资报告》（天健验〔</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7-9</w:t>
      </w:r>
      <w:r>
        <w:rPr>
          <w:rFonts w:ascii="Times New Roman" w:hAnsi="Times New Roman" w:cs="Times New Roman" w:eastAsia="Times New Roman" w:hint="default"/>
          <w:spacing w:val="21"/>
        </w:rPr>
        <w:t> </w:t>
      </w:r>
      <w:r>
        <w:rPr>
          <w:spacing w:val="-30"/>
        </w:rPr>
        <w:t>号）。</w:t>
      </w:r>
    </w:p>
    <w:p>
      <w:pPr>
        <w:pStyle w:val="BodyText"/>
        <w:spacing w:line="240" w:lineRule="auto" w:before="42"/>
        <w:ind w:left="411" w:right="0"/>
        <w:jc w:val="left"/>
      </w:pPr>
      <w:r>
        <w:rPr/>
        <w:t>②</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日和</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日，公司第三届董事会第二十次会议和第二十一次会议通过的《关于回购注销部分</w:t>
      </w:r>
    </w:p>
    <w:p>
      <w:pPr>
        <w:pStyle w:val="BodyText"/>
        <w:spacing w:line="240" w:lineRule="auto" w:before="66"/>
        <w:ind w:right="0"/>
        <w:jc w:val="left"/>
      </w:pPr>
      <w:r>
        <w:rPr/>
        <w:t>限制性股票的议案》和《关于调整公司第二期股权激励计划相关事项的议案</w:t>
      </w:r>
      <w:r>
        <w:rPr>
          <w:spacing w:val="-90"/>
        </w:rPr>
        <w:t>》</w:t>
      </w:r>
      <w:r>
        <w:rPr/>
        <w:t>，同意回购注销</w:t>
      </w:r>
      <w:r>
        <w:rPr>
          <w:spacing w:val="-37"/>
        </w:rPr>
        <w:t> </w:t>
      </w:r>
      <w:r>
        <w:rPr>
          <w:rFonts w:ascii="Times New Roman" w:hAnsi="Times New Roman" w:cs="Times New Roman" w:eastAsia="Times New Roman" w:hint="default"/>
        </w:rPr>
        <w:t>3 </w:t>
      </w:r>
      <w:r>
        <w:rPr/>
        <w:t>名激励对象已授予但未满足</w:t>
      </w:r>
    </w:p>
    <w:p>
      <w:pPr>
        <w:pStyle w:val="BodyText"/>
        <w:spacing w:line="295" w:lineRule="auto" w:before="66"/>
        <w:ind w:right="1125"/>
        <w:jc w:val="both"/>
      </w:pPr>
      <w:r>
        <w:rPr/>
        <w:t>解锁条件限制性股票</w:t>
      </w:r>
      <w:r>
        <w:rPr>
          <w:spacing w:val="-45"/>
        </w:rPr>
        <w:t> </w:t>
      </w:r>
      <w:r>
        <w:rPr>
          <w:rFonts w:ascii="Times New Roman" w:hAnsi="Times New Roman" w:cs="Times New Roman" w:eastAsia="Times New Roman" w:hint="default"/>
        </w:rPr>
        <w:t>6.8550</w:t>
      </w:r>
      <w:r>
        <w:rPr>
          <w:rFonts w:ascii="Times New Roman" w:hAnsi="Times New Roman" w:cs="Times New Roman" w:eastAsia="Times New Roman" w:hint="default"/>
          <w:spacing w:val="-2"/>
        </w:rPr>
        <w:t> </w:t>
      </w:r>
      <w:r>
        <w:rPr>
          <w:spacing w:val="-3"/>
        </w:rPr>
        <w:t>万股，公司向该</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名激励对象支付回购</w:t>
      </w:r>
      <w:r>
        <w:rPr>
          <w:spacing w:val="-45"/>
        </w:rPr>
        <w:t> </w:t>
      </w:r>
      <w:r>
        <w:rPr>
          <w:rFonts w:ascii="Times New Roman" w:hAnsi="Times New Roman" w:cs="Times New Roman" w:eastAsia="Times New Roman" w:hint="default"/>
        </w:rPr>
        <w:t>306,360.00</w:t>
      </w:r>
      <w:r>
        <w:rPr>
          <w:rFonts w:ascii="Times New Roman" w:hAnsi="Times New Roman" w:cs="Times New Roman" w:eastAsia="Times New Roman" w:hint="default"/>
          <w:spacing w:val="-1"/>
        </w:rPr>
        <w:t> </w:t>
      </w:r>
      <w:r>
        <w:rPr/>
        <w:t>元。本次减资减少股本</w:t>
      </w:r>
      <w:r>
        <w:rPr>
          <w:spacing w:val="-45"/>
        </w:rPr>
        <w:t> </w:t>
      </w:r>
      <w:r>
        <w:rPr>
          <w:rFonts w:ascii="Times New Roman" w:hAnsi="Times New Roman" w:cs="Times New Roman" w:eastAsia="Times New Roman" w:hint="default"/>
        </w:rPr>
        <w:t>68,550.00</w:t>
      </w:r>
      <w:r>
        <w:rPr>
          <w:rFonts w:ascii="Times New Roman" w:hAnsi="Times New Roman" w:cs="Times New Roman" w:eastAsia="Times New Roman" w:hint="default"/>
          <w:spacing w:val="-1"/>
        </w:rPr>
        <w:t> </w:t>
      </w:r>
      <w:r>
        <w:rPr>
          <w:spacing w:val="-3"/>
        </w:rPr>
        <w:t>元，减少资</w:t>
      </w:r>
      <w:r>
        <w:rPr/>
        <w:t> 本公积（股本溢价）</w:t>
      </w:r>
      <w:r>
        <w:rPr>
          <w:rFonts w:ascii="Times New Roman" w:hAnsi="Times New Roman" w:cs="Times New Roman" w:eastAsia="Times New Roman" w:hint="default"/>
        </w:rPr>
        <w:t>237,810.00 </w:t>
      </w:r>
      <w:r>
        <w:rPr>
          <w:spacing w:val="-3"/>
        </w:rPr>
        <w:t>元。本次减资业经天健会计师事务所（特殊普通合伙）审验，并由其出具《验资报告》（天</w:t>
      </w:r>
      <w:r>
        <w:rPr>
          <w:spacing w:val="-57"/>
        </w:rPr>
        <w:t> </w:t>
      </w:r>
      <w:r>
        <w:rPr>
          <w:spacing w:val="-57"/>
        </w:rPr>
      </w:r>
      <w:r>
        <w:rPr/>
        <w:t>健验〔</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7-71 </w:t>
      </w:r>
      <w:r>
        <w:rPr>
          <w:spacing w:val="-30"/>
        </w:rPr>
        <w:t>号）。</w:t>
      </w:r>
    </w:p>
    <w:p>
      <w:pPr>
        <w:pStyle w:val="BodyText"/>
        <w:spacing w:line="240" w:lineRule="auto" w:before="65"/>
        <w:ind w:left="411" w:right="0"/>
        <w:jc w:val="left"/>
      </w:pPr>
      <w:r>
        <w:rPr/>
        <w:t>③</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3"/>
        </w:rPr>
        <w:t>日，公司第三届董事会第二十二次会议和</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年第一次临时股东大会会议通过的《关于注销</w:t>
      </w:r>
      <w:r>
        <w:rPr>
          <w:rFonts w:ascii="Times New Roman" w:hAnsi="Times New Roman" w:cs="Times New Roman" w:eastAsia="Times New Roman" w:hint="default"/>
        </w:rPr>
        <w:t>/</w:t>
      </w:r>
      <w:r>
        <w:rPr/>
        <w:t>回购注销</w:t>
      </w:r>
    </w:p>
    <w:p>
      <w:pPr>
        <w:pStyle w:val="BodyText"/>
        <w:spacing w:line="240" w:lineRule="auto" w:before="66"/>
        <w:ind w:right="0"/>
        <w:jc w:val="left"/>
      </w:pPr>
      <w:r>
        <w:rPr/>
        <w:t>部分股票期权与限制性股票的议案</w:t>
      </w:r>
      <w:r>
        <w:rPr>
          <w:spacing w:val="-90"/>
        </w:rPr>
        <w:t>》</w:t>
      </w:r>
      <w:r>
        <w:rPr/>
        <w:t>，同意回购注销</w:t>
      </w:r>
      <w:r>
        <w:rPr>
          <w:spacing w:val="-40"/>
        </w:rPr>
        <w:t> </w:t>
      </w:r>
      <w:r>
        <w:rPr>
          <w:rFonts w:ascii="Times New Roman" w:hAnsi="Times New Roman" w:cs="Times New Roman" w:eastAsia="Times New Roman" w:hint="default"/>
        </w:rPr>
        <w:t>9 </w:t>
      </w:r>
      <w:r>
        <w:rPr/>
        <w:t>名激励对象已授予但未满足解锁条件限制</w:t>
      </w:r>
      <w:r>
        <w:rPr>
          <w:spacing w:val="4"/>
        </w:rPr>
        <w:t>性</w:t>
      </w:r>
      <w:r>
        <w:rPr/>
        <w:t>股票</w:t>
      </w:r>
      <w:r>
        <w:rPr>
          <w:spacing w:val="-45"/>
        </w:rPr>
        <w:t> </w:t>
      </w:r>
      <w:r>
        <w:rPr>
          <w:rFonts w:ascii="Times New Roman" w:hAnsi="Times New Roman" w:cs="Times New Roman" w:eastAsia="Times New Roman" w:hint="default"/>
        </w:rPr>
        <w:t>590,405</w:t>
      </w:r>
      <w:r>
        <w:rPr>
          <w:rFonts w:ascii="Times New Roman" w:hAnsi="Times New Roman" w:cs="Times New Roman" w:eastAsia="Times New Roman" w:hint="default"/>
          <w:spacing w:val="1"/>
        </w:rPr>
        <w:t> </w:t>
      </w:r>
      <w:r>
        <w:rPr/>
        <w:t>股，公司向</w:t>
      </w:r>
    </w:p>
    <w:p>
      <w:pPr>
        <w:pStyle w:val="BodyText"/>
        <w:spacing w:line="240" w:lineRule="auto" w:before="51"/>
        <w:ind w:right="0"/>
        <w:jc w:val="left"/>
      </w:pPr>
      <w:r>
        <w:rPr/>
        <w:t>该</w:t>
      </w:r>
      <w:r>
        <w:rPr>
          <w:spacing w:val="-45"/>
        </w:rPr>
        <w:t> </w:t>
      </w:r>
      <w:r>
        <w:rPr>
          <w:rFonts w:ascii="Times New Roman" w:hAnsi="Times New Roman" w:cs="Times New Roman" w:eastAsia="Times New Roman" w:hint="default"/>
        </w:rPr>
        <w:t>9 </w:t>
      </w:r>
      <w:r>
        <w:rPr/>
        <w:t>名激励对象支付回购</w:t>
      </w:r>
      <w:r>
        <w:rPr>
          <w:spacing w:val="-43"/>
        </w:rPr>
        <w:t> </w:t>
      </w:r>
      <w:r>
        <w:rPr>
          <w:rFonts w:ascii="Times New Roman" w:hAnsi="Times New Roman" w:cs="Times New Roman" w:eastAsia="Times New Roman" w:hint="default"/>
        </w:rPr>
        <w:t>2,022,332.09</w:t>
      </w:r>
      <w:r>
        <w:rPr>
          <w:rFonts w:ascii="Times New Roman" w:hAnsi="Times New Roman" w:cs="Times New Roman" w:eastAsia="Times New Roman" w:hint="default"/>
          <w:spacing w:val="1"/>
        </w:rPr>
        <w:t> </w:t>
      </w:r>
      <w:r>
        <w:rPr/>
        <w:t>元。本次减资减少股本</w:t>
      </w:r>
      <w:r>
        <w:rPr>
          <w:spacing w:val="-43"/>
        </w:rPr>
        <w:t> </w:t>
      </w:r>
      <w:r>
        <w:rPr>
          <w:rFonts w:ascii="Times New Roman" w:hAnsi="Times New Roman" w:cs="Times New Roman" w:eastAsia="Times New Roman" w:hint="default"/>
        </w:rPr>
        <w:t>590,405.00 </w:t>
      </w:r>
      <w:r>
        <w:rPr/>
        <w:t>元，减少资本公积人民币</w:t>
      </w:r>
      <w:r>
        <w:rPr>
          <w:spacing w:val="-43"/>
        </w:rPr>
        <w:t> </w:t>
      </w:r>
      <w:r>
        <w:rPr>
          <w:rFonts w:ascii="Times New Roman" w:hAnsi="Times New Roman" w:cs="Times New Roman" w:eastAsia="Times New Roman" w:hint="default"/>
        </w:rPr>
        <w:t>1,431,927.09</w:t>
      </w:r>
      <w:r>
        <w:rPr>
          <w:rFonts w:ascii="Times New Roman" w:hAnsi="Times New Roman" w:cs="Times New Roman" w:eastAsia="Times New Roman" w:hint="default"/>
          <w:spacing w:val="1"/>
        </w:rPr>
        <w:t> </w:t>
      </w:r>
      <w:r>
        <w:rPr/>
        <w:t>元。本次减</w:t>
      </w:r>
    </w:p>
    <w:p>
      <w:pPr>
        <w:spacing w:after="0" w:line="240" w:lineRule="auto"/>
        <w:jc w:val="left"/>
        <w:sectPr>
          <w:pgSz w:w="11910" w:h="16850"/>
          <w:pgMar w:header="776" w:footer="1026" w:top="1100" w:bottom="1220" w:left="1000" w:right="0"/>
        </w:sectPr>
      </w:pPr>
    </w:p>
    <w:p>
      <w:pPr>
        <w:spacing w:line="240" w:lineRule="auto" w:before="10"/>
        <w:rPr>
          <w:rFonts w:ascii="宋体" w:hAnsi="宋体" w:cs="宋体" w:eastAsia="宋体" w:hint="default"/>
          <w:sz w:val="23"/>
          <w:szCs w:val="23"/>
        </w:rPr>
      </w:pPr>
    </w:p>
    <w:p>
      <w:pPr>
        <w:pStyle w:val="BodyText"/>
        <w:spacing w:line="240" w:lineRule="auto" w:before="44"/>
        <w:ind w:right="0"/>
        <w:jc w:val="left"/>
      </w:pPr>
      <w:r>
        <w:rPr/>
        <w:t>资业经天健会计师事务所（特殊普通合伙）审验，并由其出具《验资报告</w:t>
      </w:r>
      <w:r>
        <w:rPr>
          <w:spacing w:val="-90"/>
        </w:rPr>
        <w:t>》</w:t>
      </w:r>
      <w:r>
        <w:rPr/>
        <w:t>（天健验</w:t>
      </w:r>
      <w:r>
        <w:rPr>
          <w:spacing w:val="8"/>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7-83 </w:t>
      </w:r>
      <w:r>
        <w:rPr/>
        <w:t>号</w:t>
      </w:r>
      <w:r>
        <w:rPr>
          <w:spacing w:val="-90"/>
        </w:rPr>
        <w:t>）</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bookmarkStart w:name="54、其他权益工具" w:id="360"/>
      <w:bookmarkEnd w:id="36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期末发行在外的优先股、永续债等其他金融工具基本情况" w:id="361"/>
      <w:bookmarkEnd w:id="36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2）期末发行在外的优先股、永续债等金融工具变动情况表" w:id="362"/>
      <w:bookmarkEnd w:id="36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0"/>
        <w:rPr>
          <w:rFonts w:ascii="宋体" w:hAnsi="宋体" w:cs="宋体" w:eastAsia="宋体" w:hint="default"/>
          <w:sz w:val="5"/>
          <w:szCs w:val="5"/>
        </w:rPr>
      </w:pPr>
    </w:p>
    <w:p>
      <w:pPr>
        <w:pStyle w:val="BodyText"/>
        <w:spacing w:line="504" w:lineRule="auto" w:before="44"/>
        <w:ind w:right="4629"/>
        <w:jc w:val="left"/>
      </w:pPr>
      <w:r>
        <w:rPr/>
        <w:t>其他权益工具本期增减变动情况、变动原因说明，以及相关会计处理的依据： 其他说明：</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55、资本公积" w:id="363"/>
      <w:bookmarkEnd w:id="36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487,919,522.65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26,307,844.40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285,310,206.09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228,917,160.96</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17,053,806.10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25,481,320.53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18,948,800.10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23,586,326.53</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504,973,328.75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51,789,164.93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304,259,006.19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252,503,487.49</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其他说明，包括本期增减变动情况、变动原因说明：</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1</w:t>
      </w:r>
      <w:r>
        <w:rPr/>
        <w:t>）资本溢价本期变动说明</w:t>
      </w:r>
    </w:p>
    <w:p>
      <w:pPr>
        <w:spacing w:line="240" w:lineRule="auto" w:before="2"/>
        <w:rPr>
          <w:rFonts w:ascii="宋体" w:hAnsi="宋体" w:cs="宋体" w:eastAsia="宋体" w:hint="default"/>
          <w:sz w:val="21"/>
          <w:szCs w:val="21"/>
        </w:rPr>
      </w:pPr>
    </w:p>
    <w:p>
      <w:pPr>
        <w:pStyle w:val="BodyText"/>
        <w:spacing w:line="240" w:lineRule="auto"/>
        <w:ind w:right="0"/>
        <w:jc w:val="left"/>
      </w:pPr>
      <w:r>
        <w:rPr/>
        <w:t>①限制性股票本年部分解锁，增加资本溢价（股本溢价）</w:t>
      </w:r>
      <w:r>
        <w:rPr>
          <w:rFonts w:ascii="Times New Roman" w:hAnsi="Times New Roman" w:cs="Times New Roman" w:eastAsia="Times New Roman" w:hint="default"/>
        </w:rPr>
        <w:t>17,023,987.00</w:t>
      </w:r>
      <w:r>
        <w:rPr>
          <w:rFonts w:ascii="Times New Roman" w:hAnsi="Times New Roman" w:cs="Times New Roman" w:eastAsia="Times New Roman" w:hint="default"/>
          <w:spacing w:val="6"/>
        </w:rPr>
        <w:t> </w:t>
      </w:r>
      <w:r>
        <w:rPr/>
        <w:t>元。期权本年部分行权，增加资本溢价（股本溢价）</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363,800.00 </w:t>
      </w:r>
      <w:r>
        <w:rPr/>
        <w:t>元。润安科技限制性股票第一次解禁，增加资本溢价（股本溢价）</w:t>
      </w:r>
      <w:r>
        <w:rPr>
          <w:rFonts w:ascii="Times New Roman" w:hAnsi="Times New Roman" w:cs="Times New Roman" w:eastAsia="Times New Roman" w:hint="default"/>
        </w:rPr>
        <w:t>1,561,013.10</w:t>
      </w:r>
      <w:r>
        <w:rPr>
          <w:rFonts w:ascii="Times New Roman" w:hAnsi="Times New Roman" w:cs="Times New Roman" w:eastAsia="Times New Roman" w:hint="default"/>
          <w:spacing w:val="8"/>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t>②回购限制性股票导致不能发放的分红，增加资本公积（股本溢价 ）</w:t>
      </w:r>
      <w:r>
        <w:rPr>
          <w:rFonts w:ascii="Times New Roman" w:hAnsi="Times New Roman" w:cs="Times New Roman" w:eastAsia="Times New Roman" w:hint="default"/>
        </w:rPr>
        <w:t>48,832.30</w:t>
      </w:r>
      <w:r>
        <w:rPr>
          <w:rFonts w:ascii="Times New Roman" w:hAnsi="Times New Roman" w:cs="Times New Roman" w:eastAsia="Times New Roman" w:hint="default"/>
          <w:spacing w:val="7"/>
        </w:rPr>
        <w:t> </w:t>
      </w:r>
      <w:r>
        <w:rPr/>
        <w:t>元。</w:t>
      </w:r>
    </w:p>
    <w:p>
      <w:pPr>
        <w:spacing w:line="240" w:lineRule="auto" w:before="1"/>
        <w:rPr>
          <w:rFonts w:ascii="宋体" w:hAnsi="宋体" w:cs="宋体" w:eastAsia="宋体" w:hint="default"/>
          <w:sz w:val="21"/>
          <w:szCs w:val="21"/>
        </w:rPr>
      </w:pPr>
    </w:p>
    <w:p>
      <w:pPr>
        <w:pStyle w:val="BodyText"/>
        <w:spacing w:line="434" w:lineRule="auto"/>
        <w:ind w:right="0"/>
        <w:jc w:val="left"/>
      </w:pPr>
      <w:r>
        <w:rPr>
          <w:spacing w:val="-3"/>
        </w:rPr>
        <w:t>③激励对象认购限制性股票增加资本溢价（股本溢价）</w:t>
      </w:r>
      <w:r>
        <w:rPr>
          <w:rFonts w:ascii="Times New Roman" w:hAnsi="Times New Roman" w:cs="Times New Roman" w:eastAsia="Times New Roman" w:hint="default"/>
          <w:spacing w:val="-3"/>
        </w:rPr>
        <w:t>4,767,100.00</w:t>
      </w:r>
      <w:r>
        <w:rPr>
          <w:rFonts w:ascii="Times New Roman" w:hAnsi="Times New Roman" w:cs="Times New Roman" w:eastAsia="Times New Roman" w:hint="default"/>
          <w:spacing w:val="6"/>
        </w:rPr>
        <w:t> </w:t>
      </w:r>
      <w:r>
        <w:rPr>
          <w:spacing w:val="-5"/>
        </w:rPr>
        <w:t>元；激励对象行权增加资本溢价（股本溢价）</w:t>
      </w:r>
      <w:r>
        <w:rPr>
          <w:rFonts w:ascii="Times New Roman" w:hAnsi="Times New Roman" w:cs="Times New Roman" w:eastAsia="Times New Roman" w:hint="default"/>
          <w:spacing w:val="-5"/>
        </w:rPr>
        <w:t>2,543,112.00</w:t>
      </w:r>
      <w:r>
        <w:rPr>
          <w:rFonts w:ascii="Times New Roman" w:hAnsi="Times New Roman" w:cs="Times New Roman" w:eastAsia="Times New Roman" w:hint="default"/>
          <w:spacing w:val="-41"/>
        </w:rPr>
        <w:t> </w:t>
      </w:r>
      <w:r>
        <w:rPr/>
        <w:t>元。详见本财务报表附注七之</w:t>
      </w:r>
      <w:r>
        <w:rPr>
          <w:spacing w:val="-43"/>
        </w:rPr>
        <w:t> </w:t>
      </w:r>
      <w:r>
        <w:rPr>
          <w:rFonts w:ascii="Times New Roman" w:hAnsi="Times New Roman" w:cs="Times New Roman" w:eastAsia="Times New Roman" w:hint="default"/>
        </w:rPr>
        <w:t>53</w:t>
      </w:r>
      <w:r>
        <w:rPr/>
        <w:t>、股本说明。</w:t>
      </w:r>
    </w:p>
    <w:p>
      <w:pPr>
        <w:pStyle w:val="BodyText"/>
        <w:spacing w:line="240" w:lineRule="auto" w:before="99"/>
        <w:ind w:right="0"/>
        <w:jc w:val="left"/>
      </w:pPr>
      <w:r>
        <w:rPr/>
        <w:t>④资本公积转增股本，减少资本溢价（股本溢价）</w:t>
      </w:r>
      <w:r>
        <w:rPr>
          <w:rFonts w:ascii="Times New Roman" w:hAnsi="Times New Roman" w:cs="Times New Roman" w:eastAsia="Times New Roman" w:hint="default"/>
        </w:rPr>
        <w:t>283,165,304.00 </w:t>
      </w:r>
      <w:r>
        <w:rPr/>
        <w:t>元。详见本财务报表附注七之</w:t>
      </w:r>
      <w:r>
        <w:rPr>
          <w:spacing w:val="-36"/>
        </w:rPr>
        <w:t> </w:t>
      </w:r>
      <w:r>
        <w:rPr>
          <w:rFonts w:ascii="Times New Roman" w:hAnsi="Times New Roman" w:cs="Times New Roman" w:eastAsia="Times New Roman" w:hint="default"/>
        </w:rPr>
        <w:t>53</w:t>
      </w:r>
      <w:r>
        <w:rPr/>
        <w:t>、股本说明。</w:t>
      </w:r>
    </w:p>
    <w:p>
      <w:pPr>
        <w:spacing w:line="240" w:lineRule="auto" w:before="11"/>
        <w:rPr>
          <w:rFonts w:ascii="宋体" w:hAnsi="宋体" w:cs="宋体" w:eastAsia="宋体" w:hint="default"/>
          <w:sz w:val="18"/>
          <w:szCs w:val="18"/>
        </w:rPr>
      </w:pPr>
    </w:p>
    <w:p>
      <w:pPr>
        <w:pStyle w:val="BodyText"/>
        <w:spacing w:line="491" w:lineRule="auto"/>
        <w:ind w:right="1606"/>
        <w:jc w:val="left"/>
      </w:pPr>
      <w:r>
        <w:rPr/>
        <w:t>⑤回购未满足解锁条件股份，减少资本溢价（股本溢价）</w:t>
      </w:r>
      <w:r>
        <w:rPr>
          <w:rFonts w:ascii="Times New Roman" w:hAnsi="Times New Roman" w:cs="Times New Roman" w:eastAsia="Times New Roman" w:hint="default"/>
        </w:rPr>
        <w:t>2,144,902.09 </w:t>
      </w:r>
      <w:r>
        <w:rPr/>
        <w:t>元。详见本财务报表附注七之</w:t>
      </w:r>
      <w:r>
        <w:rPr>
          <w:spacing w:val="-37"/>
        </w:rPr>
        <w:t> </w:t>
      </w:r>
      <w:r>
        <w:rPr>
          <w:rFonts w:ascii="Times New Roman" w:hAnsi="Times New Roman" w:cs="Times New Roman" w:eastAsia="Times New Roman" w:hint="default"/>
        </w:rPr>
        <w:t>53</w:t>
      </w:r>
      <w:r>
        <w:rPr/>
        <w:t>、股本说明。 </w:t>
      </w:r>
      <w:r>
        <w:rPr>
          <w:rFonts w:ascii="Times New Roman" w:hAnsi="Times New Roman" w:cs="Times New Roman" w:eastAsia="Times New Roman" w:hint="default"/>
        </w:rPr>
        <w:t>2</w:t>
      </w:r>
      <w:r>
        <w:rPr/>
        <w:t>）其他资本公积本期变动说明</w:t>
      </w:r>
    </w:p>
    <w:p>
      <w:pPr>
        <w:pStyle w:val="BodyText"/>
        <w:spacing w:line="240" w:lineRule="auto" w:before="52"/>
        <w:ind w:right="0"/>
        <w:jc w:val="left"/>
      </w:pPr>
      <w:r>
        <w:rPr/>
        <w:t>①摊销股权激励成本增加其他资本公积</w:t>
      </w:r>
      <w:r>
        <w:rPr>
          <w:spacing w:val="-42"/>
        </w:rPr>
        <w:t> </w:t>
      </w:r>
      <w:r>
        <w:rPr>
          <w:rFonts w:ascii="Times New Roman" w:hAnsi="Times New Roman" w:cs="Times New Roman" w:eastAsia="Times New Roman" w:hint="default"/>
        </w:rPr>
        <w:t>15,013,338.00</w:t>
      </w:r>
      <w:r>
        <w:rPr>
          <w:rFonts w:ascii="Times New Roman" w:hAnsi="Times New Roman" w:cs="Times New Roman" w:eastAsia="Times New Roman" w:hint="default"/>
          <w:spacing w:val="1"/>
        </w:rPr>
        <w:t> </w:t>
      </w:r>
      <w:r>
        <w:rPr/>
        <w:t>元。</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②子公司润安科技摊销股权激励成本增加其他资本公积</w:t>
      </w:r>
      <w:r>
        <w:rPr>
          <w:spacing w:val="-40"/>
        </w:rPr>
        <w:t> </w:t>
      </w:r>
      <w:r>
        <w:rPr>
          <w:rFonts w:ascii="Times New Roman" w:hAnsi="Times New Roman" w:cs="Times New Roman" w:eastAsia="Times New Roman" w:hint="default"/>
        </w:rPr>
        <w:t>1,393,982.98</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t>③股权激励确认的递延所得税增加其他资本公积</w:t>
      </w:r>
      <w:r>
        <w:rPr>
          <w:spacing w:val="-41"/>
        </w:rPr>
        <w:t> </w:t>
      </w:r>
      <w:r>
        <w:rPr>
          <w:rFonts w:ascii="Times New Roman" w:hAnsi="Times New Roman" w:cs="Times New Roman" w:eastAsia="Times New Roman" w:hint="default"/>
        </w:rPr>
        <w:t>9,073,999.55</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BodyText"/>
        <w:spacing w:line="240" w:lineRule="auto"/>
        <w:ind w:right="0"/>
        <w:jc w:val="left"/>
      </w:pPr>
      <w:r>
        <w:rPr/>
        <w:t>④限制性股票本年部分解锁，减少其他资本公积</w:t>
      </w:r>
      <w:r>
        <w:rPr>
          <w:spacing w:val="-41"/>
        </w:rPr>
        <w:t> </w:t>
      </w:r>
      <w:r>
        <w:rPr>
          <w:rFonts w:ascii="Times New Roman" w:hAnsi="Times New Roman" w:cs="Times New Roman" w:eastAsia="Times New Roman" w:hint="default"/>
        </w:rPr>
        <w:t>17,023,987.00</w:t>
      </w:r>
      <w:r>
        <w:rPr>
          <w:rFonts w:ascii="Times New Roman" w:hAnsi="Times New Roman" w:cs="Times New Roman" w:eastAsia="Times New Roman" w:hint="default"/>
          <w:spacing w:val="1"/>
        </w:rPr>
        <w:t> </w:t>
      </w:r>
      <w:r>
        <w:rPr/>
        <w:t>元。期权本年部分行权，减少其他资本公积</w:t>
      </w:r>
      <w:r>
        <w:rPr>
          <w:spacing w:val="-41"/>
        </w:rPr>
        <w:t> </w:t>
      </w:r>
      <w:r>
        <w:rPr>
          <w:rFonts w:ascii="Times New Roman" w:hAnsi="Times New Roman" w:cs="Times New Roman" w:eastAsia="Times New Roman" w:hint="default"/>
        </w:rPr>
        <w:t>363,800.00</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15"/>
          <w:szCs w:val="15"/>
        </w:rPr>
      </w:pPr>
    </w:p>
    <w:p>
      <w:pPr>
        <w:pStyle w:val="BodyText"/>
        <w:spacing w:line="240" w:lineRule="auto"/>
        <w:ind w:right="0"/>
        <w:jc w:val="left"/>
      </w:pPr>
      <w:r>
        <w:rPr/>
        <w:t>润安科技限制性股票第一次解禁，减少其他资本公积</w:t>
      </w:r>
      <w:r>
        <w:rPr>
          <w:spacing w:val="-40"/>
        </w:rPr>
        <w:t> </w:t>
      </w:r>
      <w:r>
        <w:rPr>
          <w:rFonts w:ascii="Times New Roman" w:hAnsi="Times New Roman" w:cs="Times New Roman" w:eastAsia="Times New Roman" w:hint="default"/>
        </w:rPr>
        <w:t>1,561,013.10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6、库存股" w:id="364"/>
      <w:bookmarkEnd w:id="36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股权激励需回购的库存 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94,072,447.16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5,732,100.00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42,748,137.43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57,056,409.73</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公司回购库存股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18,995,303.67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32,491,116.90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51,486,420.57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113,067,750.83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38,223,216.90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42,748,137.43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108,542,830.30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其他说明，包括本期增减变动情况、变动原因说明：</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）本期增加</w:t>
      </w:r>
    </w:p>
    <w:p>
      <w:pPr>
        <w:spacing w:line="240" w:lineRule="auto" w:before="1"/>
        <w:rPr>
          <w:rFonts w:ascii="宋体" w:hAnsi="宋体" w:cs="宋体" w:eastAsia="宋体" w:hint="default"/>
          <w:sz w:val="21"/>
          <w:szCs w:val="21"/>
        </w:rPr>
      </w:pPr>
    </w:p>
    <w:p>
      <w:pPr>
        <w:pStyle w:val="BodyText"/>
        <w:spacing w:line="240" w:lineRule="auto"/>
        <w:ind w:right="0"/>
        <w:jc w:val="left"/>
      </w:pPr>
      <w:r>
        <w:rPr/>
        <w:t>本期增加系公司对于第三期股权激励预留部分完成了授予增加库存股</w:t>
      </w:r>
      <w:r>
        <w:rPr>
          <w:spacing w:val="-39"/>
        </w:rPr>
        <w:t> </w:t>
      </w:r>
      <w:r>
        <w:rPr>
          <w:rFonts w:ascii="Times New Roman" w:hAnsi="Times New Roman" w:cs="Times New Roman" w:eastAsia="Times New Roman" w:hint="default"/>
        </w:rPr>
        <w:t>5,732,100.00</w:t>
      </w:r>
      <w:r>
        <w:rPr>
          <w:rFonts w:ascii="Times New Roman" w:hAnsi="Times New Roman" w:cs="Times New Roman" w:eastAsia="Times New Roman" w:hint="default"/>
          <w:spacing w:val="1"/>
        </w:rPr>
        <w:t> </w:t>
      </w:r>
      <w:r>
        <w:rPr/>
        <w:t>元；本年度回购公司股份增加库存股</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32,491,116.90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）本期减少</w:t>
      </w:r>
    </w:p>
    <w:p>
      <w:pPr>
        <w:spacing w:line="240" w:lineRule="auto" w:before="1"/>
        <w:rPr>
          <w:rFonts w:ascii="宋体" w:hAnsi="宋体" w:cs="宋体" w:eastAsia="宋体" w:hint="default"/>
          <w:sz w:val="21"/>
          <w:szCs w:val="21"/>
        </w:rPr>
      </w:pPr>
    </w:p>
    <w:p>
      <w:pPr>
        <w:pStyle w:val="BodyText"/>
        <w:spacing w:line="240" w:lineRule="auto"/>
        <w:ind w:right="0"/>
        <w:jc w:val="left"/>
      </w:pPr>
      <w:r>
        <w:rPr/>
        <w:t>本期减少的库存股系当期回购限制性股票减少库存股</w:t>
      </w:r>
      <w:r>
        <w:rPr>
          <w:spacing w:val="-58"/>
        </w:rPr>
        <w:t> </w:t>
      </w:r>
      <w:r>
        <w:rPr>
          <w:rFonts w:ascii="Times New Roman" w:hAnsi="Times New Roman" w:cs="Times New Roman" w:eastAsia="Times New Roman" w:hint="default"/>
        </w:rPr>
        <w:t>2,865,039.80</w:t>
      </w:r>
      <w:r>
        <w:rPr>
          <w:rFonts w:ascii="Times New Roman" w:hAnsi="Times New Roman" w:cs="Times New Roman" w:eastAsia="Times New Roman" w:hint="default"/>
          <w:spacing w:val="-13"/>
        </w:rPr>
        <w:t> </w:t>
      </w:r>
      <w:r>
        <w:rPr/>
        <w:t>元；本期限制性股票达到解锁条件无需回购冲减的库存股</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39,486,646.59</w:t>
      </w:r>
      <w:r>
        <w:rPr>
          <w:rFonts w:ascii="Times New Roman" w:hAnsi="Times New Roman" w:cs="Times New Roman" w:eastAsia="Times New Roman" w:hint="default"/>
          <w:spacing w:val="1"/>
        </w:rPr>
        <w:t> </w:t>
      </w:r>
      <w:r>
        <w:rPr/>
        <w:t>元。本期股权激励对应现金股利变动所影响的库存股</w:t>
      </w:r>
      <w:r>
        <w:rPr>
          <w:spacing w:val="-40"/>
        </w:rPr>
        <w:t> </w:t>
      </w:r>
      <w:r>
        <w:rPr>
          <w:rFonts w:ascii="Times New Roman" w:hAnsi="Times New Roman" w:cs="Times New Roman" w:eastAsia="Times New Roman" w:hint="default"/>
        </w:rPr>
        <w:t>396,451.04</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7、其他综合收益" w:id="365"/>
      <w:bookmarkEnd w:id="36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553"/>
        <w:gridCol w:w="976"/>
        <w:gridCol w:w="856"/>
        <w:gridCol w:w="1051"/>
        <w:gridCol w:w="857"/>
        <w:gridCol w:w="856"/>
        <w:gridCol w:w="856"/>
        <w:gridCol w:w="841"/>
        <w:gridCol w:w="736"/>
      </w:tblGrid>
      <w:tr>
        <w:trPr>
          <w:trHeight w:val="390" w:hRule="exact"/>
        </w:trPr>
        <w:tc>
          <w:tcPr>
            <w:tcW w:w="255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04" w:lineRule="auto"/>
              <w:ind w:left="270" w:right="88" w:hanging="181"/>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51" w:hRule="exact"/>
        </w:trPr>
        <w:tc>
          <w:tcPr>
            <w:tcW w:w="2553"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其他说明，包括对现金流量套期损益的有效部分转为被套期项目初始确认金额调整：</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58、专项储备" w:id="366"/>
      <w:bookmarkEnd w:id="36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9、盈余公积" w:id="367"/>
      <w:bookmarkEnd w:id="36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45,887,798.57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9,757,162.63</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55,644,961.20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45,887,798.57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9,757,162.63</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55,644,961.20</w:t>
            </w:r>
          </w:p>
        </w:tc>
      </w:tr>
    </w:tbl>
    <w:p>
      <w:pPr>
        <w:spacing w:line="240" w:lineRule="auto" w:before="10"/>
        <w:rPr>
          <w:rFonts w:ascii="宋体" w:hAnsi="宋体" w:cs="宋体" w:eastAsia="宋体" w:hint="default"/>
          <w:sz w:val="5"/>
          <w:szCs w:val="5"/>
        </w:rPr>
      </w:pPr>
    </w:p>
    <w:p>
      <w:pPr>
        <w:pStyle w:val="BodyText"/>
        <w:spacing w:line="504" w:lineRule="auto" w:before="44"/>
        <w:ind w:right="5872"/>
        <w:jc w:val="left"/>
      </w:pPr>
      <w:r>
        <w:rPr/>
        <w:t>盈余公积说明，包括本期增减变动情况、变动原因说明： 报告期根据母公司净利润按</w:t>
      </w:r>
      <w:r>
        <w:rPr>
          <w:spacing w:val="-43"/>
        </w:rPr>
        <w:t> </w:t>
      </w:r>
      <w:r>
        <w:rPr>
          <w:rFonts w:ascii="Times New Roman" w:hAnsi="Times New Roman" w:cs="Times New Roman" w:eastAsia="Times New Roman" w:hint="default"/>
        </w:rPr>
        <w:t>10%</w:t>
      </w:r>
      <w:r>
        <w:rPr/>
        <w:t>的比例计提法定盈余公积金。</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60、未分配利润" w:id="368"/>
      <w:bookmarkEnd w:id="36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411,342,892.28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302,523,866.21</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411,342,892.28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302,523,866.21</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154,431,200.03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140,225,348.38</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9,757,162.63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9,132,579.06</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20,226,029.71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22,273,743.25</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535,790,899.97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411,342,892.28</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调整期初未分配利润明细：</w:t>
      </w:r>
    </w:p>
    <w:p>
      <w:pPr>
        <w:spacing w:line="240" w:lineRule="auto" w:before="1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6"/>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spacing w:val="-42"/>
        </w:rPr>
        <w:t> </w:t>
      </w:r>
      <w:r>
        <w:rPr>
          <w:rFonts w:ascii="Times New Roman" w:hAnsi="Times New Roman" w:cs="Times New Roman" w:eastAsia="Times New Roman" w:hint="default"/>
        </w:rPr>
        <w:t>0.00</w:t>
      </w:r>
      <w:r>
        <w:rPr>
          <w:rFonts w:ascii="Times New Roman" w:hAnsi="Times New Roman" w:cs="Times New Roman" w:eastAsia="Times New Roman" w:hint="default"/>
          <w:spacing w:val="-15"/>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42"/>
        </w:rPr>
        <w:t> </w:t>
      </w:r>
      <w:r>
        <w:rPr>
          <w:rFonts w:ascii="Times New Roman" w:hAnsi="Times New Roman" w:cs="Times New Roman" w:eastAsia="Times New Roman" w:hint="default"/>
        </w:rPr>
        <w:t>0.00</w:t>
      </w:r>
      <w:r>
        <w:rPr>
          <w:rFonts w:ascii="Times New Roman" w:hAnsi="Times New Roman" w:cs="Times New Roman" w:eastAsia="Times New Roman" w:hint="default"/>
          <w:spacing w:val="-15"/>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5"/>
        </w:rPr>
        <w:t> </w:t>
      </w:r>
      <w:r>
        <w:rPr/>
        <w:t>元。</w:t>
      </w:r>
    </w:p>
    <w:p>
      <w:pPr>
        <w:spacing w:line="240" w:lineRule="auto" w:before="13"/>
        <w:rPr>
          <w:rFonts w:ascii="宋体" w:hAnsi="宋体" w:cs="宋体" w:eastAsia="宋体" w:hint="default"/>
          <w:sz w:val="19"/>
          <w:szCs w:val="19"/>
        </w:rPr>
      </w:pPr>
    </w:p>
    <w:p>
      <w:pPr>
        <w:pStyle w:val="BodyText"/>
        <w:spacing w:line="477" w:lineRule="auto"/>
        <w:ind w:right="7131"/>
        <w:jc w:val="left"/>
      </w:pPr>
      <w:r>
        <w:rPr>
          <w:rFonts w:ascii="Times New Roman" w:hAnsi="Times New Roman" w:cs="Times New Roman" w:eastAsia="Times New Roman" w:hint="default"/>
        </w:rPr>
        <w:t>5)</w:t>
      </w:r>
      <w:r>
        <w:rPr/>
        <w:t>其他调整合计影响期初未分配利润</w:t>
      </w:r>
      <w:r>
        <w:rPr>
          <w:spacing w:val="-42"/>
        </w:rPr>
        <w:t> </w:t>
      </w:r>
      <w:r>
        <w:rPr>
          <w:rFonts w:ascii="Times New Roman" w:hAnsi="Times New Roman" w:cs="Times New Roman" w:eastAsia="Times New Roman" w:hint="default"/>
        </w:rPr>
        <w:t>0.00 </w:t>
      </w:r>
      <w:r>
        <w:rPr/>
        <w:t>元。</w:t>
      </w:r>
      <w:r>
        <w:rPr>
          <w:w w:val="99"/>
        </w:rPr>
        <w:t> </w:t>
      </w:r>
      <w:r>
        <w:rPr/>
        <w:t>其他说明</w:t>
      </w:r>
    </w:p>
    <w:p>
      <w:pPr>
        <w:spacing w:after="0" w:line="477"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240" w:lineRule="auto" w:before="44"/>
        <w:ind w:right="0"/>
        <w:jc w:val="left"/>
      </w:pP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w:t>
      </w:r>
      <w:r>
        <w:rPr>
          <w:spacing w:val="-45"/>
        </w:rPr>
        <w:t> </w:t>
      </w:r>
      <w:r>
        <w:rPr>
          <w:rFonts w:ascii="宋体" w:hAnsi="宋体" w:cs="宋体" w:eastAsia="宋体" w:hint="default"/>
          <w:spacing w:val="7"/>
        </w:rPr>
        <w:t>14</w:t>
      </w:r>
      <w:r>
        <w:rPr>
          <w:rFonts w:ascii="宋体" w:hAnsi="宋体" w:cs="宋体" w:eastAsia="宋体" w:hint="default"/>
          <w:spacing w:val="-44"/>
        </w:rPr>
        <w:t> </w:t>
      </w:r>
      <w:r>
        <w:rPr/>
        <w:t>日，公司</w:t>
      </w:r>
      <w:r>
        <w:rPr>
          <w:spacing w:val="-43"/>
        </w:rPr>
        <w:t> </w:t>
      </w:r>
      <w:r>
        <w:rPr>
          <w:rFonts w:ascii="宋体" w:hAnsi="宋体" w:cs="宋体" w:eastAsia="宋体" w:hint="default"/>
        </w:rPr>
        <w:t>2018</w:t>
      </w:r>
      <w:r>
        <w:rPr>
          <w:rFonts w:ascii="宋体" w:hAnsi="宋体" w:cs="宋体" w:eastAsia="宋体" w:hint="default"/>
          <w:spacing w:val="-44"/>
        </w:rPr>
        <w:t> </w:t>
      </w:r>
      <w:r>
        <w:rPr/>
        <w:t>年年度股东大会审议通过</w:t>
      </w:r>
      <w:r>
        <w:rPr>
          <w:spacing w:val="-42"/>
        </w:rPr>
        <w:t> </w:t>
      </w:r>
      <w:r>
        <w:rPr>
          <w:rFonts w:ascii="宋体" w:hAnsi="宋体" w:cs="宋体" w:eastAsia="宋体" w:hint="default"/>
        </w:rPr>
        <w:t>2018</w:t>
      </w:r>
      <w:r>
        <w:rPr>
          <w:rFonts w:ascii="宋体" w:hAnsi="宋体" w:cs="宋体" w:eastAsia="宋体" w:hint="default"/>
          <w:spacing w:val="-44"/>
        </w:rPr>
        <w:t> </w:t>
      </w:r>
      <w:r>
        <w:rPr/>
        <w:t>年年度权益分派方案，向全体股东每</w:t>
      </w:r>
      <w:r>
        <w:rPr>
          <w:spacing w:val="-41"/>
        </w:rPr>
        <w:t> </w:t>
      </w:r>
      <w:r>
        <w:rPr>
          <w:rFonts w:ascii="宋体" w:hAnsi="宋体" w:cs="宋体" w:eastAsia="宋体" w:hint="default"/>
          <w:spacing w:val="7"/>
        </w:rPr>
        <w:t>10</w:t>
      </w:r>
      <w:r>
        <w:rPr>
          <w:rFonts w:ascii="宋体" w:hAnsi="宋体" w:cs="宋体" w:eastAsia="宋体" w:hint="default"/>
          <w:spacing w:val="-44"/>
        </w:rPr>
        <w:t> </w:t>
      </w:r>
      <w:r>
        <w:rPr/>
        <w:t>股派发现金股利人民</w:t>
      </w:r>
    </w:p>
    <w:p>
      <w:pPr>
        <w:spacing w:line="240" w:lineRule="auto" w:before="7"/>
        <w:rPr>
          <w:rFonts w:ascii="宋体" w:hAnsi="宋体" w:cs="宋体" w:eastAsia="宋体" w:hint="default"/>
          <w:sz w:val="17"/>
          <w:szCs w:val="17"/>
        </w:rPr>
      </w:pPr>
    </w:p>
    <w:p>
      <w:pPr>
        <w:pStyle w:val="BodyText"/>
        <w:spacing w:line="240" w:lineRule="auto"/>
        <w:ind w:right="0"/>
        <w:jc w:val="left"/>
      </w:pPr>
      <w:r>
        <w:rPr/>
        <w:t>币</w:t>
      </w:r>
      <w:r>
        <w:rPr>
          <w:spacing w:val="-30"/>
        </w:rPr>
        <w:t> </w:t>
      </w:r>
      <w:r>
        <w:rPr>
          <w:rFonts w:ascii="宋体" w:hAnsi="宋体" w:cs="宋体" w:eastAsia="宋体" w:hint="default"/>
          <w:color w:val="474747"/>
        </w:rPr>
        <w:t>0.498810</w:t>
      </w:r>
      <w:r>
        <w:rPr>
          <w:rFonts w:ascii="宋体" w:hAnsi="宋体" w:cs="宋体" w:eastAsia="宋体" w:hint="default"/>
          <w:color w:val="474747"/>
          <w:spacing w:val="-30"/>
        </w:rPr>
        <w:t> </w:t>
      </w:r>
      <w:r>
        <w:rPr/>
        <w:t>元</w:t>
      </w:r>
      <w:r>
        <w:rPr>
          <w:rFonts w:ascii="宋体" w:hAnsi="宋体" w:cs="宋体" w:eastAsia="宋体" w:hint="default"/>
        </w:rPr>
        <w:t>(</w:t>
      </w:r>
      <w:r>
        <w:rPr/>
        <w:t>含税</w:t>
      </w:r>
      <w:r>
        <w:rPr>
          <w:rFonts w:ascii="宋体" w:hAnsi="宋体" w:cs="宋体" w:eastAsia="宋体" w:hint="default"/>
        </w:rPr>
        <w:t>)</w:t>
      </w:r>
      <w:r>
        <w:rPr/>
        <w:t>，合计派发现金股利</w:t>
      </w:r>
      <w:r>
        <w:rPr>
          <w:spacing w:val="1"/>
        </w:rPr>
        <w:t> </w:t>
      </w:r>
      <w:r>
        <w:rPr>
          <w:rFonts w:ascii="宋体" w:hAnsi="宋体" w:cs="宋体" w:eastAsia="宋体" w:hint="default"/>
        </w:rPr>
        <w:t>20,226,090.31</w:t>
      </w:r>
      <w:r>
        <w:rPr>
          <w:rFonts w:ascii="宋体" w:hAnsi="宋体" w:cs="宋体" w:eastAsia="宋体" w:hint="default"/>
          <w:spacing w:val="-28"/>
        </w:rPr>
        <w:t> </w:t>
      </w:r>
      <w:r>
        <w:rPr/>
        <w:t>元（含税</w:t>
      </w:r>
      <w:r>
        <w:rPr>
          <w:spacing w:val="-90"/>
        </w:rPr>
        <w:t>）</w:t>
      </w:r>
      <w:r>
        <w:rPr/>
        <w:t>，剩余未分配利润结转以后年度。由于公司现金分派</w:t>
      </w:r>
    </w:p>
    <w:p>
      <w:pPr>
        <w:spacing w:line="240" w:lineRule="auto" w:before="5"/>
        <w:rPr>
          <w:rFonts w:ascii="宋体" w:hAnsi="宋体" w:cs="宋体" w:eastAsia="宋体" w:hint="default"/>
          <w:sz w:val="16"/>
          <w:szCs w:val="16"/>
        </w:rPr>
      </w:pPr>
    </w:p>
    <w:p>
      <w:pPr>
        <w:pStyle w:val="BodyText"/>
        <w:spacing w:line="240" w:lineRule="auto"/>
        <w:ind w:right="0"/>
        <w:jc w:val="left"/>
      </w:pPr>
      <w:r>
        <w:rPr/>
        <w:t>比较零散，系统分配四舍五入的原因，公司本年实际发放现金股利</w:t>
      </w:r>
      <w:r>
        <w:rPr>
          <w:spacing w:val="-39"/>
        </w:rPr>
        <w:t> </w:t>
      </w:r>
      <w:r>
        <w:rPr>
          <w:rFonts w:ascii="宋体" w:hAnsi="宋体" w:cs="宋体" w:eastAsia="宋体" w:hint="default"/>
        </w:rPr>
        <w:t>20,226,029.71</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61、营业收入和营业成本" w:id="369"/>
      <w:bookmarkEnd w:id="36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2"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777,718,487.52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391,739,840.65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760,976,709.78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406,247,530.00</w:t>
            </w: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6,716,051.82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4,163,250.07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4,325,427.16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3,489,232.96</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784,434,539.34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395,903,090.72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765,302,136.94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409,736,762.96</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491" w:lineRule="auto"/>
        <w:ind w:right="92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2、税金及附加" w:id="370"/>
      <w:bookmarkEnd w:id="37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1,906,636.27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1,641,961.52</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833,855.37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835,328.67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2,678,796.37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2,462,712.93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19,624.20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27,822.43</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64,256.10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66,718.90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307,496.57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315,151.15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552,094.80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355,068.38</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18,055.00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25,949.44</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780,372.66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717,839.05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7,161,187.34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6,448,552.47</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63、销售费用" w:id="371"/>
      <w:bookmarkEnd w:id="37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41,584,719.48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34,825,396.17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8,507,709.82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8,732,757.68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5,477,200.08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4,072,780.66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3,439,250.59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3,487,448.63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工程费用及运费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2,421,036.51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3,152,420.60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3,932,645.75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4,018,176.19</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3,834,677.96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3,423,323.78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69,197,240.19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61,712,303.71</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64、管理费用" w:id="372"/>
      <w:bookmarkEnd w:id="37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32,755,212.96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27,601,625.04</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限制性股票费用摊销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18,050,337.96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18,219,541.00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7,737,070.66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4,226,501.25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6,486,583.24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4,247,387.05</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2,234,479.76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2,487,589.78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4,675,484.85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5,779,143.19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2,034,144.39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1,135,665.28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2,418,142.19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4,308,211.96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76,391,456.01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68,005,664.55</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65、研发费用" w:id="373"/>
      <w:bookmarkEnd w:id="37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34,203,661.18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33,057,471.72</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5,089,533.16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3,938,799.24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488,610.66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1,285,104.73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738,634.34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934,153.99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185,773.43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266,119.90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5,604,845.16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3,374,627.57</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46,311,057.93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42,856,277.15</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66、财务费用" w:id="374"/>
      <w:bookmarkEnd w:id="37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1,627,204.36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478,781.06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1,641,622.45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1,337,644.28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-442.47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318,339.95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141,703.59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303,479.39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-717,159.63</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67、其他收益" w:id="375"/>
      <w:bookmarkEnd w:id="37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6,197,387.52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3,683,912.71</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基于海量数据分析的智慧银行安防系统 研究与应用</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广州市番禺区财政局研发费补助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1,315,600.00</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基于海量异构数据的智慧银行安防云平 台研究与应用</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800,000.00</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43"/>
              <w:jc w:val="left"/>
              <w:rPr>
                <w:rFonts w:ascii="宋体" w:hAnsi="宋体" w:cs="宋体" w:eastAsia="宋体" w:hint="default"/>
                <w:sz w:val="18"/>
                <w:szCs w:val="18"/>
              </w:rPr>
            </w:pPr>
            <w:r>
              <w:rPr>
                <w:rFonts w:ascii="宋体" w:hAnsi="宋体" w:cs="宋体" w:eastAsia="宋体" w:hint="default"/>
                <w:sz w:val="18"/>
                <w:szCs w:val="18"/>
              </w:rPr>
              <w:t>深圳市科技创新委员会关于办理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企业研究开发资助计划资金拨款</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571,456.31</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广州市知识产权局专利技术产业化项目</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年度专项资金</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07"/>
              <w:jc w:val="left"/>
              <w:rPr>
                <w:rFonts w:ascii="宋体" w:hAnsi="宋体" w:cs="宋体" w:eastAsia="宋体" w:hint="default"/>
                <w:sz w:val="18"/>
                <w:szCs w:val="18"/>
              </w:rPr>
            </w:pPr>
            <w:r>
              <w:rPr>
                <w:rFonts w:ascii="宋体" w:hAnsi="宋体" w:cs="宋体" w:eastAsia="宋体" w:hint="default"/>
                <w:sz w:val="18"/>
                <w:szCs w:val="18"/>
              </w:rPr>
              <w:t>超宽频高精度无线定位通讯模块技术的 研发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381,802.68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437,776.30</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46,019.04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158,245.60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18,313.50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108,391.56</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贯标奖励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30"/>
              <w:jc w:val="left"/>
              <w:rPr>
                <w:rFonts w:ascii="宋体" w:hAnsi="宋体" w:cs="宋体" w:eastAsia="宋体" w:hint="default"/>
                <w:sz w:val="18"/>
                <w:szCs w:val="18"/>
              </w:rPr>
            </w:pPr>
            <w:r>
              <w:rPr>
                <w:rFonts w:ascii="宋体" w:hAnsi="宋体" w:cs="宋体" w:eastAsia="宋体" w:hint="default"/>
                <w:sz w:val="18"/>
                <w:szCs w:val="18"/>
              </w:rPr>
              <w:t>天河区统计局</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w:t>
            </w: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企业经 费补贴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3,750.00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年第二批专利资助</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3,000.00</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年第二批计算机软件著作权登记补 贴</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2,400.00</w:t>
            </w:r>
          </w:p>
        </w:tc>
      </w:tr>
      <w:tr>
        <w:trPr>
          <w:trHeight w:val="7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面向社区矫正定位跟踪的可穿戴装备的 研发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3,015,502.32</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警民通大数据项目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年省级促进经济高质量发展专项资 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年第一批企业研发资助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827,700.00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年企业研发投入后补助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1,516,600.00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167,219.60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年准毕业生实习实训补贴</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年第一批专利申请资助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14,758,044.66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9,294,532.48</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68、投资收益" w:id="376"/>
      <w:bookmarkEnd w:id="37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356"/>
        <w:gridCol w:w="2838"/>
        <w:gridCol w:w="2493"/>
      </w:tblGrid>
      <w:tr>
        <w:trPr>
          <w:trHeight w:val="495" w:hRule="exact"/>
        </w:trPr>
        <w:tc>
          <w:tcPr>
            <w:tcW w:w="43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79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6" w:hRule="exact"/>
        </w:trPr>
        <w:tc>
          <w:tcPr>
            <w:tcW w:w="43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124,906.03</w:t>
            </w: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525" w:hRule="exact"/>
        </w:trPr>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left"/>
              <w:rPr>
                <w:rFonts w:ascii="宋体" w:hAnsi="宋体" w:cs="宋体" w:eastAsia="宋体" w:hint="default"/>
                <w:sz w:val="18"/>
                <w:szCs w:val="18"/>
              </w:rPr>
            </w:pPr>
            <w:r>
              <w:rPr>
                <w:rFonts w:ascii="宋体" w:hAnsi="宋体" w:cs="宋体" w:eastAsia="宋体" w:hint="default"/>
                <w:sz w:val="18"/>
                <w:szCs w:val="18"/>
              </w:rPr>
              <w:t>金融工具持有期间的投资收益</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665,807.14</w:t>
            </w: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526" w:hRule="exact"/>
        </w:trPr>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left"/>
              <w:rPr>
                <w:rFonts w:ascii="宋体" w:hAnsi="宋体" w:cs="宋体" w:eastAsia="宋体" w:hint="default"/>
                <w:sz w:val="18"/>
                <w:szCs w:val="18"/>
              </w:rPr>
            </w:pPr>
            <w:r>
              <w:rPr>
                <w:rFonts w:ascii="宋体" w:hAnsi="宋体" w:cs="宋体" w:eastAsia="宋体" w:hint="default"/>
                <w:sz w:val="18"/>
                <w:szCs w:val="18"/>
              </w:rPr>
              <w:t>其中：其他非流动金融资产</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132,966.87</w:t>
            </w: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525" w:hRule="exact"/>
        </w:trPr>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55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0"/>
              <w:jc w:val="right"/>
              <w:rPr>
                <w:rFonts w:ascii="Times New Roman" w:hAnsi="Times New Roman" w:cs="Times New Roman" w:eastAsia="Times New Roman" w:hint="default"/>
                <w:sz w:val="18"/>
                <w:szCs w:val="18"/>
              </w:rPr>
            </w:pPr>
            <w:r>
              <w:rPr>
                <w:rFonts w:ascii="Times New Roman"/>
                <w:sz w:val="18"/>
              </w:rPr>
              <w:t>532,840.27</w:t>
            </w:r>
          </w:p>
        </w:tc>
        <w:tc>
          <w:tcPr>
            <w:tcW w:w="2493" w:type="dxa"/>
            <w:tcBorders>
              <w:top w:val="single" w:sz="6" w:space="0" w:color="000000"/>
              <w:left w:val="single" w:sz="6" w:space="0" w:color="000000"/>
              <w:bottom w:val="single" w:sz="6" w:space="0" w:color="000000"/>
              <w:right w:val="single" w:sz="6" w:space="0" w:color="000000"/>
            </w:tcBorders>
          </w:tcPr>
          <w:p>
            <w:pPr/>
          </w:p>
        </w:tc>
      </w:tr>
      <w:tr>
        <w:trPr>
          <w:trHeight w:val="525" w:hRule="exact"/>
        </w:trPr>
        <w:tc>
          <w:tcPr>
            <w:tcW w:w="4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5"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2838" w:type="dxa"/>
            <w:tcBorders>
              <w:top w:val="single" w:sz="6" w:space="0" w:color="000000"/>
              <w:left w:val="single" w:sz="6" w:space="0" w:color="000000"/>
              <w:bottom w:val="single" w:sz="6" w:space="0" w:color="000000"/>
              <w:right w:val="single" w:sz="6" w:space="0" w:color="000000"/>
            </w:tcBorders>
          </w:tcPr>
          <w:p>
            <w:pP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5,434,861.46</w:t>
            </w:r>
          </w:p>
        </w:tc>
      </w:tr>
      <w:tr>
        <w:trPr>
          <w:trHeight w:val="511" w:hRule="exact"/>
        </w:trPr>
        <w:tc>
          <w:tcPr>
            <w:tcW w:w="43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790,713.17</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5,434,861.46</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69、净敞口套期收益" w:id="377"/>
      <w:bookmarkEnd w:id="37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70、公允价值变动收益" w:id="378"/>
      <w:bookmarkEnd w:id="37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71、信用减值损失" w:id="379"/>
      <w:bookmarkEnd w:id="37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-416,469.28</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-7,558,716.68</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-7,975,185.96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72、资产减值损失" w:id="380"/>
      <w:bookmarkEnd w:id="38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-10,041,870.01</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-2,812,587.34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-2,518,646.50</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-2,812,587.34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-12,560,516.51</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73、资产处置收益" w:id="381"/>
      <w:bookmarkEnd w:id="38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74、营业外收入" w:id="382"/>
      <w:bookmarkEnd w:id="38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813,702.00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1,053,451.00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813,702.00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100,753.29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91,621.17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100,753.29</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61,576.06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494,216.21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61,576.06</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976,031.35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1,639,288.38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976,031.35</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计入当期损益的政府补助：</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年新办 鼓励类企业 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重庆市渝北 区国库集中 支付中心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523,451.00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年度新 技术企业认 定通过奖励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88"/>
              <w:jc w:val="both"/>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年新增规模 以上软件企</w:t>
            </w:r>
          </w:p>
          <w:p>
            <w:pPr>
              <w:pStyle w:val="TableParagraph"/>
              <w:spacing w:line="321" w:lineRule="auto" w:before="36"/>
              <w:ind w:left="15" w:right="133"/>
              <w:jc w:val="both"/>
              <w:rPr>
                <w:rFonts w:ascii="宋体" w:hAnsi="宋体" w:cs="宋体" w:eastAsia="宋体" w:hint="default"/>
                <w:sz w:val="18"/>
                <w:szCs w:val="18"/>
              </w:rPr>
            </w:pPr>
            <w:r>
              <w:rPr>
                <w:rFonts w:ascii="宋体" w:hAnsi="宋体" w:cs="宋体" w:eastAsia="宋体" w:hint="default"/>
                <w:sz w:val="18"/>
                <w:szCs w:val="18"/>
              </w:rPr>
              <w:t>业支持专项 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5" w:right="135"/>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高新技术企 业认定补贴 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5"/>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年度高 新技术企业 认定通过奖</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35"/>
              <w:jc w:val="both"/>
              <w:rPr>
                <w:rFonts w:ascii="宋体" w:hAnsi="宋体" w:cs="宋体" w:eastAsia="宋体" w:hint="default"/>
                <w:sz w:val="18"/>
                <w:szCs w:val="18"/>
              </w:rPr>
            </w:pPr>
            <w:r>
              <w:rPr>
                <w:rFonts w:ascii="宋体" w:hAnsi="宋体" w:cs="宋体" w:eastAsia="宋体" w:hint="default"/>
                <w:sz w:val="18"/>
                <w:szCs w:val="18"/>
              </w:rPr>
              <w:t>广州市财政 局国库支付 分局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4" w:lineRule="auto"/>
              <w:ind w:left="15" w:right="88"/>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年新办 鼓励类中小 企业补助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15" w:right="135"/>
              <w:jc w:val="both"/>
              <w:rPr>
                <w:rFonts w:ascii="宋体" w:hAnsi="宋体" w:cs="宋体" w:eastAsia="宋体" w:hint="default"/>
                <w:sz w:val="18"/>
                <w:szCs w:val="18"/>
              </w:rPr>
            </w:pPr>
            <w:r>
              <w:rPr>
                <w:rFonts w:ascii="宋体" w:hAnsi="宋体" w:cs="宋体" w:eastAsia="宋体" w:hint="default"/>
                <w:sz w:val="18"/>
                <w:szCs w:val="18"/>
              </w:rPr>
              <w:t>重庆市渝北 区国库集中 支付中心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513,702.00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813,702.00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1,053,451.00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5、营业外支出" w:id="383"/>
      <w:bookmarkEnd w:id="38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24,585.73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57,003.62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24,585.73</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14,770.57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43,845.07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14,770.57</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48,897.30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93,227.37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48,897.30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138,253.60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194,076.06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138,253.60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6、所得税费用" w:id="384"/>
      <w:bookmarkEnd w:id="38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23,163,906.91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26,237,119.71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-2,642,965.06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-3,476,231.11</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20,520,941.85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22,760,888.60</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194,765,790.04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29,214,868.51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-487,724.63</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3,278.82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599,345.81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-4,005.50</w:t>
            </w:r>
            <w:r>
              <w:rPr>
                <w:rFonts w:ascii="Times New Roman"/>
                <w:sz w:val="18"/>
              </w:rPr>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426,341.65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-4,602,606.94</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限制性股票的影响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-2,176,663.21</w:t>
            </w:r>
            <w:r>
              <w:rPr>
                <w:rFonts w:ascii="Times New Roman"/>
                <w:sz w:val="18"/>
              </w:rPr>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-2,451,892.66</w:t>
            </w:r>
            <w:r>
              <w:rPr>
                <w:rFonts w:ascii="Times New Roman"/>
                <w:sz w:val="18"/>
              </w:rPr>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20,520,941.85</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7、其他综合收益" w:id="387"/>
      <w:bookmarkEnd w:id="387"/>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详见附注。</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8、现金流量表项目" w:id="388"/>
      <w:bookmarkEnd w:id="388"/>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6,082,115.50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4,168,948.87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所得税退回</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3,187,094.95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1,641,622.45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1,337,644.28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保函及承兑汇票保证金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13,923,911.90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105,999.52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1,749,363.85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663,335.97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26,584,108.65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6,275,928.64</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收到的其他与经营活动有关的现金说明：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支付的销售费用、管理费用及研发费用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42,022,859.32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41,854,951.21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往来款净额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7,244,770.58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3,846,567.65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保函及承兑汇票保证金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12,663,347.03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11,828,637.70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支付的银行手续费及营业外支出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397,224.27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141,703.59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62,328,201.20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57,671,860.15</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支付的其他与经营活动有关的现金说明：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收到的其他与投资活动有关的现金说明：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处置子公司支付款项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610,571.65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610,571.65</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支付的其他与投资活动有关的现金说明：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收到非金融机构借款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14,000,000.00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收到的其他与筹资活动有关的现金说明：</w:t>
      </w:r>
    </w:p>
    <w:p>
      <w:pPr>
        <w:spacing w:after="0" w:line="240" w:lineRule="auto"/>
        <w:jc w:val="left"/>
        <w:sectPr>
          <w:footerReference w:type="default" r:id="rId21"/>
          <w:pgSz w:w="11910" w:h="16850"/>
          <w:pgMar w:footer="1026" w:header="776" w:top="1100" w:bottom="1220" w:left="1000" w:right="0"/>
        </w:sectPr>
      </w:pPr>
    </w:p>
    <w:p>
      <w:pPr>
        <w:spacing w:line="240" w:lineRule="auto" w:before="9"/>
        <w:rPr>
          <w:rFonts w:ascii="宋体" w:hAnsi="宋体" w:cs="宋体" w:eastAsia="宋体" w:hint="default"/>
          <w:sz w:val="28"/>
          <w:szCs w:val="28"/>
        </w:rPr>
      </w:pPr>
      <w:r>
        <w:rPr/>
        <w:pict>
          <v:group style="position:absolute;margin-left:224.529999pt;margin-top:648.575012pt;width:150.2pt;height:19.55pt;mso-position-horizontal-relative:page;mso-position-vertical-relative:page;z-index:-1109032" coordorigin="4491,12972" coordsize="3004,391">
            <v:shape style="position:absolute;left:4491;top:12972;width:3004;height:391" coordorigin="4491,12972" coordsize="3004,391" path="m4491,13362l7495,13362,7495,12972,4491,12972,4491,13362xe" filled="true" fillcolor="#ffffff" stroked="false">
              <v:path arrowok="t"/>
              <v:fill type="solid"/>
            </v:shape>
            <w10:wrap type="none"/>
          </v:group>
        </w:pict>
      </w:r>
    </w:p>
    <w:p>
      <w:pPr>
        <w:pStyle w:val="Heading3"/>
        <w:spacing w:line="240" w:lineRule="auto" w:before="35"/>
        <w:ind w:right="0"/>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偿还非金融机构借款及利息</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14,114,219.68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回购库存股支付款项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32,491,116.90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18,999,139.25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回购限制性股票支付款项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2,888,618.09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1,706,205.00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35,379,734.99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34,819,563.93</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支付的其他与筹资活动有关的现金说明：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79、现金流量表补充资料" w:id="395"/>
      <w:bookmarkEnd w:id="39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174,244,848.19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158,112,936.88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10,787,773.30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12,560,516.51</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32,192,573.62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30,350,083.70</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6,932,133.87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3,629,955.25</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996,317.97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894,626.80</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-76,167.56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-34,617.55</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2,316,860.02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979,681.06</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-790,713.17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-5,434,861.46</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-2,642,965.06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-3,476,231.11</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922"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-48,886,139.34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-19,309,734.78</w:t>
            </w:r>
            <w:r>
              <w:rPr>
                <w:rFonts w:ascii="Times New Roman"/>
                <w:sz w:val="18"/>
              </w:rPr>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-68,246,375.59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-85,124,373.07</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16,048,324.06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45,361,286.86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-4,167,305.00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2"/>
          <w:pgSz w:w="11910" w:h="16850"/>
          <w:pgMar w:footer="1026" w:header="776" w:top="1100" w:bottom="1220" w:left="1000" w:right="0"/>
          <w:pgNumType w:start="201"/>
        </w:sectPr>
      </w:pPr>
    </w:p>
    <w:p>
      <w:pPr>
        <w:spacing w:line="240" w:lineRule="auto" w:before="0"/>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118,709,165.31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138,509,269.09</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622,568,458.49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462,217,418.81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462,217,418.81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406,401,420.74</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160,351,039.68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55,815,998.07</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986"/>
        <w:gridCol w:w="4588"/>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980,000.00</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705" w:hRule="exact"/>
        </w:trPr>
        <w:tc>
          <w:tcPr>
            <w:tcW w:w="498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7" w:right="101"/>
              <w:jc w:val="left"/>
              <w:rPr>
                <w:rFonts w:ascii="宋体" w:hAnsi="宋体" w:cs="宋体" w:eastAsia="宋体" w:hint="default"/>
                <w:sz w:val="18"/>
                <w:szCs w:val="18"/>
              </w:rPr>
            </w:pPr>
            <w:r>
              <w:rPr>
                <w:rFonts w:ascii="宋体" w:hAnsi="宋体" w:cs="宋体" w:eastAsia="宋体" w:hint="default"/>
                <w:sz w:val="18"/>
                <w:szCs w:val="18"/>
              </w:rPr>
              <w:t>湖北浩威保安服务有限公司（原名：武汉浩立威保安服务有限 公司）</w:t>
            </w:r>
          </w:p>
        </w:tc>
        <w:tc>
          <w:tcPr>
            <w:tcW w:w="4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980,000.00</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1,590,571.65</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706" w:hRule="exact"/>
        </w:trPr>
        <w:tc>
          <w:tcPr>
            <w:tcW w:w="498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7" w:right="101"/>
              <w:jc w:val="left"/>
              <w:rPr>
                <w:rFonts w:ascii="宋体" w:hAnsi="宋体" w:cs="宋体" w:eastAsia="宋体" w:hint="default"/>
                <w:sz w:val="18"/>
                <w:szCs w:val="18"/>
              </w:rPr>
            </w:pPr>
            <w:r>
              <w:rPr>
                <w:rFonts w:ascii="宋体" w:hAnsi="宋体" w:cs="宋体" w:eastAsia="宋体" w:hint="default"/>
                <w:sz w:val="18"/>
                <w:szCs w:val="18"/>
              </w:rPr>
              <w:t>湖北浩威保安服务有限公司（原名：武汉浩立威保安服务有限 公司）</w:t>
            </w:r>
          </w:p>
        </w:tc>
        <w:tc>
          <w:tcPr>
            <w:tcW w:w="4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1,590,571.65</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-610,571.65</w:t>
            </w:r>
            <w:r>
              <w:rPr>
                <w:rFonts w:ascii="Times New Roman"/>
                <w:sz w:val="18"/>
              </w:rPr>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239,112.89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286,349.13</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622,328,721.17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461,930,208.93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624.43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860.75</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622,568,458.49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462,217,418.81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622,568,458.49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462,217,418.81</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21"/>
          <w:szCs w:val="21"/>
        </w:rPr>
      </w:pPr>
    </w:p>
    <w:p>
      <w:pPr>
        <w:pStyle w:val="BodyText"/>
        <w:spacing w:line="434" w:lineRule="auto"/>
        <w:ind w:right="1160"/>
        <w:jc w:val="left"/>
      </w:pPr>
      <w:r>
        <w:rPr/>
        <w:t>不属于现金及现金等价物的货币资金情况的说明：</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年末现金及现金等价物余额中已扣除不符合现金及现金等价物标准 的其他货币资金中的保函保证金</w:t>
      </w:r>
      <w:r>
        <w:rPr>
          <w:spacing w:val="-42"/>
        </w:rPr>
        <w:t> </w:t>
      </w:r>
      <w:r>
        <w:rPr>
          <w:rFonts w:ascii="Times New Roman" w:hAnsi="Times New Roman" w:cs="Times New Roman" w:eastAsia="Times New Roman" w:hint="default"/>
        </w:rPr>
        <w:t>1,907,484.51</w:t>
      </w:r>
      <w:r>
        <w:rPr>
          <w:rFonts w:ascii="Times New Roman" w:hAnsi="Times New Roman" w:cs="Times New Roman" w:eastAsia="Times New Roman" w:hint="default"/>
          <w:spacing w:val="1"/>
        </w:rPr>
        <w:t> </w:t>
      </w:r>
      <w:r>
        <w:rPr/>
        <w:t>元、住宅专项维修资金</w:t>
      </w:r>
      <w:r>
        <w:rPr>
          <w:spacing w:val="-43"/>
        </w:rPr>
        <w:t> </w:t>
      </w:r>
      <w:r>
        <w:rPr>
          <w:rFonts w:ascii="Times New Roman" w:hAnsi="Times New Roman" w:cs="Times New Roman" w:eastAsia="Times New Roman" w:hint="default"/>
        </w:rPr>
        <w:t>301,910.36</w:t>
      </w:r>
      <w:r>
        <w:rPr>
          <w:rFonts w:ascii="Times New Roman" w:hAnsi="Times New Roman" w:cs="Times New Roman" w:eastAsia="Times New Roman" w:hint="default"/>
          <w:spacing w:val="1"/>
        </w:rPr>
        <w:t> </w:t>
      </w:r>
      <w:r>
        <w:rPr/>
        <w:t>元、承兑汇票保证金</w:t>
      </w:r>
      <w:r>
        <w:rPr>
          <w:spacing w:val="-43"/>
        </w:rPr>
        <w:t> </w:t>
      </w:r>
      <w:r>
        <w:rPr>
          <w:rFonts w:ascii="Times New Roman" w:hAnsi="Times New Roman" w:cs="Times New Roman" w:eastAsia="Times New Roman" w:hint="default"/>
        </w:rPr>
        <w:t>8,866,709.15</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0、所有者权益变动表项目注释" w:id="400"/>
      <w:bookmarkEnd w:id="400"/>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81、所有权或使用权受到限制的资产" w:id="401"/>
      <w:bookmarkEnd w:id="401"/>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11,076,104.02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保证金、住宅专项维修资金</w:t>
            </w: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58,300,000.00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长期借款质押</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69,376,104.02</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13"/>
        <w:rPr>
          <w:rFonts w:ascii="宋体" w:hAnsi="宋体" w:cs="宋体" w:eastAsia="宋体" w:hint="default"/>
          <w:sz w:val="20"/>
          <w:szCs w:val="20"/>
        </w:rPr>
      </w:pPr>
    </w:p>
    <w:p>
      <w:pPr>
        <w:pStyle w:val="BodyText"/>
        <w:spacing w:line="240" w:lineRule="auto"/>
        <w:ind w:right="0"/>
        <w:jc w:val="left"/>
        <w:rPr>
          <w:rFonts w:ascii="Times New Roman" w:hAnsi="Times New Roman" w:cs="Times New Roman" w:eastAsia="Times New Roman" w:hint="default"/>
        </w:rPr>
      </w:pPr>
      <w:r>
        <w:rPr/>
        <w:t>公司与招商银行股份有限公司广州分行签订编号为</w:t>
      </w:r>
      <w:r>
        <w:rPr>
          <w:spacing w:val="-46"/>
        </w:rPr>
        <w:t> </w:t>
      </w:r>
      <w:r>
        <w:rPr>
          <w:rFonts w:ascii="Times New Roman" w:hAnsi="Times New Roman" w:cs="Times New Roman" w:eastAsia="Times New Roman" w:hint="default"/>
        </w:rPr>
        <w:t>120563HT2018102401-1</w:t>
      </w:r>
      <w:r>
        <w:rPr>
          <w:rFonts w:ascii="Times New Roman" w:hAnsi="Times New Roman" w:cs="Times New Roman" w:eastAsia="Times New Roman" w:hint="default"/>
          <w:spacing w:val="-6"/>
        </w:rPr>
        <w:t> </w:t>
      </w:r>
      <w:r>
        <w:rPr/>
        <w:t>的质押合同，以广东冠网信息科技有限公司</w:t>
      </w:r>
      <w:r>
        <w:rPr>
          <w:spacing w:val="-48"/>
        </w:rPr>
        <w:t> </w:t>
      </w:r>
      <w:r>
        <w:rPr>
          <w:rFonts w:ascii="Times New Roman" w:hAnsi="Times New Roman" w:cs="Times New Roman" w:eastAsia="Times New Roman" w:hint="default"/>
        </w:rPr>
        <w:t>53%</w:t>
      </w:r>
    </w:p>
    <w:p>
      <w:pPr>
        <w:spacing w:line="240" w:lineRule="auto" w:before="9"/>
        <w:rPr>
          <w:rFonts w:ascii="Times New Roman" w:hAnsi="Times New Roman" w:cs="Times New Roman" w:eastAsia="Times New Roman" w:hint="default"/>
          <w:sz w:val="18"/>
          <w:szCs w:val="18"/>
        </w:rPr>
      </w:pPr>
    </w:p>
    <w:p>
      <w:pPr>
        <w:pStyle w:val="BodyText"/>
        <w:spacing w:line="240" w:lineRule="auto"/>
        <w:ind w:right="0"/>
        <w:jc w:val="left"/>
      </w:pPr>
      <w:r>
        <w:rPr/>
        <w:t>的股权作为质押物进行借款质押。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82、外币货币性项目" w:id="402"/>
      <w:bookmarkEnd w:id="40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after="0" w:line="240" w:lineRule="auto"/>
        <w:jc w:val="right"/>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2493"/>
        <w:gridCol w:w="2291"/>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1,001.50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6,986.66</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396" w:lineRule="auto"/>
        <w:ind w:right="0"/>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83、套期" w:id="405"/>
      <w:bookmarkEnd w:id="405"/>
      <w:r>
        <w:rPr>
          <w:b w:val="0"/>
          <w:bCs w:val="0"/>
        </w:rPr>
      </w:r>
      <w:r>
        <w:rPr>
          <w:rFonts w:ascii="Times New Roman" w:hAnsi="Times New Roman" w:cs="Times New Roman" w:eastAsia="Times New Roman" w:hint="default"/>
        </w:rPr>
        <w:t>83</w:t>
      </w:r>
      <w:r>
        <w:rPr/>
        <w:t>、套期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84、政府补助" w:id="406"/>
      <w:bookmarkEnd w:id="406"/>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政府补助基本情况" w:id="407"/>
      <w:bookmarkEnd w:id="40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超宽频高精度无线定位通讯 模块关键技术的研发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381,802.68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381,802.68</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面向社区矫正定位跟踪的可 穿戴装备的研发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3,015,502.32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3,015,502.32</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一种超宽频高精度无线定位 通讯电路的研制专项资金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警民通大数据项目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基于监控视频的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SKRY</w:t>
            </w:r>
            <w:r>
              <w:rPr>
                <w:rFonts w:ascii="宋体" w:hAnsi="宋体" w:cs="宋体" w:eastAsia="宋体" w:hint="default"/>
                <w:sz w:val="18"/>
                <w:szCs w:val="18"/>
              </w:rPr>
              <w:t>识别关</w:t>
            </w:r>
            <w:r>
              <w:rPr>
                <w:rFonts w:ascii="宋体" w:hAnsi="宋体" w:cs="宋体" w:eastAsia="宋体" w:hint="default"/>
                <w:spacing w:val="-86"/>
                <w:sz w:val="18"/>
                <w:szCs w:val="18"/>
              </w:rPr>
              <w:t> </w:t>
            </w:r>
            <w:r>
              <w:rPr>
                <w:rFonts w:ascii="宋体" w:hAnsi="宋体" w:cs="宋体" w:eastAsia="宋体" w:hint="default"/>
                <w:sz w:val="18"/>
                <w:szCs w:val="18"/>
              </w:rPr>
              <w:t>键技术研究与应用示范</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6,197,387.52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6,197,387.52</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年省级促进经济高质量 发展专项资金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年第一批企业研发资助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827,700.00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827,700.00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年企业研发投入后补助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1,516,600.00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1,516,600.00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年新办鼓励类中小企业 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513,702.00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513,702.00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年度高新技术企业认定 通过奖励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167,219.60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167,219.60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15,900.00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贯标奖励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18,313.50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18,313.50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年准毕业生实习实训补 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18,600.00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18,600.00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年第一批专利申请资助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深圳市南山区财政局贴息</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448,300.00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448,300.00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16,614,027.62</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16,244,027.62</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政府补助退回情况" w:id="408"/>
      <w:bookmarkEnd w:id="40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0"/>
        <w:rPr>
          <w:rFonts w:ascii="宋体" w:hAnsi="宋体" w:cs="宋体" w:eastAsia="宋体" w:hint="default"/>
          <w:b/>
          <w:bCs/>
          <w:sz w:val="22"/>
          <w:szCs w:val="22"/>
        </w:rPr>
      </w:pPr>
    </w:p>
    <w:p>
      <w:pPr>
        <w:pStyle w:val="BodyText"/>
        <w:spacing w:line="491" w:lineRule="auto" w:before="192"/>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after="0" w:line="491"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spacing w:line="607" w:lineRule="auto" w:before="35"/>
        <w:ind w:left="141" w:right="8324" w:firstLine="0"/>
        <w:jc w:val="left"/>
        <w:rPr>
          <w:rFonts w:ascii="宋体" w:hAnsi="宋体" w:cs="宋体" w:eastAsia="宋体" w:hint="default"/>
          <w:sz w:val="21"/>
          <w:szCs w:val="21"/>
        </w:rPr>
      </w:pPr>
      <w:bookmarkStart w:name="85、其他" w:id="409"/>
      <w:bookmarkEnd w:id="409"/>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0"/>
      <w:bookmarkEnd w:id="41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11"/>
      <w:bookmarkEnd w:id="411"/>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134"/>
        <w:ind w:right="0"/>
        <w:jc w:val="left"/>
        <w:rPr>
          <w:b w:val="0"/>
          <w:bCs w:val="0"/>
        </w:rPr>
      </w:pPr>
      <w:bookmarkStart w:name="（1）本期发生的非同一控制下企业合并" w:id="412"/>
      <w:bookmarkEnd w:id="41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合并成本及商誉" w:id="413"/>
      <w:bookmarkEnd w:id="41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9"/>
        <w:rPr>
          <w:rFonts w:ascii="宋体" w:hAnsi="宋体" w:cs="宋体" w:eastAsia="宋体" w:hint="default"/>
          <w:sz w:val="14"/>
          <w:szCs w:val="14"/>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d2d2d2">
                <v:path arrowok="t"/>
              </v:shape>
            </v:group>
            <v:group style="position:absolute;left:9574;top:8;width:2;height:391" coordorigin="9574,8" coordsize="2,391">
              <v:shape style="position:absolute;left:9574;top:8;width:2;height:391" coordorigin="9574,8" coordsize="0,391" path="m9574,8l9574,398e" filled="false" stroked="true" strokeweight=".75pt" strokecolor="#d2d2d2">
                <v:path arrowok="t"/>
              </v:shape>
            </v:group>
            <v:group style="position:absolute;left:4821;top:8;width:4746;height:391" coordorigin="4821,8" coordsize="4746,391">
              <v:shape style="position:absolute;left:4821;top:8;width:4746;height:391" coordorigin="4821,8" coordsize="4746,391" path="m4821,398l9567,398,9567,8,4821,8,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5"/>
          <w:szCs w:val="5"/>
        </w:rPr>
      </w:pPr>
    </w:p>
    <w:p>
      <w:pPr>
        <w:pStyle w:val="BodyText"/>
        <w:spacing w:line="520" w:lineRule="auto" w:before="44"/>
        <w:ind w:right="6069"/>
        <w:jc w:val="left"/>
      </w:pPr>
      <w:r>
        <w:rPr/>
        <w:t>合并成本公允价值的确定方法、或有对价及其变动的说明： 大额商誉形成的主要原因：</w:t>
      </w:r>
    </w:p>
    <w:p>
      <w:pPr>
        <w:pStyle w:val="BodyText"/>
        <w:spacing w:line="240" w:lineRule="auto" w:before="6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被购买方于购买日可辨认资产、负债" w:id="414"/>
      <w:bookmarkEnd w:id="41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240" w:lineRule="auto" w:before="10"/>
        <w:rPr>
          <w:rFonts w:ascii="宋体" w:hAnsi="宋体" w:cs="宋体" w:eastAsia="宋体" w:hint="default"/>
          <w:sz w:val="5"/>
          <w:szCs w:val="5"/>
        </w:rPr>
      </w:pPr>
    </w:p>
    <w:p>
      <w:pPr>
        <w:pStyle w:val="BodyText"/>
        <w:spacing w:line="511" w:lineRule="auto" w:before="44"/>
        <w:ind w:right="7524"/>
        <w:jc w:val="both"/>
      </w:pPr>
      <w:r>
        <w:rPr/>
        <w:t>可辨认资产、负债公允价值的确定方法：</w:t>
      </w:r>
      <w:r>
        <w:rPr>
          <w:spacing w:val="-87"/>
        </w:rPr>
        <w:t> </w:t>
      </w:r>
      <w:r>
        <w:rPr>
          <w:spacing w:val="-87"/>
        </w:rPr>
      </w:r>
      <w:r>
        <w:rPr/>
        <w:t>企业合并中承担的被购买方的或有负债： 其他说明：</w:t>
      </w:r>
    </w:p>
    <w:p>
      <w:pPr>
        <w:spacing w:after="0" w:line="511" w:lineRule="auto"/>
        <w:jc w:val="both"/>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购买日之前持有的股权按照公允价值重新计量产生的利得或损失" w:id="415"/>
      <w:bookmarkEnd w:id="41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是否存在通过多次交易分步实现企业合并且在报告期内取得控制权的交易</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购买日或合并当期期末无法合理确定合并对价或被购买方可辨认资产、负债公允价值" w:id="416"/>
      <w:bookmarkEnd w:id="41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0"/>
        <w:rPr>
          <w:rFonts w:ascii="宋体" w:hAnsi="宋体" w:cs="宋体" w:eastAsia="宋体" w:hint="default"/>
          <w:b/>
          <w:bCs/>
          <w:sz w:val="22"/>
          <w:szCs w:val="22"/>
        </w:rPr>
      </w:pPr>
    </w:p>
    <w:p>
      <w:pPr>
        <w:pStyle w:val="Heading3"/>
        <w:spacing w:line="643" w:lineRule="auto" w:before="187"/>
        <w:ind w:right="8535"/>
        <w:jc w:val="left"/>
        <w:rPr>
          <w:b w:val="0"/>
          <w:bCs w:val="0"/>
        </w:rPr>
      </w:pPr>
      <w:bookmarkStart w:name="（6）其他说明" w:id="417"/>
      <w:bookmarkEnd w:id="417"/>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18"/>
      <w:bookmarkEnd w:id="418"/>
      <w:r>
        <w:rPr>
          <w:w w:val="99"/>
        </w:rPr>
      </w: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85"/>
        <w:ind w:right="0"/>
        <w:jc w:val="left"/>
        <w:rPr>
          <w:b w:val="0"/>
          <w:bCs w:val="0"/>
        </w:rPr>
      </w:pPr>
      <w:bookmarkStart w:name="（1）本期发生的同一控制下企业合并" w:id="419"/>
      <w:bookmarkEnd w:id="41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合并成本" w:id="420"/>
      <w:bookmarkEnd w:id="42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9"/>
        <w:rPr>
          <w:rFonts w:ascii="宋体" w:hAnsi="宋体" w:cs="宋体" w:eastAsia="宋体" w:hint="default"/>
          <w:sz w:val="14"/>
          <w:szCs w:val="14"/>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406" coordorigin="23,8" coordsize="2,406">
              <v:shape style="position:absolute;left:23;top:8;width:2;height:406" coordorigin="23,8" coordsize="0,406" path="m23,8l23,413e" filled="false" stroked="true" strokeweight=".75pt" strokecolor="#d2d2d2">
                <v:path arrowok="t"/>
              </v:shape>
            </v:group>
            <v:group style="position:absolute;left:4784;top:8;width:2;height:406" coordorigin="4784,8" coordsize="2,406">
              <v:shape style="position:absolute;left:4784;top:8;width:2;height:406" coordorigin="4784,8" coordsize="0,406" path="m4784,8l4784,413e" filled="false" stroked="true" strokeweight=".75pt" strokecolor="#d2d2d2">
                <v:path arrowok="t"/>
              </v:shape>
            </v:group>
            <v:group style="position:absolute;left:30;top:8;width:4746;height:406" coordorigin="30,8" coordsize="4746,406">
              <v:shape style="position:absolute;left:30;top:8;width:4746;height:406" coordorigin="30,8" coordsize="4746,406" path="m30,413l4776,413,4776,8,30,8,30,413xe" filled="true" fillcolor="#d2d2d2" stroked="false">
                <v:path arrowok="t"/>
                <v:fill type="solid"/>
              </v:shape>
            </v:group>
            <v:group style="position:absolute;left:4814;top:8;width:2;height:406" coordorigin="4814,8" coordsize="2,406">
              <v:shape style="position:absolute;left:4814;top:8;width:2;height:406" coordorigin="4814,8" coordsize="0,406" path="m4814,8l4814,413e" filled="false" stroked="true" strokeweight=".75pt" strokecolor="#d2d2d2">
                <v:path arrowok="t"/>
              </v:shape>
            </v:group>
            <v:group style="position:absolute;left:9574;top:8;width:2;height:406" coordorigin="9574,8" coordsize="2,406">
              <v:shape style="position:absolute;left:9574;top:8;width:2;height:406" coordorigin="9574,8" coordsize="0,406" path="m9574,8l9574,413e" filled="false" stroked="true" strokeweight=".75pt" strokecolor="#d2d2d2">
                <v:path arrowok="t"/>
              </v:shape>
            </v:group>
            <v:group style="position:absolute;left:4821;top:8;width:4746;height:406" coordorigin="4821,8" coordsize="4746,406">
              <v:shape style="position:absolute;left:4821;top:8;width:4746;height:406" coordorigin="4821,8" coordsize="4746,406" path="m4821,413l9567,413,9567,8,4821,8,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7502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7502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6;width:4776;height:2" coordorigin="15,406" coordsize="4776,2">
              <v:shape style="position:absolute;left:15;top:406;width:4776;height:2" coordorigin="15,406" coordsize="4776,0" path="m15,406l4791,406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6;width:4776;height:2" coordorigin="4806,406" coordsize="4776,2">
              <v:shape style="position:absolute;left:4806;top:406;width:4776;height:2" coordorigin="4806,406" coordsize="4776,0" path="m4806,406l9582,406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5"/>
          <w:szCs w:val="5"/>
        </w:rPr>
      </w:pPr>
    </w:p>
    <w:p>
      <w:pPr>
        <w:pStyle w:val="BodyText"/>
        <w:spacing w:line="520" w:lineRule="auto" w:before="44"/>
        <w:ind w:right="8589"/>
        <w:jc w:val="left"/>
      </w:pPr>
      <w:r>
        <w:rPr/>
        <w:t>或有对价及其变动的说明： 其他说明：</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3）合并日被合并方资产、负债的账面价值" w:id="421"/>
      <w:bookmarkEnd w:id="42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9"/>
        <w:rPr>
          <w:rFonts w:ascii="宋体" w:hAnsi="宋体" w:cs="宋体" w:eastAsia="宋体" w:hint="default"/>
          <w:sz w:val="14"/>
          <w:szCs w:val="14"/>
        </w:rPr>
      </w:pPr>
    </w:p>
    <w:p>
      <w:pPr>
        <w:spacing w:line="833"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1.7pt;mso-position-horizontal-relative:char;mso-position-vertical-relative:line" coordorigin="0,0" coordsize="9597,834">
            <v:group style="position:absolute;left:23;top:23;width:2;height:390" coordorigin="23,23" coordsize="2,390">
              <v:shape style="position:absolute;left:23;top:23;width:2;height:390" coordorigin="23,23" coordsize="0,390" path="m23,22l23,412e" filled="false" stroked="true" strokeweight=".75pt" strokecolor="#d2d2d2">
                <v:path arrowok="t"/>
              </v:shape>
            </v:group>
            <v:group style="position:absolute;left:3184;top:23;width:2;height:390" coordorigin="3184,23" coordsize="2,390">
              <v:shape style="position:absolute;left:3184;top:23;width:2;height:390" coordorigin="3184,23" coordsize="0,390" path="m3184,22l3184,412e" filled="false" stroked="true" strokeweight="1.5pt" strokecolor="#d2d2d2">
                <v:path arrowok="t"/>
              </v:shape>
            </v:group>
            <v:group style="position:absolute;left:30;top:23;width:3139;height:390" coordorigin="30,23" coordsize="3139,390">
              <v:shape style="position:absolute;left:30;top:23;width:3139;height:390" coordorigin="30,23" coordsize="3139,390" path="m30,412l3169,412,3169,22,30,22,30,412xe" filled="true" fillcolor="#d2d2d2" stroked="false">
                <v:path arrowok="t"/>
                <v:fill type="solid"/>
              </v:shape>
            </v:group>
            <v:group style="position:absolute;left:3222;top:23;width:2;height:390" coordorigin="3222,23" coordsize="2,390">
              <v:shape style="position:absolute;left:3222;top:23;width:2;height:390" coordorigin="3222,23" coordsize="0,390" path="m3222,22l3222,412e" filled="false" stroked="true" strokeweight=".75pt" strokecolor="#d2d2d2">
                <v:path arrowok="t"/>
              </v:shape>
            </v:group>
            <v:group style="position:absolute;left:9574;top:23;width:2;height:390" coordorigin="9574,23" coordsize="2,390">
              <v:shape style="position:absolute;left:9574;top:23;width:2;height:390" coordorigin="9574,23" coordsize="0,390" path="m9574,22l9574,412e" filled="false" stroked="true" strokeweight=".75pt" strokecolor="#d2d2d2">
                <v:path arrowok="t"/>
              </v:shape>
            </v:group>
            <v:group style="position:absolute;left:3229;top:23;width:6338;height:390" coordorigin="3229,23" coordsize="6338,390">
              <v:shape style="position:absolute;left:3229;top:23;width:6338;height:390" coordorigin="3229,23" coordsize="6338,390" path="m3229,412l9567,412,9567,22,3229,22,3229,412xe" filled="true" fillcolor="#d2d2d2"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5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5pt" strokecolor="#000000">
                <v:path arrowok="t"/>
              </v:shape>
            </v:group>
            <v:group style="position:absolute;left:23;top:413;width:2;height:406" coordorigin="23,413" coordsize="2,406">
              <v:shape style="position:absolute;left:23;top:413;width:2;height:406" coordorigin="23,413" coordsize="0,406" path="m23,413l23,818e" filled="false" stroked="true" strokeweight=".75pt" strokecolor="#d2d2d2">
                <v:path arrowok="t"/>
              </v:shape>
            </v:group>
            <v:group style="position:absolute;left:3184;top:413;width:2;height:406" coordorigin="3184,413" coordsize="2,406">
              <v:shape style="position:absolute;left:3184;top:413;width:2;height:406" coordorigin="3184,413" coordsize="0,406" path="m3184,413l3184,818e" filled="false" stroked="true" strokeweight="1.5pt" strokecolor="#d2d2d2">
                <v:path arrowok="t"/>
              </v:shape>
            </v:group>
            <v:group style="position:absolute;left:30;top:413;width:3139;height:406" coordorigin="30,413" coordsize="3139,406">
              <v:shape style="position:absolute;left:30;top:413;width:3139;height:406" coordorigin="30,413" coordsize="3139,406" path="m30,818l3169,818,3169,413,30,413,30,818xe" filled="true" fillcolor="#d2d2d2" stroked="false">
                <v:path arrowok="t"/>
                <v:fill type="solid"/>
              </v:shape>
            </v:group>
            <v:group style="position:absolute;left:3222;top:413;width:2;height:406" coordorigin="3222,413" coordsize="2,406">
              <v:shape style="position:absolute;left:3222;top:413;width:2;height:406" coordorigin="3222,413" coordsize="0,406" path="m3222,413l3222,818e" filled="false" stroked="true" strokeweight=".75pt" strokecolor="#d2d2d2">
                <v:path arrowok="t"/>
              </v:shape>
            </v:group>
            <v:group style="position:absolute;left:6368;top:413;width:30;height:406" coordorigin="6368,413" coordsize="30,406">
              <v:shape style="position:absolute;left:6368;top:413;width:30;height:406" coordorigin="6368,413" coordsize="30,406" path="m6368,818l6398,818,6398,413,6368,413,6368,818xe" filled="true" fillcolor="#d2d2d2" stroked="false">
                <v:path arrowok="t"/>
                <v:fill type="solid"/>
              </v:shape>
            </v:group>
            <v:group style="position:absolute;left:3229;top:413;width:3139;height:406" coordorigin="3229,413" coordsize="3139,406">
              <v:shape style="position:absolute;left:3229;top:413;width:3139;height:406" coordorigin="3229,413" coordsize="3139,406" path="m3229,818l6368,818,6368,413,3229,413,3229,818xe" filled="true" fillcolor="#d2d2d2" stroked="false">
                <v:path arrowok="t"/>
                <v:fill type="solid"/>
              </v:shape>
            </v:group>
            <v:group style="position:absolute;left:6398;top:413;width:30;height:406" coordorigin="6398,413" coordsize="30,406">
              <v:shape style="position:absolute;left:6398;top:413;width:30;height:406" coordorigin="6398,413" coordsize="30,406" path="m6398,818l6428,818,6428,413,6398,413,6398,818xe" filled="true" fillcolor="#d2d2d2" stroked="false">
                <v:path arrowok="t"/>
                <v:fill type="solid"/>
              </v:shape>
            </v:group>
            <v:group style="position:absolute;left:9574;top:413;width:2;height:406" coordorigin="9574,413" coordsize="2,406">
              <v:shape style="position:absolute;left:9574;top:413;width:2;height:406" coordorigin="9574,413" coordsize="0,406" path="m9574,413l9574,818e" filled="false" stroked="true" strokeweight=".75pt" strokecolor="#d2d2d2">
                <v:path arrowok="t"/>
              </v:shape>
            </v:group>
            <v:group style="position:absolute;left:6428;top:413;width:3139;height:406" coordorigin="6428,413" coordsize="3139,406">
              <v:shape style="position:absolute;left:6428;top:413;width:3139;height:406" coordorigin="6428,413" coordsize="3139,406" path="m6428,818l9567,818,9567,413,6428,413,6428,818xe" filled="true" fillcolor="#d2d2d2" stroked="false">
                <v:path arrowok="t"/>
                <v:fill type="solid"/>
              </v:shape>
            </v:group>
            <v:group style="position:absolute;left:15;top:420;width:3184;height:2" coordorigin="15,420" coordsize="3184,2">
              <v:shape style="position:absolute;left:15;top:420;width:3184;height:2" coordorigin="15,420" coordsize="3184,0" path="m15,420l3199,420e" filled="false" stroked="true" strokeweight=".77496pt" strokecolor="#000000">
                <v:path arrowok="t"/>
              </v:shape>
            </v:group>
            <v:group style="position:absolute;left:3214;top:420;width:3169;height:2" coordorigin="3214,420" coordsize="3169,2">
              <v:shape style="position:absolute;left:3214;top:420;width:3169;height:2" coordorigin="3214,420" coordsize="3169,0" path="m3214,420l6383,420e" filled="false" stroked="true" strokeweight=".77496pt" strokecolor="#000000">
                <v:path arrowok="t"/>
              </v:shape>
            </v:group>
            <v:group style="position:absolute;left:6398;top:420;width:3184;height:2" coordorigin="6398,420" coordsize="3184,2">
              <v:shape style="position:absolute;left:6398;top:420;width:3184;height:2" coordorigin="6398,420" coordsize="3184,0" path="m6398,420l9582,420e" filled="false" stroked="true" strokeweight=".77496pt" strokecolor="#000000">
                <v:path arrowok="t"/>
              </v:shape>
            </v:group>
            <v:group style="position:absolute;left:8;top:8;width:2;height:811" coordorigin="8,8" coordsize="2,811">
              <v:shape style="position:absolute;left:8;top:8;width:2;height:811" coordorigin="8,8" coordsize="0,811" path="m8,7l8,818e" filled="false" stroked="true" strokeweight=".75pt" strokecolor="#000000">
                <v:path arrowok="t"/>
              </v:shape>
            </v:group>
            <v:group style="position:absolute;left:15;top:811;width:3184;height:2" coordorigin="15,811" coordsize="3184,2">
              <v:shape style="position:absolute;left:15;top:811;width:3184;height:2" coordorigin="15,811" coordsize="3184,0" path="m15,811l3199,811e" filled="false" stroked="true" strokeweight=".75pt" strokecolor="#000000">
                <v:path arrowok="t"/>
              </v:shape>
            </v:group>
            <v:group style="position:absolute;left:3207;top:8;width:2;height:811" coordorigin="3207,8" coordsize="2,811">
              <v:shape style="position:absolute;left:3207;top:8;width:2;height:811" coordorigin="3207,8" coordsize="0,811" path="m3207,7l3207,818e" filled="false" stroked="true" strokeweight=".75pt" strokecolor="#000000">
                <v:path arrowok="t"/>
              </v:shape>
            </v:group>
            <v:group style="position:absolute;left:3214;top:811;width:3169;height:2" coordorigin="3214,811" coordsize="3169,2">
              <v:shape style="position:absolute;left:3214;top:811;width:3169;height:2" coordorigin="3214,811" coordsize="3169,0" path="m3214,811l6383,811e" filled="false" stroked="true" strokeweight=".75pt" strokecolor="#000000">
                <v:path arrowok="t"/>
              </v:shape>
            </v:group>
            <v:group style="position:absolute;left:6391;top:412;width:2;height:406" coordorigin="6391,412" coordsize="2,406">
              <v:shape style="position:absolute;left:6391;top:412;width:2;height:406" coordorigin="6391,412" coordsize="0,406" path="m6391,412l6391,818e" filled="false" stroked="true" strokeweight=".75pt" strokecolor="#000000">
                <v:path arrowok="t"/>
              </v:shape>
            </v:group>
            <v:group style="position:absolute;left:6398;top:811;width:3184;height:2" coordorigin="6398,811" coordsize="3184,2">
              <v:shape style="position:absolute;left:6398;top:811;width:3184;height:2" coordorigin="6398,811" coordsize="3184,0" path="m6398,811l9582,811e" filled="false" stroked="true" strokeweight=".75pt" strokecolor="#000000">
                <v:path arrowok="t"/>
              </v:shape>
            </v:group>
            <v:group style="position:absolute;left:9589;top:8;width:2;height:811" coordorigin="9589,8" coordsize="2,811">
              <v:shape style="position:absolute;left:9589;top:8;width:2;height:811" coordorigin="9589,8" coordsize="0,811" path="m9589,7l9589,818e" filled="false" stroked="true" strokeweight=".75pt" strokecolor="#000000">
                <v:path arrowok="t"/>
              </v:shape>
              <v:shape style="position:absolute;left:3192;top:420;width:3200;height:391" type="#_x0000_t202" filled="false" stroked="false">
                <v:textbox inset="0,0,0,0">
                  <w:txbxContent>
                    <w:p>
                      <w:pPr>
                        <w:spacing w:before="37"/>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20;width:3199;height:391" type="#_x0000_t202" filled="false" stroked="false">
                <v:textbox inset="0,0,0,0">
                  <w:txbxContent>
                    <w:p>
                      <w:pPr>
                        <w:spacing w:before="37"/>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240" w:lineRule="auto" w:before="8"/>
        <w:rPr>
          <w:rFonts w:ascii="宋体" w:hAnsi="宋体" w:cs="宋体" w:eastAsia="宋体" w:hint="default"/>
          <w:sz w:val="4"/>
          <w:szCs w:val="4"/>
        </w:rPr>
      </w:pPr>
    </w:p>
    <w:p>
      <w:pPr>
        <w:pStyle w:val="BodyText"/>
        <w:spacing w:line="520" w:lineRule="auto" w:before="44"/>
        <w:ind w:right="7509"/>
        <w:jc w:val="left"/>
      </w:pPr>
      <w:r>
        <w:rPr/>
        <w:t>企业合并中承担的被合并方的或有负债： 其他说明：</w:t>
      </w:r>
    </w:p>
    <w:p>
      <w:pPr>
        <w:spacing w:after="0" w:line="52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反向购买" w:id="422"/>
      <w:bookmarkEnd w:id="42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58" w:lineRule="auto"/>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0"/>
        <w:rPr>
          <w:rFonts w:ascii="宋体" w:hAnsi="宋体" w:cs="宋体" w:eastAsia="宋体" w:hint="default"/>
          <w:sz w:val="18"/>
          <w:szCs w:val="18"/>
        </w:rPr>
      </w:pPr>
    </w:p>
    <w:p>
      <w:pPr>
        <w:pStyle w:val="Heading3"/>
        <w:spacing w:line="240" w:lineRule="auto" w:before="126"/>
        <w:ind w:right="0"/>
        <w:jc w:val="left"/>
        <w:rPr>
          <w:b w:val="0"/>
          <w:bCs w:val="0"/>
        </w:rPr>
      </w:pPr>
      <w:bookmarkStart w:name="4、处置子公司" w:id="423"/>
      <w:bookmarkEnd w:id="42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是否存在单次处置对子公司投资即丧失控制权的情形</w:t>
      </w:r>
    </w:p>
    <w:p>
      <w:pPr>
        <w:spacing w:line="240" w:lineRule="auto" w:before="0"/>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3"/>
        <w:rPr>
          <w:rFonts w:ascii="宋体" w:hAnsi="宋体" w:cs="宋体" w:eastAsia="宋体" w:hint="default"/>
          <w:sz w:val="19"/>
          <w:szCs w:val="19"/>
        </w:rPr>
      </w:pPr>
    </w:p>
    <w:p>
      <w:pPr>
        <w:pStyle w:val="BodyText"/>
        <w:spacing w:line="240" w:lineRule="auto"/>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844"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21"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90"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0"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90" w:right="105"/>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75" w:right="10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213"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湖北浩 威保安 服务有 限公司</w:t>
            </w:r>
          </w:p>
          <w:p>
            <w:pPr>
              <w:pStyle w:val="TableParagraph"/>
              <w:spacing w:line="319" w:lineRule="auto" w:before="22"/>
              <w:ind w:left="15" w:right="-15"/>
              <w:jc w:val="left"/>
              <w:rPr>
                <w:rFonts w:ascii="宋体" w:hAnsi="宋体" w:cs="宋体" w:eastAsia="宋体" w:hint="default"/>
                <w:sz w:val="18"/>
                <w:szCs w:val="18"/>
              </w:rPr>
            </w:pPr>
            <w:r>
              <w:rPr>
                <w:rFonts w:ascii="宋体" w:hAnsi="宋体" w:cs="宋体" w:eastAsia="宋体" w:hint="default"/>
                <w:sz w:val="18"/>
                <w:szCs w:val="18"/>
              </w:rPr>
              <w:t>（原名： 武汉浩 立威保 安服务 有限公 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1,620,00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81.00%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30" w:right="-30"/>
              <w:jc w:val="left"/>
              <w:rPr>
                <w:rFonts w:ascii="宋体" w:hAnsi="宋体" w:cs="宋体" w:eastAsia="宋体" w:hint="default"/>
                <w:sz w:val="18"/>
                <w:szCs w:val="18"/>
              </w:rPr>
            </w:pPr>
            <w:r>
              <w:rPr>
                <w:rFonts w:ascii="宋体" w:hAnsi="宋体" w:cs="宋体" w:eastAsia="宋体" w:hint="default"/>
                <w:sz w:val="18"/>
                <w:szCs w:val="18"/>
              </w:rPr>
              <w:t>已完成 股权转 让工商 变更登 </w:t>
            </w:r>
            <w:r>
              <w:rPr>
                <w:rFonts w:ascii="宋体" w:hAnsi="宋体" w:cs="宋体" w:eastAsia="宋体" w:hint="default"/>
                <w:spacing w:val="-12"/>
                <w:sz w:val="18"/>
                <w:szCs w:val="18"/>
              </w:rPr>
              <w:t>记、经营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权转移。</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124,906.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19.00%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04" w:lineRule="auto"/>
              <w:ind w:left="30" w:right="165"/>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5"/>
          <w:szCs w:val="5"/>
        </w:rPr>
      </w:pPr>
    </w:p>
    <w:p>
      <w:pPr>
        <w:pStyle w:val="BodyText"/>
        <w:spacing w:line="504" w:lineRule="auto" w:before="44"/>
        <w:ind w:right="4989"/>
        <w:jc w:val="left"/>
      </w:pPr>
      <w:r>
        <w:rPr/>
        <w:t>其他说明： 是否存在通过多次交易分步处置对子公司投资且在本期丧失控制权的情形</w:t>
      </w:r>
    </w:p>
    <w:p>
      <w:pPr>
        <w:pStyle w:val="BodyText"/>
        <w:spacing w:line="240" w:lineRule="auto" w:before="7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left="221" w:right="1108"/>
        <w:jc w:val="left"/>
        <w:rPr>
          <w:b w:val="0"/>
          <w:bCs w:val="0"/>
        </w:rPr>
      </w:pPr>
      <w:bookmarkStart w:name="5、其他原因的合并范围变动" w:id="424"/>
      <w:bookmarkEnd w:id="42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0"/>
        <w:rPr>
          <w:rFonts w:ascii="宋体" w:hAnsi="宋体" w:cs="宋体" w:eastAsia="宋体" w:hint="default"/>
          <w:b/>
          <w:bCs/>
          <w:sz w:val="22"/>
          <w:szCs w:val="22"/>
        </w:rPr>
      </w:pPr>
    </w:p>
    <w:p>
      <w:pPr>
        <w:pStyle w:val="BodyText"/>
        <w:spacing w:line="535" w:lineRule="auto" w:before="192"/>
        <w:ind w:left="221" w:right="3909"/>
        <w:jc w:val="left"/>
      </w:pPr>
      <w:r>
        <w:rPr/>
        <w:t>说明其他原因导致的合并范围变动（如，新设子公司、清算子公司等）及其相关情况： 合并范围增加</w:t>
      </w:r>
    </w:p>
    <w:p>
      <w:pPr>
        <w:pStyle w:val="BodyText"/>
        <w:spacing w:line="229" w:lineRule="exact"/>
        <w:ind w:left="0" w:right="1215"/>
        <w:jc w:val="right"/>
      </w:pPr>
      <w:r>
        <w:rPr/>
        <w:t>单位：元</w:t>
      </w:r>
    </w:p>
    <w:p>
      <w:pPr>
        <w:spacing w:line="240" w:lineRule="auto" w:before="3"/>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3079"/>
        <w:gridCol w:w="1908"/>
        <w:gridCol w:w="2177"/>
        <w:gridCol w:w="1397"/>
        <w:gridCol w:w="1306"/>
      </w:tblGrid>
      <w:tr>
        <w:trPr>
          <w:trHeight w:val="33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2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421"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70" w:right="0"/>
              <w:jc w:val="left"/>
              <w:rPr>
                <w:rFonts w:ascii="宋体" w:hAnsi="宋体" w:cs="宋体" w:eastAsia="宋体" w:hint="default"/>
                <w:sz w:val="18"/>
                <w:szCs w:val="18"/>
              </w:rPr>
            </w:pPr>
            <w:r>
              <w:rPr>
                <w:rFonts w:ascii="宋体" w:hAnsi="宋体" w:cs="宋体" w:eastAsia="宋体" w:hint="default"/>
                <w:sz w:val="18"/>
                <w:szCs w:val="18"/>
              </w:rPr>
              <w:t>出资比例</w:t>
            </w:r>
          </w:p>
        </w:tc>
      </w:tr>
      <w:tr>
        <w:trPr>
          <w:trHeight w:val="316"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甲壳云计算有限公司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sz w:val="18"/>
              </w:rPr>
              <w:t>2019/2/18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11,500,000.00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3"/>
              <w:jc w:val="right"/>
              <w:rPr>
                <w:rFonts w:ascii="宋体" w:hAnsi="宋体" w:cs="宋体" w:eastAsia="宋体" w:hint="default"/>
                <w:sz w:val="18"/>
                <w:szCs w:val="18"/>
              </w:rPr>
            </w:pPr>
            <w:r>
              <w:rPr>
                <w:rFonts w:ascii="宋体"/>
                <w:sz w:val="18"/>
              </w:rPr>
              <w:t>51%</w:t>
            </w:r>
          </w:p>
        </w:tc>
      </w:tr>
      <w:tr>
        <w:trPr>
          <w:trHeight w:val="525" w:hRule="exact"/>
        </w:trPr>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信泽云（武汉）计算机软件有限公司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2019/7/11</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4"/>
              <w:jc w:val="right"/>
              <w:rPr>
                <w:rFonts w:ascii="宋体" w:hAnsi="宋体" w:cs="宋体" w:eastAsia="宋体" w:hint="default"/>
                <w:sz w:val="18"/>
                <w:szCs w:val="18"/>
              </w:rPr>
            </w:pPr>
            <w:r>
              <w:rPr>
                <w:rFonts w:ascii="宋体"/>
                <w:sz w:val="18"/>
              </w:rPr>
              <w:t>600,000.00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3"/>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25"/>
          <w:szCs w:val="25"/>
        </w:rPr>
      </w:pPr>
    </w:p>
    <w:p>
      <w:pPr>
        <w:spacing w:line="614" w:lineRule="auto" w:before="35"/>
        <w:ind w:left="221" w:right="8098" w:firstLine="0"/>
        <w:jc w:val="left"/>
        <w:rPr>
          <w:rFonts w:ascii="宋体" w:hAnsi="宋体" w:cs="宋体" w:eastAsia="宋体" w:hint="default"/>
          <w:sz w:val="21"/>
          <w:szCs w:val="21"/>
        </w:rPr>
      </w:pPr>
      <w:bookmarkStart w:name="6、其他" w:id="425"/>
      <w:bookmarkEnd w:id="42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26"/>
      <w:bookmarkEnd w:id="426"/>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27"/>
      <w:bookmarkEnd w:id="427"/>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112"/>
        <w:ind w:left="221" w:right="1108"/>
        <w:jc w:val="left"/>
        <w:rPr>
          <w:b w:val="0"/>
          <w:bCs w:val="0"/>
        </w:rPr>
      </w:pPr>
      <w:bookmarkStart w:name="（1）企业集团的构成" w:id="428"/>
      <w:bookmarkEnd w:id="42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20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广州市浩云安防 设备有限公司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广州市苏瑞计算 机科技有限公司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重庆浩云公共安 全物联网技术有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广州浩昀宏信息 技术有限公司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软件开发及技术 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西藏浩云创业投 资有限公司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湖北浩威保安服 务有限公司（原 名：武汉浩立威 保安服务有限公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安保服务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设立（已于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月处置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深圳市润安科技 发展有限公司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6"/>
              <w:jc w:val="left"/>
              <w:rPr>
                <w:rFonts w:ascii="宋体" w:hAnsi="宋体" w:cs="宋体" w:eastAsia="宋体" w:hint="default"/>
                <w:sz w:val="18"/>
                <w:szCs w:val="18"/>
              </w:rPr>
            </w:pPr>
            <w:r>
              <w:rPr>
                <w:rFonts w:ascii="宋体" w:hAnsi="宋体" w:cs="宋体" w:eastAsia="宋体" w:hint="default"/>
                <w:sz w:val="18"/>
                <w:szCs w:val="18"/>
              </w:rPr>
              <w:t>信息系统集成服 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45.90%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21" w:lineRule="auto"/>
        <w:jc w:val="left"/>
        <w:rPr>
          <w:rFonts w:ascii="宋体" w:hAnsi="宋体" w:cs="宋体" w:eastAsia="宋体" w:hint="default"/>
          <w:sz w:val="18"/>
          <w:szCs w:val="18"/>
        </w:rPr>
        <w:sectPr>
          <w:pgSz w:w="11910" w:h="16850"/>
          <w:pgMar w:header="776" w:footer="1026" w:top="1100" w:bottom="1220" w:left="920" w:right="0"/>
        </w:sectPr>
      </w:pPr>
    </w:p>
    <w:p>
      <w:pPr>
        <w:spacing w:line="240" w:lineRule="auto" w:before="0"/>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广东冠网信息科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6"/>
              <w:jc w:val="left"/>
              <w:rPr>
                <w:rFonts w:ascii="宋体" w:hAnsi="宋体" w:cs="宋体" w:eastAsia="宋体" w:hint="default"/>
                <w:sz w:val="18"/>
                <w:szCs w:val="18"/>
              </w:rPr>
            </w:pPr>
            <w:r>
              <w:rPr>
                <w:rFonts w:ascii="宋体" w:hAnsi="宋体" w:cs="宋体" w:eastAsia="宋体" w:hint="default"/>
                <w:sz w:val="18"/>
                <w:szCs w:val="18"/>
              </w:rPr>
              <w:t>软件开发、系统 集成服务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53.00%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辛集市浩云智慧 城市科技有限公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幸集市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幸集市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76"/>
              <w:jc w:val="left"/>
              <w:rPr>
                <w:rFonts w:ascii="宋体" w:hAnsi="宋体" w:cs="宋体" w:eastAsia="宋体" w:hint="default"/>
                <w:sz w:val="18"/>
                <w:szCs w:val="18"/>
              </w:rPr>
            </w:pPr>
            <w:r>
              <w:rPr>
                <w:rFonts w:ascii="宋体" w:hAnsi="宋体" w:cs="宋体" w:eastAsia="宋体" w:hint="default"/>
                <w:sz w:val="18"/>
                <w:szCs w:val="18"/>
              </w:rPr>
              <w:t>智慧城市规划设 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信泽云（武汉） 计算机软件有限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湖北省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6"/>
              <w:jc w:val="left"/>
              <w:rPr>
                <w:rFonts w:ascii="宋体" w:hAnsi="宋体" w:cs="宋体" w:eastAsia="宋体" w:hint="default"/>
                <w:sz w:val="18"/>
                <w:szCs w:val="18"/>
              </w:rPr>
            </w:pPr>
            <w:r>
              <w:rPr>
                <w:rFonts w:ascii="宋体" w:hAnsi="宋体" w:cs="宋体" w:eastAsia="宋体" w:hint="default"/>
                <w:sz w:val="18"/>
                <w:szCs w:val="18"/>
              </w:rPr>
              <w:t>信息传输、软件 和信息技术服务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甲壳云计算有限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物联网技术开发 与应用</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宋体" w:hAnsi="宋体" w:cs="宋体" w:eastAsia="宋体" w:hint="default"/>
          <w:b/>
          <w:bCs/>
          <w:sz w:val="5"/>
          <w:szCs w:val="5"/>
        </w:rPr>
      </w:pPr>
    </w:p>
    <w:p>
      <w:pPr>
        <w:pStyle w:val="BodyText"/>
        <w:spacing w:line="240" w:lineRule="auto" w:before="44"/>
        <w:ind w:right="0"/>
        <w:jc w:val="left"/>
      </w:pPr>
      <w:r>
        <w:rPr/>
        <w:t>在子公司的持股比例不同于表决权比例的说明：</w:t>
      </w:r>
    </w:p>
    <w:p>
      <w:pPr>
        <w:spacing w:line="240" w:lineRule="auto" w:before="0"/>
        <w:rPr>
          <w:rFonts w:ascii="宋体" w:hAnsi="宋体" w:cs="宋体" w:eastAsia="宋体" w:hint="default"/>
          <w:sz w:val="21"/>
          <w:szCs w:val="21"/>
        </w:rPr>
      </w:pPr>
    </w:p>
    <w:p>
      <w:pPr>
        <w:pStyle w:val="BodyText"/>
        <w:spacing w:line="458" w:lineRule="auto"/>
        <w:ind w:right="0"/>
        <w:jc w:val="left"/>
      </w:pPr>
      <w:r>
        <w:rPr>
          <w:spacing w:val="-2"/>
        </w:rPr>
        <w:t>根据深圳市润安科技发展有限公司的公司章程约定，全体董事人数过半数通过决议有效。公司在子公司深圳市润安科技发展</w:t>
      </w:r>
      <w:r>
        <w:rPr>
          <w:spacing w:val="-61"/>
        </w:rPr>
        <w:t> </w:t>
      </w:r>
      <w:r>
        <w:rPr>
          <w:spacing w:val="-61"/>
        </w:rPr>
      </w:r>
      <w:r>
        <w:rPr/>
        <w:t>有限公司的董事会席位占比为五分之三，持有半数以上的表决权，对深圳市润安科技发展有限公司形成控制。</w:t>
      </w:r>
    </w:p>
    <w:p>
      <w:pPr>
        <w:pStyle w:val="BodyText"/>
        <w:spacing w:line="520" w:lineRule="auto" w:before="111"/>
        <w:ind w:right="2829"/>
        <w:jc w:val="left"/>
      </w:pPr>
      <w:r>
        <w:rPr/>
        <w:t>持有半数或以下表决权但仍控制被投资单位、以及持有半数以上表决权但不控制被投资单位的依据： 对于纳入合并范围的重要的结构化主体，控制的依据：</w:t>
      </w:r>
    </w:p>
    <w:p>
      <w:pPr>
        <w:pStyle w:val="BodyText"/>
        <w:spacing w:line="520" w:lineRule="auto" w:before="64"/>
        <w:ind w:right="7689"/>
        <w:jc w:val="left"/>
      </w:pPr>
      <w:r>
        <w:rPr/>
        <w:t>确定公司是代理人还是委托人的依据： 其他说明：</w:t>
      </w:r>
    </w:p>
    <w:p>
      <w:pPr>
        <w:pStyle w:val="BodyText"/>
        <w:spacing w:line="240" w:lineRule="auto" w:before="64"/>
        <w:ind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日，本公司对广州浩昀宏信息技术有限公司未出资。</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要的非全资子公司" w:id="429"/>
      <w:bookmarkEnd w:id="42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深圳市润安科技发展有 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54.10%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13,816,583.24</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77,891,656.40</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广东冠网信息科技有限 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47.00%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5,129,547.72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10,886,857.05</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甲壳云计算有限公司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1,156,148.38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2,136,148.38</w:t>
            </w:r>
          </w:p>
        </w:tc>
      </w:tr>
    </w:tbl>
    <w:p>
      <w:pPr>
        <w:spacing w:line="240" w:lineRule="auto" w:before="10"/>
        <w:rPr>
          <w:rFonts w:ascii="宋体" w:hAnsi="宋体" w:cs="宋体" w:eastAsia="宋体" w:hint="default"/>
          <w:sz w:val="5"/>
          <w:szCs w:val="5"/>
        </w:rPr>
      </w:pPr>
    </w:p>
    <w:p>
      <w:pPr>
        <w:pStyle w:val="BodyText"/>
        <w:spacing w:line="504" w:lineRule="auto" w:before="44"/>
        <w:ind w:right="6429"/>
        <w:jc w:val="left"/>
      </w:pPr>
      <w:r>
        <w:rPr/>
        <w:t>子公司少数股东的持股比例不同于表决权比例的说明： 其他说明：</w:t>
      </w:r>
    </w:p>
    <w:p>
      <w:pPr>
        <w:spacing w:after="0" w:line="504"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重要非全资子公司的主要财务信息" w:id="430"/>
      <w:bookmarkEnd w:id="43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深圳市 润安科 技发展 有限公 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194,562,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344.72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28,399,9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11.40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222,962,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256.12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83,630,0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31.89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1,410,92</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0.90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85,040,9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52.79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152,132,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291.83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19,368,5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06.83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171,500,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798.66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57,077,2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40.26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5,078,22</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5.90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62,155,4</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66.16</w:t>
            </w:r>
          </w:p>
        </w:tc>
      </w:tr>
      <w:tr>
        <w:trPr>
          <w:trHeight w:val="135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广东冠 网信息 科技有 限公司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31,984,5</w:t>
            </w:r>
          </w:p>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84.20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801,204.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32,785,7</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88.40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9,252,26</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2.76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9,622,26</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2.76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28,530,8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94.06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920,068.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29,450,9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62.37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16,701,3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68.04</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17,201,3</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68.04</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甲壳云 计算有 限公司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7,049,70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2.06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8,343,70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8.72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15,393,4</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10.78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553,924.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553,924.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406"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深圳市润安 科技发展有 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121,128,159.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25,538,970.8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25,538,970.8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-5,932,137.06</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132,703,756.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22,225,261.9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22,225,261.9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1,400,652.56</w:t>
            </w:r>
          </w:p>
        </w:tc>
      </w:tr>
      <w:tr>
        <w:trPr>
          <w:trHeight w:val="102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广东冠网信 息科技有限 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29,309,202.8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10,913,931.3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10,913,931.3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945,021.16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24,836,224.2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12,949,464.3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12,949,464.3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931,457.75</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甲壳云计算 有限公司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9,271,395.08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2,359,486.49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2,359,486.49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-111,752.21</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4）使用企业集团资产和清偿企业集团债务的重大限制" w:id="431"/>
      <w:bookmarkEnd w:id="43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5）向纳入合并财务报表范围的结构化主体提供的财务支持或其他支持" w:id="432"/>
      <w:bookmarkEnd w:id="43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在子公司的所有者权益份额发生变化且仍控制子公司的交易" w:id="433"/>
      <w:bookmarkEnd w:id="43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在子公司所有者权益份额发生变化的情况说明" w:id="434"/>
      <w:bookmarkEnd w:id="43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2）交易对于少数股东权益及归属于母公司所有者权益的影响" w:id="435"/>
      <w:bookmarkEnd w:id="43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13"/>
          <w:szCs w:val="13"/>
        </w:rPr>
      </w:pPr>
    </w:p>
    <w:p>
      <w:pPr>
        <w:spacing w:line="435" w:lineRule="exact"/>
        <w:ind w:left="12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85pt;height:21.8pt;mso-position-horizontal-relative:char;mso-position-vertical-relative:line" coordorigin="0,0" coordsize="9597,436">
            <v:group style="position:absolute;left:23;top:23;width:2;height:390" coordorigin="23,23" coordsize="2,390">
              <v:shape style="position:absolute;left:23;top:23;width:2;height:390" coordorigin="23,23" coordsize="0,390" path="m23,23l23,413e" filled="false" stroked="true" strokeweight=".75pt" strokecolor="#d2d2d2">
                <v:path arrowok="t"/>
              </v:shape>
            </v:group>
            <v:group style="position:absolute;left:4784;top:23;width:2;height:390" coordorigin="4784,23" coordsize="2,390">
              <v:shape style="position:absolute;left:4784;top:23;width:2;height:390" coordorigin="4784,23" coordsize="0,390" path="m4784,23l4784,413e" filled="false" stroked="true" strokeweight=".75pt" strokecolor="#d2d2d2">
                <v:path arrowok="t"/>
              </v:shape>
            </v:group>
            <v:group style="position:absolute;left:30;top:23;width:4746;height:390" coordorigin="30,23" coordsize="4746,390">
              <v:shape style="position:absolute;left:30;top:23;width:4746;height:390" coordorigin="30,23" coordsize="4746,390" path="m30,413l4776,413,4776,23,30,23,30,413xe" filled="true" fillcolor="#d2d2d2" stroked="false">
                <v:path arrowok="t"/>
                <v:fill type="solid"/>
              </v:shape>
            </v:group>
            <v:group style="position:absolute;left:4814;top:23;width:2;height:390" coordorigin="4814,23" coordsize="2,390">
              <v:shape style="position:absolute;left:4814;top:23;width:2;height:390" coordorigin="4814,23" coordsize="0,390" path="m4814,23l4814,413e" filled="false" stroked="true" strokeweight=".75pt" strokecolor="#d2d2d2">
                <v:path arrowok="t"/>
              </v:shape>
            </v:group>
            <v:group style="position:absolute;left:9574;top:23;width:2;height:390" coordorigin="9574,23" coordsize="2,390">
              <v:shape style="position:absolute;left:9574;top:23;width:2;height:390" coordorigin="9574,23" coordsize="0,390" path="m9574,23l9574,413e" filled="false" stroked="true" strokeweight=".75pt" strokecolor="#d2d2d2">
                <v:path arrowok="t"/>
              </v:shape>
            </v:group>
            <v:group style="position:absolute;left:4821;top:23;width:4746;height:390" coordorigin="4821,23" coordsize="4746,390">
              <v:shape style="position:absolute;left:4821;top:23;width:4746;height:390" coordorigin="4821,23" coordsize="4746,390" path="m4821,413l9567,413,9567,23,4821,23,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7499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7499pt" strokecolor="#000000">
                <v:path arrowok="t"/>
              </v:shape>
            </v:group>
            <v:group style="position:absolute;left:8;top:8;width:2;height:421" coordorigin="8,8" coordsize="2,421">
              <v:shape style="position:absolute;left:8;top:8;width:2;height:421" coordorigin="8,8" coordsize="0,421" path="m8,8l8,428e" filled="false" stroked="true" strokeweight=".75pt" strokecolor="#000000">
                <v:path arrowok="t"/>
              </v:shape>
            </v:group>
            <v:group style="position:absolute;left:15;top:420;width:4776;height:2" coordorigin="15,420" coordsize="4776,2">
              <v:shape style="position:absolute;left:15;top:420;width:4776;height:2" coordorigin="15,420" coordsize="4776,0" path="m15,420l4791,420e" filled="false" stroked="true" strokeweight=".75pt" strokecolor="#000000">
                <v:path arrowok="t"/>
              </v:shape>
            </v:group>
            <v:group style="position:absolute;left:4799;top:8;width:2;height:421" coordorigin="4799,8" coordsize="2,421">
              <v:shape style="position:absolute;left:4799;top:8;width:2;height:421" coordorigin="4799,8" coordsize="0,421" path="m4799,8l4799,428e" filled="false" stroked="true" strokeweight=".75pt" strokecolor="#000000">
                <v:path arrowok="t"/>
              </v:shape>
            </v:group>
            <v:group style="position:absolute;left:4806;top:420;width:4776;height:2" coordorigin="4806,420" coordsize="4776,2">
              <v:shape style="position:absolute;left:4806;top:420;width:4776;height:2" coordorigin="4806,420" coordsize="4776,0" path="m4806,420l9582,420e" filled="false" stroked="true" strokeweight=".75pt" strokecolor="#000000">
                <v:path arrowok="t"/>
              </v:shape>
            </v:group>
            <v:group style="position:absolute;left:9589;top:8;width:2;height:421" coordorigin="9589,8" coordsize="2,421">
              <v:shape style="position:absolute;left:9589;top:8;width:2;height:421" coordorigin="9589,8" coordsize="0,421" path="m9589,8l9589,428e" filled="false" stroked="true" strokeweight=".75pt" strokecolor="#000000">
                <v:path arrowok="t"/>
              </v:shape>
            </v:group>
          </v:group>
        </w:pict>
      </w:r>
      <w:r>
        <w:rPr>
          <w:rFonts w:ascii="宋体" w:hAnsi="宋体" w:cs="宋体" w:eastAsia="宋体" w:hint="default"/>
          <w:position w:val="-8"/>
          <w:sz w:val="20"/>
          <w:szCs w:val="20"/>
        </w:rPr>
      </w:r>
    </w:p>
    <w:p>
      <w:pPr>
        <w:spacing w:line="240" w:lineRule="auto" w:before="3"/>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在合营安排或联营企业中的权益" w:id="436"/>
      <w:bookmarkEnd w:id="43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重要的合营企业或联营企业" w:id="437"/>
      <w:bookmarkEnd w:id="43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b/>
          <w:bCs/>
          <w:sz w:val="5"/>
          <w:szCs w:val="5"/>
        </w:rPr>
      </w:pPr>
    </w:p>
    <w:p>
      <w:pPr>
        <w:pStyle w:val="BodyText"/>
        <w:spacing w:line="240" w:lineRule="auto" w:before="44"/>
        <w:ind w:right="0"/>
        <w:jc w:val="left"/>
      </w:pPr>
      <w:r>
        <w:rPr/>
        <w:t>在合营企业或联营企业的持股比例不同于表决权比例的说明：</w:t>
      </w:r>
    </w:p>
    <w:p>
      <w:pPr>
        <w:spacing w:line="240" w:lineRule="auto" w:before="0"/>
        <w:rPr>
          <w:rFonts w:ascii="宋体" w:hAnsi="宋体" w:cs="宋体" w:eastAsia="宋体" w:hint="default"/>
          <w:sz w:val="21"/>
          <w:szCs w:val="21"/>
        </w:rPr>
      </w:pPr>
    </w:p>
    <w:p>
      <w:pPr>
        <w:pStyle w:val="BodyText"/>
        <w:spacing w:line="240" w:lineRule="auto"/>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重要合营企业的主要财务信息" w:id="438"/>
      <w:bookmarkEnd w:id="43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重要联营企业的主要财务信息" w:id="439"/>
      <w:bookmarkEnd w:id="43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不重要的合营企业和联营企业的汇总财务信息" w:id="440"/>
      <w:bookmarkEnd w:id="44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合营企业或联营企业向本公司转移资金的能力存在重大限制的说明" w:id="441"/>
      <w:bookmarkEnd w:id="44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6）合营企业或联营企业发生的超额亏损" w:id="442"/>
      <w:bookmarkEnd w:id="44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7）与合营企业投资相关的未确认承诺" w:id="443"/>
      <w:bookmarkEnd w:id="44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0"/>
        <w:rPr>
          <w:rFonts w:ascii="宋体" w:hAnsi="宋体" w:cs="宋体" w:eastAsia="宋体" w:hint="default"/>
          <w:b/>
          <w:bCs/>
          <w:sz w:val="22"/>
          <w:szCs w:val="22"/>
        </w:rPr>
      </w:pPr>
    </w:p>
    <w:p>
      <w:pPr>
        <w:pStyle w:val="Heading3"/>
        <w:spacing w:line="631" w:lineRule="auto" w:before="187"/>
        <w:ind w:right="6216"/>
        <w:jc w:val="left"/>
        <w:rPr>
          <w:b w:val="0"/>
          <w:bCs w:val="0"/>
        </w:rPr>
      </w:pPr>
      <w:bookmarkStart w:name="（8）与合营企业或联营企业投资相关的或有负债" w:id="444"/>
      <w:bookmarkEnd w:id="444"/>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45"/>
      <w:bookmarkEnd w:id="445"/>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2"/>
        <w:rPr>
          <w:rFonts w:ascii="宋体" w:hAnsi="宋体" w:cs="宋体" w:eastAsia="宋体"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391"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240" w:lineRule="auto" w:before="10"/>
        <w:rPr>
          <w:rFonts w:ascii="宋体" w:hAnsi="宋体" w:cs="宋体" w:eastAsia="宋体" w:hint="default"/>
          <w:b/>
          <w:bCs/>
          <w:sz w:val="5"/>
          <w:szCs w:val="5"/>
        </w:rPr>
      </w:pPr>
    </w:p>
    <w:p>
      <w:pPr>
        <w:pStyle w:val="BodyText"/>
        <w:spacing w:line="504" w:lineRule="auto" w:before="44"/>
        <w:ind w:right="5529"/>
        <w:jc w:val="left"/>
      </w:pPr>
      <w:r>
        <w:rPr/>
        <w:t>在共同经营中的持股比例或享有的份额不同于表决权比例的说明： 共同经营为单独主体的，分类为共同经营的依据：</w:t>
      </w:r>
    </w:p>
    <w:p>
      <w:pPr>
        <w:pStyle w:val="BodyText"/>
        <w:spacing w:line="240" w:lineRule="auto" w:before="77"/>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5、在未纳入合并财务报表范围的结构化主体中的权益" w:id="446"/>
      <w:bookmarkEnd w:id="446"/>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未纳入合并财务报表范围的结构化主体的相关说明：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both"/>
        <w:rPr>
          <w:b w:val="0"/>
          <w:bCs w:val="0"/>
        </w:rPr>
      </w:pPr>
      <w:bookmarkStart w:name="6、其他" w:id="447"/>
      <w:bookmarkEnd w:id="447"/>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pStyle w:val="Heading2"/>
        <w:spacing w:line="240" w:lineRule="auto" w:before="166"/>
        <w:ind w:right="0"/>
        <w:jc w:val="both"/>
        <w:rPr>
          <w:b w:val="0"/>
          <w:bCs w:val="0"/>
        </w:rPr>
      </w:pPr>
      <w:bookmarkStart w:name="十、与金融工具相关的风险" w:id="448"/>
      <w:bookmarkEnd w:id="448"/>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482" w:lineRule="auto" w:before="178"/>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50"/>
        </w:rPr>
        <w:t> </w:t>
      </w:r>
      <w:r>
        <w:rPr>
          <w:spacing w:val="-50"/>
        </w:rPr>
      </w:r>
      <w:r>
        <w:rPr/>
        <w:t>建立适当的风险承受底线和进行风险管理，并及时可靠地对各种风险进行监督，将风险控制在限定的范围内。</w:t>
      </w:r>
    </w:p>
    <w:p>
      <w:pPr>
        <w:pStyle w:val="BodyText"/>
        <w:spacing w:line="475" w:lineRule="auto" w:before="48"/>
        <w:ind w:right="0" w:firstLine="420"/>
        <w:jc w:val="left"/>
      </w:pPr>
      <w:r>
        <w:rPr/>
        <w:t>本公司在日常活动中面临各种与金融工具相关的风险，主要包括信用风险、流动性风险及市场风险。管理层已审议并 批准管理这些风险的政策，概括如下。</w:t>
      </w:r>
    </w:p>
    <w:p>
      <w:pPr>
        <w:pStyle w:val="BodyText"/>
        <w:spacing w:line="468" w:lineRule="auto" w:before="53"/>
        <w:ind w:left="561" w:right="384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信用风险管理实务</w:t>
      </w:r>
    </w:p>
    <w:p>
      <w:pPr>
        <w:pStyle w:val="BodyText"/>
        <w:spacing w:line="448" w:lineRule="auto" w:before="26"/>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信用风险的评价方法</w:t>
      </w:r>
      <w:r>
        <w:rPr>
          <w:w w:val="99"/>
        </w:rPr>
        <w:t> </w:t>
      </w:r>
      <w:r>
        <w:rPr/>
        <w:t>公司在每个资产负债表日评估相关金融工具的信用风险自初始确认后是否已显著增加。在确定信用风险自初始确认后</w:t>
      </w:r>
    </w:p>
    <w:p>
      <w:pPr>
        <w:pStyle w:val="BodyText"/>
        <w:spacing w:line="480" w:lineRule="auto" w:before="73"/>
        <w:ind w:right="1121"/>
        <w:jc w:val="both"/>
      </w:pPr>
      <w:r>
        <w:rPr>
          <w:spacing w:val="-2"/>
        </w:rPr>
        <w:t>是否显著增加时，公司考虑在无须付出不必要的额外成本或努力即可获得合理且有依据的信息，包括基于历史数据的定性和</w:t>
      </w:r>
      <w:r>
        <w:rPr>
          <w:spacing w:val="-68"/>
        </w:rPr>
        <w:t> </w:t>
      </w:r>
      <w:r>
        <w:rPr>
          <w:spacing w:val="-68"/>
        </w:rPr>
      </w:r>
      <w:r>
        <w:rPr>
          <w:spacing w:val="-2"/>
        </w:rPr>
        <w:t>定量分析、外部信用风险评级以及前瞻性信息。公司以单项金融工具或者具有相似信用风险特征的金融工具组合为基础，通</w:t>
      </w:r>
      <w:r>
        <w:rPr>
          <w:spacing w:val="-75"/>
        </w:rPr>
        <w:t> </w:t>
      </w:r>
      <w:r>
        <w:rPr>
          <w:spacing w:val="-75"/>
        </w:rPr>
      </w:r>
      <w:r>
        <w:rPr>
          <w:spacing w:val="-2"/>
        </w:rPr>
        <w:t>过比较金融工具在资产负债表日发生违约的风险与在初始确认日发生违约的风险，以确定金融工具预计存续期内发生违约风</w:t>
      </w:r>
      <w:r>
        <w:rPr>
          <w:spacing w:val="-58"/>
        </w:rPr>
        <w:t> </w:t>
      </w:r>
      <w:r>
        <w:rPr>
          <w:spacing w:val="-58"/>
        </w:rPr>
      </w:r>
      <w:r>
        <w:rPr/>
        <w:t>险的变化情况。</w:t>
      </w:r>
    </w:p>
    <w:p>
      <w:pPr>
        <w:pStyle w:val="BodyText"/>
        <w:spacing w:line="448" w:lineRule="auto" w:before="50"/>
        <w:ind w:left="561" w:right="108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预期信用损失的计量 预期信用损失计量的关键参数包括违约概率、违约损失率和违约风险敞口。公司考虑历史统计数据</w:t>
      </w:r>
      <w:r>
        <w:rPr>
          <w:rFonts w:ascii="Times New Roman" w:hAnsi="Times New Roman" w:cs="Times New Roman" w:eastAsia="Times New Roman" w:hint="default"/>
        </w:rPr>
        <w:t>(</w:t>
      </w:r>
      <w:r>
        <w:rPr/>
        <w:t>如交易对手评级、</w:t>
      </w:r>
    </w:p>
    <w:p>
      <w:pPr>
        <w:pStyle w:val="BodyText"/>
        <w:spacing w:line="240" w:lineRule="auto" w:before="58"/>
        <w:ind w:right="0"/>
        <w:jc w:val="both"/>
      </w:pPr>
      <w:r>
        <w:rPr/>
        <w:t>担保方式及抵质押物类别、还款方式等</w:t>
      </w:r>
      <w:r>
        <w:rPr>
          <w:rFonts w:ascii="Times New Roman" w:hAnsi="Times New Roman" w:cs="Times New Roman" w:eastAsia="Times New Roman" w:hint="default"/>
        </w:rPr>
        <w:t>)</w:t>
      </w:r>
      <w:r>
        <w:rPr/>
        <w:t>的定量分析及前瞻性信息，建立违约概率、违约损失率及违约风险敞口模型。</w:t>
      </w:r>
    </w:p>
    <w:p>
      <w:pPr>
        <w:spacing w:line="240" w:lineRule="auto" w:before="7"/>
        <w:rPr>
          <w:rFonts w:ascii="宋体" w:hAnsi="宋体" w:cs="宋体" w:eastAsia="宋体" w:hint="default"/>
          <w:sz w:val="16"/>
          <w:szCs w:val="16"/>
        </w:rPr>
      </w:pPr>
    </w:p>
    <w:p>
      <w:pPr>
        <w:pStyle w:val="BodyText"/>
        <w:spacing w:line="240" w:lineRule="auto"/>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金融工具损失准备期初余额与期末余额调节表详见本财务报表附注七、</w:t>
      </w:r>
      <w:r>
        <w:rPr>
          <w:rFonts w:ascii="宋体" w:hAnsi="宋体" w:cs="宋体" w:eastAsia="宋体" w:hint="default"/>
        </w:rPr>
        <w:t>5</w:t>
      </w:r>
      <w:r>
        <w:rPr/>
        <w:t>及七、</w:t>
      </w:r>
      <w:r>
        <w:rPr>
          <w:rFonts w:ascii="宋体" w:hAnsi="宋体" w:cs="宋体" w:eastAsia="宋体" w:hint="default"/>
        </w:rPr>
        <w:t>8</w:t>
      </w:r>
      <w:r>
        <w:rPr/>
        <w:t>之说明。</w:t>
      </w:r>
    </w:p>
    <w:p>
      <w:pPr>
        <w:spacing w:line="240" w:lineRule="auto" w:before="7"/>
        <w:rPr>
          <w:rFonts w:ascii="宋体" w:hAnsi="宋体" w:cs="宋体" w:eastAsia="宋体" w:hint="default"/>
          <w:sz w:val="16"/>
          <w:szCs w:val="16"/>
        </w:rPr>
      </w:pPr>
    </w:p>
    <w:p>
      <w:pPr>
        <w:pStyle w:val="BodyText"/>
        <w:spacing w:line="460" w:lineRule="auto"/>
        <w:ind w:left="561" w:right="222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信用风险敞口及信用风险集中度 本公司的信用风险主要来自货币资金和应收款项。为控制上述相关风险，本公司分别采取了以下措施。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货币资金</w:t>
      </w:r>
    </w:p>
    <w:p>
      <w:pPr>
        <w:pStyle w:val="BodyText"/>
        <w:spacing w:line="240" w:lineRule="auto" w:before="48"/>
        <w:ind w:left="561" w:right="0"/>
        <w:jc w:val="left"/>
      </w:pPr>
      <w:r>
        <w:rPr/>
        <w:t>本公司将银行存款和其他货币资金存放于信用评级较高的金融机构，故其信用风险较低。</w:t>
      </w:r>
    </w:p>
    <w:p>
      <w:pPr>
        <w:spacing w:line="240" w:lineRule="auto" w:before="7"/>
        <w:rPr>
          <w:rFonts w:ascii="宋体" w:hAnsi="宋体" w:cs="宋体" w:eastAsia="宋体" w:hint="default"/>
          <w:sz w:val="17"/>
          <w:szCs w:val="17"/>
        </w:rPr>
      </w:pPr>
    </w:p>
    <w:p>
      <w:pPr>
        <w:pStyle w:val="BodyText"/>
        <w:spacing w:line="448" w:lineRule="auto"/>
        <w:ind w:left="561"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应收款项</w:t>
      </w:r>
      <w:r>
        <w:rPr>
          <w:w w:val="99"/>
        </w:rPr>
        <w:t> </w:t>
      </w:r>
      <w:r>
        <w:rPr/>
        <w:t>本公司持续对采用信用方式交易的客户进行信用评估。根据信用评估结果，本公司选择与经认可的且信用良好的客户</w:t>
      </w:r>
    </w:p>
    <w:p>
      <w:pPr>
        <w:pStyle w:val="BodyText"/>
        <w:spacing w:line="472" w:lineRule="auto" w:before="73"/>
        <w:ind w:left="561" w:right="0" w:hanging="421"/>
        <w:jc w:val="left"/>
      </w:pPr>
      <w:r>
        <w:rPr/>
        <w:t>进行交易，并对其应收款项余额进行监控，以确保本公司不会面临重大坏账风险。</w:t>
      </w:r>
      <w:r>
        <w:rPr>
          <w:spacing w:val="-84"/>
        </w:rPr>
        <w:t> </w:t>
      </w:r>
      <w:r>
        <w:rPr>
          <w:spacing w:val="-84"/>
        </w:rPr>
      </w:r>
      <w:r>
        <w:rPr>
          <w:spacing w:val="-1"/>
        </w:rPr>
        <w:t>由于本公司的应收账款风险点分布于多个合作方和多个客户，截至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日，本公司应收账款的</w:t>
      </w:r>
      <w:r>
        <w:rPr>
          <w:rFonts w:ascii="Times New Roman" w:hAnsi="Times New Roman" w:cs="Times New Roman" w:eastAsia="Times New Roman" w:hint="default"/>
          <w:spacing w:val="-1"/>
        </w:rPr>
        <w:t>25.34%(2018</w:t>
      </w:r>
      <w:r>
        <w:rPr>
          <w:spacing w:val="-1"/>
        </w:rPr>
        <w:t>年</w:t>
      </w:r>
    </w:p>
    <w:p>
      <w:pPr>
        <w:spacing w:after="0" w:line="472" w:lineRule="auto"/>
        <w:jc w:val="left"/>
        <w:sectPr>
          <w:pgSz w:w="11910" w:h="16850"/>
          <w:pgMar w:header="776" w:footer="1026" w:top="1100" w:bottom="1220" w:left="1000" w:right="0"/>
        </w:sectPr>
      </w:pPr>
    </w:p>
    <w:p>
      <w:pPr>
        <w:spacing w:line="240" w:lineRule="auto" w:before="6"/>
        <w:rPr>
          <w:rFonts w:ascii="宋体" w:hAnsi="宋体" w:cs="宋体" w:eastAsia="宋体" w:hint="default"/>
          <w:sz w:val="29"/>
          <w:szCs w:val="29"/>
        </w:rPr>
      </w:pPr>
    </w:p>
    <w:p>
      <w:pPr>
        <w:pStyle w:val="BodyText"/>
        <w:spacing w:line="448" w:lineRule="auto" w:before="44"/>
        <w:ind w:left="641" w:right="4555" w:hanging="421"/>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24.78%)</w:t>
      </w:r>
      <w:r>
        <w:rPr/>
        <w:t>源于余额前五名客户，本公司不存在重大的信用集中风险。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流动性风险</w:t>
      </w:r>
    </w:p>
    <w:p>
      <w:pPr>
        <w:pStyle w:val="BodyText"/>
        <w:spacing w:line="482" w:lineRule="auto" w:before="43"/>
        <w:ind w:left="221" w:right="1136" w:firstLine="420"/>
        <w:jc w:val="both"/>
      </w:pPr>
      <w:r>
        <w:rPr/>
        <w:t>流动性风险，是指本公司在履行以交付现金或其他金融资产的方式结算的义务时发生资金短缺的风险。流动性风险可 </w:t>
      </w:r>
      <w:r>
        <w:rPr>
          <w:spacing w:val="-2"/>
        </w:rPr>
        <w:t>能源于无法尽快以公允价值售出金融资产；或者源于对方无法偿还其合同债务；或者源于提前到期的债务；或者源于无法产</w:t>
      </w:r>
      <w:r>
        <w:rPr>
          <w:spacing w:val="-75"/>
        </w:rPr>
        <w:t> </w:t>
      </w:r>
      <w:r>
        <w:rPr>
          <w:spacing w:val="-75"/>
        </w:rPr>
      </w:r>
      <w:r>
        <w:rPr/>
        <w:t>生预期的现金流量。</w:t>
      </w:r>
    </w:p>
    <w:p>
      <w:pPr>
        <w:pStyle w:val="BodyText"/>
        <w:spacing w:line="475" w:lineRule="auto" w:before="48"/>
        <w:ind w:left="221" w:right="1131"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72"/>
        </w:rPr>
        <w:t> </w:t>
      </w:r>
      <w:r>
        <w:rPr>
          <w:spacing w:val="-72"/>
        </w:rPr>
      </w:r>
      <w:r>
        <w:rPr/>
        <w:t>本开支。</w:t>
      </w:r>
    </w:p>
    <w:p>
      <w:pPr>
        <w:pStyle w:val="BodyText"/>
        <w:spacing w:line="240" w:lineRule="auto" w:before="68"/>
        <w:ind w:left="641" w:right="1108"/>
        <w:jc w:val="left"/>
      </w:pPr>
      <w:r>
        <w:rPr/>
        <w:t>金融负债按剩余到期日分类</w:t>
      </w:r>
    </w:p>
    <w:p>
      <w:pPr>
        <w:spacing w:line="240" w:lineRule="auto" w:before="9"/>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042"/>
        <w:gridCol w:w="2028"/>
        <w:gridCol w:w="1757"/>
        <w:gridCol w:w="1487"/>
        <w:gridCol w:w="1382"/>
        <w:gridCol w:w="1171"/>
      </w:tblGrid>
      <w:tr>
        <w:trPr>
          <w:trHeight w:val="316" w:hRule="exact"/>
        </w:trPr>
        <w:tc>
          <w:tcPr>
            <w:tcW w:w="2042" w:type="dxa"/>
            <w:vMerge w:val="restart"/>
            <w:tcBorders>
              <w:top w:val="single" w:sz="6" w:space="0" w:color="000000"/>
              <w:left w:val="single" w:sz="6" w:space="0" w:color="000000"/>
              <w:right w:val="single" w:sz="6" w:space="0" w:color="000000"/>
            </w:tcBorders>
            <w:shd w:val="clear" w:color="auto" w:fill="D2D2D2"/>
          </w:tcPr>
          <w:p>
            <w:pPr>
              <w:pStyle w:val="TableParagraph"/>
              <w:tabs>
                <w:tab w:pos="434" w:val="left" w:leader="none"/>
              </w:tabs>
              <w:spacing w:line="240" w:lineRule="auto" w:before="130"/>
              <w:ind w:left="1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824"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30" w:hRule="exact"/>
        </w:trPr>
        <w:tc>
          <w:tcPr>
            <w:tcW w:w="2042" w:type="dxa"/>
            <w:vMerge/>
            <w:tcBorders>
              <w:left w:val="single" w:sz="6" w:space="0" w:color="000000"/>
              <w:bottom w:val="single" w:sz="6" w:space="0" w:color="000000"/>
              <w:right w:val="single" w:sz="6" w:space="0" w:color="000000"/>
            </w:tcBorders>
            <w:shd w:val="clear" w:color="auto" w:fill="D2D2D2"/>
          </w:tcPr>
          <w:p>
            <w:pPr/>
          </w:p>
        </w:tc>
        <w:tc>
          <w:tcPr>
            <w:tcW w:w="20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5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right="146"/>
              <w:jc w:val="right"/>
              <w:rPr>
                <w:rFonts w:ascii="宋体" w:hAnsi="宋体" w:cs="宋体" w:eastAsia="宋体" w:hint="default"/>
                <w:sz w:val="21"/>
                <w:szCs w:val="21"/>
              </w:rPr>
            </w:pPr>
            <w:r>
              <w:rPr>
                <w:rFonts w:ascii="宋体" w:hAnsi="宋体" w:cs="宋体" w:eastAsia="宋体" w:hint="default"/>
                <w:sz w:val="21"/>
                <w:szCs w:val="21"/>
              </w:rPr>
              <w:t>未折现合同金额</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3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年以内</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right="27"/>
              <w:jc w:val="center"/>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18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年以上</w:t>
            </w:r>
          </w:p>
        </w:tc>
      </w:tr>
      <w:tr>
        <w:trPr>
          <w:trHeight w:val="31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60,933,000.00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63,607,883.14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04"/>
              <w:jc w:val="right"/>
              <w:rPr>
                <w:rFonts w:ascii="宋体" w:hAnsi="宋体" w:cs="宋体" w:eastAsia="宋体" w:hint="default"/>
                <w:sz w:val="18"/>
                <w:szCs w:val="18"/>
              </w:rPr>
            </w:pPr>
            <w:r>
              <w:rPr>
                <w:rFonts w:ascii="宋体"/>
                <w:sz w:val="18"/>
              </w:rPr>
              <w:t>43,727,479.32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14"/>
              <w:jc w:val="center"/>
              <w:rPr>
                <w:rFonts w:ascii="宋体" w:hAnsi="宋体" w:cs="宋体" w:eastAsia="宋体" w:hint="default"/>
                <w:sz w:val="18"/>
                <w:szCs w:val="18"/>
              </w:rPr>
            </w:pPr>
            <w:r>
              <w:rPr>
                <w:rFonts w:ascii="宋体"/>
                <w:sz w:val="18"/>
              </w:rPr>
              <w:t>19,880,403.82</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32,322,617.10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32,322,617.10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32,322,617.10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39,680,732.84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39,680,732.84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39,680,732.84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55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4"/>
              <w:jc w:val="right"/>
              <w:rPr>
                <w:rFonts w:ascii="宋体" w:hAnsi="宋体" w:cs="宋体" w:eastAsia="宋体" w:hint="default"/>
                <w:sz w:val="18"/>
                <w:szCs w:val="18"/>
              </w:rPr>
            </w:pPr>
            <w:r>
              <w:rPr>
                <w:rFonts w:ascii="宋体"/>
                <w:sz w:val="18"/>
              </w:rPr>
              <w:t>62,571,349.74</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4"/>
              <w:jc w:val="right"/>
              <w:rPr>
                <w:rFonts w:ascii="宋体" w:hAnsi="宋体" w:cs="宋体" w:eastAsia="宋体" w:hint="default"/>
                <w:sz w:val="18"/>
                <w:szCs w:val="18"/>
              </w:rPr>
            </w:pPr>
            <w:r>
              <w:rPr>
                <w:rFonts w:ascii="宋体"/>
                <w:sz w:val="18"/>
              </w:rPr>
              <w:t>62,571,349.74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104"/>
              <w:jc w:val="right"/>
              <w:rPr>
                <w:rFonts w:ascii="宋体" w:hAnsi="宋体" w:cs="宋体" w:eastAsia="宋体" w:hint="default"/>
                <w:sz w:val="18"/>
                <w:szCs w:val="18"/>
              </w:rPr>
            </w:pPr>
            <w:r>
              <w:rPr>
                <w:rFonts w:ascii="宋体"/>
                <w:sz w:val="18"/>
              </w:rPr>
              <w:t>62,571,349.74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6"/>
              <w:jc w:val="right"/>
              <w:rPr>
                <w:rFonts w:ascii="宋体" w:hAnsi="宋体" w:cs="宋体" w:eastAsia="宋体" w:hint="default"/>
                <w:sz w:val="18"/>
                <w:szCs w:val="18"/>
              </w:rPr>
            </w:pPr>
            <w:r>
              <w:rPr>
                <w:rFonts w:ascii="宋体"/>
                <w:sz w:val="18"/>
              </w:rPr>
              <w:t>195,507,699.68</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198,182,582.82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5"/>
              <w:jc w:val="right"/>
              <w:rPr>
                <w:rFonts w:ascii="宋体" w:hAnsi="宋体" w:cs="宋体" w:eastAsia="宋体" w:hint="default"/>
                <w:sz w:val="18"/>
                <w:szCs w:val="18"/>
              </w:rPr>
            </w:pPr>
            <w:r>
              <w:rPr>
                <w:rFonts w:ascii="宋体"/>
                <w:sz w:val="18"/>
              </w:rPr>
              <w:t>178,302,179.00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sz w:val="18"/>
              </w:rPr>
              <w:t>19,880,403.82</w:t>
            </w:r>
          </w:p>
        </w:tc>
        <w:tc>
          <w:tcPr>
            <w:tcW w:w="117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90"/>
        <w:ind w:left="731" w:right="110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117"/>
        <w:gridCol w:w="2103"/>
        <w:gridCol w:w="1832"/>
        <w:gridCol w:w="1486"/>
        <w:gridCol w:w="1082"/>
        <w:gridCol w:w="1246"/>
      </w:tblGrid>
      <w:tr>
        <w:trPr>
          <w:trHeight w:val="316" w:hRule="exact"/>
        </w:trPr>
        <w:tc>
          <w:tcPr>
            <w:tcW w:w="2117" w:type="dxa"/>
            <w:vMerge w:val="restart"/>
            <w:tcBorders>
              <w:top w:val="single" w:sz="6" w:space="0" w:color="000000"/>
              <w:left w:val="single" w:sz="6" w:space="0" w:color="000000"/>
              <w:right w:val="single" w:sz="6" w:space="0" w:color="000000"/>
            </w:tcBorders>
            <w:shd w:val="clear" w:color="auto" w:fill="D2D2D2"/>
          </w:tcPr>
          <w:p>
            <w:pPr>
              <w:pStyle w:val="TableParagraph"/>
              <w:tabs>
                <w:tab w:pos="420" w:val="left" w:leader="none"/>
              </w:tabs>
              <w:spacing w:line="240" w:lineRule="auto" w:before="130"/>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749"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exact"/>
              <w:ind w:right="1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30" w:hRule="exact"/>
        </w:trPr>
        <w:tc>
          <w:tcPr>
            <w:tcW w:w="2117" w:type="dxa"/>
            <w:vMerge/>
            <w:tcBorders>
              <w:left w:val="single" w:sz="6" w:space="0" w:color="000000"/>
              <w:bottom w:val="single" w:sz="6" w:space="0" w:color="000000"/>
              <w:right w:val="single" w:sz="6" w:space="0" w:color="000000"/>
            </w:tcBorders>
            <w:shd w:val="clear" w:color="auto" w:fill="D2D2D2"/>
          </w:tcPr>
          <w:p>
            <w:pP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6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180"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right="1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年以内</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24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5"/>
                <w:sz w:val="21"/>
                <w:szCs w:val="21"/>
              </w:rPr>
              <w:t> </w:t>
            </w:r>
            <w:r>
              <w:rPr>
                <w:rFonts w:ascii="宋体" w:hAnsi="宋体" w:cs="宋体" w:eastAsia="宋体" w:hint="default"/>
                <w:sz w:val="21"/>
                <w:szCs w:val="21"/>
              </w:rPr>
              <w:t>年</w:t>
            </w:r>
          </w:p>
        </w:tc>
        <w:tc>
          <w:tcPr>
            <w:tcW w:w="1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年以上</w:t>
            </w:r>
          </w:p>
        </w:tc>
      </w:tr>
      <w:tr>
        <w:trPr>
          <w:trHeight w:val="316"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14,000,000.00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89"/>
              <w:jc w:val="right"/>
              <w:rPr>
                <w:rFonts w:ascii="宋体" w:hAnsi="宋体" w:cs="宋体" w:eastAsia="宋体" w:hint="default"/>
                <w:sz w:val="18"/>
                <w:szCs w:val="18"/>
              </w:rPr>
            </w:pPr>
            <w:r>
              <w:rPr>
                <w:rFonts w:ascii="宋体"/>
                <w:sz w:val="18"/>
              </w:rPr>
              <w:t>14,431,044.44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88" w:right="0"/>
              <w:jc w:val="center"/>
              <w:rPr>
                <w:rFonts w:ascii="宋体" w:hAnsi="宋体" w:cs="宋体" w:eastAsia="宋体" w:hint="default"/>
                <w:sz w:val="18"/>
                <w:szCs w:val="18"/>
              </w:rPr>
            </w:pPr>
            <w:r>
              <w:rPr>
                <w:rFonts w:ascii="宋体"/>
                <w:sz w:val="18"/>
              </w:rPr>
              <w:t>14,431,044.44</w:t>
            </w:r>
          </w:p>
        </w:tc>
        <w:tc>
          <w:tcPr>
            <w:tcW w:w="108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8,100,833.00</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8,100,833.00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8" w:right="0"/>
              <w:jc w:val="center"/>
              <w:rPr>
                <w:rFonts w:ascii="宋体" w:hAnsi="宋体" w:cs="宋体" w:eastAsia="宋体" w:hint="default"/>
                <w:sz w:val="18"/>
                <w:szCs w:val="18"/>
              </w:rPr>
            </w:pPr>
            <w:r>
              <w:rPr>
                <w:rFonts w:ascii="宋体"/>
                <w:sz w:val="18"/>
              </w:rPr>
              <w:t>8,100,833.00</w:t>
            </w:r>
          </w:p>
        </w:tc>
        <w:tc>
          <w:tcPr>
            <w:tcW w:w="108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04"/>
              <w:jc w:val="right"/>
              <w:rPr>
                <w:rFonts w:ascii="宋体" w:hAnsi="宋体" w:cs="宋体" w:eastAsia="宋体" w:hint="default"/>
                <w:sz w:val="18"/>
                <w:szCs w:val="18"/>
              </w:rPr>
            </w:pPr>
            <w:r>
              <w:rPr>
                <w:rFonts w:ascii="宋体"/>
                <w:sz w:val="18"/>
              </w:rPr>
              <w:t>53,340,303.39</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89"/>
              <w:jc w:val="right"/>
              <w:rPr>
                <w:rFonts w:ascii="宋体" w:hAnsi="宋体" w:cs="宋体" w:eastAsia="宋体" w:hint="default"/>
                <w:sz w:val="18"/>
                <w:szCs w:val="18"/>
              </w:rPr>
            </w:pPr>
            <w:r>
              <w:rPr>
                <w:rFonts w:ascii="宋体"/>
                <w:sz w:val="18"/>
              </w:rPr>
              <w:t>53,340,303.39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88" w:right="0"/>
              <w:jc w:val="center"/>
              <w:rPr>
                <w:rFonts w:ascii="宋体" w:hAnsi="宋体" w:cs="宋体" w:eastAsia="宋体" w:hint="default"/>
                <w:sz w:val="18"/>
                <w:szCs w:val="18"/>
              </w:rPr>
            </w:pPr>
            <w:r>
              <w:rPr>
                <w:rFonts w:ascii="宋体"/>
                <w:sz w:val="18"/>
              </w:rPr>
              <w:t>53,340,303.39</w:t>
            </w:r>
          </w:p>
        </w:tc>
        <w:tc>
          <w:tcPr>
            <w:tcW w:w="108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99,765,012.48</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89"/>
              <w:jc w:val="right"/>
              <w:rPr>
                <w:rFonts w:ascii="宋体" w:hAnsi="宋体" w:cs="宋体" w:eastAsia="宋体" w:hint="default"/>
                <w:sz w:val="18"/>
                <w:szCs w:val="18"/>
              </w:rPr>
            </w:pPr>
            <w:r>
              <w:rPr>
                <w:rFonts w:ascii="宋体"/>
                <w:sz w:val="18"/>
              </w:rPr>
              <w:t>99,765,012.48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宋体" w:hAnsi="宋体" w:cs="宋体" w:eastAsia="宋体" w:hint="default"/>
                <w:sz w:val="18"/>
                <w:szCs w:val="18"/>
              </w:rPr>
            </w:pPr>
            <w:r>
              <w:rPr>
                <w:rFonts w:ascii="宋体"/>
                <w:sz w:val="18"/>
              </w:rPr>
              <w:t>99,765,012.48</w:t>
            </w:r>
          </w:p>
        </w:tc>
        <w:tc>
          <w:tcPr>
            <w:tcW w:w="108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宋体" w:hAnsi="宋体" w:cs="宋体" w:eastAsia="宋体" w:hint="default"/>
                <w:sz w:val="18"/>
                <w:szCs w:val="18"/>
              </w:rPr>
            </w:pPr>
            <w:r>
              <w:rPr>
                <w:rFonts w:ascii="宋体"/>
                <w:sz w:val="18"/>
              </w:rPr>
              <w:t>175,206,148.87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1"/>
              <w:jc w:val="right"/>
              <w:rPr>
                <w:rFonts w:ascii="宋体" w:hAnsi="宋体" w:cs="宋体" w:eastAsia="宋体" w:hint="default"/>
                <w:sz w:val="18"/>
                <w:szCs w:val="18"/>
              </w:rPr>
            </w:pPr>
            <w:r>
              <w:rPr>
                <w:rFonts w:ascii="宋体"/>
                <w:sz w:val="18"/>
              </w:rPr>
              <w:t>175,637,193.31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sz w:val="18"/>
              </w:rPr>
              <w:t>175,637,193.31</w:t>
            </w:r>
          </w:p>
        </w:tc>
        <w:tc>
          <w:tcPr>
            <w:tcW w:w="108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48" w:lineRule="auto" w:before="90"/>
        <w:ind w:left="641" w:right="1108" w:firstLine="7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73"/>
        <w:ind w:left="221" w:right="0"/>
        <w:jc w:val="both"/>
      </w:pPr>
      <w:r>
        <w:rPr/>
        <w:t>和外汇风险。</w:t>
      </w:r>
    </w:p>
    <w:p>
      <w:pPr>
        <w:spacing w:line="240" w:lineRule="auto" w:before="7"/>
        <w:rPr>
          <w:rFonts w:ascii="宋体" w:hAnsi="宋体" w:cs="宋体" w:eastAsia="宋体" w:hint="default"/>
          <w:sz w:val="17"/>
          <w:szCs w:val="17"/>
        </w:rPr>
      </w:pPr>
    </w:p>
    <w:p>
      <w:pPr>
        <w:pStyle w:val="BodyText"/>
        <w:spacing w:line="475" w:lineRule="auto"/>
        <w:ind w:left="641" w:right="1108"/>
        <w:jc w:val="left"/>
      </w:pPr>
      <w:r>
        <w:rPr>
          <w:rFonts w:ascii="宋体" w:hAnsi="宋体" w:cs="宋体" w:eastAsia="宋体" w:hint="default"/>
        </w:rPr>
        <w:t>1. </w:t>
      </w:r>
      <w:r>
        <w:rPr/>
        <w:t>利率风险 利率风险，是指金融工具的公允价值或未来现金流量因市场利率变动而发生波动的风险。固定利率的带息金融工具使</w:t>
      </w:r>
    </w:p>
    <w:p>
      <w:pPr>
        <w:pStyle w:val="BodyText"/>
        <w:spacing w:line="475" w:lineRule="auto" w:before="68"/>
        <w:ind w:left="221" w:right="1136"/>
        <w:jc w:val="both"/>
      </w:pPr>
      <w:r>
        <w:rPr>
          <w:spacing w:val="-2"/>
        </w:rPr>
        <w:t>本公司面临公允价值利率风险，浮动利率的带息金融工具使本公司面临现金流量利率风险。本公司根据市场环境来决定固定</w:t>
      </w:r>
      <w:r>
        <w:rPr>
          <w:spacing w:val="-72"/>
        </w:rPr>
        <w:t> </w:t>
      </w:r>
      <w:r>
        <w:rPr>
          <w:spacing w:val="-72"/>
        </w:rPr>
      </w:r>
      <w:r>
        <w:rPr>
          <w:spacing w:val="-2"/>
        </w:rPr>
        <w:t>利率与浮动利率金融工具的比例，并通过定期审阅与监控维持适当的金融工具组合。本公司面临的现金流量利率风险主要与</w:t>
      </w:r>
      <w:r>
        <w:rPr>
          <w:spacing w:val="-72"/>
        </w:rPr>
        <w:t> </w:t>
      </w:r>
      <w:r>
        <w:rPr>
          <w:spacing w:val="-72"/>
        </w:rPr>
      </w:r>
      <w:r>
        <w:rPr/>
        <w:t>本公司以浮动利率计息的银行借款有关。</w:t>
      </w:r>
    </w:p>
    <w:p>
      <w:pPr>
        <w:pStyle w:val="BodyText"/>
        <w:spacing w:line="240" w:lineRule="auto" w:before="53"/>
        <w:ind w:left="641" w:right="1108"/>
        <w:jc w:val="left"/>
      </w:pPr>
      <w:r>
        <w:rPr>
          <w:spacing w:val="8"/>
        </w:rPr>
        <w:t>截至</w:t>
      </w:r>
      <w:r>
        <w:rPr>
          <w:rFonts w:ascii="宋体" w:hAnsi="宋体" w:cs="宋体" w:eastAsia="宋体" w:hint="default"/>
          <w:spacing w:val="8"/>
        </w:rPr>
        <w:t>2019</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rFonts w:ascii="宋体" w:hAnsi="宋体" w:cs="宋体" w:eastAsia="宋体" w:hint="default"/>
          <w:spacing w:val="-59"/>
        </w:rPr>
        <w:t> </w:t>
      </w:r>
      <w:r>
        <w:rPr>
          <w:spacing w:val="9"/>
        </w:rPr>
        <w:t>日，本</w:t>
      </w:r>
      <w:r>
        <w:rPr>
          <w:spacing w:val="-59"/>
        </w:rPr>
        <w:t> </w:t>
      </w:r>
      <w:r>
        <w:rPr>
          <w:spacing w:val="10"/>
        </w:rPr>
        <w:t>公司以</w:t>
      </w:r>
      <w:r>
        <w:rPr>
          <w:spacing w:val="-59"/>
        </w:rPr>
        <w:t> </w:t>
      </w:r>
      <w:r>
        <w:rPr>
          <w:spacing w:val="9"/>
        </w:rPr>
        <w:t>浮动利</w:t>
      </w:r>
      <w:r>
        <w:rPr>
          <w:spacing w:val="-59"/>
        </w:rPr>
        <w:t> </w:t>
      </w:r>
      <w:r>
        <w:rPr>
          <w:spacing w:val="9"/>
        </w:rPr>
        <w:t>率计息</w:t>
      </w:r>
      <w:r>
        <w:rPr>
          <w:spacing w:val="-59"/>
        </w:rPr>
        <w:t> </w:t>
      </w:r>
      <w:r>
        <w:rPr>
          <w:spacing w:val="9"/>
        </w:rPr>
        <w:t>的银行</w:t>
      </w:r>
      <w:r>
        <w:rPr>
          <w:spacing w:val="-59"/>
        </w:rPr>
        <w:t> </w:t>
      </w:r>
      <w:r>
        <w:rPr>
          <w:spacing w:val="9"/>
        </w:rPr>
        <w:t>借款人</w:t>
      </w:r>
      <w:r>
        <w:rPr>
          <w:spacing w:val="-59"/>
        </w:rPr>
        <w:t> </w:t>
      </w:r>
      <w:r>
        <w:rPr>
          <w:spacing w:val="7"/>
        </w:rPr>
        <w:t>民币</w:t>
      </w:r>
      <w:r>
        <w:rPr>
          <w:spacing w:val="-69"/>
        </w:rPr>
        <w:t> </w:t>
      </w:r>
      <w:r>
        <w:rPr>
          <w:rFonts w:ascii="宋体" w:hAnsi="宋体" w:cs="宋体" w:eastAsia="宋体" w:hint="default"/>
        </w:rPr>
        <w:t>22,100,000.00</w:t>
      </w:r>
      <w:r>
        <w:rPr>
          <w:rFonts w:ascii="宋体" w:hAnsi="宋体" w:cs="宋体" w:eastAsia="宋体" w:hint="default"/>
          <w:spacing w:val="-57"/>
        </w:rPr>
        <w:t> </w:t>
      </w:r>
      <w:r>
        <w:rPr>
          <w:spacing w:val="7"/>
        </w:rPr>
        <w:t>元</w:t>
      </w:r>
      <w:r>
        <w:rPr>
          <w:rFonts w:ascii="宋体" w:hAnsi="宋体" w:cs="宋体" w:eastAsia="宋体" w:hint="default"/>
          <w:spacing w:val="7"/>
        </w:rPr>
        <w:t>(2018</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rFonts w:ascii="宋体" w:hAnsi="宋体" w:cs="宋体" w:eastAsia="宋体" w:hint="default"/>
          <w:spacing w:val="-59"/>
        </w:rPr>
        <w:t> </w:t>
      </w:r>
      <w:r>
        <w:rPr>
          <w:spacing w:val="9"/>
        </w:rPr>
        <w:t>日：人</w:t>
      </w:r>
      <w:r>
        <w:rPr>
          <w:spacing w:val="-59"/>
        </w:rPr>
        <w:t> </w:t>
      </w:r>
      <w:r>
        <w:rPr>
          <w:spacing w:val="7"/>
        </w:rPr>
        <w:t>民币</w:t>
      </w:r>
    </w:p>
    <w:p>
      <w:pPr>
        <w:spacing w:after="0" w:line="240" w:lineRule="auto"/>
        <w:jc w:val="left"/>
        <w:sectPr>
          <w:pgSz w:w="11910" w:h="16850"/>
          <w:pgMar w:header="776" w:footer="1026" w:top="1100" w:bottom="1220" w:left="920" w:right="0"/>
        </w:sectPr>
      </w:pPr>
    </w:p>
    <w:p>
      <w:pPr>
        <w:spacing w:line="240" w:lineRule="auto" w:before="6"/>
        <w:rPr>
          <w:rFonts w:ascii="宋体" w:hAnsi="宋体" w:cs="宋体" w:eastAsia="宋体" w:hint="default"/>
          <w:sz w:val="29"/>
          <w:szCs w:val="29"/>
        </w:rPr>
      </w:pPr>
    </w:p>
    <w:p>
      <w:pPr>
        <w:pStyle w:val="BodyText"/>
        <w:spacing w:line="475" w:lineRule="auto" w:before="44"/>
        <w:ind w:right="1118"/>
        <w:jc w:val="left"/>
      </w:pPr>
      <w:r>
        <w:rPr>
          <w:rFonts w:ascii="宋体" w:hAnsi="宋体" w:cs="宋体" w:eastAsia="宋体" w:hint="default"/>
          <w:spacing w:val="-2"/>
        </w:rPr>
        <w:t>14,000,000.00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个基准点，不会对本公司的利润总额和股东权益产生重大的</w:t>
      </w:r>
      <w:r>
        <w:rPr>
          <w:spacing w:val="-54"/>
        </w:rPr>
        <w:t> </w:t>
      </w:r>
      <w:r>
        <w:rPr>
          <w:spacing w:val="-54"/>
        </w:rPr>
      </w:r>
      <w:r>
        <w:rPr/>
        <w:t>影响。</w:t>
      </w:r>
    </w:p>
    <w:p>
      <w:pPr>
        <w:pStyle w:val="BodyText"/>
        <w:spacing w:line="489" w:lineRule="auto" w:before="53"/>
        <w:ind w:left="561" w:right="1118"/>
        <w:jc w:val="left"/>
      </w:pPr>
      <w:r>
        <w:rPr>
          <w:rFonts w:ascii="宋体" w:hAnsi="宋体" w:cs="宋体" w:eastAsia="宋体" w:hint="default"/>
        </w:rPr>
        <w:t>2. </w:t>
      </w:r>
      <w:r>
        <w:rPr/>
        <w:t>外汇风险 外汇风险，是指金融工具的公允价值或未来现金流量因外汇汇率变动而发生波动的风险。本公司于中国内地经营，且</w:t>
      </w:r>
    </w:p>
    <w:p>
      <w:pPr>
        <w:pStyle w:val="BodyText"/>
        <w:spacing w:line="475" w:lineRule="auto" w:before="42"/>
        <w:ind w:left="561" w:right="3309" w:hanging="421"/>
        <w:jc w:val="left"/>
      </w:pPr>
      <w:r>
        <w:rPr/>
        <w:t>主要活动以人民币计价。因此，本公司所承担的外汇变动市场风险不重大。 本公司期末外币货币性资产和负债情况详见本财务报表附注七之</w:t>
      </w:r>
      <w:r>
        <w:rPr>
          <w:rFonts w:ascii="宋体" w:hAnsi="宋体" w:cs="宋体" w:eastAsia="宋体" w:hint="default"/>
        </w:rPr>
        <w:t>82</w:t>
      </w:r>
      <w:r>
        <w:rPr/>
        <w:t>、外币性项目之说明。</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公允价值的披露" w:id="449"/>
      <w:bookmarkEnd w:id="449"/>
      <w:r>
        <w:rPr>
          <w:b w:val="0"/>
          <w:bCs w:val="0"/>
        </w:rPr>
      </w:r>
      <w:r>
        <w:rPr/>
        <w:t>十一、公允价值的披露</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7"/>
        <w:ind w:right="0"/>
        <w:jc w:val="left"/>
        <w:rPr>
          <w:b w:val="0"/>
          <w:bCs w:val="0"/>
        </w:rPr>
      </w:pPr>
      <w:bookmarkStart w:name="1、以公允价值计量的资产和负债的期末公允价值" w:id="450"/>
      <w:bookmarkEnd w:id="45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0"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26,570,000.00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26,570,000.00</w:t>
            </w:r>
          </w:p>
        </w:tc>
      </w:tr>
      <w:tr>
        <w:trPr>
          <w:trHeight w:val="721"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5"/>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2" w:type="dxa"/>
            <w:tcBorders>
              <w:top w:val="single" w:sz="6" w:space="0" w:color="000000"/>
              <w:left w:val="single" w:sz="12"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26,570,000.00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26,570,000.00</w:t>
            </w:r>
          </w:p>
        </w:tc>
      </w:tr>
      <w:tr>
        <w:trPr>
          <w:trHeight w:val="158"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7"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持续和非持续第一层次公允价值计量项目市价的确定依据" w:id="451"/>
      <w:bookmarkEnd w:id="45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3、持续和非持续第二层次公允价值计量项目，采用的估值技术和重要参数的定性及定量信" w:id="452"/>
      <w:bookmarkEnd w:id="45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4、持续和非持续第三层次公允价值计量项目，采用的估值技术和重要参数的定性及定量信" w:id="453"/>
      <w:bookmarkEnd w:id="45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2" w:lineRule="auto"/>
        <w:ind w:right="1130" w:firstLine="420"/>
        <w:jc w:val="both"/>
      </w:pPr>
      <w:r>
        <w:rPr/>
        <w:t>因被投资企业广州云智科技创业投资合伙企业</w:t>
      </w:r>
      <w:r>
        <w:rPr>
          <w:rFonts w:ascii="宋体" w:hAnsi="宋体" w:cs="宋体" w:eastAsia="宋体" w:hint="default"/>
        </w:rPr>
        <w:t>(</w:t>
      </w:r>
      <w:r>
        <w:rPr/>
        <w:t>有限合伙</w:t>
      </w:r>
      <w:r>
        <w:rPr>
          <w:rFonts w:ascii="宋体" w:hAnsi="宋体" w:cs="宋体" w:eastAsia="宋体" w:hint="default"/>
        </w:rPr>
        <w:t>)</w:t>
      </w:r>
      <w:r>
        <w:rPr/>
        <w:t>、宁波清科嘉豪和嘉投资管理合伙企业（有效合伙）、广州 </w:t>
      </w:r>
      <w:r>
        <w:rPr>
          <w:spacing w:val="-2"/>
        </w:rPr>
        <w:t>民营投资股份有限公司、湖北浩威保安服务有限公司（原名：武汉浩立威保安服务有限公司）和云电物联网科技（广东）有</w:t>
      </w:r>
      <w:r>
        <w:rPr>
          <w:spacing w:val="-72"/>
        </w:rPr>
        <w:t> </w:t>
      </w:r>
      <w:r>
        <w:rPr>
          <w:spacing w:val="-72"/>
        </w:rPr>
      </w:r>
      <w:r>
        <w:rPr/>
        <w:t>限责任公司的经营环境和经营情况、财务状况未发生重大变化，所以公司按投资成本作为公允价值的合理估计进行计量。</w:t>
      </w:r>
    </w:p>
    <w:p>
      <w:pPr>
        <w:spacing w:after="0" w:line="472" w:lineRule="auto"/>
        <w:jc w:val="both"/>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5、持续的第三层次公允价值计量项目，期初与期末账面价值间的调节信息及不可观察参数" w:id="454"/>
      <w:bookmarkEnd w:id="45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6、持续的公允价值计量项目，本期内发生各层级之间转换的，转换的原因及确定转换时点" w:id="455"/>
      <w:bookmarkEnd w:id="45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7、本期内发生的估值技术变更及变更原因" w:id="456"/>
      <w:bookmarkEnd w:id="45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8、不以公允价值计量的金融资产和金融负债的公允价值情况" w:id="457"/>
      <w:bookmarkEnd w:id="45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0"/>
        <w:rPr>
          <w:rFonts w:ascii="宋体" w:hAnsi="宋体" w:cs="宋体" w:eastAsia="宋体" w:hint="default"/>
          <w:b/>
          <w:bCs/>
          <w:sz w:val="22"/>
          <w:szCs w:val="22"/>
        </w:rPr>
      </w:pPr>
    </w:p>
    <w:p>
      <w:pPr>
        <w:spacing w:line="607" w:lineRule="auto" w:before="187"/>
        <w:ind w:left="141" w:right="8098" w:firstLine="0"/>
        <w:jc w:val="left"/>
        <w:rPr>
          <w:rFonts w:ascii="宋体" w:hAnsi="宋体" w:cs="宋体" w:eastAsia="宋体" w:hint="default"/>
          <w:sz w:val="21"/>
          <w:szCs w:val="21"/>
        </w:rPr>
      </w:pPr>
      <w:bookmarkStart w:name="9、其他" w:id="458"/>
      <w:bookmarkEnd w:id="45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59"/>
      <w:bookmarkEnd w:id="459"/>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60"/>
      <w:bookmarkEnd w:id="460"/>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240" w:lineRule="auto" w:before="10"/>
        <w:rPr>
          <w:rFonts w:ascii="宋体" w:hAnsi="宋体" w:cs="宋体" w:eastAsia="宋体" w:hint="default"/>
          <w:b/>
          <w:bCs/>
          <w:sz w:val="5"/>
          <w:szCs w:val="5"/>
        </w:rPr>
      </w:pPr>
    </w:p>
    <w:p>
      <w:pPr>
        <w:pStyle w:val="BodyText"/>
        <w:spacing w:line="240" w:lineRule="auto" w:before="44"/>
        <w:ind w:right="0"/>
        <w:jc w:val="left"/>
      </w:pPr>
      <w:r>
        <w:rPr/>
        <w:t>本企业的母公司情况的说明</w:t>
      </w:r>
    </w:p>
    <w:p>
      <w:pPr>
        <w:spacing w:line="240" w:lineRule="auto" w:before="0"/>
        <w:rPr>
          <w:rFonts w:ascii="宋体" w:hAnsi="宋体" w:cs="宋体" w:eastAsia="宋体" w:hint="default"/>
          <w:sz w:val="21"/>
          <w:szCs w:val="21"/>
        </w:rPr>
      </w:pPr>
    </w:p>
    <w:p>
      <w:pPr>
        <w:pStyle w:val="BodyText"/>
        <w:spacing w:line="477" w:lineRule="auto"/>
        <w:ind w:right="1351"/>
        <w:jc w:val="left"/>
      </w:pPr>
      <w:r>
        <w:rPr/>
        <w:t>茅庆江先生直接持有本公司</w:t>
      </w:r>
      <w:r>
        <w:rPr>
          <w:rFonts w:ascii="Times New Roman" w:hAnsi="Times New Roman" w:cs="Times New Roman" w:eastAsia="Times New Roman" w:hint="default"/>
        </w:rPr>
        <w:t>30.28</w:t>
      </w:r>
      <w:r>
        <w:rPr>
          <w:rFonts w:ascii="Times New Roman" w:hAnsi="Times New Roman" w:cs="Times New Roman" w:eastAsia="Times New Roman" w:hint="default"/>
          <w:spacing w:val="8"/>
        </w:rPr>
        <w:t> </w:t>
      </w:r>
      <w:r>
        <w:rPr>
          <w:rFonts w:ascii="Times New Roman" w:hAnsi="Times New Roman" w:cs="Times New Roman" w:eastAsia="Times New Roman" w:hint="default"/>
        </w:rPr>
        <w:t>%</w:t>
      </w:r>
      <w:r>
        <w:rPr/>
        <w:t>股权，茅庆江先生可以实际支配公司股份表决权超过</w:t>
      </w:r>
      <w:r>
        <w:rPr>
          <w:rFonts w:ascii="Times New Roman" w:hAnsi="Times New Roman" w:cs="Times New Roman" w:eastAsia="Times New Roman" w:hint="default"/>
        </w:rPr>
        <w:t>30%</w:t>
      </w:r>
      <w:r>
        <w:rPr/>
        <w:t>，认定为本公司控股股东。 本企业最终控制方是。</w:t>
      </w:r>
    </w:p>
    <w:p>
      <w:pPr>
        <w:pStyle w:val="BodyText"/>
        <w:spacing w:line="240" w:lineRule="auto" w:before="96"/>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本企业的子公司情况" w:id="461"/>
      <w:bookmarkEnd w:id="46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本企业子公司的情况详见附注在其他主体中的权益之说明</w:t>
      </w:r>
      <w:r>
        <w:rPr>
          <w:spacing w:val="-90"/>
        </w:rPr>
        <w:t>。</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本企业合营和联营企业情况" w:id="462"/>
      <w:bookmarkEnd w:id="46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520" w:lineRule="auto"/>
        <w:ind w:right="2289"/>
        <w:jc w:val="left"/>
      </w:pPr>
      <w:r>
        <w:rPr/>
        <w:pict>
          <v:shape style="position:absolute;margin-left:56.325001pt;margin-top:46.541718pt;width:480.25pt;height:21.0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
              </w:txbxContent>
            </v:textbox>
            <w10:wrap type="none"/>
          </v:shape>
        </w:pict>
      </w:r>
      <w:r>
        <w:rPr/>
        <w:t>本企业重要的合营或联营企业详见附注。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4、其他关联方情况" w:id="463"/>
      <w:bookmarkEnd w:id="46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line="240" w:lineRule="auto" w:before="10"/>
        <w:rPr>
          <w:rFonts w:ascii="宋体" w:hAnsi="宋体" w:cs="宋体" w:eastAsia="宋体" w:hint="default"/>
          <w:b/>
          <w:bCs/>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5、关联交易情况" w:id="464"/>
      <w:bookmarkEnd w:id="46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购销商品、提供和接受劳务的关联交易" w:id="465"/>
      <w:bookmarkEnd w:id="46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采购商品</w:t>
      </w:r>
      <w:r>
        <w:rPr>
          <w:rFonts w:ascii="Times New Roman" w:hAnsi="Times New Roman" w:cs="Times New Roman" w:eastAsia="Times New Roman" w:hint="default"/>
        </w:rPr>
        <w:t>/</w:t>
      </w:r>
      <w:r>
        <w:rPr/>
        <w:t>接受劳务情况表</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32"/>
        <w:gridCol w:w="1471"/>
        <w:gridCol w:w="1457"/>
        <w:gridCol w:w="1697"/>
        <w:gridCol w:w="1712"/>
        <w:gridCol w:w="1712"/>
      </w:tblGrid>
      <w:tr>
        <w:trPr>
          <w:trHeight w:val="390"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购销商品、提供和接受劳务的关联交易说明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关联受托管理/承包及委托管理/出包情况" w:id="466"/>
      <w:bookmarkEnd w:id="46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本公司受托管理</w:t>
      </w:r>
      <w:r>
        <w:rPr>
          <w:rFonts w:ascii="Times New Roman" w:hAnsi="Times New Roman" w:cs="Times New Roman" w:eastAsia="Times New Roman" w:hint="default"/>
        </w:rPr>
        <w:t>/</w:t>
      </w:r>
      <w:r>
        <w:rPr/>
        <w:t>承包情况表：</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line="240" w:lineRule="auto" w:before="10"/>
        <w:rPr>
          <w:rFonts w:ascii="宋体" w:hAnsi="宋体" w:cs="宋体" w:eastAsia="宋体" w:hint="default"/>
          <w:sz w:val="5"/>
          <w:szCs w:val="5"/>
        </w:rPr>
      </w:pPr>
    </w:p>
    <w:p>
      <w:pPr>
        <w:pStyle w:val="BodyText"/>
        <w:spacing w:line="491" w:lineRule="auto" w:before="44"/>
        <w:ind w:right="8373"/>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pStyle w:val="BodyText"/>
        <w:spacing w:line="240" w:lineRule="auto" w:before="37"/>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关联管理</w:t>
      </w:r>
      <w:r>
        <w:rPr>
          <w:rFonts w:ascii="Times New Roman" w:hAnsi="Times New Roman" w:cs="Times New Roman" w:eastAsia="Times New Roman" w:hint="default"/>
        </w:rPr>
        <w:t>/</w:t>
      </w:r>
      <w:r>
        <w:rPr/>
        <w:t>出包情况说明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关联租赁情况" w:id="467"/>
      <w:bookmarkEnd w:id="46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本公司作为出租方：</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本公司作为承租方：</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茅庆江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员工宿舍租赁</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55,200.00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62" w:right="0"/>
              <w:jc w:val="left"/>
              <w:rPr>
                <w:rFonts w:ascii="Times New Roman" w:hAnsi="Times New Roman" w:cs="Times New Roman" w:eastAsia="Times New Roman" w:hint="default"/>
                <w:sz w:val="18"/>
                <w:szCs w:val="18"/>
              </w:rPr>
            </w:pPr>
            <w:r>
              <w:rPr>
                <w:rFonts w:ascii="Times New Roman"/>
                <w:sz w:val="18"/>
              </w:rPr>
              <w:t>112,080.00</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关联租赁情况说明</w:t>
      </w:r>
    </w:p>
    <w:p>
      <w:pPr>
        <w:spacing w:line="240" w:lineRule="auto" w:before="2"/>
        <w:rPr>
          <w:rFonts w:ascii="宋体" w:hAnsi="宋体" w:cs="宋体" w:eastAsia="宋体" w:hint="default"/>
          <w:sz w:val="22"/>
          <w:szCs w:val="22"/>
        </w:rPr>
      </w:pPr>
    </w:p>
    <w:p>
      <w:pPr>
        <w:pStyle w:val="BodyText"/>
        <w:spacing w:line="24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1 </w:t>
      </w:r>
      <w:r>
        <w:rPr/>
        <w:t>日，茅庆江与公司</w:t>
      </w:r>
      <w:r>
        <w:rPr>
          <w:spacing w:val="2"/>
        </w:rPr>
        <w:t>签</w:t>
      </w:r>
      <w:r>
        <w:rPr/>
        <w:t>订了《广州市房屋租赁合同</w:t>
      </w:r>
      <w:r>
        <w:rPr>
          <w:spacing w:val="-90"/>
        </w:rPr>
        <w:t>》</w:t>
      </w:r>
      <w:r>
        <w:rPr/>
        <w:t>，该合同约定茅庆江将其个人名下位于番禺区番禺大道</w:t>
      </w:r>
    </w:p>
    <w:p>
      <w:pPr>
        <w:spacing w:line="240" w:lineRule="auto" w:before="7"/>
        <w:rPr>
          <w:rFonts w:ascii="宋体" w:hAnsi="宋体" w:cs="宋体" w:eastAsia="宋体" w:hint="default"/>
          <w:sz w:val="16"/>
          <w:szCs w:val="16"/>
        </w:rPr>
      </w:pPr>
    </w:p>
    <w:p>
      <w:pPr>
        <w:pStyle w:val="BodyText"/>
        <w:spacing w:line="240" w:lineRule="auto"/>
        <w:ind w:right="0"/>
        <w:jc w:val="left"/>
      </w:pPr>
      <w:r>
        <w:rPr/>
        <w:t>北</w:t>
      </w:r>
      <w:r>
        <w:rPr>
          <w:spacing w:val="-44"/>
        </w:rPr>
        <w:t> </w:t>
      </w:r>
      <w:r>
        <w:rPr>
          <w:rFonts w:ascii="Times New Roman" w:hAnsi="Times New Roman" w:cs="Times New Roman" w:eastAsia="Times New Roman" w:hint="default"/>
        </w:rPr>
        <w:t>555</w:t>
      </w:r>
      <w:r>
        <w:rPr>
          <w:rFonts w:ascii="Times New Roman" w:hAnsi="Times New Roman" w:cs="Times New Roman" w:eastAsia="Times New Roman" w:hint="default"/>
          <w:spacing w:val="1"/>
        </w:rPr>
        <w:t> </w:t>
      </w:r>
      <w:r>
        <w:rPr/>
        <w:t>号番禺节能科技园内天安菁华公寓</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栋</w:t>
      </w:r>
      <w:r>
        <w:rPr>
          <w:spacing w:val="-44"/>
        </w:rPr>
        <w:t> </w:t>
      </w:r>
      <w:r>
        <w:rPr>
          <w:rFonts w:ascii="Times New Roman" w:hAnsi="Times New Roman" w:cs="Times New Roman" w:eastAsia="Times New Roman" w:hint="default"/>
        </w:rPr>
        <w:t>1701</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1702</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1703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1717</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1718</w:t>
      </w:r>
      <w:r>
        <w:rPr>
          <w:rFonts w:ascii="Times New Roman" w:hAnsi="Times New Roman" w:cs="Times New Roman" w:eastAsia="Times New Roman" w:hint="default"/>
          <w:spacing w:val="1"/>
        </w:rPr>
        <w:t> </w:t>
      </w:r>
      <w:r>
        <w:rPr/>
        <w:t>号及</w:t>
      </w:r>
      <w:r>
        <w:rPr>
          <w:spacing w:val="-43"/>
        </w:rPr>
        <w:t> </w:t>
      </w:r>
      <w:r>
        <w:rPr>
          <w:rFonts w:ascii="Times New Roman" w:hAnsi="Times New Roman" w:cs="Times New Roman" w:eastAsia="Times New Roman" w:hint="default"/>
        </w:rPr>
        <w:t>1719</w:t>
      </w:r>
      <w:r>
        <w:rPr>
          <w:rFonts w:ascii="Times New Roman" w:hAnsi="Times New Roman" w:cs="Times New Roman" w:eastAsia="Times New Roman" w:hint="default"/>
          <w:spacing w:val="1"/>
        </w:rPr>
        <w:t> </w:t>
      </w:r>
      <w:r>
        <w:rPr/>
        <w:t>号的房产出租给公司作</w:t>
      </w:r>
    </w:p>
    <w:p>
      <w:pPr>
        <w:spacing w:line="240" w:lineRule="auto" w:before="5"/>
        <w:rPr>
          <w:rFonts w:ascii="宋体" w:hAnsi="宋体" w:cs="宋体" w:eastAsia="宋体" w:hint="default"/>
          <w:sz w:val="15"/>
          <w:szCs w:val="15"/>
        </w:rPr>
      </w:pPr>
    </w:p>
    <w:p>
      <w:pPr>
        <w:pStyle w:val="BodyText"/>
        <w:spacing w:line="240" w:lineRule="auto"/>
        <w:ind w:right="0"/>
        <w:jc w:val="left"/>
      </w:pPr>
      <w:r>
        <w:rPr/>
        <w:t>为住宅用途使用。租赁期限从</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日，租金共计</w:t>
      </w:r>
      <w:r>
        <w:rPr>
          <w:spacing w:val="-45"/>
        </w:rPr>
        <w:t> </w:t>
      </w:r>
      <w:r>
        <w:rPr>
          <w:rFonts w:ascii="Times New Roman" w:hAnsi="Times New Roman" w:cs="Times New Roman" w:eastAsia="Times New Roman" w:hint="default"/>
        </w:rPr>
        <w:t>9,400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2</w:t>
      </w:r>
      <w:r>
        <w:rPr>
          <w:spacing w:val="-15"/>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5"/>
        </w:rPr>
        <w:t> </w:t>
      </w:r>
      <w:r>
        <w:rPr>
          <w:rFonts w:ascii="Times New Roman" w:hAnsi="Times New Roman" w:cs="Times New Roman" w:eastAsia="Times New Roman" w:hint="default"/>
        </w:rPr>
        <w:t>13 </w:t>
      </w:r>
      <w:r>
        <w:rPr/>
        <w:t>日</w:t>
      </w:r>
      <w:r>
        <w:rPr>
          <w:spacing w:val="-15"/>
        </w:rPr>
        <w:t>，</w:t>
      </w:r>
      <w:r>
        <w:rPr/>
        <w:t>茅庆江与公司签订</w:t>
      </w:r>
      <w:r>
        <w:rPr>
          <w:spacing w:val="-15"/>
        </w:rPr>
        <w:t>了</w:t>
      </w:r>
      <w:r>
        <w:rPr/>
        <w:t>《广州市房屋租赁合同</w:t>
      </w:r>
      <w:r>
        <w:rPr>
          <w:spacing w:val="-76"/>
        </w:rPr>
        <w:t>》</w:t>
      </w:r>
      <w:r>
        <w:rPr>
          <w:spacing w:val="-15"/>
        </w:rPr>
        <w:t>，</w:t>
      </w:r>
      <w:r>
        <w:rPr/>
        <w:t>该合同约定茅庆江将其个人名下位于番禺区番禺大道</w:t>
      </w:r>
    </w:p>
    <w:p>
      <w:pPr>
        <w:spacing w:line="240" w:lineRule="auto" w:before="7"/>
        <w:rPr>
          <w:rFonts w:ascii="宋体" w:hAnsi="宋体" w:cs="宋体" w:eastAsia="宋体" w:hint="default"/>
          <w:sz w:val="16"/>
          <w:szCs w:val="16"/>
        </w:rPr>
      </w:pPr>
    </w:p>
    <w:p>
      <w:pPr>
        <w:pStyle w:val="BodyText"/>
        <w:spacing w:line="240" w:lineRule="auto"/>
        <w:ind w:right="0"/>
        <w:jc w:val="left"/>
      </w:pPr>
      <w:r>
        <w:rPr/>
        <w:t>北</w:t>
      </w:r>
      <w:r>
        <w:rPr>
          <w:spacing w:val="-44"/>
        </w:rPr>
        <w:t> </w:t>
      </w:r>
      <w:r>
        <w:rPr>
          <w:rFonts w:ascii="Times New Roman" w:hAnsi="Times New Roman" w:cs="Times New Roman" w:eastAsia="Times New Roman" w:hint="default"/>
        </w:rPr>
        <w:t>555</w:t>
      </w:r>
      <w:r>
        <w:rPr>
          <w:rFonts w:ascii="Times New Roman" w:hAnsi="Times New Roman" w:cs="Times New Roman" w:eastAsia="Times New Roman" w:hint="default"/>
          <w:spacing w:val="1"/>
        </w:rPr>
        <w:t> </w:t>
      </w:r>
      <w:r>
        <w:rPr/>
        <w:t>号番禺节能科技园内天安菁华公寓</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栋</w:t>
      </w:r>
      <w:r>
        <w:rPr>
          <w:spacing w:val="-44"/>
        </w:rPr>
        <w:t> </w:t>
      </w:r>
      <w:r>
        <w:rPr>
          <w:rFonts w:ascii="Times New Roman" w:hAnsi="Times New Roman" w:cs="Times New Roman" w:eastAsia="Times New Roman" w:hint="default"/>
        </w:rPr>
        <w:t>1701</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1702</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1703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1717</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1718</w:t>
      </w:r>
      <w:r>
        <w:rPr>
          <w:rFonts w:ascii="Times New Roman" w:hAnsi="Times New Roman" w:cs="Times New Roman" w:eastAsia="Times New Roman" w:hint="default"/>
          <w:spacing w:val="1"/>
        </w:rPr>
        <w:t> </w:t>
      </w:r>
      <w:r>
        <w:rPr/>
        <w:t>号及</w:t>
      </w:r>
      <w:r>
        <w:rPr>
          <w:spacing w:val="-43"/>
        </w:rPr>
        <w:t> </w:t>
      </w:r>
      <w:r>
        <w:rPr>
          <w:rFonts w:ascii="Times New Roman" w:hAnsi="Times New Roman" w:cs="Times New Roman" w:eastAsia="Times New Roman" w:hint="default"/>
        </w:rPr>
        <w:t>1719</w:t>
      </w:r>
      <w:r>
        <w:rPr>
          <w:rFonts w:ascii="Times New Roman" w:hAnsi="Times New Roman" w:cs="Times New Roman" w:eastAsia="Times New Roman" w:hint="default"/>
          <w:spacing w:val="1"/>
        </w:rPr>
        <w:t> </w:t>
      </w:r>
      <w:r>
        <w:rPr/>
        <w:t>号的房产出租给公司作</w:t>
      </w:r>
    </w:p>
    <w:p>
      <w:pPr>
        <w:spacing w:line="240" w:lineRule="auto" w:before="5"/>
        <w:rPr>
          <w:rFonts w:ascii="宋体" w:hAnsi="宋体" w:cs="宋体" w:eastAsia="宋体" w:hint="default"/>
          <w:sz w:val="15"/>
          <w:szCs w:val="15"/>
        </w:rPr>
      </w:pPr>
    </w:p>
    <w:p>
      <w:pPr>
        <w:pStyle w:val="BodyText"/>
        <w:spacing w:line="240" w:lineRule="auto"/>
        <w:ind w:right="0"/>
        <w:jc w:val="left"/>
      </w:pPr>
      <w:r>
        <w:rPr/>
        <w:t>为住宅用途使用。租赁期限从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日，租金共计</w:t>
      </w:r>
      <w:r>
        <w:rPr>
          <w:spacing w:val="-45"/>
        </w:rPr>
        <w:t> </w:t>
      </w:r>
      <w:r>
        <w:rPr>
          <w:rFonts w:ascii="Times New Roman" w:hAnsi="Times New Roman" w:cs="Times New Roman" w:eastAsia="Times New Roman" w:hint="default"/>
        </w:rPr>
        <w:t>9,200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月。</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关联担保情况" w:id="468"/>
      <w:bookmarkEnd w:id="46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t>本公司作为担保方</w:t>
      </w:r>
    </w:p>
    <w:p>
      <w:pPr>
        <w:spacing w:line="240" w:lineRule="auto" w:before="11"/>
        <w:rPr>
          <w:rFonts w:ascii="宋体" w:hAnsi="宋体" w:cs="宋体" w:eastAsia="宋体" w:hint="default"/>
          <w:sz w:val="19"/>
          <w:szCs w:val="19"/>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本公司作为被担保方</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关联担保情况说明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469"/>
      <w:bookmarkEnd w:id="46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6）关联方资产转让、债务重组情况" w:id="470"/>
      <w:bookmarkEnd w:id="47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7）关键管理人员报酬" w:id="471"/>
      <w:bookmarkEnd w:id="47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3,774,650.11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3,289,415.67</w:t>
            </w:r>
          </w:p>
        </w:tc>
      </w:tr>
    </w:tbl>
    <w:p>
      <w:pPr>
        <w:spacing w:line="240" w:lineRule="auto" w:before="8"/>
        <w:rPr>
          <w:rFonts w:ascii="宋体" w:hAnsi="宋体" w:cs="宋体" w:eastAsia="宋体" w:hint="default"/>
          <w:sz w:val="25"/>
          <w:szCs w:val="25"/>
        </w:rPr>
      </w:pPr>
    </w:p>
    <w:p>
      <w:pPr>
        <w:pStyle w:val="Heading3"/>
        <w:spacing w:line="631" w:lineRule="auto" w:before="35"/>
        <w:ind w:right="8535"/>
        <w:jc w:val="left"/>
        <w:rPr>
          <w:b w:val="0"/>
          <w:bCs w:val="0"/>
        </w:rPr>
      </w:pPr>
      <w:bookmarkStart w:name="（8）其他关联交易" w:id="472"/>
      <w:bookmarkEnd w:id="472"/>
      <w:r>
        <w:rPr>
          <w:b w:val="0"/>
          <w:bCs w:val="0"/>
        </w:rPr>
      </w:r>
      <w:r>
        <w:rPr/>
        <w:t>（</w:t>
      </w:r>
      <w:r>
        <w:rPr>
          <w:rFonts w:ascii="Times New Roman" w:hAnsi="Times New Roman" w:cs="Times New Roman" w:eastAsia="Times New Roman" w:hint="default"/>
        </w:rPr>
        <w:t>8</w:t>
      </w:r>
      <w:r>
        <w:rPr/>
        <w:t>）其他关联交易</w:t>
      </w:r>
      <w:r>
        <w:rPr>
          <w:w w:val="99"/>
        </w:rPr>
        <w:t> </w:t>
      </w:r>
      <w:bookmarkStart w:name="6、关联方应收应付款项" w:id="473"/>
      <w:bookmarkEnd w:id="473"/>
      <w:r>
        <w:rPr>
          <w:w w:val="99"/>
        </w:rPr>
      </w: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96"/>
        <w:ind w:right="0"/>
        <w:jc w:val="left"/>
        <w:rPr>
          <w:b w:val="0"/>
          <w:bCs w:val="0"/>
        </w:rPr>
      </w:pPr>
      <w:bookmarkStart w:name="（1）应收项目" w:id="474"/>
      <w:bookmarkEnd w:id="47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应付项目" w:id="475"/>
      <w:bookmarkEnd w:id="47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7、关联方承诺" w:id="476"/>
      <w:bookmarkEnd w:id="47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0"/>
        <w:rPr>
          <w:rFonts w:ascii="宋体" w:hAnsi="宋体" w:cs="宋体" w:eastAsia="宋体" w:hint="default"/>
          <w:b/>
          <w:bCs/>
          <w:sz w:val="22"/>
          <w:szCs w:val="22"/>
        </w:rPr>
      </w:pPr>
    </w:p>
    <w:p>
      <w:pPr>
        <w:spacing w:line="614" w:lineRule="auto" w:before="187"/>
        <w:ind w:left="141" w:right="8746" w:firstLine="0"/>
        <w:jc w:val="left"/>
        <w:rPr>
          <w:rFonts w:ascii="宋体" w:hAnsi="宋体" w:cs="宋体" w:eastAsia="宋体" w:hint="default"/>
          <w:sz w:val="21"/>
          <w:szCs w:val="21"/>
        </w:rPr>
      </w:pPr>
      <w:bookmarkStart w:name="8、其他" w:id="477"/>
      <w:bookmarkEnd w:id="4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78"/>
      <w:bookmarkEnd w:id="478"/>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9"/>
      <w:bookmarkEnd w:id="4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5467"/>
        <w:gridCol w:w="4115"/>
      </w:tblGrid>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965,000.00</w:t>
            </w:r>
          </w:p>
        </w:tc>
      </w:tr>
      <w:tr>
        <w:trPr>
          <w:trHeight w:val="390"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11,929,510.00</w:t>
            </w:r>
          </w:p>
        </w:tc>
      </w:tr>
      <w:tr>
        <w:trPr>
          <w:trHeight w:val="406"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743,716.00</w:t>
            </w:r>
          </w:p>
        </w:tc>
      </w:tr>
      <w:tr>
        <w:trPr>
          <w:trHeight w:val="405"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r>
        <w:trPr>
          <w:trHeight w:val="1411" w:hRule="exact"/>
        </w:trPr>
        <w:tc>
          <w:tcPr>
            <w:tcW w:w="54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4" w:right="124"/>
              <w:jc w:val="left"/>
              <w:rPr>
                <w:rFonts w:ascii="宋体" w:hAnsi="宋体" w:cs="宋体" w:eastAsia="宋体" w:hint="default"/>
                <w:sz w:val="18"/>
                <w:szCs w:val="18"/>
              </w:rPr>
            </w:pPr>
            <w:r>
              <w:rPr>
                <w:rFonts w:ascii="宋体" w:hAnsi="宋体" w:cs="宋体" w:eastAsia="宋体" w:hint="default"/>
                <w:sz w:val="18"/>
                <w:szCs w:val="18"/>
              </w:rPr>
              <w:t>公司期末发行在外的各期限制性股票行权价格的范 围和合同剩余期限：</w:t>
            </w:r>
          </w:p>
          <w:p>
            <w:pPr>
              <w:pStyle w:val="TableParagraph"/>
              <w:spacing w:line="240" w:lineRule="auto" w:before="9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p>
            <w:pPr>
              <w:pStyle w:val="TableParagraph"/>
              <w:spacing w:line="240" w:lineRule="auto" w:before="96"/>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3.48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以权益结算的股份支付情况" w:id="480"/>
      <w:bookmarkEnd w:id="48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8"/>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模型）</w:t>
            </w:r>
          </w:p>
        </w:tc>
      </w:tr>
      <w:tr>
        <w:trPr>
          <w:trHeight w:val="7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48"/>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公司根据在职激励对象对应的权益工具、公司业绩以及对 未来年度公司业绩的预测进行确定</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52,760,808.96</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18,050,337.96</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以现金结算的股份支付情况" w:id="481"/>
      <w:bookmarkEnd w:id="48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股份支付的修改、终止情况" w:id="482"/>
      <w:bookmarkEnd w:id="48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240" w:lineRule="auto"/>
        <w:ind w:right="0"/>
        <w:jc w:val="left"/>
      </w:pPr>
      <w:r>
        <w:rPr/>
        <w:t>无</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spacing w:line="607" w:lineRule="auto" w:before="35"/>
        <w:ind w:left="141" w:right="8339" w:firstLine="0"/>
        <w:jc w:val="left"/>
        <w:rPr>
          <w:rFonts w:ascii="宋体" w:hAnsi="宋体" w:cs="宋体" w:eastAsia="宋体" w:hint="default"/>
          <w:sz w:val="21"/>
          <w:szCs w:val="21"/>
        </w:rPr>
      </w:pPr>
      <w:bookmarkStart w:name="5、其他" w:id="483"/>
      <w:bookmarkEnd w:id="48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84"/>
      <w:bookmarkEnd w:id="484"/>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485"/>
      <w:bookmarkEnd w:id="485"/>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39"/>
        <w:ind w:right="0"/>
        <w:jc w:val="left"/>
      </w:pPr>
      <w:r>
        <w:rPr/>
        <w:t>资产负债表日存在的重要承诺</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或有事项" w:id="486"/>
      <w:bookmarkEnd w:id="48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1）资产负债表日存在的重要或有事项" w:id="487"/>
      <w:bookmarkEnd w:id="48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2）公司没有需要披露的重要或有事项，也应予以说明" w:id="488"/>
      <w:bookmarkEnd w:id="48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spacing w:line="614" w:lineRule="auto" w:before="0"/>
        <w:ind w:left="141" w:right="7857" w:firstLine="0"/>
        <w:jc w:val="left"/>
        <w:rPr>
          <w:rFonts w:ascii="宋体" w:hAnsi="宋体" w:cs="宋体" w:eastAsia="宋体" w:hint="default"/>
          <w:sz w:val="21"/>
          <w:szCs w:val="21"/>
        </w:rPr>
      </w:pPr>
      <w:bookmarkStart w:name="3、其他" w:id="489"/>
      <w:bookmarkEnd w:id="48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90"/>
      <w:bookmarkEnd w:id="490"/>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491"/>
      <w:bookmarkEnd w:id="491"/>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17"/>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利润分配情况" w:id="492"/>
      <w:bookmarkEnd w:id="49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240" w:lineRule="auto"/>
        <w:ind w:right="0"/>
        <w:jc w:val="left"/>
        <w:rPr>
          <w:b w:val="0"/>
          <w:bCs w:val="0"/>
        </w:rPr>
      </w:pPr>
      <w:bookmarkStart w:name="3、销售退回" w:id="493"/>
      <w:bookmarkEnd w:id="49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4、其他资产负债表日后事项说明" w:id="494"/>
      <w:bookmarkEnd w:id="49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left="501" w:right="0"/>
        <w:jc w:val="left"/>
      </w:pPr>
      <w:bookmarkStart w:name="(一) 资产负债表日后利润分配情况" w:id="495"/>
      <w:bookmarkEnd w:id="495"/>
      <w:r>
        <w:rPr/>
      </w:r>
      <w:r>
        <w:rPr>
          <w:rFonts w:ascii="宋体" w:hAnsi="宋体" w:cs="宋体" w:eastAsia="宋体" w:hint="default"/>
        </w:rPr>
        <w:t>(</w:t>
      </w:r>
      <w:r>
        <w:rPr/>
        <w:t>一</w:t>
      </w:r>
      <w:r>
        <w:rPr>
          <w:rFonts w:ascii="宋体" w:hAnsi="宋体" w:cs="宋体" w:eastAsia="宋体" w:hint="default"/>
        </w:rPr>
        <w:t>) </w:t>
      </w:r>
      <w:r>
        <w:rPr/>
        <w:t>资产负债表日后利润分配情况</w:t>
      </w:r>
    </w:p>
    <w:p>
      <w:pPr>
        <w:spacing w:line="240" w:lineRule="auto" w:before="2"/>
        <w:rPr>
          <w:rFonts w:ascii="宋体" w:hAnsi="宋体" w:cs="宋体" w:eastAsia="宋体" w:hint="default"/>
          <w:sz w:val="22"/>
          <w:szCs w:val="22"/>
        </w:rPr>
      </w:pPr>
    </w:p>
    <w:p>
      <w:pPr>
        <w:pStyle w:val="BodyText"/>
        <w:spacing w:line="240" w:lineRule="auto"/>
        <w:ind w:left="501" w:right="0"/>
        <w:jc w:val="left"/>
      </w:pPr>
      <w:bookmarkStart w:name="公司利润分配预案为：以686,616,614股为基数，向全体股东每10股派发现金" w:id="496"/>
      <w:bookmarkEnd w:id="496"/>
      <w:r>
        <w:rPr/>
      </w:r>
      <w:r>
        <w:rPr/>
        <w:t>公司利润分配预案为：以</w:t>
      </w:r>
      <w:r>
        <w:rPr>
          <w:spacing w:val="-43"/>
        </w:rPr>
        <w:t> </w:t>
      </w:r>
      <w:r>
        <w:rPr>
          <w:rFonts w:ascii="宋体" w:hAnsi="宋体" w:cs="宋体" w:eastAsia="宋体" w:hint="default"/>
        </w:rPr>
        <w:t>686,616,614</w:t>
      </w:r>
      <w:r>
        <w:rPr>
          <w:rFonts w:ascii="宋体" w:hAnsi="宋体" w:cs="宋体" w:eastAsia="宋体" w:hint="default"/>
          <w:spacing w:val="-45"/>
        </w:rPr>
        <w:t> </w:t>
      </w:r>
      <w:r>
        <w:rPr/>
        <w:t>股为基数，向全</w:t>
      </w:r>
      <w:r>
        <w:rPr>
          <w:spacing w:val="2"/>
        </w:rPr>
        <w:t>体</w:t>
      </w:r>
      <w:r>
        <w:rPr/>
        <w:t>股东每</w:t>
      </w:r>
      <w:r>
        <w:rPr>
          <w:spacing w:val="-45"/>
        </w:rPr>
        <w:t> </w:t>
      </w:r>
      <w:r>
        <w:rPr>
          <w:rFonts w:ascii="宋体" w:hAnsi="宋体" w:cs="宋体" w:eastAsia="宋体" w:hint="default"/>
        </w:rPr>
        <w:t>10</w:t>
      </w:r>
      <w:r>
        <w:rPr>
          <w:rFonts w:ascii="宋体" w:hAnsi="宋体" w:cs="宋体" w:eastAsia="宋体" w:hint="default"/>
          <w:spacing w:val="-45"/>
        </w:rPr>
        <w:t> </w:t>
      </w:r>
      <w:r>
        <w:rPr/>
        <w:t>股派发现金红利</w:t>
      </w:r>
      <w:r>
        <w:rPr>
          <w:spacing w:val="-44"/>
        </w:rPr>
        <w:t> </w:t>
      </w:r>
      <w:r>
        <w:rPr>
          <w:rFonts w:ascii="宋体" w:hAnsi="宋体" w:cs="宋体" w:eastAsia="宋体" w:hint="default"/>
        </w:rPr>
        <w:t>0.45</w:t>
      </w:r>
      <w:r>
        <w:rPr>
          <w:rFonts w:ascii="宋体" w:hAnsi="宋体" w:cs="宋体" w:eastAsia="宋体" w:hint="default"/>
          <w:spacing w:val="-45"/>
        </w:rPr>
        <w:t> </w:t>
      </w:r>
      <w:r>
        <w:rPr/>
        <w:t>元（含税</w:t>
      </w:r>
      <w:r>
        <w:rPr>
          <w:spacing w:val="-90"/>
        </w:rPr>
        <w:t>）</w:t>
      </w:r>
      <w:r>
        <w:rPr/>
        <w:t>，送红股</w:t>
      </w:r>
      <w:r>
        <w:rPr>
          <w:spacing w:val="-43"/>
        </w:rPr>
        <w:t> </w:t>
      </w:r>
      <w:r>
        <w:rPr>
          <w:rFonts w:ascii="宋体" w:hAnsi="宋体" w:cs="宋体" w:eastAsia="宋体" w:hint="default"/>
        </w:rPr>
        <w:t>0</w:t>
      </w:r>
      <w:r>
        <w:rPr>
          <w:rFonts w:ascii="宋体" w:hAnsi="宋体" w:cs="宋体" w:eastAsia="宋体" w:hint="default"/>
          <w:spacing w:val="-45"/>
        </w:rPr>
        <w:t> </w:t>
      </w:r>
      <w:r>
        <w:rPr/>
        <w:t>股（含</w:t>
      </w:r>
    </w:p>
    <w:p>
      <w:pPr>
        <w:spacing w:line="240" w:lineRule="auto" w:before="7"/>
        <w:rPr>
          <w:rFonts w:ascii="宋体" w:hAnsi="宋体" w:cs="宋体" w:eastAsia="宋体" w:hint="default"/>
          <w:sz w:val="17"/>
          <w:szCs w:val="17"/>
        </w:rPr>
      </w:pPr>
    </w:p>
    <w:p>
      <w:pPr>
        <w:pStyle w:val="BodyText"/>
        <w:spacing w:line="240" w:lineRule="auto"/>
        <w:ind w:right="0"/>
        <w:jc w:val="left"/>
      </w:pPr>
      <w:r>
        <w:rPr/>
        <w:t>税</w:t>
      </w:r>
      <w:r>
        <w:rPr>
          <w:spacing w:val="-90"/>
        </w:rPr>
        <w:t>）</w:t>
      </w:r>
      <w:r>
        <w:rPr/>
        <w:t>，以资本公积金向全体股东每</w:t>
      </w:r>
      <w:r>
        <w:rPr>
          <w:spacing w:val="-42"/>
        </w:rPr>
        <w:t> </w:t>
      </w:r>
      <w:r>
        <w:rPr>
          <w:rFonts w:ascii="宋体" w:hAnsi="宋体" w:cs="宋体" w:eastAsia="宋体" w:hint="default"/>
        </w:rPr>
        <w:t>10</w:t>
      </w:r>
      <w:r>
        <w:rPr>
          <w:rFonts w:ascii="宋体" w:hAnsi="宋体" w:cs="宋体" w:eastAsia="宋体" w:hint="default"/>
          <w:spacing w:val="-45"/>
        </w:rPr>
        <w:t> </w:t>
      </w:r>
      <w:r>
        <w:rPr/>
        <w:t>股转增</w:t>
      </w:r>
      <w:r>
        <w:rPr>
          <w:spacing w:val="-44"/>
        </w:rPr>
        <w:t> </w:t>
      </w:r>
      <w:r>
        <w:rPr>
          <w:rFonts w:ascii="宋体" w:hAnsi="宋体" w:cs="宋体" w:eastAsia="宋体" w:hint="default"/>
        </w:rPr>
        <w:t>0</w:t>
      </w:r>
      <w:r>
        <w:rPr>
          <w:rFonts w:ascii="宋体" w:hAnsi="宋体" w:cs="宋体" w:eastAsia="宋体" w:hint="default"/>
          <w:spacing w:val="-45"/>
        </w:rPr>
        <w:t> </w:t>
      </w:r>
      <w:r>
        <w:rPr/>
        <w:t>股。</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501" w:right="0"/>
        <w:jc w:val="left"/>
      </w:pPr>
      <w:bookmarkStart w:name="(二) 其他资产负债表日后事项说明" w:id="497"/>
      <w:bookmarkEnd w:id="497"/>
      <w:r>
        <w:rPr/>
      </w:r>
      <w:r>
        <w:rPr>
          <w:rFonts w:ascii="宋体" w:hAnsi="宋体" w:cs="宋体" w:eastAsia="宋体" w:hint="default"/>
        </w:rPr>
        <w:t>(</w:t>
      </w:r>
      <w:r>
        <w:rPr/>
        <w:t>二</w:t>
      </w:r>
      <w:r>
        <w:rPr>
          <w:rFonts w:ascii="宋体" w:hAnsi="宋体" w:cs="宋体" w:eastAsia="宋体" w:hint="default"/>
        </w:rPr>
        <w:t>) </w:t>
      </w:r>
      <w:r>
        <w:rPr/>
        <w:t>其他资产负债表日后事项说明</w:t>
      </w:r>
    </w:p>
    <w:p>
      <w:pPr>
        <w:spacing w:line="240" w:lineRule="auto" w:before="0"/>
        <w:rPr>
          <w:rFonts w:ascii="宋体" w:hAnsi="宋体" w:cs="宋体" w:eastAsia="宋体" w:hint="default"/>
          <w:sz w:val="21"/>
          <w:szCs w:val="21"/>
        </w:rPr>
      </w:pPr>
    </w:p>
    <w:p>
      <w:pPr>
        <w:pStyle w:val="BodyText"/>
        <w:spacing w:line="475" w:lineRule="auto"/>
        <w:ind w:right="1029" w:firstLine="360"/>
        <w:jc w:val="left"/>
      </w:pPr>
      <w:r>
        <w:rPr>
          <w:rFonts w:ascii="宋体" w:hAnsi="宋体" w:cs="宋体" w:eastAsia="宋体" w:hint="default"/>
        </w:rPr>
        <w:t>1</w:t>
      </w:r>
      <w:r>
        <w:rPr/>
        <w:t>、新型冠状病毒感染的肺炎疫情</w:t>
      </w:r>
      <w:r>
        <w:rPr>
          <w:rFonts w:ascii="宋体" w:hAnsi="宋体" w:cs="宋体" w:eastAsia="宋体" w:hint="default"/>
        </w:rPr>
        <w:t>(</w:t>
      </w:r>
      <w:r>
        <w:rPr/>
        <w:t>以下简称新冠疫情</w:t>
      </w:r>
      <w:r>
        <w:rPr>
          <w:rFonts w:ascii="宋体" w:hAnsi="宋体" w:cs="宋体" w:eastAsia="宋体" w:hint="default"/>
        </w:rPr>
        <w:t>)</w:t>
      </w:r>
      <w:r>
        <w:rPr/>
        <w:t>自 </w:t>
      </w:r>
      <w:r>
        <w:rPr>
          <w:rFonts w:ascii="宋体" w:hAnsi="宋体" w:cs="宋体" w:eastAsia="宋体" w:hint="default"/>
        </w:rPr>
        <w:t>2020 </w:t>
      </w:r>
      <w:r>
        <w:rPr/>
        <w:t>年 </w:t>
      </w:r>
      <w:r>
        <w:rPr>
          <w:rFonts w:ascii="宋体" w:hAnsi="宋体" w:cs="宋体" w:eastAsia="宋体" w:hint="default"/>
        </w:rPr>
        <w:t>1</w:t>
      </w:r>
      <w:r>
        <w:rPr>
          <w:rFonts w:ascii="宋体" w:hAnsi="宋体" w:cs="宋体" w:eastAsia="宋体" w:hint="default"/>
          <w:spacing w:val="-16"/>
        </w:rPr>
        <w:t> </w:t>
      </w:r>
      <w:r>
        <w:rPr>
          <w:spacing w:val="-3"/>
        </w:rPr>
        <w:t>月在全国爆发以来，新冠疫情的防控工作正在全国</w:t>
      </w:r>
      <w:r>
        <w:rPr/>
        <w:t> 范围内持续进行。本公司积极响应并严格执行党和国家各级政府对病毒疫情防控的各项规定和要求，在力保员工返岗安全、 生产安全、生活安全的前提下推动复工复产。</w:t>
      </w:r>
    </w:p>
    <w:p>
      <w:pPr>
        <w:pStyle w:val="BodyText"/>
        <w:spacing w:line="475" w:lineRule="auto" w:before="113"/>
        <w:ind w:right="0" w:firstLine="360"/>
        <w:jc w:val="left"/>
      </w:pPr>
      <w:r>
        <w:rPr>
          <w:spacing w:val="-2"/>
        </w:rPr>
        <w:t>爆发的新型冠状病毒疫情给公司一季度的业务带来较大的影响。公司收入确认需要现场验收后确认，项目的实施也需到</w:t>
      </w:r>
      <w:r>
        <w:rPr/>
        <w:t> </w:t>
      </w:r>
      <w:r>
        <w:rPr>
          <w:spacing w:val="-2"/>
        </w:rPr>
        <w:t>达现场实施，因为各地社区封闭、交通管制、人员流动受限，导致公司项目无法现场实施；同时，已完工项目无法正常进行</w:t>
      </w:r>
      <w:r>
        <w:rPr>
          <w:spacing w:val="-72"/>
        </w:rPr>
        <w:t> </w:t>
      </w:r>
      <w:r>
        <w:rPr>
          <w:spacing w:val="-72"/>
        </w:rPr>
      </w:r>
      <w:r>
        <w:rPr>
          <w:spacing w:val="-4"/>
        </w:rPr>
        <w:t>验收，款项结算进度放缓。由于公司的生产经营具有明显的季节性特点，公司的经营业绩及结算回款主要集中于下半年体现。</w:t>
      </w:r>
      <w:r>
        <w:rPr>
          <w:spacing w:val="-50"/>
        </w:rPr>
        <w:t> </w:t>
      </w:r>
      <w:r>
        <w:rPr>
          <w:spacing w:val="-50"/>
        </w:rPr>
      </w:r>
      <w:r>
        <w:rPr/>
        <w:t>随着国内疫情的缓解，当前公司相关业务已基本恢复正常，公司相关收入、效益将逐步体现。</w:t>
      </w:r>
    </w:p>
    <w:p>
      <w:pPr>
        <w:pStyle w:val="BodyText"/>
        <w:spacing w:line="475" w:lineRule="auto" w:before="113"/>
        <w:ind w:right="1029" w:firstLine="360"/>
        <w:jc w:val="left"/>
      </w:pPr>
      <w:r>
        <w:rPr>
          <w:rFonts w:ascii="宋体" w:hAnsi="宋体" w:cs="宋体" w:eastAsia="宋体" w:hint="default"/>
        </w:rPr>
        <w:t>2</w:t>
      </w:r>
      <w:r>
        <w:rPr/>
        <w:t>、为拓展公司业务范围，培育新的利润增长点，公司全资子公司西藏浩云创业投资有限公司（以下简称“西藏浩云</w:t>
      </w:r>
      <w:r>
        <w:rPr>
          <w:spacing w:val="-90"/>
        </w:rPr>
        <w:t>”</w:t>
      </w:r>
      <w:r>
        <w:rPr/>
        <w:t>）</w:t>
      </w:r>
      <w:r>
        <w:rPr/>
        <w:t> 决定与湖南兆物信连信息科技有限公司（以下简称“兆物信连</w:t>
      </w:r>
      <w:r>
        <w:rPr>
          <w:spacing w:val="-90"/>
        </w:rPr>
        <w:t>”</w:t>
      </w:r>
      <w:r>
        <w:rPr/>
        <w:t>）合作，共同出资设立广州浩云区块链科技有限公司</w:t>
      </w:r>
      <w:r>
        <w:rPr>
          <w:spacing w:val="11"/>
        </w:rPr>
        <w:t>（</w:t>
      </w:r>
      <w:r>
        <w:rPr/>
        <w:t>暂定</w:t>
      </w:r>
      <w:r>
        <w:rPr/>
        <w:t> 名</w:t>
      </w:r>
      <w:r>
        <w:rPr>
          <w:spacing w:val="-15"/>
        </w:rPr>
        <w:t>，</w:t>
      </w:r>
      <w:r>
        <w:rPr/>
        <w:t>具体以工商行政管理部门核准为准</w:t>
      </w:r>
      <w:r>
        <w:rPr>
          <w:spacing w:val="-15"/>
        </w:rPr>
        <w:t>，</w:t>
      </w:r>
      <w:r>
        <w:rPr/>
        <w:t>以下简</w:t>
      </w:r>
      <w:r>
        <w:rPr>
          <w:spacing w:val="-15"/>
        </w:rPr>
        <w:t>称</w:t>
      </w:r>
      <w:r>
        <w:rPr/>
        <w:t>“合资公司</w:t>
      </w:r>
      <w:r>
        <w:rPr>
          <w:spacing w:val="-90"/>
        </w:rPr>
        <w:t>”）</w:t>
      </w:r>
      <w:r>
        <w:rPr>
          <w:spacing w:val="-15"/>
        </w:rPr>
        <w:t>，</w:t>
      </w:r>
      <w:r>
        <w:rPr/>
        <w:t>合资公司注册资本为人民币</w:t>
      </w:r>
      <w:r>
        <w:rPr>
          <w:spacing w:val="8"/>
        </w:rPr>
        <w:t> </w:t>
      </w:r>
      <w:r>
        <w:rPr>
          <w:rFonts w:ascii="宋体" w:hAnsi="宋体" w:cs="宋体" w:eastAsia="宋体" w:hint="default"/>
        </w:rPr>
        <w:t>3,000.00</w:t>
      </w:r>
      <w:r>
        <w:rPr>
          <w:rFonts w:ascii="宋体" w:hAnsi="宋体" w:cs="宋体" w:eastAsia="宋体" w:hint="default"/>
          <w:spacing w:val="1"/>
        </w:rPr>
        <w:t> </w:t>
      </w:r>
      <w:r>
        <w:rPr/>
        <w:t>万元</w:t>
      </w:r>
      <w:r>
        <w:rPr>
          <w:spacing w:val="-15"/>
        </w:rPr>
        <w:t>，</w:t>
      </w:r>
      <w:r>
        <w:rPr/>
        <w:t>其中</w:t>
      </w:r>
      <w:r>
        <w:rPr>
          <w:spacing w:val="-15"/>
        </w:rPr>
        <w:t>，</w:t>
      </w:r>
      <w:r>
        <w:rPr/>
        <w:t>西藏</w:t>
      </w:r>
    </w:p>
    <w:p>
      <w:pPr>
        <w:pStyle w:val="BodyText"/>
        <w:spacing w:line="475" w:lineRule="auto" w:before="53"/>
        <w:ind w:right="1126"/>
        <w:jc w:val="both"/>
      </w:pPr>
      <w:r>
        <w:rPr/>
        <w:t>浩云出资人民币 </w:t>
      </w:r>
      <w:r>
        <w:rPr>
          <w:rFonts w:ascii="宋体" w:hAnsi="宋体" w:cs="宋体" w:eastAsia="宋体" w:hint="default"/>
        </w:rPr>
        <w:t>1,800.00 </w:t>
      </w:r>
      <w:r>
        <w:rPr/>
        <w:t>万元，占合资公司注册资本总额的 </w:t>
      </w:r>
      <w:r>
        <w:rPr>
          <w:rFonts w:ascii="宋体" w:hAnsi="宋体" w:cs="宋体" w:eastAsia="宋体" w:hint="default"/>
        </w:rPr>
        <w:t>60.00%</w:t>
      </w:r>
      <w:r>
        <w:rPr/>
        <w:t>，兆物信连出资人民币 </w:t>
      </w:r>
      <w:r>
        <w:rPr>
          <w:rFonts w:ascii="宋体" w:hAnsi="宋体" w:cs="宋体" w:eastAsia="宋体" w:hint="default"/>
        </w:rPr>
        <w:t>1,200.00</w:t>
      </w:r>
      <w:r>
        <w:rPr>
          <w:rFonts w:ascii="宋体" w:hAnsi="宋体" w:cs="宋体" w:eastAsia="宋体" w:hint="default"/>
          <w:spacing w:val="7"/>
        </w:rPr>
        <w:t> </w:t>
      </w:r>
      <w:r>
        <w:rPr/>
        <w:t>万元，占合资公司 注册资本总额的</w:t>
      </w:r>
      <w:r>
        <w:rPr>
          <w:spacing w:val="1"/>
        </w:rPr>
        <w:t> </w:t>
      </w:r>
      <w:r>
        <w:rPr>
          <w:rFonts w:ascii="宋体" w:hAnsi="宋体" w:cs="宋体" w:eastAsia="宋体" w:hint="default"/>
        </w:rPr>
        <w:t>40.00%</w:t>
      </w:r>
      <w:r>
        <w:rPr/>
        <w:t>。西藏浩云本次与兆物信连合资设立公司，符合公司发展规划的需要，但合资公司在运营过程中需 </w:t>
      </w:r>
      <w:r>
        <w:rPr>
          <w:spacing w:val="-2"/>
        </w:rPr>
        <w:t>面对市场状况变化、投资各方技术对接及运营管理的差异性磨合、团队建设等多种不确定因素，西藏浩云与兆物信连双方将</w:t>
      </w:r>
      <w:r>
        <w:rPr>
          <w:spacing w:val="-75"/>
        </w:rPr>
        <w:t> </w:t>
      </w:r>
      <w:r>
        <w:rPr>
          <w:spacing w:val="-75"/>
        </w:rPr>
      </w:r>
      <w:r>
        <w:rPr/>
        <w:t>借助各自优势，尽快完成各方面的协同工作，以促进合资公司经营顺利、平稳、快速地开展。</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六、其他重要事项" w:id="498"/>
      <w:bookmarkEnd w:id="498"/>
      <w:r>
        <w:rPr>
          <w:b w:val="0"/>
          <w:bCs w:val="0"/>
        </w:rPr>
      </w:r>
      <w:r>
        <w:rPr/>
        <w:t>十六、其他重要事项</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58"/>
        <w:ind w:right="0"/>
        <w:jc w:val="both"/>
        <w:rPr>
          <w:b w:val="0"/>
          <w:bCs w:val="0"/>
        </w:rPr>
      </w:pPr>
      <w:bookmarkStart w:name="1、前期会计差错更正" w:id="499"/>
      <w:bookmarkEnd w:id="49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both"/>
        <w:rPr>
          <w:b w:val="0"/>
          <w:bCs w:val="0"/>
        </w:rPr>
      </w:pPr>
      <w:bookmarkStart w:name="（1）追溯重述法" w:id="500"/>
      <w:bookmarkEnd w:id="50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未来适用法" w:id="501"/>
      <w:bookmarkEnd w:id="50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b/>
          <w:bCs/>
          <w:sz w:val="28"/>
          <w:szCs w:val="28"/>
        </w:rPr>
      </w:pPr>
    </w:p>
    <w:p>
      <w:pPr>
        <w:pStyle w:val="Heading3"/>
        <w:spacing w:line="240" w:lineRule="auto" w:before="35"/>
        <w:ind w:right="0"/>
        <w:jc w:val="left"/>
        <w:rPr>
          <w:b w:val="0"/>
          <w:bCs w:val="0"/>
        </w:rPr>
      </w:pPr>
      <w:bookmarkStart w:name="2、债务重组" w:id="502"/>
      <w:bookmarkEnd w:id="50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3、资产置换" w:id="503"/>
      <w:bookmarkEnd w:id="50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非货币性资产交换" w:id="504"/>
      <w:bookmarkEnd w:id="50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633" w:lineRule="auto"/>
        <w:ind w:right="8534"/>
        <w:jc w:val="left"/>
        <w:rPr>
          <w:b w:val="0"/>
          <w:bCs w:val="0"/>
        </w:rPr>
      </w:pPr>
      <w:bookmarkStart w:name="（2）其他资产置换" w:id="505"/>
      <w:bookmarkEnd w:id="505"/>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06"/>
      <w:bookmarkEnd w:id="506"/>
      <w:r>
        <w:rPr>
          <w:spacing w:val="-18"/>
          <w:w w:val="95"/>
        </w:rPr>
      </w:r>
      <w:r>
        <w:rPr>
          <w:rFonts w:ascii="Times New Roman" w:hAnsi="Times New Roman" w:cs="Times New Roman" w:eastAsia="Times New Roman" w:hint="default"/>
        </w:rPr>
        <w:t>4</w:t>
      </w:r>
      <w:r>
        <w:rPr/>
        <w:t>、年金计划</w:t>
      </w:r>
      <w:r>
        <w:rPr>
          <w:b w:val="0"/>
          <w:bCs w:val="0"/>
        </w:rPr>
      </w:r>
    </w:p>
    <w:p>
      <w:pPr>
        <w:pStyle w:val="Heading3"/>
        <w:spacing w:line="240" w:lineRule="auto" w:before="93"/>
        <w:ind w:right="0"/>
        <w:jc w:val="left"/>
        <w:rPr>
          <w:b w:val="0"/>
          <w:bCs w:val="0"/>
        </w:rPr>
      </w:pPr>
      <w:bookmarkStart w:name="5、终止经营" w:id="507"/>
      <w:bookmarkEnd w:id="50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6、分部信息" w:id="508"/>
      <w:bookmarkEnd w:id="50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报告分部的确定依据与会计政策" w:id="509"/>
      <w:bookmarkEnd w:id="50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75" w:lineRule="auto"/>
        <w:ind w:right="0"/>
        <w:jc w:val="left"/>
      </w:pPr>
      <w:r>
        <w:rPr>
          <w:spacing w:val="-2"/>
        </w:rPr>
        <w:t>公司以内部组织结构、管理要求、内部报告制度等为依据确定报告分部，并以产品分部为基础确定报告分部。与各分部共同</w:t>
      </w:r>
      <w:r>
        <w:rPr>
          <w:spacing w:val="-42"/>
        </w:rPr>
        <w:t> </w:t>
      </w:r>
      <w:r>
        <w:rPr>
          <w:spacing w:val="-42"/>
        </w:rPr>
      </w:r>
      <w:r>
        <w:rPr/>
        <w:t>使用的资产、负债按照规模比例在不同的分部之间分配。</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2）报告分部的财务信息" w:id="510"/>
      <w:bookmarkEnd w:id="51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33" w:right="46" w:hanging="181"/>
              <w:jc w:val="left"/>
              <w:rPr>
                <w:rFonts w:ascii="宋体" w:hAnsi="宋体" w:cs="宋体" w:eastAsia="宋体" w:hint="default"/>
                <w:sz w:val="18"/>
                <w:szCs w:val="18"/>
              </w:rPr>
            </w:pPr>
            <w:r>
              <w:rPr>
                <w:rFonts w:ascii="宋体" w:hAnsi="宋体" w:cs="宋体" w:eastAsia="宋体" w:hint="default"/>
                <w:sz w:val="18"/>
                <w:szCs w:val="18"/>
              </w:rPr>
              <w:t>物联网平台建设 及解决方案</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95" w:right="44" w:hanging="451"/>
              <w:jc w:val="left"/>
              <w:rPr>
                <w:rFonts w:ascii="宋体" w:hAnsi="宋体" w:cs="宋体" w:eastAsia="宋体" w:hint="default"/>
                <w:sz w:val="18"/>
                <w:szCs w:val="18"/>
              </w:rPr>
            </w:pPr>
            <w:r>
              <w:rPr>
                <w:rFonts w:ascii="宋体" w:hAnsi="宋体" w:cs="宋体" w:eastAsia="宋体" w:hint="default"/>
                <w:sz w:val="18"/>
                <w:szCs w:val="18"/>
              </w:rPr>
              <w:t>物联设备及软件 销售</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86" w:right="61" w:hanging="541"/>
              <w:jc w:val="left"/>
              <w:rPr>
                <w:rFonts w:ascii="宋体" w:hAnsi="宋体" w:cs="宋体" w:eastAsia="宋体" w:hint="default"/>
                <w:sz w:val="18"/>
                <w:szCs w:val="18"/>
              </w:rPr>
            </w:pPr>
            <w:r>
              <w:rPr>
                <w:rFonts w:ascii="宋体" w:hAnsi="宋体" w:cs="宋体" w:eastAsia="宋体" w:hint="default"/>
                <w:sz w:val="18"/>
                <w:szCs w:val="18"/>
              </w:rPr>
              <w:t>平安城市运营服 务</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390" w:right="90" w:hanging="316"/>
              <w:jc w:val="left"/>
              <w:rPr>
                <w:rFonts w:ascii="宋体" w:hAnsi="宋体" w:cs="宋体" w:eastAsia="宋体" w:hint="default"/>
                <w:sz w:val="18"/>
                <w:szCs w:val="18"/>
              </w:rPr>
            </w:pP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产品及解 决方案</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530,061,000.74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158,982,976.91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58,791,140.04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63,412,134.52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-33,528,764.69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777,718,487.52</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295,763,788.86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80,842,016.92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35,586,762.61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15,018,137.64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-35,470,865.38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391,739,840.65</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1,506,441,552.11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308,775,344.10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186,482,236.77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116,723,581.74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-307,962,728.42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1,810,459,986.30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356,864,327.52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9,163,910.69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23,311,610.54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44,520,022.26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-141,842,997.13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292,016,873.88</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所有者权益总额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1,149,577,224.59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299,611,433.41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163,170,626.23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72,203,559.48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-166,119,731.29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1,518,443,112.42</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bookmarkStart w:name="（3）公司无报告分部的，或者不能披露各报告分部的资产总额和负债总额的，应说明原因" w:id="511"/>
      <w:bookmarkEnd w:id="51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pStyle w:val="Heading3"/>
        <w:spacing w:line="631" w:lineRule="auto"/>
        <w:ind w:right="6427"/>
        <w:jc w:val="left"/>
        <w:rPr>
          <w:b w:val="0"/>
          <w:bCs w:val="0"/>
        </w:rPr>
      </w:pPr>
      <w:bookmarkStart w:name="（4）其他说明" w:id="512"/>
      <w:bookmarkEnd w:id="512"/>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13"/>
      <w:bookmarkEnd w:id="513"/>
      <w:r>
        <w:rPr>
          <w:w w:val="99"/>
        </w:rPr>
      </w:r>
      <w:r>
        <w:rPr>
          <w:rFonts w:ascii="Times New Roman" w:hAnsi="Times New Roman" w:cs="Times New Roman" w:eastAsia="Times New Roman" w:hint="default"/>
        </w:rPr>
        <w:t>7</w:t>
      </w:r>
      <w:r>
        <w:rPr/>
        <w:t>、其他对投资者决策有影响的重要交易和事项</w:t>
      </w:r>
      <w:r>
        <w:rPr>
          <w:b w:val="0"/>
          <w:bCs w:val="0"/>
        </w:rPr>
      </w:r>
    </w:p>
    <w:p>
      <w:pPr>
        <w:spacing w:line="614" w:lineRule="auto" w:before="96"/>
        <w:ind w:left="141" w:right="6894" w:firstLine="0"/>
        <w:jc w:val="left"/>
        <w:rPr>
          <w:rFonts w:ascii="宋体" w:hAnsi="宋体" w:cs="宋体" w:eastAsia="宋体" w:hint="default"/>
          <w:sz w:val="21"/>
          <w:szCs w:val="21"/>
        </w:rPr>
      </w:pPr>
      <w:bookmarkStart w:name="8、其他" w:id="514"/>
      <w:bookmarkEnd w:id="51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515"/>
      <w:bookmarkEnd w:id="515"/>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16"/>
      <w:bookmarkEnd w:id="51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112"/>
        <w:ind w:right="0"/>
        <w:jc w:val="left"/>
        <w:rPr>
          <w:b w:val="0"/>
          <w:bCs w:val="0"/>
        </w:rPr>
      </w:pPr>
      <w:bookmarkStart w:name="（1）应收账款分类披露" w:id="517"/>
      <w:bookmarkEnd w:id="5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295,278,</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505.74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25,979,0</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37.44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269,299,4</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68.30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245,427,4</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38.09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18,211,68</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4.28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227,215,75</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3.81</w:t>
            </w: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294,668,</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482.33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99.79%</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25,979,0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37.44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268,689,4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44.89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243,421,2</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09.21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99.18%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18,211,68</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4.28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225,209,52</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4.93</w:t>
            </w: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纳入合并范围的关 联方组合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610,023.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610,023.4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2,006,228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2,006,228.8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295,278,</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505.74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25,979,0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37.44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8.80%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269,299,4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68.30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245,427,4</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38.09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18,211,68</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4.28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227,215,75</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3.81</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按单项计提坏账准备：</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按组合计提坏账准备：</w:t>
      </w:r>
    </w:p>
    <w:p>
      <w:pPr>
        <w:spacing w:after="0" w:line="240"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294,668,482.33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25,979,037.44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8.82%</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294,668,482.33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25,979,037.44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504" w:lineRule="auto" w:before="44"/>
        <w:ind w:right="8769"/>
        <w:jc w:val="left"/>
      </w:pPr>
      <w:r>
        <w:rPr/>
        <w:t>确定该组合依据的说明： 按组合计提坏账准备：</w:t>
      </w:r>
    </w:p>
    <w:p>
      <w:pPr>
        <w:pStyle w:val="BodyText"/>
        <w:spacing w:line="240" w:lineRule="auto" w:before="77"/>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610,023.41</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475" w:lineRule="auto" w:before="120"/>
              <w:ind w:left="15" w:right="16"/>
              <w:jc w:val="left"/>
              <w:rPr>
                <w:rFonts w:ascii="宋体" w:hAnsi="宋体" w:cs="宋体" w:eastAsia="宋体" w:hint="default"/>
                <w:sz w:val="18"/>
                <w:szCs w:val="18"/>
              </w:rPr>
            </w:pPr>
            <w:r>
              <w:rPr>
                <w:rFonts w:ascii="宋体" w:hAnsi="宋体" w:cs="宋体" w:eastAsia="宋体" w:hint="default"/>
                <w:sz w:val="18"/>
                <w:szCs w:val="18"/>
              </w:rPr>
              <w:t>其中：深圳市润安科技发展有 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610,023.41</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610,023.41</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520" w:lineRule="auto" w:before="44"/>
        <w:ind w:right="8769"/>
        <w:jc w:val="left"/>
      </w:pPr>
      <w:r>
        <w:rPr/>
        <w:t>确定该组合依据的说明： 按组合计提坏账准备：</w:t>
      </w:r>
    </w:p>
    <w:p>
      <w:pPr>
        <w:pStyle w:val="BodyText"/>
        <w:spacing w:line="240" w:lineRule="auto" w:before="6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391"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240" w:lineRule="auto" w:before="10"/>
        <w:rPr>
          <w:rFonts w:ascii="宋体" w:hAnsi="宋体" w:cs="宋体" w:eastAsia="宋体" w:hint="default"/>
          <w:sz w:val="5"/>
          <w:szCs w:val="5"/>
        </w:rPr>
      </w:pPr>
    </w:p>
    <w:p>
      <w:pPr>
        <w:pStyle w:val="BodyText"/>
        <w:spacing w:line="504" w:lineRule="auto" w:before="44"/>
        <w:ind w:right="1749"/>
        <w:jc w:val="left"/>
      </w:pPr>
      <w:r>
        <w:rPr/>
        <w:t>确定该组合依据的说明： 如是按照预期信用损失一般模型计提应收账款坏账准备，请参照其他应收款的披露方式披露坏账准备的相关信息：</w:t>
      </w:r>
    </w:p>
    <w:p>
      <w:pPr>
        <w:pStyle w:val="BodyText"/>
        <w:spacing w:line="491" w:lineRule="auto" w:before="77"/>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1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215,267,345.41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43,386,027.84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15,974,295.22</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20,650,837.27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11,112,029.91</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6,177,933.61</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96"/>
              <w:jc w:val="righ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3,360,873.75</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295,278,505.74</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本期计提坏账准备情况：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18,211,684.28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7,767,353.16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25,979,037.44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18,211,684.28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7,767,353.16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25,979,037.44</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其中本期坏账准备收回或转回金额重要的：</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本期实际核销的应收账款情况" w:id="519"/>
      <w:bookmarkEnd w:id="51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390"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其中重要的应收账款核销情况：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应收账款核销说明：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520"/>
      <w:bookmarkEnd w:id="52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36" w:right="0"/>
              <w:jc w:val="left"/>
              <w:rPr>
                <w:rFonts w:ascii="Times New Roman" w:hAnsi="Times New Roman" w:cs="Times New Roman" w:eastAsia="Times New Roman" w:hint="default"/>
                <w:sz w:val="18"/>
                <w:szCs w:val="18"/>
              </w:rPr>
            </w:pPr>
            <w:r>
              <w:rPr>
                <w:rFonts w:ascii="Times New Roman"/>
                <w:sz w:val="18"/>
              </w:rPr>
              <w:t>33,259,495.66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11.26%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26" w:right="0"/>
              <w:jc w:val="left"/>
              <w:rPr>
                <w:rFonts w:ascii="Times New Roman" w:hAnsi="Times New Roman" w:cs="Times New Roman" w:eastAsia="Times New Roman" w:hint="default"/>
                <w:sz w:val="18"/>
                <w:szCs w:val="18"/>
              </w:rPr>
            </w:pPr>
            <w:r>
              <w:rPr>
                <w:rFonts w:ascii="Times New Roman"/>
                <w:sz w:val="18"/>
              </w:rPr>
              <w:t>2,375,118.35</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27,941,733.44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4,034,111.86</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22,372,689.79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7.58%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3,551,296.07</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10,078,253.59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3.41%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497,433.13</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8,353,863.35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382,603.85</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102,006,035.83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34.54%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5）因金融资产转移而终止确认的应收账款" w:id="521"/>
      <w:bookmarkEnd w:id="52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6）转移应收账款且继续涉入形成的资产、负债金额" w:id="522"/>
      <w:bookmarkEnd w:id="52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其他说明：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其他应收款" w:id="523"/>
      <w:bookmarkEnd w:id="52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34,271,764.17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27,155,734.78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34,271,764.17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27,155,734.78</w:t>
            </w:r>
          </w:p>
        </w:tc>
      </w:tr>
    </w:tbl>
    <w:p>
      <w:pPr>
        <w:pStyle w:val="BodyText"/>
        <w:spacing w:line="321" w:lineRule="auto" w:before="45"/>
        <w:ind w:right="1116"/>
        <w:jc w:val="left"/>
      </w:pPr>
      <w:r>
        <w:rPr>
          <w:rFonts w:ascii="宋体" w:hAnsi="宋体" w:cs="宋体" w:eastAsia="宋体" w:hint="default"/>
        </w:rPr>
        <w:t>[</w:t>
      </w:r>
      <w:r>
        <w:rPr/>
        <w:t>注</w:t>
      </w:r>
      <w:r>
        <w:rPr>
          <w:rFonts w:ascii="宋体" w:hAnsi="宋体" w:cs="宋体" w:eastAsia="宋体" w:hint="default"/>
        </w:rPr>
        <w:t>]</w:t>
      </w:r>
      <w:r>
        <w:rPr/>
        <w:t>：期初余额与上年期末余额（</w:t>
      </w:r>
      <w:r>
        <w:rPr>
          <w:rFonts w:ascii="宋体" w:hAnsi="宋体" w:cs="宋体" w:eastAsia="宋体" w:hint="default"/>
        </w:rPr>
        <w:t>2018</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t>日）差异为理财产品应收利息在</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49"/>
        </w:rPr>
        <w:t> </w:t>
      </w:r>
      <w:r>
        <w:rPr/>
        <w:t>日调整至交易性金融资产 科目列报。</w:t>
      </w:r>
    </w:p>
    <w:p>
      <w:pPr>
        <w:spacing w:line="240" w:lineRule="auto" w:before="0"/>
        <w:rPr>
          <w:rFonts w:ascii="宋体" w:hAnsi="宋体" w:cs="宋体" w:eastAsia="宋体" w:hint="default"/>
          <w:sz w:val="18"/>
          <w:szCs w:val="18"/>
        </w:rPr>
      </w:pPr>
    </w:p>
    <w:p>
      <w:pPr>
        <w:pStyle w:val="Heading3"/>
        <w:spacing w:line="645" w:lineRule="auto" w:before="138"/>
        <w:ind w:right="8534"/>
        <w:jc w:val="left"/>
        <w:rPr>
          <w:b w:val="0"/>
          <w:bCs w:val="0"/>
        </w:rPr>
      </w:pPr>
      <w:bookmarkStart w:name="（1）应收利息" w:id="524"/>
      <w:bookmarkEnd w:id="524"/>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25"/>
      <w:bookmarkEnd w:id="525"/>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87"/>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重要逾期利息" w:id="526"/>
      <w:bookmarkEnd w:id="52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0"/>
        <w:rPr>
          <w:rFonts w:ascii="宋体" w:hAnsi="宋体" w:cs="宋体" w:eastAsia="宋体" w:hint="default"/>
          <w:b/>
          <w:bCs/>
          <w:sz w:val="5"/>
          <w:szCs w:val="5"/>
        </w:rPr>
      </w:pPr>
    </w:p>
    <w:p>
      <w:pPr>
        <w:pStyle w:val="BodyText"/>
        <w:spacing w:line="240" w:lineRule="auto" w:before="44"/>
        <w:ind w:right="0"/>
        <w:jc w:val="left"/>
      </w:pPr>
      <w:r>
        <w:rPr/>
        <w:t>其他说明：</w:t>
      </w:r>
    </w:p>
    <w:p>
      <w:pPr>
        <w:spacing w:after="0" w:line="240" w:lineRule="auto"/>
        <w:jc w:val="left"/>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3）坏账准备计提情况" w:id="527"/>
      <w:bookmarkEnd w:id="52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643" w:lineRule="auto"/>
        <w:ind w:right="8534"/>
        <w:jc w:val="left"/>
        <w:rPr>
          <w:b w:val="0"/>
          <w:bCs w:val="0"/>
        </w:rPr>
      </w:pPr>
      <w:bookmarkStart w:name="（2）应收股利" w:id="528"/>
      <w:bookmarkEnd w:id="528"/>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29"/>
      <w:bookmarkEnd w:id="529"/>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9"/>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重要的账龄超过1年的应收股利" w:id="530"/>
      <w:bookmarkEnd w:id="530"/>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坏账准备计提情况" w:id="531"/>
      <w:bookmarkEnd w:id="53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7"/>
        <w:rPr>
          <w:rFonts w:ascii="宋体" w:hAnsi="宋体" w:cs="宋体" w:eastAsia="宋体" w:hint="default"/>
          <w:sz w:val="24"/>
          <w:szCs w:val="24"/>
        </w:rPr>
      </w:pPr>
    </w:p>
    <w:p>
      <w:pPr>
        <w:pStyle w:val="Heading3"/>
        <w:spacing w:line="645" w:lineRule="auto"/>
        <w:ind w:right="7481"/>
        <w:jc w:val="left"/>
        <w:rPr>
          <w:b w:val="0"/>
          <w:bCs w:val="0"/>
        </w:rPr>
      </w:pPr>
      <w:bookmarkStart w:name="（3）其他应收款" w:id="532"/>
      <w:bookmarkEnd w:id="532"/>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33"/>
      <w:bookmarkEnd w:id="533"/>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7"/>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28,914,516.00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16,598,697.17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5,104,959.06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11,098,705.28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1,390,000.08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877,015.37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35,409,475.14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28,574,417.82</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2）坏账准备计提情况" w:id="534"/>
      <w:bookmarkEnd w:id="53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145,394.17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517,758.47</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755,530.40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1,418,683.04</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-58,081.64</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-367,338.14</w:t>
            </w:r>
            <w:r>
              <w:rPr>
                <w:rFonts w:ascii="Times New Roman"/>
                <w:sz w:val="18"/>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144,447.71</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-280,972.07</w:t>
            </w:r>
            <w:r>
              <w:rPr>
                <w:rFonts w:ascii="Times New Roman"/>
                <w:sz w:val="18"/>
              </w:rPr>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87,312.53</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150,420.33</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899,978.11</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1,137,710.97</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损失准备本期变动金额重大的账面余额变动情况</w:t>
      </w:r>
    </w:p>
    <w:p>
      <w:pPr>
        <w:spacing w:line="240" w:lineRule="auto" w:before="0"/>
        <w:rPr>
          <w:rFonts w:ascii="宋体" w:hAnsi="宋体" w:cs="宋体" w:eastAsia="宋体" w:hint="default"/>
          <w:sz w:val="21"/>
          <w:szCs w:val="21"/>
        </w:rPr>
      </w:pPr>
    </w:p>
    <w:p>
      <w:pPr>
        <w:pStyle w:val="BodyText"/>
        <w:spacing w:line="49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70"/>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20,800,417.21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11,529,077.34</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1,667,112.64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1,412,867.95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1,000,709.00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292,058.95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120,100.00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35,409,475.14</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3）本期计提、收回或转回的坏账准备情况" w:id="535"/>
      <w:bookmarkEnd w:id="53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本期计提坏账准备情况：</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441"/>
        <w:gridCol w:w="1202"/>
        <w:gridCol w:w="1352"/>
        <w:gridCol w:w="1577"/>
      </w:tblGrid>
      <w:tr>
        <w:trPr>
          <w:trHeight w:val="406"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1,418,683.04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-280,972.07</w:t>
            </w:r>
          </w:p>
        </w:tc>
        <w:tc>
          <w:tcPr>
            <w:tcW w:w="144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1,137,710.97</w:t>
            </w:r>
          </w:p>
        </w:tc>
      </w:tr>
    </w:tbl>
    <w:p>
      <w:pPr>
        <w:spacing w:after="0" w:line="240" w:lineRule="auto"/>
        <w:jc w:val="lef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570"/>
        <w:gridCol w:w="1104"/>
        <w:gridCol w:w="1337"/>
        <w:gridCol w:w="1441"/>
        <w:gridCol w:w="1202"/>
        <w:gridCol w:w="1352"/>
        <w:gridCol w:w="1577"/>
      </w:tblGrid>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1,418,683.04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0" w:right="0"/>
              <w:jc w:val="left"/>
              <w:rPr>
                <w:rFonts w:ascii="Times New Roman" w:hAnsi="Times New Roman" w:cs="Times New Roman" w:eastAsia="Times New Roman" w:hint="default"/>
                <w:sz w:val="18"/>
                <w:szCs w:val="18"/>
              </w:rPr>
            </w:pPr>
            <w:r>
              <w:rPr>
                <w:rFonts w:ascii="Times New Roman"/>
                <w:sz w:val="18"/>
              </w:rPr>
              <w:t>-280,972.07</w:t>
            </w:r>
          </w:p>
        </w:tc>
        <w:tc>
          <w:tcPr>
            <w:tcW w:w="144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1,137,710.97</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其中本期坏账准备转回或收回金额重要的：</w:t>
      </w:r>
    </w:p>
    <w:p>
      <w:pPr>
        <w:spacing w:line="240" w:lineRule="auto" w:before="8"/>
        <w:rPr>
          <w:rFonts w:ascii="宋体" w:hAnsi="宋体" w:cs="宋体" w:eastAsia="宋体" w:hint="default"/>
          <w:sz w:val="17"/>
          <w:szCs w:val="17"/>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4）本期实际核销的其他应收款情况" w:id="536"/>
      <w:bookmarkEnd w:id="53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2"/>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其中重要的其他应收款核销情况：</w:t>
      </w:r>
    </w:p>
    <w:p>
      <w:pPr>
        <w:spacing w:line="240" w:lineRule="auto" w:before="6"/>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其他应收款核销说明：</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按欠款方归集的期末余额前五名的其他应收款情况" w:id="537"/>
      <w:bookmarkEnd w:id="53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5" w:right="7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46.60%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11,390,000.00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32.17%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1,024,516.00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2.89%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350,000.00</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19,200.00</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30,254,516.00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85.45%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369,200.00</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6）涉及政府补助的应收款项" w:id="538"/>
      <w:bookmarkEnd w:id="53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6"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21" w:lineRule="auto"/>
        <w:jc w:val="left"/>
        <w:rPr>
          <w:rFonts w:ascii="宋体" w:hAnsi="宋体" w:cs="宋体" w:eastAsia="宋体" w:hint="default"/>
          <w:sz w:val="18"/>
          <w:szCs w:val="18"/>
        </w:rPr>
        <w:sectPr>
          <w:pgSz w:w="11910" w:h="16850"/>
          <w:pgMar w:header="776" w:footer="1026" w:top="1100" w:bottom="1220" w:left="1000" w:right="0"/>
        </w:sectPr>
      </w:pPr>
    </w:p>
    <w:p>
      <w:pPr>
        <w:spacing w:line="240" w:lineRule="auto" w:before="9"/>
        <w:rPr>
          <w:rFonts w:ascii="宋体" w:hAnsi="宋体" w:cs="宋体" w:eastAsia="宋体" w:hint="default"/>
          <w:sz w:val="28"/>
          <w:szCs w:val="28"/>
        </w:rPr>
      </w:pPr>
    </w:p>
    <w:p>
      <w:pPr>
        <w:pStyle w:val="Heading3"/>
        <w:spacing w:line="240" w:lineRule="auto" w:before="35"/>
        <w:ind w:right="0"/>
        <w:jc w:val="left"/>
        <w:rPr>
          <w:b w:val="0"/>
          <w:bCs w:val="0"/>
        </w:rPr>
      </w:pPr>
      <w:bookmarkStart w:name="7）因金融资产转移而终止确认的其他应收款" w:id="539"/>
      <w:bookmarkEnd w:id="53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8）转移其他应收款且继续涉入形成的资产、负债金额" w:id="540"/>
      <w:bookmarkEnd w:id="54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t>其他说明：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长期股权投资" w:id="541"/>
      <w:bookmarkEnd w:id="54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82"/>
        <w:gridCol w:w="1367"/>
        <w:gridCol w:w="1366"/>
        <w:gridCol w:w="1367"/>
        <w:gridCol w:w="1367"/>
      </w:tblGrid>
      <w:tr>
        <w:trPr>
          <w:trHeight w:val="391"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269,228,771.83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268,228,771.83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255,591,771.87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254,591,771.87</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269,228,771.83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268,228,771.83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255,591,771.87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254,591,771.87</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1）对子公司投资" w:id="542"/>
      <w:bookmarkEnd w:id="54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3"/>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390"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89"/>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89"/>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6"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广州市浩云安 防设备有限公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10,237,071.87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10,237,071.87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0"/>
              <w:jc w:val="both"/>
              <w:rPr>
                <w:rFonts w:ascii="宋体" w:hAnsi="宋体" w:cs="宋体" w:eastAsia="宋体" w:hint="default"/>
                <w:sz w:val="18"/>
                <w:szCs w:val="18"/>
              </w:rPr>
            </w:pPr>
            <w:r>
              <w:rPr>
                <w:rFonts w:ascii="宋体" w:hAnsi="宋体" w:cs="宋体" w:eastAsia="宋体" w:hint="default"/>
                <w:sz w:val="18"/>
                <w:szCs w:val="18"/>
              </w:rPr>
              <w:t>广州市苏瑞计 算机科技有限 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1,000,000.00</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重庆浩云公共 安全物联网技 术有限公司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深圳市润安科 技发展有限公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71,054,700.00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3,036,999.96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74,091,699.96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西藏浩云创业 投资有限公司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165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湖北浩威保安 服务有限公司</w:t>
            </w:r>
          </w:p>
          <w:p>
            <w:pPr>
              <w:pStyle w:val="TableParagraph"/>
              <w:spacing w:line="321" w:lineRule="auto" w:before="29"/>
              <w:ind w:left="15" w:right="14"/>
              <w:jc w:val="left"/>
              <w:rPr>
                <w:rFonts w:ascii="宋体" w:hAnsi="宋体" w:cs="宋体" w:eastAsia="宋体" w:hint="default"/>
                <w:sz w:val="18"/>
                <w:szCs w:val="18"/>
              </w:rPr>
            </w:pPr>
            <w:r>
              <w:rPr>
                <w:rFonts w:ascii="宋体" w:hAnsi="宋体" w:cs="宋体" w:eastAsia="宋体" w:hint="default"/>
                <w:spacing w:val="-7"/>
                <w:sz w:val="18"/>
                <w:szCs w:val="18"/>
              </w:rPr>
              <w:t>（原名：武汉浩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立威保安服务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广东冠网信息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58,300,000.00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58,300,000.00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甲壳云计算有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辛集市浩云智 慧城市科技有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信泽云（武汉） 计算机软件有 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254,591,771.8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12,600,000.00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3,036,999.96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268,228,771.83</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2）对联营、合营企业投资" w:id="543"/>
      <w:bookmarkEnd w:id="54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8"/>
        <w:rPr>
          <w:rFonts w:ascii="宋体" w:hAnsi="宋体" w:cs="宋体" w:eastAsia="宋体" w:hint="default"/>
          <w:sz w:val="25"/>
          <w:szCs w:val="25"/>
        </w:rPr>
      </w:pPr>
    </w:p>
    <w:p>
      <w:pPr>
        <w:pStyle w:val="Heading3"/>
        <w:spacing w:line="631" w:lineRule="auto" w:before="35"/>
        <w:ind w:right="8535"/>
        <w:jc w:val="left"/>
        <w:rPr>
          <w:b w:val="0"/>
          <w:bCs w:val="0"/>
        </w:rPr>
      </w:pPr>
      <w:bookmarkStart w:name="（3）其他说明" w:id="544"/>
      <w:bookmarkEnd w:id="544"/>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45"/>
      <w:bookmarkEnd w:id="545"/>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101"/>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551,163,159.91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300,136,455.09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549,313,681.07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309,296,548.25</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7,137,801.49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4,163,250.07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4,449,477.80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3,489,232.96</w:t>
            </w:r>
          </w:p>
        </w:tc>
      </w:tr>
    </w:tbl>
    <w:p>
      <w:pPr>
        <w:spacing w:after="0" w:line="240" w:lineRule="auto"/>
        <w:jc w:val="right"/>
        <w:rPr>
          <w:rFonts w:ascii="Times New Roman" w:hAnsi="Times New Roman" w:cs="Times New Roman" w:eastAsia="Times New Roman" w:hint="default"/>
          <w:sz w:val="18"/>
          <w:szCs w:val="18"/>
        </w:rPr>
        <w:sectPr>
          <w:pgSz w:w="11910" w:h="16850"/>
          <w:pgMar w:header="776" w:footer="1026" w:top="1100" w:bottom="1220" w:left="1000" w:right="0"/>
        </w:sectPr>
      </w:pPr>
    </w:p>
    <w:p>
      <w:pPr>
        <w:spacing w:line="240" w:lineRule="auto" w:before="0"/>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76" w:right="0"/>
              <w:jc w:val="left"/>
              <w:rPr>
                <w:rFonts w:ascii="Times New Roman" w:hAnsi="Times New Roman" w:cs="Times New Roman" w:eastAsia="Times New Roman" w:hint="default"/>
                <w:sz w:val="18"/>
                <w:szCs w:val="18"/>
              </w:rPr>
            </w:pPr>
            <w:r>
              <w:rPr>
                <w:rFonts w:ascii="Times New Roman"/>
                <w:sz w:val="18"/>
              </w:rPr>
              <w:t>558,300,961.40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304,299,705.16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553,763,158.87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312,785,781.21</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t>是否已执行新收入准则</w:t>
      </w:r>
    </w:p>
    <w:p>
      <w:pPr>
        <w:spacing w:line="240" w:lineRule="auto" w:before="0"/>
        <w:rPr>
          <w:rFonts w:ascii="宋体" w:hAnsi="宋体" w:cs="宋体" w:eastAsia="宋体" w:hint="default"/>
          <w:sz w:val="21"/>
          <w:szCs w:val="21"/>
        </w:rPr>
      </w:pPr>
    </w:p>
    <w:p>
      <w:pPr>
        <w:pStyle w:val="BodyText"/>
        <w:spacing w:line="491" w:lineRule="auto"/>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投资收益" w:id="546"/>
      <w:bookmarkEnd w:id="54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520,525.21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5,434,861.46</w:t>
            </w:r>
          </w:p>
        </w:tc>
      </w:tr>
      <w:tr>
        <w:trPr>
          <w:trHeight w:val="391"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520,525.21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5,434,861.46</w:t>
            </w:r>
          </w:p>
        </w:tc>
      </w:tr>
    </w:tbl>
    <w:p>
      <w:pPr>
        <w:spacing w:line="240" w:lineRule="auto" w:before="8"/>
        <w:rPr>
          <w:rFonts w:ascii="宋体" w:hAnsi="宋体" w:cs="宋体" w:eastAsia="宋体" w:hint="default"/>
          <w:sz w:val="25"/>
          <w:szCs w:val="25"/>
        </w:rPr>
      </w:pPr>
    </w:p>
    <w:p>
      <w:pPr>
        <w:pStyle w:val="Heading3"/>
        <w:spacing w:line="240" w:lineRule="auto" w:before="35"/>
        <w:ind w:right="0"/>
        <w:jc w:val="left"/>
        <w:rPr>
          <w:b w:val="0"/>
          <w:bCs w:val="0"/>
        </w:rPr>
      </w:pPr>
      <w:bookmarkStart w:name="6、其他" w:id="547"/>
      <w:bookmarkEnd w:id="547"/>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pStyle w:val="Heading2"/>
        <w:spacing w:line="240" w:lineRule="auto" w:before="167"/>
        <w:ind w:right="0"/>
        <w:jc w:val="left"/>
        <w:rPr>
          <w:b w:val="0"/>
          <w:bCs w:val="0"/>
        </w:rPr>
      </w:pPr>
      <w:bookmarkStart w:name="十八、补充资料" w:id="548"/>
      <w:bookmarkEnd w:id="548"/>
      <w:r>
        <w:rPr>
          <w:b w:val="0"/>
          <w:bCs w:val="0"/>
        </w:rPr>
      </w:r>
      <w:r>
        <w:rPr/>
        <w:t>十八、补充资料</w:t>
      </w:r>
      <w:r>
        <w:rPr>
          <w:b w:val="0"/>
          <w:bCs w:val="0"/>
        </w:rPr>
      </w:r>
    </w:p>
    <w:p>
      <w:pPr>
        <w:spacing w:line="240" w:lineRule="auto" w:before="0"/>
        <w:rPr>
          <w:rFonts w:ascii="宋体" w:hAnsi="宋体" w:cs="宋体" w:eastAsia="宋体" w:hint="default"/>
          <w:b/>
          <w:bCs/>
          <w:sz w:val="24"/>
          <w:szCs w:val="24"/>
        </w:rPr>
      </w:pPr>
    </w:p>
    <w:p>
      <w:pPr>
        <w:pStyle w:val="Heading3"/>
        <w:spacing w:line="240" w:lineRule="auto" w:before="172"/>
        <w:ind w:right="0"/>
        <w:jc w:val="left"/>
        <w:rPr>
          <w:b w:val="0"/>
          <w:bCs w:val="0"/>
        </w:rPr>
      </w:pPr>
      <w:bookmarkStart w:name="1、当期非经常性损益明细表" w:id="549"/>
      <w:bookmarkEnd w:id="54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7"/>
        <w:rPr>
          <w:rFonts w:ascii="宋体" w:hAnsi="宋体" w:cs="宋体" w:eastAsia="宋体" w:hint="default"/>
          <w:sz w:val="16"/>
          <w:szCs w:val="16"/>
        </w:rPr>
      </w:pPr>
    </w:p>
    <w:p>
      <w:pPr>
        <w:pStyle w:val="BodyText"/>
        <w:spacing w:line="240" w:lineRule="auto" w:before="44"/>
        <w:ind w:left="0" w:right="1109"/>
        <w:jc w:val="right"/>
      </w:pPr>
      <w:r>
        <w:rPr/>
        <w:t>单位： 元</w:t>
      </w:r>
    </w:p>
    <w:p>
      <w:pPr>
        <w:spacing w:line="240" w:lineRule="auto" w:before="4"/>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76,167.56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9,879,420.50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665,807.14</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118,833.26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1,090,362.84</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2,782,947.67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6,866,917.95</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5"/>
          <w:szCs w:val="5"/>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9"/>
        <w:rPr>
          <w:rFonts w:ascii="宋体" w:hAnsi="宋体" w:cs="宋体" w:eastAsia="宋体" w:hint="default"/>
          <w:sz w:val="17"/>
          <w:szCs w:val="17"/>
        </w:rPr>
      </w:pPr>
    </w:p>
    <w:p>
      <w:pPr>
        <w:pStyle w:val="BodyText"/>
        <w:spacing w:line="434" w:lineRule="auto"/>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434" w:lineRule="auto"/>
        <w:jc w:val="left"/>
        <w:sectPr>
          <w:pgSz w:w="11910" w:h="16850"/>
          <w:pgMar w:header="776" w:footer="1026" w:top="1100" w:bottom="122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净资产收益率及每股收益" w:id="550"/>
      <w:bookmarkEnd w:id="55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11.56%</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0.2321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0.2254</w:t>
            </w:r>
          </w:p>
        </w:tc>
      </w:tr>
      <w:tr>
        <w:trPr>
          <w:trHeight w:val="7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11.05%</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0.2218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0.2154</w:t>
            </w:r>
          </w:p>
        </w:tc>
      </w:tr>
    </w:tbl>
    <w:p>
      <w:pPr>
        <w:spacing w:line="240" w:lineRule="auto" w:before="8"/>
        <w:rPr>
          <w:rFonts w:ascii="宋体" w:hAnsi="宋体" w:cs="宋体" w:eastAsia="宋体" w:hint="default"/>
          <w:b/>
          <w:bCs/>
          <w:sz w:val="25"/>
          <w:szCs w:val="25"/>
        </w:rPr>
      </w:pPr>
    </w:p>
    <w:p>
      <w:pPr>
        <w:pStyle w:val="Heading3"/>
        <w:spacing w:line="240" w:lineRule="auto" w:before="35"/>
        <w:ind w:right="0"/>
        <w:jc w:val="left"/>
        <w:rPr>
          <w:b w:val="0"/>
          <w:bCs w:val="0"/>
        </w:rPr>
      </w:pPr>
      <w:bookmarkStart w:name="3、境内外会计准则下会计数据差异" w:id="551"/>
      <w:bookmarkEnd w:id="55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7"/>
        <w:ind w:right="0"/>
        <w:jc w:val="left"/>
        <w:rPr>
          <w:b w:val="0"/>
          <w:bCs w:val="0"/>
        </w:rPr>
      </w:pPr>
      <w:bookmarkStart w:name="（1）同时按照国际会计准则与按中国会计准则披露的财务报告中净利润和净资产差异情况" w:id="552"/>
      <w:bookmarkEnd w:id="55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中国会计准则披露的财务报告中净利润和净资产差异情况" w:id="553"/>
      <w:bookmarkEnd w:id="55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Heading3"/>
        <w:spacing w:line="384" w:lineRule="auto"/>
        <w:ind w:right="0"/>
        <w:jc w:val="left"/>
        <w:rPr>
          <w:b w:val="0"/>
          <w:bCs w:val="0"/>
        </w:rPr>
      </w:pPr>
      <w:bookmarkStart w:name="（3）境内外会计准则下会计数据差异原因说明，对已经境外审计机构审计的数据进行差异" w:id="554"/>
      <w:bookmarkEnd w:id="55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12"/>
        <w:rPr>
          <w:rFonts w:ascii="宋体" w:hAnsi="宋体" w:cs="宋体" w:eastAsia="宋体" w:hint="default"/>
          <w:b/>
          <w:bCs/>
          <w:sz w:val="27"/>
          <w:szCs w:val="27"/>
        </w:rPr>
      </w:pPr>
    </w:p>
    <w:p>
      <w:pPr>
        <w:pStyle w:val="Heading3"/>
        <w:spacing w:line="240" w:lineRule="auto"/>
        <w:ind w:right="0"/>
        <w:jc w:val="left"/>
        <w:rPr>
          <w:b w:val="0"/>
          <w:bCs w:val="0"/>
        </w:rPr>
      </w:pPr>
      <w:bookmarkStart w:name="4、其他" w:id="555"/>
      <w:bookmarkEnd w:id="55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76" w:footer="1026" w:top="1100" w:bottom="1220" w:left="100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1"/>
        <w:spacing w:line="240" w:lineRule="auto" w:before="9"/>
        <w:ind w:left="3355" w:right="0"/>
        <w:jc w:val="left"/>
        <w:rPr>
          <w:b w:val="0"/>
          <w:bCs w:val="0"/>
        </w:rPr>
      </w:pPr>
      <w:bookmarkStart w:name="第十三节备查文件目录" w:id="556"/>
      <w:bookmarkEnd w:id="556"/>
      <w:r>
        <w:rPr>
          <w:b w:val="0"/>
          <w:bCs w:val="0"/>
        </w:rPr>
      </w:r>
      <w:bookmarkStart w:name="_bookmark12" w:id="557"/>
      <w:bookmarkEnd w:id="557"/>
      <w:r>
        <w:rPr>
          <w:b w:val="0"/>
          <w:bCs w:val="0"/>
        </w:rPr>
      </w:r>
      <w:r>
        <w:rPr>
          <w:spacing w:val="5"/>
        </w:rPr>
        <w:t>第十三节备查文件目录</w:t>
      </w:r>
      <w:r>
        <w:rPr>
          <w:b w:val="0"/>
          <w:bCs w:val="0"/>
          <w:spacing w:val="5"/>
        </w:rPr>
      </w:r>
    </w:p>
    <w:p>
      <w:pPr>
        <w:spacing w:line="240" w:lineRule="auto" w:before="0"/>
        <w:rPr>
          <w:rFonts w:ascii="宋体" w:hAnsi="宋体" w:cs="宋体" w:eastAsia="宋体" w:hint="default"/>
          <w:b/>
          <w:bCs/>
          <w:sz w:val="32"/>
          <w:szCs w:val="32"/>
        </w:rPr>
      </w:pPr>
    </w:p>
    <w:p>
      <w:pPr>
        <w:pStyle w:val="BodyText"/>
        <w:spacing w:line="465" w:lineRule="auto" w:before="228"/>
        <w:ind w:right="0"/>
        <w:jc w:val="left"/>
      </w:pPr>
      <w:r>
        <w:rPr/>
        <w:t>一、经公司法定代表人雷洪文先生签名的</w:t>
      </w:r>
      <w:r>
        <w:rPr>
          <w:rFonts w:ascii="Times New Roman" w:hAnsi="Times New Roman" w:cs="Times New Roman" w:eastAsia="Times New Roman" w:hint="default"/>
        </w:rPr>
        <w:t>2019</w:t>
      </w:r>
      <w:r>
        <w:rPr/>
        <w:t>年年度报告文本。</w:t>
      </w:r>
      <w:r>
        <w:rPr>
          <w:spacing w:val="-87"/>
        </w:rPr>
        <w:t> </w:t>
      </w:r>
      <w:r>
        <w:rPr>
          <w:spacing w:val="-4"/>
        </w:rPr>
        <w:t>二、载有公司法定代表人雷洪文先生、主管会计工作负责人王汉晖先生、会计机构负责人简玉琴女士签名并盖章的财务报表。</w:t>
      </w:r>
      <w:r>
        <w:rPr>
          <w:spacing w:val="-50"/>
        </w:rPr>
        <w:t> </w:t>
      </w:r>
      <w:r>
        <w:rPr>
          <w:spacing w:val="-50"/>
        </w:rPr>
      </w:r>
      <w:r>
        <w:rPr/>
        <w:t>三、载有会计师事务所盖章、注册会计师签名并盖章的审计报告原件。 四、报告期内在中国证监会指定网站上公开披露过的所有公司文件的正本及公告的原稿。</w:t>
      </w:r>
    </w:p>
    <w:p>
      <w:pPr>
        <w:pStyle w:val="BodyText"/>
        <w:spacing w:line="475" w:lineRule="auto" w:before="75"/>
        <w:ind w:right="5709"/>
        <w:jc w:val="left"/>
      </w:pPr>
      <w:r>
        <w:rPr/>
        <w:t>五、其他有关资料。 以上备查文件的备置地点：深圳证券交易所、公司董事会办公室</w:t>
      </w:r>
    </w:p>
    <w:sectPr>
      <w:pgSz w:w="11910" w:h="16850"/>
      <w:pgMar w:header="776" w:footer="1026" w:top="1100" w:bottom="122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160" type="#_x0000_t75" stroked="false">
          <v:imagedata r:id="rId1" o:title=""/>
        </v:shape>
      </w:pict>
    </w:r>
    <w:r>
      <w:rPr/>
      <w:pict>
        <v:shape style="position:absolute;margin-left:56.075001pt;margin-top:793.457947pt;width:6.5pt;height:11pt;mso-position-horizontal-relative:page;mso-position-vertical-relative:page;z-index:-1110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112" type="#_x0000_t75" stroked="false">
          <v:imagedata r:id="rId1" o:title=""/>
        </v:shape>
      </w:pict>
    </w:r>
    <w:r>
      <w:rPr/>
      <w:pict>
        <v:shape style="position:absolute;margin-left:55.075001pt;margin-top:779.957947pt;width:13pt;height:11pt;mso-position-horizontal-relative:page;mso-position-vertical-relative:page;z-index:-1110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064" type="#_x0000_t75" stroked="false">
          <v:imagedata r:id="rId1" o:title=""/>
        </v:shape>
      </w:pict>
    </w:r>
    <w:r>
      <w:rPr/>
      <w:pict>
        <v:shape style="position:absolute;margin-left:34.049999pt;margin-top:779.957947pt;width:13pt;height:11pt;mso-position-horizontal-relative:page;mso-position-vertical-relative:page;z-index:-1110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10016" type="#_x0000_t75" stroked="false">
          <v:imagedata r:id="rId1" o:title=""/>
        </v:shape>
      </w:pict>
    </w:r>
    <w:r>
      <w:rPr/>
      <w:pict>
        <v:shape style="position:absolute;margin-left:55.075001pt;margin-top:779.957947pt;width:13pt;height:11pt;mso-position-horizontal-relative:page;mso-position-vertical-relative:page;z-index:-1109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9968" type="#_x0000_t75" stroked="false">
          <v:imagedata r:id="rId1" o:title=""/>
        </v:shape>
      </w:pict>
    </w:r>
    <w:r>
      <w:rPr/>
      <w:pict>
        <v:shape style="position:absolute;margin-left:55.075001pt;margin-top:779.957947pt;width:13pt;height:11pt;mso-position-horizontal-relative:page;mso-position-vertical-relative:page;z-index:-1109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9920" type="#_x0000_t75" stroked="false">
          <v:imagedata r:id="rId1" o:title=""/>
        </v:shape>
      </w:pict>
    </w:r>
    <w:r>
      <w:rPr/>
      <w:pict>
        <v:shape style="position:absolute;margin-left:56.075001pt;margin-top:779.957947pt;width:15.5pt;height:11pt;mso-position-horizontal-relative:page;mso-position-vertical-relative:page;z-index:-1109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9872" type="#_x0000_t75" stroked="false">
          <v:imagedata r:id="rId1" o:title=""/>
        </v:shape>
      </w:pict>
    </w:r>
    <w:r>
      <w:rPr/>
      <w:pict>
        <v:shape style="position:absolute;margin-left:55.075001pt;margin-top:779.957947pt;width:17.5pt;height:11pt;mso-position-horizontal-relative:page;mso-position-vertical-relative:page;z-index:-1109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9824" type="#_x0000_t75" stroked="false">
          <v:imagedata r:id="rId1" o:title=""/>
        </v:shape>
      </w:pict>
    </w:r>
    <w:r>
      <w:rPr/>
      <w:pict>
        <v:shape style="position:absolute;margin-left:56.075001pt;margin-top:779.957947pt;width:15.5pt;height:11pt;mso-position-horizontal-relative:page;mso-position-vertical-relative:page;z-index:-1109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109776" type="#_x0000_t75" stroked="false">
          <v:imagedata r:id="rId1" o:title=""/>
        </v:shape>
      </w:pict>
    </w:r>
    <w:r>
      <w:rPr/>
      <w:pict>
        <v:shape style="position:absolute;margin-left:55.075001pt;margin-top:779.957947pt;width:17.5pt;height:11pt;mso-position-horizontal-relative:page;mso-position-vertical-relative:page;z-index:-1109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450012pt;margin-top:37.815624pt;width:177.65pt;height:11.5pt;mso-position-horizontal-relative:page;mso-position-vertical-relative:page;z-index:-1110184" type="#_x0000_t202" filled="false" stroked="false">
          <v:textbox inset="0,0,0,0">
            <w:txbxContent>
              <w:p>
                <w:pPr>
                  <w:pStyle w:val="BodyText"/>
                  <w:spacing w:line="214" w:lineRule="exact"/>
                  <w:ind w:left="20" w:right="0"/>
                  <w:jc w:val="left"/>
                </w:pPr>
                <w:r>
                  <w:rPr/>
                  <w:t>浩云科技股份有限公司</w:t>
                </w:r>
                <w:r>
                  <w:rPr>
                    <w:spacing w:val="-43"/>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41"/>
    </w:pPr>
    <w:rPr>
      <w:rFonts w:ascii="宋体" w:hAnsi="宋体" w:eastAsia="宋体"/>
      <w:b/>
      <w:bCs/>
      <w:sz w:val="24"/>
      <w:szCs w:val="24"/>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175"/>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oyuntech.com/" TargetMode="External"/><Relationship Id="rId10" Type="http://schemas.openxmlformats.org/officeDocument/2006/relationships/hyperlink" Target="mailto:zqb@haoyuntech.com" TargetMode="External"/><Relationship Id="rId11" Type="http://schemas.openxmlformats.org/officeDocument/2006/relationships/hyperlink" Target="http://w/" TargetMode="Externa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footer" Target="footer4.xml"/><Relationship Id="rId15" Type="http://schemas.openxmlformats.org/officeDocument/2006/relationships/image" Target="media/image4.jpeg"/><Relationship Id="rId16" Type="http://schemas.openxmlformats.org/officeDocument/2006/relationships/hyperlink" Target="http://www.cninfo.com.cn/" TargetMode="External"/><Relationship Id="rId17" Type="http://schemas.openxmlformats.org/officeDocument/2006/relationships/hyperlink" Target="http://www.cninfo.co/"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2020-05-19T06:08:19Z</dcterms:created>
  <dcterms:modified xsi:type="dcterms:W3CDTF">2020-05-19T06:08:19Z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Office Word 2007</vt:lpwstr>
  </property>
  <property fmtid="{D5CDD505-2E9C-101B-9397-08002B2CF9AE}" pid="4" name="LastSaved">
    <vt:filetime>2020-05-18T00:00:00Z</vt:filetime>
  </property>
</Properties>
</file>