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80" w:line="240" w:lineRule="auto"/>
        <w:ind w:left="0" w:right="0" w:firstLine="0"/>
        <w:jc w:val="center"/>
      </w:pPr>
      <w:r>
        <w:rPr>
          <w:color w:val="8A293F"/>
          <w:spacing w:val="0"/>
          <w:w w:val="100"/>
          <w:position w:val="0"/>
        </w:rPr>
        <w:t>”广</w:t>
      </w:r>
    </w:p>
    <w:p>
      <w:pPr>
        <w:pStyle w:val="Style2"/>
        <w:keepNext w:val="0"/>
        <w:keepLines w:val="0"/>
        <w:widowControl w:val="0"/>
        <w:pBdr>
          <w:top w:val="single" w:sz="4" w:space="0" w:color="auto"/>
        </w:pBdr>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61</w:t>
      </w:r>
      <w:r>
        <w:rPr>
          <w:color w:val="000000"/>
          <w:spacing w:val="0"/>
          <w:w w:val="100"/>
          <w:position w:val="0"/>
        </w:rPr>
        <w:t>业</w:t>
      </w:r>
      <w:r>
        <w:rPr>
          <w:b w:val="0"/>
          <w:bCs w:val="0"/>
          <w:i/>
          <w:iCs/>
          <w:color w:val="000000"/>
          <w:spacing w:val="0"/>
          <w:w w:val="100"/>
          <w:position w:val="0"/>
          <w:sz w:val="22"/>
          <w:szCs w:val="22"/>
        </w:rPr>
        <w:t>软</w:t>
      </w:r>
      <w:r>
        <w:rPr>
          <w:color w:val="000000"/>
          <w:spacing w:val="0"/>
          <w:w w:val="100"/>
          <w:position w:val="0"/>
        </w:rPr>
        <w:t>件</w:t>
      </w:r>
    </w:p>
    <w:p>
      <w:pPr>
        <w:pStyle w:val="Style11"/>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创业软件股份有限公司</w:t>
      </w:r>
    </w:p>
    <w:p>
      <w:pPr>
        <w:pStyle w:val="Style2"/>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28" w:right="968" w:bottom="2828" w:left="1107"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after="100" w:line="590" w:lineRule="exact"/>
        <w:ind w:left="0" w:right="0"/>
        <w:jc w:val="both"/>
      </w:pPr>
      <w:r>
        <w:rPr>
          <w:color w:val="000000"/>
          <w:spacing w:val="0"/>
          <w:w w:val="100"/>
          <w:position w:val="0"/>
        </w:rPr>
        <w:t>公司负责人葛航、主管会计工作负责人郁燕萍及会计机构负责人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李军声明：保证年度报告中财务报告的真实、准确、完整。</w:t>
      </w:r>
    </w:p>
    <w:p>
      <w:pPr>
        <w:pStyle w:val="Style18"/>
        <w:keepNext w:val="0"/>
        <w:keepLines w:val="0"/>
        <w:widowControl w:val="0"/>
        <w:shd w:val="clear" w:color="auto" w:fill="auto"/>
        <w:bidi w:val="0"/>
        <w:spacing w:before="0" w:after="360" w:line="626"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tabs>
          <w:tab w:pos="421" w:val="left"/>
        </w:tabs>
        <w:bidi w:val="0"/>
        <w:spacing w:before="0" w:after="0" w:line="468" w:lineRule="auto"/>
        <w:ind w:left="0" w:right="0" w:firstLine="0"/>
        <w:jc w:val="left"/>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技术与产品开发风险</w:t>
      </w:r>
    </w:p>
    <w:p>
      <w:pPr>
        <w:pStyle w:val="Style18"/>
        <w:keepNext w:val="0"/>
        <w:keepLines w:val="0"/>
        <w:widowControl w:val="0"/>
        <w:shd w:val="clear" w:color="auto" w:fill="auto"/>
        <w:bidi w:val="0"/>
        <w:spacing w:before="0" w:after="0" w:line="626" w:lineRule="exact"/>
        <w:ind w:left="0" w:right="0"/>
        <w:jc w:val="both"/>
      </w:pPr>
      <w:r>
        <w:rPr>
          <w:color w:val="000000"/>
          <w:spacing w:val="0"/>
          <w:w w:val="100"/>
          <w:position w:val="0"/>
        </w:rPr>
        <w:t>软件产品和技术不断加速的更新换代决定了产品和技术的开发创新是一个 持续、繁杂的系统性工程，其间涉及的不确定因素较多，公司如不能准确把握 技术发展趋势和市场需求变化情况，从而导致技术和产品开发推广决策出现失 误，将可能导致公司丧失技术和市场优势，使公司面临技术与产品开发的风险。</w:t>
      </w:r>
    </w:p>
    <w:p>
      <w:pPr>
        <w:pStyle w:val="Style18"/>
        <w:keepNext w:val="0"/>
        <w:keepLines w:val="0"/>
        <w:widowControl w:val="0"/>
        <w:shd w:val="clear" w:color="auto" w:fill="auto"/>
        <w:bidi w:val="0"/>
        <w:spacing w:before="0" w:after="360" w:line="626" w:lineRule="exact"/>
        <w:ind w:left="0" w:right="0"/>
        <w:jc w:val="both"/>
      </w:pPr>
      <w:r>
        <w:rPr>
          <w:color w:val="000000"/>
          <w:spacing w:val="0"/>
          <w:w w:val="100"/>
          <w:position w:val="0"/>
        </w:rPr>
        <w:t>应对措施：拟从研发人力、资金投入和市场调研、开发力度等方面加大力 度，同时加强与国内外著名高校和科研机构的合作，共同研制开发新产品，从 而保证了强大的技术后盾。对于已形成产业化的产品进行深度开发，加快其升 级换代，保持技术优势。</w:t>
      </w:r>
    </w:p>
    <w:p>
      <w:pPr>
        <w:pStyle w:val="Style18"/>
        <w:keepNext w:val="0"/>
        <w:keepLines w:val="0"/>
        <w:widowControl w:val="0"/>
        <w:shd w:val="clear" w:color="auto" w:fill="auto"/>
        <w:tabs>
          <w:tab w:pos="440" w:val="left"/>
        </w:tabs>
        <w:bidi w:val="0"/>
        <w:spacing w:before="0" w:after="0" w:line="468" w:lineRule="auto"/>
        <w:ind w:left="0" w:right="0" w:firstLine="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业务拓展风险</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 xml:space="preserve">为适应国内医疗健康服务市场需求的不断变化，公司主营业务将从以应用 软件产品开发销售为主导逐渐向以信息系统的运维服务和区域医疗健康平台运 营服务领域拓展，这需要公司从经营思路、营运模式、人员结构、产品开发等 </w:t>
      </w:r>
      <w:r>
        <w:rPr>
          <w:color w:val="000000"/>
          <w:spacing w:val="0"/>
          <w:w w:val="100"/>
          <w:position w:val="0"/>
        </w:rPr>
        <w:t>诸多方面进行相应的调整和提升。近年来，公司已在局部地区和特定项目上对 业务转型进行了积极探索，并取得了有益的经验，有效降低了业务拓展过程中 可能产生的风险。</w:t>
      </w:r>
    </w:p>
    <w:p>
      <w:pPr>
        <w:pStyle w:val="Style18"/>
        <w:keepNext w:val="0"/>
        <w:keepLines w:val="0"/>
        <w:widowControl w:val="0"/>
        <w:shd w:val="clear" w:color="auto" w:fill="auto"/>
        <w:bidi w:val="0"/>
        <w:spacing w:before="0" w:after="380" w:line="621" w:lineRule="exact"/>
        <w:ind w:left="0" w:right="0"/>
        <w:jc w:val="both"/>
      </w:pPr>
      <w:r>
        <w:rPr>
          <w:color w:val="000000"/>
          <w:spacing w:val="0"/>
          <w:w w:val="100"/>
          <w:position w:val="0"/>
        </w:rPr>
        <w:t>应对措施：产品及研发部预研各种技术，进行概念验证和典型用户示范， 并与各高等院校、专业研究机构、客户及政府部门合作，将新技术、新需求有 效应用于各个示范应用点，然后争取得到行业权威机构的支持和认可，进一步 扩大推广应用范围。</w:t>
      </w:r>
    </w:p>
    <w:p>
      <w:pPr>
        <w:pStyle w:val="Style18"/>
        <w:keepNext w:val="0"/>
        <w:keepLines w:val="0"/>
        <w:widowControl w:val="0"/>
        <w:shd w:val="clear" w:color="auto" w:fill="auto"/>
        <w:tabs>
          <w:tab w:pos="430" w:val="left"/>
        </w:tabs>
        <w:bidi w:val="0"/>
        <w:spacing w:before="0" w:after="0" w:line="466" w:lineRule="auto"/>
        <w:ind w:left="0" w:right="0" w:firstLine="0"/>
        <w:jc w:val="left"/>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市场竞争加剧的风险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近年来由于医疗卫生体制改革的深入推进，医疗卫生信息化领域市场空间 不断扩大，一方面吸引了大量新的市场竞争者进入这一领域，加剧了市场竞争; 另一方面原行业内的企业，特别是上市企业，依托资本市场的优势，通过业务 重组、企业并购等方式在区域医疗卫生信息化领域展开激烈竞争。</w:t>
      </w:r>
    </w:p>
    <w:p>
      <w:pPr>
        <w:pStyle w:val="Style18"/>
        <w:keepNext w:val="0"/>
        <w:keepLines w:val="0"/>
        <w:widowControl w:val="0"/>
        <w:shd w:val="clear" w:color="auto" w:fill="auto"/>
        <w:bidi w:val="0"/>
        <w:spacing w:before="0" w:after="380" w:line="626" w:lineRule="exact"/>
        <w:ind w:left="0" w:right="0"/>
        <w:jc w:val="both"/>
      </w:pPr>
      <w:r>
        <w:rPr>
          <w:color w:val="000000"/>
          <w:spacing w:val="0"/>
          <w:w w:val="100"/>
          <w:position w:val="0"/>
        </w:rPr>
        <w:t>应对措施：公司需采取更加积极的经营管理措施，加大研发投入，密切跟 踪行业发展趋势和前沿创新技术，并积极关注行业竞争所带来的整合机遇，从 而维持并加强公司在用户数量、用户粘性及技术方面的核心竞争优势，促进公 司持续健康发展。</w:t>
      </w:r>
    </w:p>
    <w:p>
      <w:pPr>
        <w:pStyle w:val="Style18"/>
        <w:keepNext w:val="0"/>
        <w:keepLines w:val="0"/>
        <w:widowControl w:val="0"/>
        <w:shd w:val="clear" w:color="auto" w:fill="auto"/>
        <w:tabs>
          <w:tab w:pos="430" w:val="left"/>
        </w:tabs>
        <w:bidi w:val="0"/>
        <w:spacing w:before="0" w:after="0" w:line="466" w:lineRule="auto"/>
        <w:ind w:left="0" w:right="0" w:firstLine="0"/>
        <w:jc w:val="left"/>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w:t>
        <w:tab/>
        <w:t>公司经营季节性波动的风险</w:t>
      </w:r>
    </w:p>
    <w:p>
      <w:pPr>
        <w:pStyle w:val="Style18"/>
        <w:keepNext w:val="0"/>
        <w:keepLines w:val="0"/>
        <w:widowControl w:val="0"/>
        <w:shd w:val="clear" w:color="auto" w:fill="auto"/>
        <w:bidi w:val="0"/>
        <w:spacing w:before="0" w:after="360" w:line="624" w:lineRule="exact"/>
        <w:ind w:left="0" w:right="0"/>
        <w:jc w:val="both"/>
      </w:pPr>
      <w:r>
        <w:rPr>
          <w:color w:val="000000"/>
          <w:spacing w:val="0"/>
          <w:w w:val="100"/>
          <w:position w:val="0"/>
        </w:rPr>
        <w:t xml:space="preserve">公司的客户主要为公立医院、卫生管理部门，这些客户执行严格的预算管 理和集中采购制度。由于政府财政预算体制的原因，客户的信息化产品采购需 要经过立项、审批、招标等流程。一般项目的验收和回款主要集中在每年下半 年，尤其在第四季度更为集中。由于公司的人力成本、差旅费用和研发投入等 </w:t>
      </w:r>
      <w:r>
        <w:rPr>
          <w:color w:val="000000"/>
          <w:spacing w:val="0"/>
          <w:w w:val="100"/>
          <w:position w:val="0"/>
        </w:rPr>
        <w:t>费用在年度内较为均衡地发生，造成公司的经营指标呈现明显的季节性波动。 应对措施：公司将加大市场工作力度，及时了解、掌握和引导客户的投资计划, 在不违反相关规定的前提下尽早介入项目前期规划工作，同时合理调配人力资 源，使得项目实施尽量能够均衡开展，减少因自身因素造成的项目实施时间集 中问题；同时，加大收款考核力度，与客户保持及时有效沟通，减少因人为因 素造成的收款时间集中问题。</w:t>
      </w:r>
    </w:p>
    <w:p>
      <w:pPr>
        <w:pStyle w:val="Style18"/>
        <w:keepNext w:val="0"/>
        <w:keepLines w:val="0"/>
        <w:widowControl w:val="0"/>
        <w:shd w:val="clear" w:color="auto" w:fill="auto"/>
        <w:bidi w:val="0"/>
        <w:spacing w:before="0" w:after="0" w:line="466" w:lineRule="auto"/>
        <w:ind w:left="0" w:right="0" w:firstLine="0"/>
        <w:jc w:val="both"/>
      </w:pPr>
      <w:bookmarkStart w:id="7" w:name="bookmark7"/>
      <w:r>
        <w:rPr>
          <w:rFonts w:ascii="Times New Roman" w:eastAsia="Times New Roman" w:hAnsi="Times New Roman" w:cs="Times New Roman"/>
          <w:color w:val="000000"/>
          <w:spacing w:val="0"/>
          <w:w w:val="100"/>
          <w:position w:val="0"/>
        </w:rPr>
        <w:t>5</w:t>
      </w:r>
      <w:bookmarkEnd w:id="7"/>
      <w:r>
        <w:rPr>
          <w:color w:val="000000"/>
          <w:spacing w:val="0"/>
          <w:w w:val="100"/>
          <w:position w:val="0"/>
        </w:rPr>
        <w:t>、人才流失的风险</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医疗卫生信息化行业需要大量具有医疗卫生与</w:t>
      </w:r>
      <w:r>
        <w:rPr>
          <w:rFonts w:ascii="Times New Roman" w:eastAsia="Times New Roman" w:hAnsi="Times New Roman" w:cs="Times New Roman"/>
          <w:color w:val="000000"/>
          <w:spacing w:val="0"/>
          <w:w w:val="100"/>
          <w:position w:val="0"/>
        </w:rPr>
        <w:t>IT</w:t>
      </w:r>
      <w:r>
        <w:rPr>
          <w:color w:val="000000"/>
          <w:spacing w:val="0"/>
          <w:w w:val="100"/>
          <w:position w:val="0"/>
        </w:rPr>
        <w:t>双重知识背景的技术人 才，培养一名优秀的了解医疗卫生知识的软件开发人才是一个较漫长的过程。 同时，医疗卫生信息化行业的人才竞争非常激烈，人员流动较为频繁。因此， 若出现核心技术人员外流情况，将可能在一定程度上影响公司的产品研发能力 和技术创新能力。高质量的软件产品是医疗卫生信息化行业竞争力的主要决定 因素。同时，要将高质量的产品介绍给用户，使其真正转换为公司的竞争力， 形成公司的营业收入和利润，市场营销的作用非常重要。因此，营销人才队伍, 尤其是核心营销人才队伍的稳定对公司的持续发展非常重要，公司可能面临竞 争对手争夺核心营销人才的风险。</w:t>
      </w:r>
    </w:p>
    <w:p>
      <w:pPr>
        <w:pStyle w:val="Style18"/>
        <w:keepNext w:val="0"/>
        <w:keepLines w:val="0"/>
        <w:widowControl w:val="0"/>
        <w:shd w:val="clear" w:color="auto" w:fill="auto"/>
        <w:bidi w:val="0"/>
        <w:spacing w:before="0" w:after="220" w:line="626" w:lineRule="exact"/>
        <w:ind w:left="0" w:right="0"/>
        <w:jc w:val="both"/>
      </w:pPr>
      <w:r>
        <w:rPr>
          <w:color w:val="000000"/>
          <w:spacing w:val="0"/>
          <w:w w:val="100"/>
          <w:position w:val="0"/>
        </w:rPr>
        <w:t>应对措施：人力资源一直是公司的核心战略资源，未来公司将继续坚持</w:t>
      </w:r>
      <w:r>
        <w:rPr>
          <w:rFonts w:ascii="Times New Roman" w:eastAsia="Times New Roman" w:hAnsi="Times New Roman" w:cs="Times New Roman"/>
          <w:color w:val="000000"/>
          <w:spacing w:val="0"/>
          <w:w w:val="100"/>
          <w:position w:val="0"/>
        </w:rPr>
        <w:t>“</w:t>
      </w:r>
      <w:r>
        <w:rPr>
          <w:color w:val="000000"/>
          <w:spacing w:val="0"/>
          <w:w w:val="100"/>
          <w:position w:val="0"/>
        </w:rPr>
        <w:t>以 人为本</w:t>
      </w:r>
      <w:r>
        <w:rPr>
          <w:rFonts w:ascii="Times New Roman" w:eastAsia="Times New Roman" w:hAnsi="Times New Roman" w:cs="Times New Roman"/>
          <w:color w:val="000000"/>
          <w:spacing w:val="0"/>
          <w:w w:val="100"/>
          <w:position w:val="0"/>
        </w:rPr>
        <w:t>”</w:t>
      </w:r>
      <w:r>
        <w:rPr>
          <w:color w:val="000000"/>
          <w:spacing w:val="0"/>
          <w:w w:val="100"/>
          <w:position w:val="0"/>
        </w:rPr>
        <w:t>的人才方针，根据发展战略和业务需要，不断完善人力资源建设计划， 重点做好高端人才的培养与引进工作，继续开展与全国</w:t>
      </w:r>
      <w:r>
        <w:rPr>
          <w:rFonts w:ascii="Times New Roman" w:eastAsia="Times New Roman" w:hAnsi="Times New Roman" w:cs="Times New Roman"/>
          <w:color w:val="000000"/>
          <w:spacing w:val="0"/>
          <w:w w:val="100"/>
          <w:position w:val="0"/>
        </w:rPr>
        <w:t>20</w:t>
      </w:r>
      <w:r>
        <w:rPr>
          <w:color w:val="000000"/>
          <w:spacing w:val="0"/>
          <w:w w:val="100"/>
          <w:position w:val="0"/>
        </w:rPr>
        <w:t>多所高等院校的校企 人才合作，进一步优化人员结构，并积极探索新形势下员工激励机制。</w:t>
      </w:r>
    </w:p>
    <w:p>
      <w:pPr>
        <w:pStyle w:val="Style18"/>
        <w:keepNext w:val="0"/>
        <w:keepLines w:val="0"/>
        <w:widowControl w:val="0"/>
        <w:shd w:val="clear" w:color="auto" w:fill="auto"/>
        <w:tabs>
          <w:tab w:pos="422" w:val="left"/>
        </w:tabs>
        <w:bidi w:val="0"/>
        <w:spacing w:before="0" w:line="624" w:lineRule="exact"/>
        <w:ind w:left="0" w:right="0" w:firstLine="0"/>
        <w:jc w:val="both"/>
      </w:pPr>
      <w:bookmarkStart w:id="8" w:name="bookmark8"/>
      <w:r>
        <w:rPr>
          <w:rFonts w:ascii="Times New Roman" w:eastAsia="Times New Roman" w:hAnsi="Times New Roman" w:cs="Times New Roman"/>
          <w:color w:val="000000"/>
          <w:spacing w:val="0"/>
          <w:w w:val="100"/>
          <w:position w:val="0"/>
        </w:rPr>
        <w:t>6</w:t>
      </w:r>
      <w:bookmarkEnd w:id="8"/>
      <w:r>
        <w:rPr>
          <w:color w:val="000000"/>
          <w:spacing w:val="0"/>
          <w:w w:val="100"/>
          <w:position w:val="0"/>
        </w:rPr>
        <w:t>、</w:t>
        <w:tab/>
        <w:t>对外并购重组所形成商誉的减值风险</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本报告期内公司进行了收购、并购等外延式拓展，形成了多家非同一控制 下的企业合并的情况。若未来被合并企业经营出现不利变化，则存在商誉减值 的风险，这也将会对上市公司当期的损益造成不利影响。</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应对措施：公司将对被合并企业施行完善的投后管理，并与被合并企业进 行资源整合，以发挥公司间的协同增益效果，保证被合并企业的市场竞争力及 持续稳定发展。</w:t>
      </w:r>
    </w:p>
    <w:p>
      <w:pPr>
        <w:pStyle w:val="Style18"/>
        <w:keepNext w:val="0"/>
        <w:keepLines w:val="0"/>
        <w:widowControl w:val="0"/>
        <w:shd w:val="clear" w:color="auto" w:fill="auto"/>
        <w:tabs>
          <w:tab w:pos="422" w:val="left"/>
        </w:tabs>
        <w:bidi w:val="0"/>
        <w:spacing w:before="0" w:line="624" w:lineRule="exact"/>
        <w:ind w:left="0" w:right="0" w:firstLine="0"/>
        <w:jc w:val="both"/>
      </w:pPr>
      <w:bookmarkStart w:id="9" w:name="bookmark9"/>
      <w:r>
        <w:rPr>
          <w:rFonts w:ascii="Times New Roman" w:eastAsia="Times New Roman" w:hAnsi="Times New Roman" w:cs="Times New Roman"/>
          <w:color w:val="000000"/>
          <w:spacing w:val="0"/>
          <w:w w:val="100"/>
          <w:position w:val="0"/>
        </w:rPr>
        <w:t>7</w:t>
      </w:r>
      <w:bookmarkEnd w:id="9"/>
      <w:r>
        <w:rPr>
          <w:color w:val="000000"/>
          <w:spacing w:val="0"/>
          <w:w w:val="100"/>
          <w:position w:val="0"/>
        </w:rPr>
        <w:t>、</w:t>
        <w:tab/>
        <w:t>外延式收购整合导致的上市公司经营管理风险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公司上市后，并购扩张已成为公司长期战略之一，公司利用资本市场进行 并购重组，与产业链上下游的优势企业进行整合，使公司在经营规模上快速扩 大，自然对公司的综合管理水平提出了更大挑战。报告期内，公司通过收购、 并购合并了一些企业，从公司整体的角度来看，上市公司的资产规模和业务范 围都将得到扩大，公司和被合并企业之间能否通过整合既保证公司对被合并企 业的控制力又保持被合并企业原有竞争优势并充分发挥本次交易的协同效应， 具有不确定性，整合结果可能未能充分发挥本次交易的协同效应，并可能会对 标的公司的经营产生不利影响，从而给公司及股东利益造成一定的影响。</w:t>
      </w:r>
    </w:p>
    <w:p>
      <w:pPr>
        <w:pStyle w:val="Style18"/>
        <w:keepNext w:val="0"/>
        <w:keepLines w:val="0"/>
        <w:widowControl w:val="0"/>
        <w:shd w:val="clear" w:color="auto" w:fill="auto"/>
        <w:bidi w:val="0"/>
        <w:spacing w:before="0"/>
        <w:ind w:left="0" w:right="0"/>
        <w:jc w:val="both"/>
      </w:pPr>
      <w:r>
        <w:rPr>
          <w:color w:val="000000"/>
          <w:spacing w:val="0"/>
          <w:w w:val="100"/>
          <w:position w:val="0"/>
        </w:rPr>
        <w:t>应对措施：公司将进一步完善管理制度，整合科研、生产、人才、市场、 技术和财务等各个方面资源，积累经营管理经验，使公司管理水平得到整体提 升。并拟向被合并企业增派董事、财务负责人等高级管理人员，同时维持被合 并企业目前管理层与治理层的基本稳定，以保障被合并企业后续经营的平稳发 展，通过完善管理来降低经营管理风险。</w:t>
      </w:r>
    </w:p>
    <w:p>
      <w:pPr>
        <w:pStyle w:val="Style18"/>
        <w:keepNext w:val="0"/>
        <w:keepLines w:val="0"/>
        <w:widowControl w:val="0"/>
        <w:shd w:val="clear" w:color="auto" w:fill="auto"/>
        <w:bidi w:val="0"/>
        <w:spacing w:before="0" w:after="0" w:line="622" w:lineRule="exact"/>
        <w:ind w:left="0" w:right="0"/>
        <w:jc w:val="both"/>
        <w:sectPr>
          <w:headerReference w:type="default" r:id="rId7"/>
          <w:footerReference w:type="default" r:id="rId8"/>
          <w:footnotePr>
            <w:pos w:val="pageBottom"/>
            <w:numFmt w:val="decimal"/>
            <w:numRestart w:val="continuous"/>
          </w:footnotePr>
          <w:pgSz w:w="11900" w:h="16840"/>
          <w:pgMar w:top="1292" w:right="995" w:bottom="1652" w:left="107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242,949,263</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元（含税）。不送红股、不以公积金转增股 本。</w:t>
      </w:r>
    </w:p>
    <w:p>
      <w:pPr>
        <w:pStyle w:val="Style11"/>
        <w:keepNext w:val="0"/>
        <w:keepLines w:val="0"/>
        <w:widowControl w:val="0"/>
        <w:shd w:val="clear" w:color="auto" w:fill="auto"/>
        <w:bidi w:val="0"/>
        <w:spacing w:before="1400" w:after="148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7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1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7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8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4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3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40"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91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190</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本公司、公司、股份公司、创业软件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国元证券、主承销商、保荐人、独立财务 顾问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会计师、天健会计师事务所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律师、北京天元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北京市天元律师事务所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中拓信息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公司控股子公司、广东中拓信息技术有限公司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蓝天电脑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公司控股子公司、中山市蓝天电脑有限公司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博泰服务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公司控股子公司、杭州博泰信息技术服务有限公司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苏州创业亿康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公司全资子公司、苏州创业亿康信息科技有限公司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上海创航</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公司全资子公司、上海创航软件有限公司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创业南京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公司全资子公司、创业软件南京有限公司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公司全资子公司、天津创津科技有限公司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重庆创易康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公司全资子公司、重庆创易康软件有限公司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中山杭创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公司全资子公司、中山市杭创科技有限公司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宁海杭创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公司全资子公司、宁海杭创网络科技有限公司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新疆创什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公司控股子公司、新疆创什信息科技有限公司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杭州惟勤</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公司控股子公司、杭州惟勤科技有限公司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中福投资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公司参股公司、杭州中福投资管理有限公司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北京童康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公司参股公司、北京童康医疗信息技术有限公司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卫生技术公司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公司参股公司、上海卫生信息工程技术研究中心有限公司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苏州网新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公司参股公司、苏州网新创业科技有限公司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美康网新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公司参股公司、浙江美康网新云健康科技股份有限公司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中宇科技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浙江中宇科技风险投资有限公司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阜康投资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杭州阜康投资有限公司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创业软件股份有限公司发行股份及支付现金购买杭州博泰信息技 术服务有限公司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股权，并募集配套资金的行为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创业软件股份有限公司股东大会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创业软件股份有限公司董事会</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《创业软件股份有限公司章程》</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bl>
    <w:p>
      <w:pPr>
        <w:sectPr>
          <w:footnotePr>
            <w:pos w:val="pageBottom"/>
            <w:numFmt w:val="decimal"/>
            <w:numRestart w:val="continuous"/>
          </w:footnotePr>
          <w:pgSz w:w="11900" w:h="16840"/>
          <w:pgMar w:top="1441" w:right="1139" w:bottom="1667" w:left="1089" w:header="0" w:footer="3" w:gutter="0"/>
          <w:cols w:space="720"/>
          <w:noEndnote/>
          <w:rtlGutter w:val="0"/>
          <w:docGrid w:linePitch="360"/>
        </w:sectPr>
      </w:pPr>
    </w:p>
    <w:p>
      <w:pPr>
        <w:pStyle w:val="Style16"/>
        <w:keepNext/>
        <w:keepLines/>
        <w:widowControl w:val="0"/>
        <w:shd w:val="clear" w:color="auto" w:fill="auto"/>
        <w:bidi w:val="0"/>
        <w:spacing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7"/>
        <w:keepNext/>
        <w:keepLines/>
        <w:widowControl w:val="0"/>
        <w:shd w:val="clear" w:color="auto" w:fill="auto"/>
        <w:bidi w:val="0"/>
        <w:spacing w:before="0" w:line="240" w:lineRule="auto"/>
        <w:ind w:left="0" w:right="0" w:firstLine="240"/>
        <w:jc w:val="left"/>
      </w:pPr>
      <w:bookmarkStart w:id="16" w:name="bookmark16"/>
      <w:bookmarkStart w:id="17" w:name="bookmark17"/>
      <w:bookmarkStart w:id="18" w:name="bookmark18"/>
      <w:r>
        <w:rPr>
          <w:color w:val="000000"/>
          <w:spacing w:val="0"/>
          <w:w w:val="100"/>
          <w:position w:val="0"/>
          <w:sz w:val="24"/>
          <w:szCs w:val="24"/>
        </w:rPr>
        <w:t>、公司信息</w:t>
      </w:r>
      <w:bookmarkEnd w:id="16"/>
      <w:bookmarkEnd w:id="17"/>
      <w:bookmarkEnd w:id="18"/>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B-SOFT Co.,Ltd.</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B-SOFT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杭州市文三路</w:t>
            </w:r>
            <w:r>
              <w:rPr>
                <w:rFonts w:ascii="Times New Roman" w:eastAsia="Times New Roman" w:hAnsi="Times New Roman" w:cs="Times New Roman"/>
                <w:color w:val="000000"/>
                <w:spacing w:val="0"/>
                <w:w w:val="100"/>
                <w:position w:val="0"/>
              </w:rPr>
              <w:t>199</w:t>
            </w:r>
            <w:r>
              <w:rPr>
                <w:color w:val="000000"/>
                <w:spacing w:val="0"/>
                <w:w w:val="100"/>
                <w:position w:val="0"/>
              </w:rPr>
              <w:t>号创业大厦三楼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号创业智慧大厦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"http://www.bsoft.com.cn" </w:instrText>
            </w:r>
            <w:r>
              <w:fldChar w:fldCharType="separate"/>
            </w:r>
            <w:r>
              <w:rPr>
                <w:rFonts w:ascii="Times New Roman" w:eastAsia="Times New Roman" w:hAnsi="Times New Roman" w:cs="Times New Roman"/>
                <w:color w:val="000000"/>
                <w:spacing w:val="0"/>
                <w:w w:val="100"/>
                <w:position w:val="0"/>
              </w:rPr>
              <w:t>www.bsoft.com.cn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"mailto:bsoft@bsoft.com.cn" </w:instrText>
            </w:r>
            <w:r>
              <w:fldChar w:fldCharType="separate"/>
            </w:r>
            <w:r>
              <w:rPr>
                <w:rFonts w:ascii="Times New Roman" w:eastAsia="Times New Roman" w:hAnsi="Times New Roman" w:cs="Times New Roman"/>
                <w:color w:val="000000"/>
                <w:spacing w:val="0"/>
                <w:w w:val="100"/>
                <w:position w:val="0"/>
              </w:rPr>
              <w:t>bsoft@bsoft.com.cn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徐胜</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 业智慧大厦五楼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 业智慧大厦五楼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0571-88925701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0571-88925701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0571-88217703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0571-88217703</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"mailto:huy@bsoft.com.cn" </w:instrText>
            </w:r>
            <w:r>
              <w:fldChar w:fldCharType="separate"/>
            </w:r>
            <w:r>
              <w:rPr>
                <w:rFonts w:ascii="Times New Roman" w:eastAsia="Times New Roman" w:hAnsi="Times New Roman" w:cs="Times New Roman"/>
                <w:color w:val="000000"/>
                <w:spacing w:val="0"/>
                <w:w w:val="100"/>
                <w:position w:val="0"/>
              </w:rPr>
              <w:t>huy@bsoft.com.cn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"mailto:xus@bsoft.com.cn" </w:instrText>
            </w:r>
            <w:r>
              <w:fldChar w:fldCharType="separate"/>
            </w:r>
            <w:r>
              <w:rPr>
                <w:rFonts w:ascii="Times New Roman" w:eastAsia="Times New Roman" w:hAnsi="Times New Roman" w:cs="Times New Roman"/>
                <w:color w:val="000000"/>
                <w:spacing w:val="0"/>
                <w:w w:val="100"/>
                <w:position w:val="0"/>
              </w:rPr>
              <w:t>xus@bsoft.com.cn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公司证券法务部办公室</w:t>
            </w:r>
          </w:p>
        </w:tc>
      </w:tr>
    </w:tbl>
    <w:p>
      <w:pPr>
        <w:widowControl w:val="0"/>
        <w:spacing w:after="59" w:line="1" w:lineRule="exact"/>
      </w:pPr>
    </w:p>
    <w:p>
      <w:pPr>
        <w:pStyle w:val="Style27"/>
        <w:keepNext/>
        <w:keepLines/>
        <w:widowControl w:val="0"/>
        <w:shd w:val="clear" w:color="auto" w:fill="auto"/>
        <w:bidi w:val="0"/>
        <w:spacing w:before="0" w:after="4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王强、张晓平</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国元证券股份有限公司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安徽省合肥市梅山路</w:t>
            </w:r>
            <w:r>
              <w:rPr>
                <w:rFonts w:ascii="Times New Roman" w:eastAsia="Times New Roman" w:hAnsi="Times New Roman" w:cs="Times New Roman"/>
                <w:color w:val="000000"/>
                <w:spacing w:val="0"/>
                <w:w w:val="100"/>
                <w:position w:val="0"/>
              </w:rPr>
              <w:t>18</w:t>
            </w:r>
            <w:r>
              <w:rPr>
                <w:color w:val="000000"/>
                <w:spacing w:val="0"/>
                <w:w w:val="100"/>
                <w:position w:val="0"/>
              </w:rPr>
              <w:t>号 安徽国际金融中心</w:t>
            </w:r>
            <w:r>
              <w:rPr>
                <w:rFonts w:ascii="Times New Roman" w:eastAsia="Times New Roman" w:hAnsi="Times New Roman" w:cs="Times New Roman"/>
                <w:color w:val="000000"/>
                <w:spacing w:val="0"/>
                <w:w w:val="100"/>
                <w:position w:val="0"/>
              </w:rPr>
              <w:t>A</w:t>
            </w:r>
            <w:r>
              <w:rPr>
                <w:color w:val="000000"/>
                <w:spacing w:val="0"/>
                <w:w w:val="100"/>
                <w:position w:val="0"/>
              </w:rPr>
              <w:t>座国元 证券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戚科仁、甘宁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548,645,307.54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425,971,560.82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405,648,138.53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63,003,453.15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49,681,720.73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47,576,147.03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51,891,600.83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46,982,665.30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41,483,401.87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118,987,534.37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18,473,128.16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54,914,017.67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1,133,125,134.31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888,451,342.41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496,210,835.54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724,868,612.49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598,583,125.53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344,123,304.80</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82,428,406.61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113,707,168.35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128,473,439.59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224,036,292.99</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771,842.54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-3,867,346.53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23,537,727.43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42,561,229.71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402,960.83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-5,974,020.26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22,131,479.99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35,331,180.27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-63,508,236.62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24,596,186.99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-5,135,081.56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163,034,665.56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2"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5"/>
        <w:keepNext/>
        <w:keepLines/>
        <w:widowControl w:val="0"/>
        <w:shd w:val="clear" w:color="auto" w:fill="auto"/>
        <w:tabs>
          <w:tab w:pos="410"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10"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-121,489.00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-304,273.47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越权审批或无正式批准文件的税收返 还、减免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303,280.35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10,880,705.53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3,857,292.27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7,975,703.77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1,723,274.33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-253,030.48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-541,008.61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-500,965.69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1,299,490.57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495,739.23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1,077,714.97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239,486.84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11,111,852.32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2,699,055.43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6,092,745.16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93" w:right="1128" w:bottom="1460" w:left="109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42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7"/>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自成立以来，公司一直专注于医疗卫生行业的信息化建设业务，在医疗卫生信息化领域具有较大的领先优势，主要业务 分为医疗卫生信息化应用软件和基于信息技术的系统集成业务。</w:t>
      </w:r>
    </w:p>
    <w:p>
      <w:pPr>
        <w:pStyle w:val="Style29"/>
        <w:keepNext w:val="0"/>
        <w:keepLines w:val="0"/>
        <w:widowControl w:val="0"/>
        <w:shd w:val="clear" w:color="auto" w:fill="auto"/>
        <w:tabs>
          <w:tab w:pos="714" w:val="left"/>
        </w:tabs>
        <w:bidi w:val="0"/>
        <w:spacing w:before="0" w:after="0" w:line="312" w:lineRule="exact"/>
        <w:ind w:left="0" w:right="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医疗卫生信息化应用软件业务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医疗卫生信息化应用软件是将信息技术运用到医院与公共卫生的管理系统和各项业务功能系统中，对医院、公共卫生系 统进行流程化管理，实现特定的业务功能，提高医疗卫生机构的工作效率和医疗服务质量。具体包括医院信息化应用软件和 公共卫生信息化应用软件。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医院信息化应用软件是以电子病历为核心，通过信息技术实现医院管理信息和医院临床信息的数据采集、处理、存储、 传输和共享，实现病人信息数字化、医疗过程数字化、管理流程数字化、医疗服务数字化、信息交互数字化。</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公共卫生信息化应用软件是以居民电子健康档案为核心，以区域医疗资源共享为目标，以社区和农村居民基本医疗卫生 服务为重点，运用信息化的手段，为国内公共卫生领域信息化建设提供全面解决方案。</w:t>
      </w:r>
    </w:p>
    <w:p>
      <w:pPr>
        <w:pStyle w:val="Style29"/>
        <w:keepNext w:val="0"/>
        <w:keepLines w:val="0"/>
        <w:widowControl w:val="0"/>
        <w:shd w:val="clear" w:color="auto" w:fill="auto"/>
        <w:tabs>
          <w:tab w:pos="738" w:val="left"/>
        </w:tabs>
        <w:bidi w:val="0"/>
        <w:spacing w:before="0" w:after="0" w:line="312" w:lineRule="exact"/>
        <w:ind w:left="0" w:right="0"/>
        <w:jc w:val="both"/>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基于信息技术的系统集成业务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公司系统集成业务主要包含两类：计算机信息设备系统集成业务、智能化网络布线工程集成业务。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计算机信息设备系统集成业务是公司根据客户的业务特点和个性化需求，向客户提供计算机硬件设备、第三方软件及系 统架构的集成服务，帮助客户构建一套整体的计算机软硬件信息系统环境，用于客户的信息化办公和业务运行管理。</w:t>
      </w:r>
    </w:p>
    <w:p>
      <w:pPr>
        <w:pStyle w:val="Style29"/>
        <w:keepNext w:val="0"/>
        <w:keepLines w:val="0"/>
        <w:widowControl w:val="0"/>
        <w:shd w:val="clear" w:color="auto" w:fill="auto"/>
        <w:bidi w:val="0"/>
        <w:spacing w:before="0" w:after="680" w:line="312" w:lineRule="exact"/>
        <w:ind w:left="0" w:right="0"/>
        <w:jc w:val="both"/>
      </w:pPr>
      <w:r>
        <w:rPr>
          <w:color w:val="000000"/>
          <w:spacing w:val="0"/>
          <w:w w:val="100"/>
          <w:position w:val="0"/>
        </w:rPr>
        <w:t>智能化网络布线工程集成业务是基于公司的信息技术优势，为智能化办公楼宇和建筑项目提供网络布线工程的方案设 计、施工组装、集成调试等服务，属于建筑智能化、办公智能化、业务智能化的基础性工程。</w:t>
      </w:r>
    </w:p>
    <w:p>
      <w:pPr>
        <w:pStyle w:val="Style27"/>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、主要资产重大变化情况</w:t>
      </w:r>
      <w:bookmarkEnd w:id="64"/>
      <w:bookmarkEnd w:id="65"/>
      <w:bookmarkEnd w:id="67"/>
    </w:p>
    <w:p>
      <w:pPr>
        <w:pStyle w:val="Style35"/>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本期合并报表范围新增浙江创源环境科技股份有限公司等</w:t>
            </w:r>
            <w:r>
              <w:rPr>
                <w:rFonts w:ascii="Times New Roman" w:eastAsia="Times New Roman" w:hAnsi="Times New Roman" w:cs="Times New Roman"/>
                <w:color w:val="000000"/>
                <w:spacing w:val="0"/>
                <w:w w:val="100"/>
                <w:position w:val="0"/>
              </w:rPr>
              <w:t>4</w:t>
            </w:r>
            <w:r>
              <w:rPr>
                <w:color w:val="000000"/>
                <w:spacing w:val="0"/>
                <w:w w:val="100"/>
                <w:position w:val="0"/>
              </w:rPr>
              <w:t>家子公司，投资成本 共计</w:t>
            </w:r>
            <w:r>
              <w:rPr>
                <w:rFonts w:ascii="Times New Roman" w:eastAsia="Times New Roman" w:hAnsi="Times New Roman" w:cs="Times New Roman"/>
                <w:color w:val="000000"/>
                <w:spacing w:val="0"/>
                <w:w w:val="100"/>
                <w:position w:val="0"/>
              </w:rPr>
              <w:t>7104.09</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本期创业智慧医疗软件生产基地建设工程完工，结转固定资产</w:t>
            </w:r>
            <w:r>
              <w:rPr>
                <w:rFonts w:ascii="Times New Roman" w:eastAsia="Times New Roman" w:hAnsi="Times New Roman" w:cs="Times New Roman"/>
                <w:color w:val="000000"/>
                <w:spacing w:val="0"/>
                <w:w w:val="100"/>
                <w:position w:val="0"/>
              </w:rPr>
              <w:t>13927.82</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本期创业智慧医疗软件生产基地建设工程完工结转,减少在建工程</w:t>
            </w:r>
            <w:r>
              <w:rPr>
                <w:rFonts w:ascii="Times New Roman" w:eastAsia="Times New Roman" w:hAnsi="Times New Roman" w:cs="Times New Roman"/>
                <w:color w:val="000000"/>
                <w:spacing w:val="0"/>
                <w:w w:val="100"/>
                <w:position w:val="0"/>
              </w:rPr>
              <w:t>13927.82</w:t>
            </w:r>
            <w:r>
              <w:rPr>
                <w:color w:val="000000"/>
                <w:spacing w:val="0"/>
                <w:w w:val="100"/>
                <w:position w:val="0"/>
              </w:rPr>
              <w:t>万元。</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654" w:val="left"/>
        </w:tabs>
        <w:bidi w:val="0"/>
        <w:spacing w:before="0" w:after="0" w:line="313" w:lineRule="exact"/>
        <w:ind w:left="0" w:right="0"/>
        <w:jc w:val="both"/>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w:t>
        <w:tab/>
        <w:t>领先的行业地位和丰富的行业经验</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公司是国内较早进入医疗卫生信息化的软件供应商之一，成立至今一直专注于医疗卫生信息化领域，目前拥有相对成熟 的技术体系、较强的自主研发能力、丰富的产品种类，能够满足不同客户的个性化需求，在医疗卫生信息化行业跻身前列。 公司参与了卫生部健康档案基本架构与数据标准、电子病历基本架构与数据标准、基于健康档案的区域卫生信息平台建设指 南及基于健康档案的区域卫生信息平台建设技术解决方案等国家卫生信息标准和规范的研发和编制，体现了公司在行业内的 技术水平具有领先优势。目前公司医疗卫生信息化产品种类较为完备，拥有医院信息化和公共卫生信息化二大系列产品，涉 及数字化医院、数字化社区卫生、数字化卫生行政管理、数字化卫生监督、数字化疾病控制、数字化药店管理、数字化社会 保险、信息集成平台等多个医疗卫生业务领域。报告期内，公司新增</w:t>
      </w:r>
      <w:r>
        <w:rPr>
          <w:rFonts w:ascii="Times New Roman" w:eastAsia="Times New Roman" w:hAnsi="Times New Roman" w:cs="Times New Roman"/>
          <w:color w:val="000000"/>
          <w:spacing w:val="0"/>
          <w:w w:val="100"/>
          <w:position w:val="0"/>
        </w:rPr>
        <w:t>2</w:t>
      </w:r>
      <w:r>
        <w:rPr>
          <w:color w:val="000000"/>
          <w:spacing w:val="0"/>
          <w:w w:val="100"/>
          <w:position w:val="0"/>
        </w:rPr>
        <w:t>项发明专利，</w:t>
      </w:r>
      <w:r>
        <w:rPr>
          <w:rFonts w:ascii="Times New Roman" w:eastAsia="Times New Roman" w:hAnsi="Times New Roman" w:cs="Times New Roman"/>
          <w:color w:val="000000"/>
          <w:spacing w:val="0"/>
          <w:w w:val="100"/>
          <w:position w:val="0"/>
        </w:rPr>
        <w:t>12</w:t>
      </w:r>
      <w:r>
        <w:rPr>
          <w:color w:val="000000"/>
          <w:spacing w:val="0"/>
          <w:w w:val="100"/>
          <w:position w:val="0"/>
        </w:rPr>
        <w:t>项软件著作权，在项目研发上完成了</w:t>
      </w:r>
      <w:r>
        <w:rPr>
          <w:rFonts w:ascii="Times New Roman" w:eastAsia="Times New Roman" w:hAnsi="Times New Roman" w:cs="Times New Roman"/>
          <w:color w:val="000000"/>
          <w:spacing w:val="0"/>
          <w:w w:val="100"/>
          <w:position w:val="0"/>
        </w:rPr>
        <w:t xml:space="preserve">5 </w:t>
      </w:r>
      <w:r>
        <w:rPr>
          <w:color w:val="000000"/>
          <w:spacing w:val="0"/>
          <w:w w:val="100"/>
          <w:position w:val="0"/>
        </w:rPr>
        <w:t>项新产品的研发和</w:t>
      </w:r>
      <w:r>
        <w:rPr>
          <w:rFonts w:ascii="Times New Roman" w:eastAsia="Times New Roman" w:hAnsi="Times New Roman" w:cs="Times New Roman"/>
          <w:color w:val="000000"/>
          <w:spacing w:val="0"/>
          <w:w w:val="100"/>
          <w:position w:val="0"/>
        </w:rPr>
        <w:t>8</w:t>
      </w:r>
      <w:r>
        <w:rPr>
          <w:color w:val="000000"/>
          <w:spacing w:val="0"/>
          <w:w w:val="100"/>
          <w:position w:val="0"/>
        </w:rPr>
        <w:t>项项目技术升级，所有项目都按计划要求完成，取得了良好效果。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经过多年发展，公司已累计实施了</w:t>
      </w:r>
      <w:r>
        <w:rPr>
          <w:rFonts w:ascii="Times New Roman" w:eastAsia="Times New Roman" w:hAnsi="Times New Roman" w:cs="Times New Roman"/>
          <w:color w:val="000000"/>
          <w:spacing w:val="0"/>
          <w:w w:val="100"/>
          <w:position w:val="0"/>
        </w:rPr>
        <w:t>4,000</w:t>
      </w:r>
      <w:r>
        <w:rPr>
          <w:color w:val="000000"/>
          <w:spacing w:val="0"/>
          <w:w w:val="100"/>
          <w:position w:val="0"/>
        </w:rPr>
        <w:t>余个医疗卫生信息化建设项目，涉及医院、社区卫生服务中心、农村合作医疗 机构、疾控中心、药店、社保卫生管理部门等各类医疗卫生机构的信息化建设，积累了丰富的经验，特别是在大型数字化医 院建设和区域卫生信息化平台建设方面，公司先后实施了北京、上海、成都、杭州等多个医疗卫生信息化示范项目，深化了 对行业与客户需求的理解，积累了大型项目实施经验，服务水平得到显著提升。报告期内，首个区域医疗信息平台建设的运 营项目</w:t>
      </w:r>
      <w:r>
        <w:rPr>
          <w:color w:val="000000"/>
          <w:spacing w:val="0"/>
          <w:w w:val="100"/>
          <w:position w:val="0"/>
        </w:rPr>
        <w:t>一</w:t>
      </w:r>
      <w:r>
        <w:rPr>
          <w:color w:val="000000"/>
          <w:spacing w:val="0"/>
          <w:w w:val="100"/>
          <w:position w:val="0"/>
        </w:rPr>
        <w:t>中山市区域卫生信息平台建设运营项目正在顺利推进，建成后为下一步区域性信息化运营业务的开展奠定了良好 基础。</w:t>
      </w:r>
    </w:p>
    <w:p>
      <w:pPr>
        <w:pStyle w:val="Style29"/>
        <w:keepNext w:val="0"/>
        <w:keepLines w:val="0"/>
        <w:widowControl w:val="0"/>
        <w:shd w:val="clear" w:color="auto" w:fill="auto"/>
        <w:tabs>
          <w:tab w:pos="674" w:val="left"/>
        </w:tabs>
        <w:bidi w:val="0"/>
        <w:spacing w:before="0" w:after="0" w:line="313" w:lineRule="exact"/>
        <w:ind w:left="0" w:right="0"/>
        <w:jc w:val="both"/>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具有创新和谐的企业文化和高素质人才优势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多年来，公司致力于培育创新和谐的企业文化，提倡</w:t>
      </w:r>
      <w:r>
        <w:rPr>
          <w:rFonts w:ascii="Times New Roman" w:eastAsia="Times New Roman" w:hAnsi="Times New Roman" w:cs="Times New Roman"/>
          <w:color w:val="000000"/>
          <w:spacing w:val="0"/>
          <w:w w:val="100"/>
          <w:position w:val="0"/>
        </w:rPr>
        <w:t>“</w:t>
      </w:r>
      <w:r>
        <w:rPr>
          <w:color w:val="000000"/>
          <w:spacing w:val="0"/>
          <w:w w:val="100"/>
          <w:position w:val="0"/>
        </w:rPr>
        <w:t>让员工干自己最愿意干的工作，让员工干自己最具特长的工作； 实现企业价值与员工个人价值和社会价值最大化</w:t>
      </w:r>
      <w:r>
        <w:rPr>
          <w:rFonts w:ascii="Times New Roman" w:eastAsia="Times New Roman" w:hAnsi="Times New Roman" w:cs="Times New Roman"/>
          <w:color w:val="000000"/>
          <w:spacing w:val="0"/>
          <w:w w:val="100"/>
          <w:position w:val="0"/>
        </w:rPr>
        <w:t>”</w:t>
      </w:r>
      <w:r>
        <w:rPr>
          <w:color w:val="000000"/>
          <w:spacing w:val="0"/>
          <w:w w:val="100"/>
          <w:position w:val="0"/>
        </w:rPr>
        <w:t>，围绕建设中国一流软件企业的发展目标，逐渐形成了</w:t>
      </w:r>
      <w:r>
        <w:rPr>
          <w:rFonts w:ascii="Times New Roman" w:eastAsia="Times New Roman" w:hAnsi="Times New Roman" w:cs="Times New Roman"/>
          <w:color w:val="000000"/>
          <w:spacing w:val="0"/>
          <w:w w:val="100"/>
          <w:position w:val="0"/>
        </w:rPr>
        <w:t>“</w:t>
      </w:r>
      <w:r>
        <w:rPr>
          <w:color w:val="000000"/>
          <w:spacing w:val="0"/>
          <w:w w:val="100"/>
          <w:position w:val="0"/>
        </w:rPr>
        <w:t>团结创新、领先一 步、服务用户、共同进步</w:t>
      </w:r>
      <w:r>
        <w:rPr>
          <w:rFonts w:ascii="Times New Roman" w:eastAsia="Times New Roman" w:hAnsi="Times New Roman" w:cs="Times New Roman"/>
          <w:color w:val="000000"/>
          <w:spacing w:val="0"/>
          <w:w w:val="100"/>
          <w:position w:val="0"/>
        </w:rPr>
        <w:t>”</w:t>
      </w:r>
      <w:r>
        <w:rPr>
          <w:color w:val="000000"/>
          <w:spacing w:val="0"/>
          <w:w w:val="100"/>
          <w:position w:val="0"/>
        </w:rPr>
        <w:t>的企业文化，拥有一支高素质的核心管理团队和优秀的技术团队，整体技术水平与创新能力居行 业前列。</w:t>
      </w:r>
    </w:p>
    <w:p>
      <w:pPr>
        <w:pStyle w:val="Style29"/>
        <w:keepNext w:val="0"/>
        <w:keepLines w:val="0"/>
        <w:widowControl w:val="0"/>
        <w:shd w:val="clear" w:color="auto" w:fill="auto"/>
        <w:tabs>
          <w:tab w:pos="674" w:val="left"/>
        </w:tabs>
        <w:bidi w:val="0"/>
        <w:spacing w:before="0" w:after="0" w:line="313" w:lineRule="exact"/>
        <w:ind w:left="0" w:right="0"/>
        <w:jc w:val="both"/>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w:t>
        <w:tab/>
        <w:t>先进的技术水平和持续的创新能力</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作为高新技术企业，公司一贯坚持技术领先的企业发展战略，紧跟国际信息技术的发展潮流，紧密结合我国医疗卫生信 息化建设的实际情况，始终重视自主研发和科技创新活动。经过多年的研发与积累，公司掌握了一批较为领先的核心技术， 同时取得了多项科技成果，形成了功能较为完善的医疗卫生信息化应用软件。自</w:t>
      </w:r>
      <w:r>
        <w:rPr>
          <w:rFonts w:ascii="Times New Roman" w:eastAsia="Times New Roman" w:hAnsi="Times New Roman" w:cs="Times New Roman"/>
          <w:color w:val="000000"/>
          <w:spacing w:val="0"/>
          <w:w w:val="100"/>
          <w:position w:val="0"/>
        </w:rPr>
        <w:t>2010</w:t>
      </w:r>
      <w:r>
        <w:rPr>
          <w:color w:val="000000"/>
          <w:spacing w:val="0"/>
          <w:w w:val="100"/>
          <w:position w:val="0"/>
        </w:rPr>
        <w:t>年以来，公司被连续认定为</w:t>
      </w:r>
      <w:r>
        <w:rPr>
          <w:rFonts w:ascii="Times New Roman" w:eastAsia="Times New Roman" w:hAnsi="Times New Roman" w:cs="Times New Roman"/>
          <w:color w:val="000000"/>
          <w:spacing w:val="0"/>
          <w:w w:val="100"/>
          <w:position w:val="0"/>
        </w:rPr>
        <w:t>“</w:t>
      </w:r>
      <w:r>
        <w:rPr>
          <w:color w:val="000000"/>
          <w:spacing w:val="0"/>
          <w:w w:val="100"/>
          <w:position w:val="0"/>
        </w:rPr>
        <w:t>国家火炬 计划重点高新技术企业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历年来，公司凭借其积累的技术开发能力，先后承担了包括国家科技支撑计划项目、国家电子信息产业发展基金项目、 国家高新技术产业化项目、国家火炬计划项目、国家重点创新基金项目等在内的多项政府科技开发项目，其中国家级项目</w:t>
      </w:r>
      <w:r>
        <w:rPr>
          <w:rFonts w:ascii="Times New Roman" w:eastAsia="Times New Roman" w:hAnsi="Times New Roman" w:cs="Times New Roman"/>
          <w:color w:val="000000"/>
          <w:spacing w:val="0"/>
          <w:w w:val="100"/>
          <w:position w:val="0"/>
        </w:rPr>
        <w:t xml:space="preserve">18 </w:t>
      </w:r>
      <w:r>
        <w:rPr>
          <w:color w:val="000000"/>
          <w:spacing w:val="0"/>
          <w:w w:val="100"/>
          <w:position w:val="0"/>
        </w:rPr>
        <w:t>项、省市级项目</w:t>
      </w:r>
      <w:r>
        <w:rPr>
          <w:rFonts w:ascii="Times New Roman" w:eastAsia="Times New Roman" w:hAnsi="Times New Roman" w:cs="Times New Roman"/>
          <w:color w:val="000000"/>
          <w:spacing w:val="0"/>
          <w:w w:val="100"/>
          <w:position w:val="0"/>
        </w:rPr>
        <w:t>40</w:t>
      </w:r>
      <w:r>
        <w:rPr>
          <w:color w:val="000000"/>
          <w:spacing w:val="0"/>
          <w:w w:val="100"/>
          <w:position w:val="0"/>
        </w:rPr>
        <w:t>余项。</w:t>
      </w:r>
    </w:p>
    <w:p>
      <w:pPr>
        <w:pStyle w:val="Style29"/>
        <w:keepNext w:val="0"/>
        <w:keepLines w:val="0"/>
        <w:widowControl w:val="0"/>
        <w:shd w:val="clear" w:color="auto" w:fill="auto"/>
        <w:tabs>
          <w:tab w:pos="674" w:val="left"/>
        </w:tabs>
        <w:bidi w:val="0"/>
        <w:spacing w:before="0" w:after="0" w:line="313" w:lineRule="exact"/>
        <w:ind w:left="0" w:right="0"/>
        <w:jc w:val="both"/>
      </w:pPr>
      <w:bookmarkStart w:id="83" w:name="bookmark83"/>
      <w:r>
        <w:rPr>
          <w:rFonts w:ascii="Times New Roman" w:eastAsia="Times New Roman" w:hAnsi="Times New Roman" w:cs="Times New Roman"/>
          <w:color w:val="000000"/>
          <w:spacing w:val="0"/>
          <w:w w:val="100"/>
          <w:position w:val="0"/>
        </w:rPr>
        <w:t>4</w:t>
      </w:r>
      <w:bookmarkEnd w:id="83"/>
      <w:r>
        <w:rPr>
          <w:color w:val="000000"/>
          <w:spacing w:val="0"/>
          <w:w w:val="100"/>
          <w:position w:val="0"/>
        </w:rPr>
        <w:t>、</w:t>
        <w:tab/>
        <w:t>具有完善的营销网络和稳固的客户资源</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公司自设立以来一直致力于产品和服务的市场品牌建设和推广，注重销售团队的建设和营销网络的建设。截至目前，公 司累计用户达</w:t>
      </w:r>
      <w:r>
        <w:rPr>
          <w:rFonts w:ascii="Times New Roman" w:eastAsia="Times New Roman" w:hAnsi="Times New Roman" w:cs="Times New Roman"/>
          <w:color w:val="000000"/>
          <w:spacing w:val="0"/>
          <w:w w:val="100"/>
          <w:position w:val="0"/>
        </w:rPr>
        <w:t>4000</w:t>
      </w:r>
      <w:r>
        <w:rPr>
          <w:color w:val="000000"/>
          <w:spacing w:val="0"/>
          <w:w w:val="100"/>
          <w:position w:val="0"/>
        </w:rPr>
        <w:t>余家，其中包括国内著名大型三甲医院以及各级卫生行政管理部门。公司坚持</w:t>
      </w:r>
      <w:r>
        <w:rPr>
          <w:rFonts w:ascii="Times New Roman" w:eastAsia="Times New Roman" w:hAnsi="Times New Roman" w:cs="Times New Roman"/>
          <w:color w:val="000000"/>
          <w:spacing w:val="0"/>
          <w:w w:val="100"/>
          <w:position w:val="0"/>
        </w:rPr>
        <w:t>“</w:t>
      </w:r>
      <w:r>
        <w:rPr>
          <w:color w:val="000000"/>
          <w:spacing w:val="0"/>
          <w:w w:val="100"/>
          <w:position w:val="0"/>
        </w:rPr>
        <w:t>合作双赢，共同进步</w:t>
      </w:r>
      <w:r>
        <w:rPr>
          <w:rFonts w:ascii="Times New Roman" w:eastAsia="Times New Roman" w:hAnsi="Times New Roman" w:cs="Times New Roman"/>
          <w:color w:val="000000"/>
          <w:spacing w:val="0"/>
          <w:w w:val="100"/>
          <w:position w:val="0"/>
        </w:rPr>
        <w:t>”</w:t>
      </w:r>
      <w:r>
        <w:rPr>
          <w:color w:val="000000"/>
          <w:spacing w:val="0"/>
          <w:w w:val="100"/>
          <w:position w:val="0"/>
        </w:rPr>
        <w:t>的经 营方针，与主要客户建立紧密的合作关系，在合作中共同发展。为构建与客户之间良好的伙伴关系，公司采取了灵活机动的 沟通方式，运用信息化手段，建立了客户服务中心，开发了客户信息化服务平台，实现了与客户之间的及时沟通，从而为公 司业务持续快速增长奠定了良好的基础。</w:t>
      </w:r>
    </w:p>
    <w:p>
      <w:pPr>
        <w:pStyle w:val="Style29"/>
        <w:keepNext w:val="0"/>
        <w:keepLines w:val="0"/>
        <w:widowControl w:val="0"/>
        <w:shd w:val="clear" w:color="auto" w:fill="auto"/>
        <w:tabs>
          <w:tab w:pos="674" w:val="left"/>
        </w:tabs>
        <w:bidi w:val="0"/>
        <w:spacing w:before="0" w:after="0" w:line="313" w:lineRule="exact"/>
        <w:ind w:left="0" w:right="0"/>
        <w:jc w:val="both"/>
      </w:pPr>
      <w:bookmarkStart w:id="84" w:name="bookmark84"/>
      <w:r>
        <w:rPr>
          <w:rFonts w:ascii="Times New Roman" w:eastAsia="Times New Roman" w:hAnsi="Times New Roman" w:cs="Times New Roman"/>
          <w:color w:val="000000"/>
          <w:spacing w:val="0"/>
          <w:w w:val="100"/>
          <w:position w:val="0"/>
        </w:rPr>
        <w:t>5</w:t>
      </w:r>
      <w:bookmarkEnd w:id="84"/>
      <w:r>
        <w:rPr>
          <w:color w:val="000000"/>
          <w:spacing w:val="0"/>
          <w:w w:val="100"/>
          <w:position w:val="0"/>
        </w:rPr>
        <w:t>、</w:t>
        <w:tab/>
        <w:t>具有良好的品牌形象和高等级的专业资质优势</w:t>
      </w:r>
    </w:p>
    <w:p>
      <w:pPr>
        <w:pStyle w:val="Style29"/>
        <w:keepNext w:val="0"/>
        <w:keepLines w:val="0"/>
        <w:widowControl w:val="0"/>
        <w:shd w:val="clear" w:color="auto" w:fill="auto"/>
        <w:bidi w:val="0"/>
        <w:spacing w:before="0" w:after="0" w:line="310" w:lineRule="exact"/>
        <w:ind w:left="0" w:right="0"/>
        <w:jc w:val="both"/>
        <w:sectPr>
          <w:footnotePr>
            <w:pos w:val="pageBottom"/>
            <w:numFmt w:val="decimal"/>
            <w:numRestart w:val="continuous"/>
          </w:footnotePr>
          <w:pgSz w:w="11900" w:h="16840"/>
          <w:pgMar w:top="1484" w:right="1030" w:bottom="1494" w:left="1107" w:header="0" w:footer="3" w:gutter="0"/>
          <w:cols w:space="720"/>
          <w:noEndnote/>
          <w:rtlGutter w:val="0"/>
          <w:docGrid w:linePitch="360"/>
        </w:sectPr>
      </w:pPr>
      <w:r>
        <w:rPr>
          <w:color w:val="000000"/>
          <w:spacing w:val="0"/>
          <w:w w:val="100"/>
          <w:position w:val="0"/>
        </w:rPr>
        <w:t>随着客户数量的增加以及示范工程项目的推广，公司的品牌知名度不断提升。同时，随着市场秩序的日趋完善，业务专 项资质已成为衡量一个软件企业管理水平和综合实力的一项重要指标，也成为软件企业参与各类招标项目的一项必备条件。 经过多年的努力，公司已取得了如</w:t>
      </w:r>
      <w:r>
        <w:rPr>
          <w:rFonts w:ascii="Times New Roman" w:eastAsia="Times New Roman" w:hAnsi="Times New Roman" w:cs="Times New Roman"/>
          <w:color w:val="000000"/>
          <w:spacing w:val="0"/>
          <w:w w:val="100"/>
          <w:position w:val="0"/>
        </w:rPr>
        <w:t>“</w:t>
      </w:r>
      <w:r>
        <w:rPr>
          <w:color w:val="000000"/>
          <w:spacing w:val="0"/>
          <w:w w:val="100"/>
          <w:position w:val="0"/>
        </w:rPr>
        <w:t>软件能力成熟度模型集成五级</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计算机信息系统集成壹级资质</w:t>
      </w:r>
      <w:r>
        <w:rPr>
          <w:rFonts w:ascii="Times New Roman" w:eastAsia="Times New Roman" w:hAnsi="Times New Roman" w:cs="Times New Roman"/>
          <w:color w:val="000000"/>
          <w:spacing w:val="0"/>
          <w:w w:val="100"/>
          <w:position w:val="0"/>
        </w:rPr>
        <w:t>“</w:t>
      </w:r>
      <w:r>
        <w:rPr>
          <w:color w:val="000000"/>
          <w:spacing w:val="0"/>
          <w:w w:val="100"/>
          <w:position w:val="0"/>
        </w:rPr>
        <w:t>建筑智 能化工程设计与施工壹级资质</w:t>
      </w:r>
      <w:r>
        <w:rPr>
          <w:rFonts w:ascii="Times New Roman" w:eastAsia="Times New Roman" w:hAnsi="Times New Roman" w:cs="Times New Roman"/>
          <w:color w:val="000000"/>
          <w:spacing w:val="0"/>
          <w:w w:val="100"/>
          <w:position w:val="0"/>
        </w:rPr>
        <w:t>”</w:t>
      </w:r>
      <w:r>
        <w:rPr>
          <w:color w:val="000000"/>
          <w:spacing w:val="0"/>
          <w:w w:val="100"/>
          <w:position w:val="0"/>
        </w:rPr>
        <w:t xml:space="preserve">、安全生产许可证、医疗器械产品经营企业许可证、医疗器械生产企业许可证等含金量较高 </w:t>
      </w:r>
      <w:r>
        <w:rPr>
          <w:color w:val="000000"/>
          <w:spacing w:val="0"/>
          <w:w w:val="100"/>
          <w:position w:val="0"/>
        </w:rPr>
        <w:t>的资质证书，使公司在激烈的市场竞争中占有独特的比较优势。</w:t>
      </w:r>
    </w:p>
    <w:p>
      <w:pPr>
        <w:pStyle w:val="Style16"/>
        <w:keepNext/>
        <w:keepLines/>
        <w:widowControl w:val="0"/>
        <w:shd w:val="clear" w:color="auto" w:fill="auto"/>
        <w:bidi w:val="0"/>
        <w:spacing w:before="580" w:after="54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7"/>
        <w:keepNext/>
        <w:keepLines/>
        <w:widowControl w:val="0"/>
        <w:shd w:val="clear" w:color="auto" w:fill="auto"/>
        <w:bidi w:val="0"/>
        <w:spacing w:before="0" w:after="26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年度，公司积极贯彻年初制定的年度经营计划，继续立足医疗卫生信息化行业，依托业已形成的综合优势，紧跟产 业步伐，拓展新兴市场，向智慧医疗与健康服务进行拓展整合，持续提升业绩增长和盈利能力，逐步将公司主营业务从以软 件产品开发销售为主导向信息系统的运维服务和区域医疗健康平台运营服务领域拓展。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54,864.53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28.80%</w:t>
      </w:r>
      <w:r>
        <w:rPr>
          <w:color w:val="000000"/>
          <w:spacing w:val="0"/>
          <w:w w:val="100"/>
          <w:position w:val="0"/>
        </w:rPr>
        <w:t>；实现利润总额</w:t>
      </w:r>
      <w:r>
        <w:rPr>
          <w:rFonts w:ascii="Times New Roman" w:eastAsia="Times New Roman" w:hAnsi="Times New Roman" w:cs="Times New Roman"/>
          <w:color w:val="000000"/>
          <w:spacing w:val="0"/>
          <w:w w:val="100"/>
          <w:position w:val="0"/>
        </w:rPr>
        <w:t>7,385.63</w:t>
      </w:r>
      <w:r>
        <w:rPr>
          <w:color w:val="000000"/>
          <w:spacing w:val="0"/>
          <w:w w:val="100"/>
          <w:position w:val="0"/>
        </w:rPr>
        <w:t xml:space="preserve">万元，比上年同期增长 </w:t>
      </w:r>
      <w:r>
        <w:rPr>
          <w:rFonts w:ascii="Times New Roman" w:eastAsia="Times New Roman" w:hAnsi="Times New Roman" w:cs="Times New Roman"/>
          <w:color w:val="000000"/>
          <w:spacing w:val="0"/>
          <w:w w:val="100"/>
          <w:position w:val="0"/>
        </w:rPr>
        <w:t>26.69%</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6,300.34</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26.81%</w:t>
      </w:r>
      <w:r>
        <w:rPr>
          <w:color w:val="000000"/>
          <w:spacing w:val="0"/>
          <w:w w:val="100"/>
          <w:position w:val="0"/>
        </w:rPr>
        <w:t>。公司取得上述经营成果的主要原因如下： 公司坚持以产品技术为基础，依托业已形成的综合优势，进一步提高市场占有率的产品发展战略取得了较好的经营业绩；同 时，公司不断加大项目实施和验收力度，并推出符合市场需求的新技术、新应用，扩大市场份额；另外，公司加大投资并购 力度，在原有医疗信息化软件市场业务的基础上进行上下游资源整合，完成了对博泰服务的并购重组、中拓信息、创源环境 等的收购，加强公司综合服务体系建设，为以软件产品开发销售为主导逐渐转向以信息系统的运维服务和区域医疗健康平台 及大数据应用运营服务方向拓展奠定坚实基础。</w:t>
      </w:r>
    </w:p>
    <w:p>
      <w:pPr>
        <w:pStyle w:val="Style29"/>
        <w:keepNext w:val="0"/>
        <w:keepLines w:val="0"/>
        <w:widowControl w:val="0"/>
        <w:shd w:val="clear" w:color="auto" w:fill="auto"/>
        <w:bidi w:val="0"/>
        <w:spacing w:before="0" w:after="0" w:line="312" w:lineRule="exact"/>
        <w:ind w:left="0" w:right="0" w:firstLine="300"/>
        <w:jc w:val="both"/>
      </w:pPr>
      <w:bookmarkStart w:id="92" w:name="bookmark92"/>
      <w:r>
        <w:rPr>
          <w:color w:val="000000"/>
          <w:spacing w:val="0"/>
          <w:w w:val="100"/>
          <w:position w:val="0"/>
        </w:rPr>
        <w:t>（</w:t>
      </w:r>
      <w:bookmarkEnd w:id="92"/>
      <w:r>
        <w:rPr>
          <w:color w:val="000000"/>
          <w:spacing w:val="0"/>
          <w:w w:val="100"/>
          <w:position w:val="0"/>
        </w:rPr>
        <w:t>一）深耕医疗信息化软件市场，扩大市场占有率及产品渗透率</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近年来，客户对与其业务深度融合的信息化应用的个性化服务需求大幅提升，公司坚持以客户需求为出发点，进一步贴 近客户需求、及时快速响应、实现服务本地化、降低服务成本，显著提升客户满意度，提高公司的市场占有率和整体利润水 平，增强核心竞争力。同时，随着医疗卫生信息化应用软件建设的深入及近年来医疗信息化市场的投资规模持续扩大，公司 较强的医疗信息化建设经验、医院信息化整体解决方案，较强的研发能力、丰富的产品线、良好的产品质量和完善的营销网 络，在医疗信息化领域产业建设中具备较强优势。报告期内，凭借公司</w:t>
      </w:r>
      <w:r>
        <w:rPr>
          <w:rFonts w:ascii="Times New Roman" w:eastAsia="Times New Roman" w:hAnsi="Times New Roman" w:cs="Times New Roman"/>
          <w:color w:val="000000"/>
          <w:spacing w:val="0"/>
          <w:w w:val="100"/>
          <w:position w:val="0"/>
        </w:rPr>
        <w:t>“</w:t>
      </w:r>
      <w:r>
        <w:rPr>
          <w:color w:val="000000"/>
          <w:spacing w:val="0"/>
          <w:w w:val="100"/>
          <w:position w:val="0"/>
        </w:rPr>
        <w:t>创新驱动，服务转型</w:t>
      </w:r>
      <w:r>
        <w:rPr>
          <w:rFonts w:ascii="Times New Roman" w:eastAsia="Times New Roman" w:hAnsi="Times New Roman" w:cs="Times New Roman"/>
          <w:color w:val="000000"/>
          <w:spacing w:val="0"/>
          <w:w w:val="100"/>
          <w:position w:val="0"/>
        </w:rPr>
        <w:t>”</w:t>
      </w:r>
      <w:r>
        <w:rPr>
          <w:color w:val="000000"/>
          <w:spacing w:val="0"/>
          <w:w w:val="100"/>
          <w:position w:val="0"/>
        </w:rPr>
        <w:t>的核心规划、全面的产品线、 比较完整的市场营销服务模式、策略以及强大的研发实力，公司医疗卫生信息化应用软件销售实现营业收入</w:t>
      </w:r>
      <w:r>
        <w:rPr>
          <w:rFonts w:ascii="Times New Roman" w:eastAsia="Times New Roman" w:hAnsi="Times New Roman" w:cs="Times New Roman"/>
          <w:color w:val="000000"/>
          <w:spacing w:val="0"/>
          <w:w w:val="100"/>
          <w:position w:val="0"/>
        </w:rPr>
        <w:t>42,118.79</w:t>
      </w:r>
      <w:r>
        <w:rPr>
          <w:color w:val="000000"/>
          <w:spacing w:val="0"/>
          <w:w w:val="100"/>
          <w:position w:val="0"/>
        </w:rPr>
        <w:t>万元， 较上年增长</w:t>
      </w:r>
      <w:r>
        <w:rPr>
          <w:rFonts w:ascii="Times New Roman" w:eastAsia="Times New Roman" w:hAnsi="Times New Roman" w:cs="Times New Roman"/>
          <w:color w:val="000000"/>
          <w:spacing w:val="0"/>
          <w:w w:val="100"/>
          <w:position w:val="0"/>
        </w:rPr>
        <w:t>37.87%</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bookmarkStart w:id="93" w:name="bookmark93"/>
      <w:r>
        <w:rPr>
          <w:color w:val="000000"/>
          <w:spacing w:val="0"/>
          <w:w w:val="100"/>
          <w:position w:val="0"/>
        </w:rPr>
        <w:t>（</w:t>
      </w:r>
      <w:bookmarkEnd w:id="93"/>
      <w:r>
        <w:rPr>
          <w:color w:val="000000"/>
          <w:spacing w:val="0"/>
          <w:w w:val="100"/>
          <w:position w:val="0"/>
        </w:rPr>
        <w:t>二）紧跟智慧医疗、健康数据产业趋势，积极布局</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年度，公司综合考虑目前国内智慧医疗、健康城市、健康数据发展阶段及发展趋势、市场潜在空间、竞争格局、产 品化程度及是否具备数据积累条件等多种因素，同时结合自身的条件，公司将智慧医疗与医疗大数据领域作为未来发展的重 点方向，致力成为智慧医疗、健康城市领域的领导者、数据平台方向的区域领导者和医疗健康大数据领域的创新者。为进一 步完善公司在智慧医疗、健康数据产业的布局，公司在未来计划加大对新产品、新技术、新模式等方面的研发投入和支撑力 度。</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报告期内，公司重点布局智慧医疗、健康城市、健康数据战略项目</w:t>
      </w:r>
      <w:r>
        <w:rPr>
          <w:rFonts w:ascii="Times New Roman" w:eastAsia="Times New Roman" w:hAnsi="Times New Roman" w:cs="Times New Roman"/>
          <w:color w:val="000000"/>
          <w:spacing w:val="0"/>
          <w:w w:val="100"/>
          <w:position w:val="0"/>
        </w:rPr>
        <w:t>“</w:t>
      </w:r>
      <w:r>
        <w:rPr>
          <w:color w:val="000000"/>
          <w:spacing w:val="0"/>
          <w:w w:val="100"/>
          <w:position w:val="0"/>
        </w:rPr>
        <w:t>中山市区域卫生信息平台建设营运项目</w:t>
      </w:r>
      <w:r>
        <w:rPr>
          <w:rFonts w:ascii="Times New Roman" w:eastAsia="Times New Roman" w:hAnsi="Times New Roman" w:cs="Times New Roman"/>
          <w:color w:val="000000"/>
          <w:spacing w:val="0"/>
          <w:w w:val="100"/>
          <w:position w:val="0"/>
        </w:rPr>
        <w:t>”</w:t>
      </w:r>
      <w:r>
        <w:rPr>
          <w:color w:val="000000"/>
          <w:spacing w:val="0"/>
          <w:w w:val="100"/>
          <w:position w:val="0"/>
        </w:rPr>
        <w:t>。经过一年 半的建设，目前全市公立医疗机构已基本接入区域卫生信息平台，中山市居民健康门户网站、中山市预约挂号平台、健康中 山</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中山市健康微信公众服务号等应用都已对公众开放，一"通工程顺利在全市推广，中山市</w:t>
      </w:r>
      <w:r>
        <w:rPr>
          <w:rFonts w:ascii="Times New Roman" w:eastAsia="Times New Roman" w:hAnsi="Times New Roman" w:cs="Times New Roman"/>
          <w:color w:val="000000"/>
          <w:spacing w:val="0"/>
          <w:w w:val="100"/>
          <w:position w:val="0"/>
        </w:rPr>
        <w:t>2016</w:t>
      </w:r>
      <w:r>
        <w:rPr>
          <w:color w:val="000000"/>
          <w:spacing w:val="0"/>
          <w:w w:val="100"/>
          <w:position w:val="0"/>
        </w:rPr>
        <w:t>年十大民生工程之一 的健康惠民工程得到了全面落实。中山项目的</w:t>
      </w:r>
      <w:r>
        <w:rPr>
          <w:rFonts w:ascii="Times New Roman" w:eastAsia="Times New Roman" w:hAnsi="Times New Roman" w:cs="Times New Roman"/>
          <w:color w:val="000000"/>
          <w:spacing w:val="0"/>
          <w:w w:val="100"/>
          <w:position w:val="0"/>
        </w:rPr>
        <w:t>“</w:t>
      </w:r>
      <w:r>
        <w:rPr>
          <w:color w:val="000000"/>
          <w:spacing w:val="0"/>
          <w:w w:val="100"/>
          <w:position w:val="0"/>
        </w:rPr>
        <w:t>项目建设</w:t>
      </w:r>
      <w:r>
        <w:rPr>
          <w:rFonts w:ascii="Times New Roman" w:eastAsia="Times New Roman" w:hAnsi="Times New Roman" w:cs="Times New Roman"/>
          <w:color w:val="000000"/>
          <w:spacing w:val="0"/>
          <w:w w:val="100"/>
          <w:position w:val="0"/>
        </w:rPr>
        <w:t>+</w:t>
      </w:r>
      <w:r>
        <w:rPr>
          <w:color w:val="000000"/>
          <w:spacing w:val="0"/>
          <w:w w:val="100"/>
          <w:position w:val="0"/>
        </w:rPr>
        <w:t>特许经营权</w:t>
      </w:r>
      <w:r>
        <w:rPr>
          <w:rFonts w:ascii="Times New Roman" w:eastAsia="Times New Roman" w:hAnsi="Times New Roman" w:cs="Times New Roman"/>
          <w:color w:val="000000"/>
          <w:spacing w:val="0"/>
          <w:w w:val="100"/>
          <w:position w:val="0"/>
        </w:rPr>
        <w:t>”</w:t>
      </w:r>
      <w:r>
        <w:rPr>
          <w:color w:val="000000"/>
          <w:spacing w:val="0"/>
          <w:w w:val="100"/>
          <w:position w:val="0"/>
        </w:rPr>
        <w:t>模式通过一年多的实践，在实现的方式方法、组织架 构、日常管理上已经开始逐步完善起来，正在成为公司区域医疗建设运营模式的新范本</w:t>
      </w:r>
      <w:r>
        <w:rPr>
          <w:color w:val="000000"/>
          <w:spacing w:val="0"/>
          <w:w w:val="100"/>
          <w:position w:val="0"/>
        </w:rPr>
        <w:t>，</w:t>
      </w:r>
      <w:r>
        <w:rPr>
          <w:color w:val="000000"/>
          <w:spacing w:val="0"/>
          <w:w w:val="100"/>
          <w:position w:val="0"/>
        </w:rPr>
        <w:t>在获得一定经验和信心后</w:t>
      </w:r>
      <w:r>
        <w:rPr>
          <w:color w:val="000000"/>
          <w:spacing w:val="0"/>
          <w:w w:val="100"/>
          <w:position w:val="0"/>
        </w:rPr>
        <w:t>，</w:t>
      </w:r>
      <w:r>
        <w:rPr>
          <w:color w:val="000000"/>
          <w:spacing w:val="0"/>
          <w:w w:val="100"/>
          <w:position w:val="0"/>
        </w:rPr>
        <w:t>该模式有 望以更加成熟的形态推向全国其他地区。</w:t>
      </w:r>
    </w:p>
    <w:p>
      <w:pPr>
        <w:pStyle w:val="Style29"/>
        <w:keepNext w:val="0"/>
        <w:keepLines w:val="0"/>
        <w:widowControl w:val="0"/>
        <w:shd w:val="clear" w:color="auto" w:fill="auto"/>
        <w:bidi w:val="0"/>
        <w:spacing w:before="0" w:after="0" w:line="312" w:lineRule="exact"/>
        <w:ind w:left="0" w:right="0" w:firstLine="300"/>
        <w:jc w:val="both"/>
      </w:pPr>
      <w:bookmarkStart w:id="94" w:name="bookmark94"/>
      <w:r>
        <w:rPr>
          <w:color w:val="000000"/>
          <w:spacing w:val="0"/>
          <w:w w:val="100"/>
          <w:position w:val="0"/>
        </w:rPr>
        <w:t>（</w:t>
      </w:r>
      <w:bookmarkEnd w:id="94"/>
      <w:r>
        <w:rPr>
          <w:color w:val="000000"/>
          <w:spacing w:val="0"/>
          <w:w w:val="100"/>
          <w:position w:val="0"/>
        </w:rPr>
        <w:t>三）积极拓展公司业务领域，培养新的利润增长点</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近年来物联网、大数据和云计算不断发展和广泛应用，有效促进了医疗信息化产品的开发，扩大了产品应用的范围，使 得居民与医疗机构、医疗设备之间的互动具备认知和应用基础，给行业发展带来新的空间。</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同时，随着国内经济的快速发展，社会生活水平的提高以及政府公共卫生投入的增加，近年来医疗信息化市场的投资规 模持续扩大，总体市场规模增速较快。自</w:t>
      </w:r>
      <w:r>
        <w:rPr>
          <w:rFonts w:ascii="Times New Roman" w:eastAsia="Times New Roman" w:hAnsi="Times New Roman" w:cs="Times New Roman"/>
          <w:color w:val="000000"/>
          <w:spacing w:val="0"/>
          <w:w w:val="100"/>
          <w:position w:val="0"/>
        </w:rPr>
        <w:t>2011</w:t>
      </w:r>
      <w:r>
        <w:rPr>
          <w:color w:val="000000"/>
          <w:spacing w:val="0"/>
          <w:w w:val="100"/>
          <w:position w:val="0"/>
        </w:rPr>
        <w:t>年起我国医疗医疗信息化市场规模每年以</w:t>
      </w:r>
      <w:r>
        <w:rPr>
          <w:rFonts w:ascii="Times New Roman" w:eastAsia="Times New Roman" w:hAnsi="Times New Roman" w:cs="Times New Roman"/>
          <w:color w:val="000000"/>
          <w:spacing w:val="0"/>
          <w:w w:val="100"/>
          <w:position w:val="0"/>
        </w:rPr>
        <w:t>20%</w:t>
      </w:r>
      <w:r>
        <w:rPr>
          <w:color w:val="000000"/>
          <w:spacing w:val="0"/>
          <w:w w:val="100"/>
          <w:position w:val="0"/>
        </w:rPr>
        <w:t>以上的增长率持续增长，截至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年医疗信息化市场规模已经达到</w:t>
      </w:r>
      <w:r>
        <w:rPr>
          <w:rFonts w:ascii="Times New Roman" w:eastAsia="Times New Roman" w:hAnsi="Times New Roman" w:cs="Times New Roman"/>
          <w:color w:val="000000"/>
          <w:spacing w:val="0"/>
          <w:w w:val="100"/>
          <w:position w:val="0"/>
        </w:rPr>
        <w:t>318</w:t>
      </w:r>
      <w:r>
        <w:rPr>
          <w:color w:val="000000"/>
          <w:spacing w:val="0"/>
          <w:w w:val="100"/>
          <w:position w:val="0"/>
        </w:rPr>
        <w:t>亿元。</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报告期内，公司积极研发新技术、新产品为医疗卫生信息化市场领域提供了新的产品、模式等方面新的变革，同时，公 司紧跟产业步伐，拓展新兴市场，制造新的利润增长点，持续提升业绩增长和盈利能力。</w:t>
      </w:r>
    </w:p>
    <w:p>
      <w:pPr>
        <w:pStyle w:val="Style29"/>
        <w:keepNext w:val="0"/>
        <w:keepLines w:val="0"/>
        <w:widowControl w:val="0"/>
        <w:shd w:val="clear" w:color="auto" w:fill="auto"/>
        <w:tabs>
          <w:tab w:pos="811" w:val="left"/>
        </w:tabs>
        <w:bidi w:val="0"/>
        <w:spacing w:before="0" w:after="0" w:line="313" w:lineRule="exact"/>
        <w:ind w:left="0" w:right="0" w:firstLine="280"/>
        <w:jc w:val="left"/>
      </w:pPr>
      <w:bookmarkStart w:id="95" w:name="bookmark95"/>
      <w:r>
        <w:rPr>
          <w:color w:val="000000"/>
          <w:spacing w:val="0"/>
          <w:w w:val="100"/>
          <w:position w:val="0"/>
        </w:rPr>
        <w:t>（</w:t>
      </w:r>
      <w:bookmarkEnd w:id="95"/>
      <w:r>
        <w:rPr>
          <w:color w:val="000000"/>
          <w:spacing w:val="0"/>
          <w:w w:val="100"/>
          <w:position w:val="0"/>
        </w:rPr>
        <w:t>四）</w:t>
        <w:tab/>
        <w:t>围绕公司线下</w:t>
      </w:r>
      <w:r>
        <w:rPr>
          <w:rFonts w:ascii="Times New Roman" w:eastAsia="Times New Roman" w:hAnsi="Times New Roman" w:cs="Times New Roman"/>
          <w:color w:val="000000"/>
          <w:spacing w:val="0"/>
          <w:w w:val="100"/>
          <w:position w:val="0"/>
        </w:rPr>
        <w:t>+</w:t>
      </w:r>
      <w:r>
        <w:rPr>
          <w:color w:val="000000"/>
          <w:spacing w:val="0"/>
          <w:w w:val="100"/>
          <w:position w:val="0"/>
        </w:rPr>
        <w:t>线上、产品</w:t>
      </w:r>
      <w:r>
        <w:rPr>
          <w:rFonts w:ascii="Times New Roman" w:eastAsia="Times New Roman" w:hAnsi="Times New Roman" w:cs="Times New Roman"/>
          <w:color w:val="000000"/>
          <w:spacing w:val="0"/>
          <w:w w:val="100"/>
          <w:position w:val="0"/>
        </w:rPr>
        <w:t>+</w:t>
      </w:r>
      <w:r>
        <w:rPr>
          <w:color w:val="000000"/>
          <w:spacing w:val="0"/>
          <w:w w:val="100"/>
          <w:position w:val="0"/>
        </w:rPr>
        <w:t>服务的发展战略，加大投资并购规模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报告期内，公司开展资本运作与行业整合，收购了博泰服务、中拓信息、杭州惟勤、杭州卓腾等公司，提高了医疗信息 化领域的市场份额，进一步夯实了公司客户资源基础、拓展了公司产品服务模式。同时，报告期内，公司对外投资了美康网 新、中福投资、参与发起设立长寿健康保险股份有限公司（筹）。提升了公司的业务规模和盈利水平，充分发挥在采购、生 产、技术与研发、营销服务、产品与业务内容等多方面的整合效应，提高公司的核心竞争力和持续盈利能力。</w:t>
      </w:r>
    </w:p>
    <w:p>
      <w:pPr>
        <w:pStyle w:val="Style29"/>
        <w:keepNext w:val="0"/>
        <w:keepLines w:val="0"/>
        <w:widowControl w:val="0"/>
        <w:shd w:val="clear" w:color="auto" w:fill="auto"/>
        <w:tabs>
          <w:tab w:pos="811" w:val="left"/>
        </w:tabs>
        <w:bidi w:val="0"/>
        <w:spacing w:before="0" w:after="0" w:line="313" w:lineRule="exact"/>
        <w:ind w:left="0" w:right="0" w:firstLine="280"/>
        <w:jc w:val="both"/>
      </w:pPr>
      <w:bookmarkStart w:id="96" w:name="bookmark96"/>
      <w:r>
        <w:rPr>
          <w:color w:val="000000"/>
          <w:spacing w:val="0"/>
          <w:w w:val="100"/>
          <w:position w:val="0"/>
        </w:rPr>
        <w:t>（</w:t>
      </w:r>
      <w:bookmarkEnd w:id="96"/>
      <w:r>
        <w:rPr>
          <w:color w:val="000000"/>
          <w:spacing w:val="0"/>
          <w:w w:val="100"/>
          <w:position w:val="0"/>
        </w:rPr>
        <w:t>五）</w:t>
        <w:tab/>
        <w:t>加大产品和模式创新，增强解决方案开发能力，为公司持续发展提供技术保障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持续创新是企业发展的核心动力，报告期内，公司将技术创新的着眼点立足于符合需求、符合公司资源现状、符合行业 特点的应用技术创新上，更加突出市场需求对产品研发和服务的导向作用，突出集成创新和成果的转化应用，努力制造出具 有行业特点、公司特色和富有竞争力的产品。</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报告期内，公司不断完善研发管理制度同时，研发部门和营销部门、客服部门建立起了有效的沟通机制，将研发过程和 销售过程、服务过程紧密结合起来，提高研发部门对业务的支持能力。增强了自身把握市场需求趋势的能力，营销部门和研 发部门联合建立主动的客户需求调研机制，保持产品在市场上的先进性和在行业领域的前瞻性。</w:t>
      </w:r>
    </w:p>
    <w:p>
      <w:pPr>
        <w:pStyle w:val="Style29"/>
        <w:keepNext w:val="0"/>
        <w:keepLines w:val="0"/>
        <w:widowControl w:val="0"/>
        <w:shd w:val="clear" w:color="auto" w:fill="auto"/>
        <w:tabs>
          <w:tab w:pos="811" w:val="left"/>
        </w:tabs>
        <w:bidi w:val="0"/>
        <w:spacing w:before="0" w:after="0" w:line="313" w:lineRule="exact"/>
        <w:ind w:left="0" w:right="0" w:firstLine="280"/>
        <w:jc w:val="both"/>
      </w:pPr>
      <w:bookmarkStart w:id="97" w:name="bookmark97"/>
      <w:r>
        <w:rPr>
          <w:color w:val="000000"/>
          <w:spacing w:val="0"/>
          <w:w w:val="100"/>
          <w:position w:val="0"/>
        </w:rPr>
        <w:t>（</w:t>
      </w:r>
      <w:bookmarkEnd w:id="97"/>
      <w:r>
        <w:rPr>
          <w:color w:val="000000"/>
          <w:spacing w:val="0"/>
          <w:w w:val="100"/>
          <w:position w:val="0"/>
        </w:rPr>
        <w:t>六）</w:t>
        <w:tab/>
        <w:t>完善公司治理结构，加强内部控制，保证规范运作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报告期内，公司更加明确的界定了各部门的目标、职责和权限，建立了相应的授权、检查和问责制度，确保其在授权范 围内履行职责；公司上述内部组织机构能够按照公司制订的管理制度，在各经营管理层的领导下有效执行和运作，公司倡导 的</w:t>
      </w:r>
      <w:r>
        <w:rPr>
          <w:rFonts w:ascii="Times New Roman" w:eastAsia="Times New Roman" w:hAnsi="Times New Roman" w:cs="Times New Roman"/>
          <w:color w:val="000000"/>
          <w:spacing w:val="0"/>
          <w:w w:val="100"/>
          <w:position w:val="0"/>
        </w:rPr>
        <w:t>“</w:t>
      </w:r>
      <w:r>
        <w:rPr>
          <w:color w:val="000000"/>
          <w:spacing w:val="0"/>
          <w:w w:val="100"/>
          <w:position w:val="0"/>
        </w:rPr>
        <w:t>精细化的管理模式</w:t>
      </w:r>
      <w:r>
        <w:rPr>
          <w:rFonts w:ascii="Times New Roman" w:eastAsia="Times New Roman" w:hAnsi="Times New Roman" w:cs="Times New Roman"/>
          <w:color w:val="000000"/>
          <w:spacing w:val="0"/>
          <w:w w:val="100"/>
          <w:position w:val="0"/>
        </w:rPr>
        <w:t>”</w:t>
      </w:r>
      <w:r>
        <w:rPr>
          <w:color w:val="000000"/>
          <w:spacing w:val="0"/>
          <w:w w:val="100"/>
          <w:position w:val="0"/>
        </w:rPr>
        <w:t>也持续提升了内控体系的健全性、合理性和遵循性。</w:t>
      </w:r>
    </w:p>
    <w:p>
      <w:pPr>
        <w:pStyle w:val="Style29"/>
        <w:keepNext w:val="0"/>
        <w:keepLines w:val="0"/>
        <w:widowControl w:val="0"/>
        <w:shd w:val="clear" w:color="auto" w:fill="auto"/>
        <w:tabs>
          <w:tab w:pos="811" w:val="left"/>
        </w:tabs>
        <w:bidi w:val="0"/>
        <w:spacing w:before="0" w:after="0" w:line="313" w:lineRule="exact"/>
        <w:ind w:left="0" w:right="0" w:firstLine="280"/>
        <w:jc w:val="both"/>
      </w:pPr>
      <w:bookmarkStart w:id="98" w:name="bookmark98"/>
      <w:r>
        <w:rPr>
          <w:color w:val="000000"/>
          <w:spacing w:val="0"/>
          <w:w w:val="100"/>
          <w:position w:val="0"/>
        </w:rPr>
        <w:t>（</w:t>
      </w:r>
      <w:bookmarkEnd w:id="98"/>
      <w:r>
        <w:rPr>
          <w:color w:val="000000"/>
          <w:spacing w:val="0"/>
          <w:w w:val="100"/>
          <w:position w:val="0"/>
        </w:rPr>
        <w:t>七）</w:t>
        <w:tab/>
        <w:t>加强投资者关系管理，维护市值增长，打造公司良好的资本市场形象</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作为一家上市公司，公司一直非常重视三会的规范运作，加强信息披露的合规。报告期内，公司注重投资者关系管理、 机构调研计划管理工作，认真对待投资者提问，与投资者保持密切的联系。为与投资者保持良好的沟通，使得投资者对公司 未来的发展有更进一步的了解。</w:t>
      </w:r>
    </w:p>
    <w:p>
      <w:pPr>
        <w:pStyle w:val="Style29"/>
        <w:keepNext w:val="0"/>
        <w:keepLines w:val="0"/>
        <w:widowControl w:val="0"/>
        <w:shd w:val="clear" w:color="auto" w:fill="auto"/>
        <w:bidi w:val="0"/>
        <w:spacing w:before="0" w:after="360" w:line="313" w:lineRule="exact"/>
        <w:ind w:left="0" w:right="0"/>
        <w:jc w:val="left"/>
      </w:pPr>
      <w:r>
        <w:rPr>
          <w:color w:val="000000"/>
          <w:spacing w:val="0"/>
          <w:w w:val="100"/>
          <w:position w:val="0"/>
        </w:rPr>
        <w:t>回望</w:t>
      </w:r>
      <w:r>
        <w:rPr>
          <w:rFonts w:ascii="Times New Roman" w:eastAsia="Times New Roman" w:hAnsi="Times New Roman" w:cs="Times New Roman"/>
          <w:color w:val="000000"/>
          <w:spacing w:val="0"/>
          <w:w w:val="100"/>
          <w:position w:val="0"/>
        </w:rPr>
        <w:t>2016</w:t>
      </w:r>
      <w:r>
        <w:rPr>
          <w:color w:val="000000"/>
          <w:spacing w:val="0"/>
          <w:w w:val="100"/>
          <w:position w:val="0"/>
        </w:rPr>
        <w:t>年，公司内生与外延发展兼修，产业与资本并用，为公司继续推进转型升级发挥了承前启后的重要作用。</w:t>
      </w:r>
    </w:p>
    <w:p>
      <w:pPr>
        <w:pStyle w:val="Style27"/>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、主营业务分析</w:t>
      </w:r>
      <w:bookmarkEnd w:id="100"/>
      <w:bookmarkEnd w:id="102"/>
      <w:bookmarkEnd w:id="99"/>
    </w:p>
    <w:p>
      <w:pPr>
        <w:pStyle w:val="Style35"/>
        <w:keepNext/>
        <w:keepLines/>
        <w:widowControl w:val="0"/>
        <w:shd w:val="clear" w:color="auto" w:fill="auto"/>
        <w:tabs>
          <w:tab w:pos="368" w:val="left"/>
        </w:tabs>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5"/>
        <w:keepNext/>
        <w:keepLines/>
        <w:widowControl w:val="0"/>
        <w:shd w:val="clear" w:color="auto" w:fill="auto"/>
        <w:bidi w:val="0"/>
        <w:spacing w:before="0" w:after="260" w:line="240" w:lineRule="auto"/>
        <w:ind w:left="0" w:right="0" w:firstLine="0"/>
        <w:jc w:val="left"/>
      </w:pPr>
      <w:bookmarkStart w:id="107" w:name="bookmark107"/>
      <w:bookmarkStart w:id="108" w:name="bookmark108"/>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2"/>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8"/>
        <w:keepNext w:val="0"/>
        <w:keepLines w:val="0"/>
        <w:widowControl w:val="0"/>
        <w:shd w:val="clear" w:color="auto" w:fill="auto"/>
        <w:bidi w:val="0"/>
        <w:spacing w:before="0" w:after="12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29"/>
        <w:keepNext w:val="0"/>
        <w:keepLines w:val="0"/>
        <w:widowControl w:val="0"/>
        <w:shd w:val="clear" w:color="auto" w:fill="auto"/>
        <w:bidi w:val="0"/>
        <w:spacing w:before="0" w:after="120" w:line="288" w:lineRule="exact"/>
        <w:ind w:left="0" w:right="0" w:firstLine="0"/>
        <w:jc w:val="left"/>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号——上市公司从事从事互联网游戏业务》的披露要求：</w:t>
      </w:r>
    </w:p>
    <w:p>
      <w:pPr>
        <w:pStyle w:val="Style18"/>
        <w:keepNext w:val="0"/>
        <w:keepLines w:val="0"/>
        <w:widowControl w:val="0"/>
        <w:shd w:val="clear" w:color="auto" w:fill="auto"/>
        <w:bidi w:val="0"/>
        <w:spacing w:before="0" w:after="260" w:line="288"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548,645,307.54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425,971,560.82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28.80%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480,695,658.12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366,503,091.79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21,616,960.95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46,332,688.47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59,468,469.03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-22.09%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医疗卫生信息化 应用软件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421,187,855.55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305,506,854.00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103,033,728.65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119,640,675.95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24,423,723.34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824,030.87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2,863.93%</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301,671,264.63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236,526,525.20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103,671,626.31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52,612,605.72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97.05%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46,941,481.18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34,437,958.10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33,448,098.03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30,375,778.40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25,172,028.83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43,241,486.23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-41.79%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37,740,808.56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28,777,207.17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31.15%</w:t>
            </w:r>
          </w:p>
        </w:tc>
      </w:tr>
    </w:tbl>
    <w:p>
      <w:pPr>
        <w:widowControl w:val="0"/>
        <w:spacing w:after="319" w:line="1" w:lineRule="exact"/>
      </w:pPr>
    </w:p>
    <w:p>
      <w:pPr>
        <w:pStyle w:val="Style35"/>
        <w:keepNext/>
        <w:keepLines/>
        <w:widowControl w:val="0"/>
        <w:numPr>
          <w:ilvl w:val="0"/>
          <w:numId w:val="1"/>
        </w:numPr>
        <w:shd w:val="clear" w:color="auto" w:fill="auto"/>
        <w:bidi w:val="0"/>
        <w:spacing w:before="0" w:after="36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480,695,658.12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228,078,839.04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-2.60%</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医疗卫生信息 化应用软件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421,187,855.55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178,409,259.49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103,033,728.65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85,228,923.77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-0.14%</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301,671,264.63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152,788,610.32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103,671,626.31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54,537,226.79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-2.49%</w:t>
            </w:r>
          </w:p>
        </w:tc>
      </w:tr>
    </w:tbl>
    <w:p>
      <w:pPr>
        <w:pStyle w:val="Style29"/>
        <w:keepNext w:val="0"/>
        <w:keepLines w:val="0"/>
        <w:widowControl w:val="0"/>
        <w:shd w:val="clear" w:color="auto" w:fill="auto"/>
        <w:bidi w:val="0"/>
        <w:spacing w:before="0" w:after="22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医疗卫生信息 化应用软件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108,497,843.69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71,226,073.57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76,054,285.59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76,270,722.88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22,660,433.37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262,364.89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7.97%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380" w:line="322" w:lineRule="exact"/>
        <w:ind w:left="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年公司新设立全资子公司中山市杭创科技有限公司和宁海杭创网络科技有限公司；收购杭州惟勤科技有限公司、中 山市蓝天电脑有限公司、广东中拓信息技术有限公司及浙江创源环境科技股份有限公司，并于本报告期纳入合并报表范围。</w:t>
      </w:r>
    </w:p>
    <w:p>
      <w:pPr>
        <w:pStyle w:val="Style35"/>
        <w:keepNext/>
        <w:keepLines/>
        <w:widowControl w:val="0"/>
        <w:shd w:val="clear" w:color="auto" w:fill="auto"/>
        <w:tabs>
          <w:tab w:pos="488" w:val="left"/>
        </w:tabs>
        <w:bidi w:val="0"/>
        <w:spacing w:before="0" w:after="30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公司本报告期收购浙江创源环境科技股份有限公司</w:t>
      </w:r>
      <w:r>
        <w:rPr>
          <w:rFonts w:ascii="Times New Roman" w:eastAsia="Times New Roman" w:hAnsi="Times New Roman" w:cs="Times New Roman"/>
          <w:color w:val="000000"/>
          <w:spacing w:val="0"/>
          <w:w w:val="100"/>
          <w:position w:val="0"/>
        </w:rPr>
        <w:t>47.5%</w:t>
      </w:r>
      <w:r>
        <w:rPr>
          <w:color w:val="000000"/>
          <w:spacing w:val="0"/>
          <w:w w:val="100"/>
          <w:position w:val="0"/>
        </w:rPr>
        <w:t>股权并取得控制权，于本报告期纳入合并范围。</w:t>
      </w:r>
    </w:p>
    <w:p>
      <w:pPr>
        <w:pStyle w:val="Style29"/>
        <w:keepNext w:val="0"/>
        <w:keepLines w:val="0"/>
        <w:widowControl w:val="0"/>
        <w:shd w:val="clear" w:color="auto" w:fill="auto"/>
        <w:bidi w:val="0"/>
        <w:spacing w:before="0" w:after="680" w:line="307" w:lineRule="exact"/>
        <w:ind w:left="0" w:right="0" w:firstLine="360"/>
        <w:jc w:val="both"/>
      </w:pPr>
      <w:r>
        <w:rPr>
          <w:color w:val="000000"/>
          <w:spacing w:val="0"/>
          <w:w w:val="100"/>
          <w:position w:val="0"/>
        </w:rPr>
        <w:t>浙江创源环境科技股份有限公司从事环保远程监控系统运维服务，以及环保在线监控系统产品的研发和销售，系我公司 本报告期新增加的业务。</w:t>
      </w:r>
      <w:r>
        <w:rPr>
          <w:rFonts w:ascii="Times New Roman" w:eastAsia="Times New Roman" w:hAnsi="Times New Roman" w:cs="Times New Roman"/>
          <w:color w:val="000000"/>
          <w:spacing w:val="0"/>
          <w:w w:val="100"/>
          <w:position w:val="0"/>
        </w:rPr>
        <w:t>2016</w:t>
      </w:r>
      <w:r>
        <w:rPr>
          <w:color w:val="000000"/>
          <w:spacing w:val="0"/>
          <w:w w:val="100"/>
          <w:position w:val="0"/>
        </w:rPr>
        <w:t>年浙江创源环境科技股份有限公司纳入我公司合并范围期间实现营业收入</w:t>
      </w:r>
      <w:r>
        <w:rPr>
          <w:rFonts w:ascii="Times New Roman" w:eastAsia="Times New Roman" w:hAnsi="Times New Roman" w:cs="Times New Roman"/>
          <w:color w:val="000000"/>
          <w:spacing w:val="0"/>
          <w:w w:val="100"/>
          <w:position w:val="0"/>
        </w:rPr>
        <w:t>2,161.70</w:t>
      </w:r>
      <w:r>
        <w:rPr>
          <w:color w:val="000000"/>
          <w:spacing w:val="0"/>
          <w:w w:val="100"/>
          <w:position w:val="0"/>
        </w:rPr>
        <w:t>万元，净利 润</w:t>
      </w:r>
      <w:r>
        <w:rPr>
          <w:rFonts w:ascii="Times New Roman" w:eastAsia="Times New Roman" w:hAnsi="Times New Roman" w:cs="Times New Roman"/>
          <w:color w:val="000000"/>
          <w:spacing w:val="0"/>
          <w:w w:val="100"/>
          <w:position w:val="0"/>
        </w:rPr>
        <w:t>434.13</w:t>
      </w:r>
      <w:r>
        <w:rPr>
          <w:color w:val="000000"/>
          <w:spacing w:val="0"/>
          <w:w w:val="100"/>
          <w:position w:val="0"/>
        </w:rPr>
        <w:t>万元。</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58,352,291.19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19,924,397.99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10,756,302.98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10,424,854.37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8,756,169.81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8,490,566.04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58,352,291.19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23,121,502.12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7,068,729.92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5,726,708.93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4,002,064.91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3,876,135.12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2,447,863.24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1.87%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23,121,502.12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67,148,558.74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46,984,476.15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主要系本期业务规模扩大，同时股 份支付摊销费用所致。</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157,712,695.57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113,952,452.19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主要系本期业务规模扩大，同时股 份支付摊销费用所致。</w:t>
            </w:r>
          </w:p>
        </w:tc>
      </w:tr>
    </w:tbl>
    <w:p>
      <w:pPr>
        <w:spacing w:lineRule="exact" w:line="1"/>
        <w:rPr>
          <w:sz w:val="2"/>
          <w:szCs w:val="2"/>
        </w:rPr>
      </w:pPr>
      <w:r>
        <w:br w:type="page"/>
      </w:r>
    </w:p>
    <w:tbl>
      <w:tblPr>
        <w:tblOverlap w:val="never"/>
        <w:jc w:val="center"/>
        <w:tblLayout w:type="fixed"/>
      </w:tblPr>
      <w:tblGrid>
        <w:gridCol w:w="1920"/>
        <w:gridCol w:w="1637"/>
        <w:gridCol w:w="1637"/>
        <w:gridCol w:w="1464"/>
        <w:gridCol w:w="292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-7,577,225.90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-3,550,203.02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主要系利息收入增加所致。</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60" w:line="312" w:lineRule="exact"/>
        <w:ind w:left="0" w:right="0" w:firstLine="280"/>
        <w:jc w:val="both"/>
      </w:pPr>
      <w:r>
        <w:rPr>
          <w:color w:val="000000"/>
          <w:spacing w:val="0"/>
          <w:w w:val="100"/>
          <w:position w:val="0"/>
        </w:rPr>
        <w:t>报告期内，公司在总体战略指导下，不断加大研发投入，其中研发投入</w:t>
      </w:r>
      <w:r>
        <w:rPr>
          <w:rFonts w:ascii="Times New Roman" w:eastAsia="Times New Roman" w:hAnsi="Times New Roman" w:cs="Times New Roman"/>
          <w:color w:val="000000"/>
          <w:spacing w:val="0"/>
          <w:w w:val="100"/>
          <w:position w:val="0"/>
        </w:rPr>
        <w:t>84,530,838.31</w:t>
      </w:r>
      <w:r>
        <w:rPr>
          <w:color w:val="000000"/>
          <w:spacing w:val="0"/>
          <w:w w:val="100"/>
          <w:position w:val="0"/>
        </w:rPr>
        <w:t>元，占营业收入的</w:t>
      </w:r>
      <w:r>
        <w:rPr>
          <w:rFonts w:ascii="Times New Roman" w:eastAsia="Times New Roman" w:hAnsi="Times New Roman" w:cs="Times New Roman"/>
          <w:color w:val="000000"/>
          <w:spacing w:val="0"/>
          <w:w w:val="100"/>
          <w:position w:val="0"/>
        </w:rPr>
        <w:t>15.41%</w:t>
      </w:r>
      <w:r>
        <w:rPr>
          <w:color w:val="000000"/>
          <w:spacing w:val="0"/>
          <w:w w:val="100"/>
          <w:position w:val="0"/>
        </w:rPr>
        <w:t>,全部费 用化。本报告期内取得发明专利</w:t>
      </w:r>
      <w:r>
        <w:rPr>
          <w:rFonts w:ascii="Times New Roman" w:eastAsia="Times New Roman" w:hAnsi="Times New Roman" w:cs="Times New Roman"/>
          <w:color w:val="000000"/>
          <w:spacing w:val="0"/>
          <w:w w:val="100"/>
          <w:position w:val="0"/>
        </w:rPr>
        <w:t>2</w:t>
      </w:r>
      <w:r>
        <w:rPr>
          <w:color w:val="000000"/>
          <w:spacing w:val="0"/>
          <w:w w:val="100"/>
          <w:position w:val="0"/>
        </w:rPr>
        <w:t>项，软件著作权</w:t>
      </w:r>
      <w:r>
        <w:rPr>
          <w:rFonts w:ascii="Times New Roman" w:eastAsia="Times New Roman" w:hAnsi="Times New Roman" w:cs="Times New Roman"/>
          <w:color w:val="000000"/>
          <w:spacing w:val="0"/>
          <w:w w:val="100"/>
          <w:position w:val="0"/>
        </w:rPr>
        <w:t>12</w:t>
      </w:r>
      <w:r>
        <w:rPr>
          <w:color w:val="000000"/>
          <w:spacing w:val="0"/>
          <w:w w:val="100"/>
          <w:position w:val="0"/>
        </w:rPr>
        <w:t>项，参与起草行业标准</w:t>
      </w:r>
      <w:r>
        <w:rPr>
          <w:rFonts w:ascii="Times New Roman" w:eastAsia="Times New Roman" w:hAnsi="Times New Roman" w:cs="Times New Roman"/>
          <w:color w:val="000000"/>
          <w:spacing w:val="0"/>
          <w:w w:val="100"/>
          <w:position w:val="0"/>
        </w:rPr>
        <w:t>2</w:t>
      </w:r>
      <w:r>
        <w:rPr>
          <w:color w:val="000000"/>
          <w:spacing w:val="0"/>
          <w:w w:val="100"/>
          <w:position w:val="0"/>
        </w:rPr>
        <w:t>项。</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84,530,838.31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56,737,913.35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46,645,106.27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641,213,563.48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486,075,258.07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522,226,029.11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467,602,129.91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118,987,534.37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18,473,128.16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141,610,151.84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3,173,275.93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245,692,557.89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194,922,038.15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-104,082,406.05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-191,748,762.22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22,936,890.00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320,087,150.00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19,036,079.63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15,800,000.00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3,900,810.37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304,287,150.00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18,805,938.69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131,011,515.94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-85.65%</w:t>
            </w:r>
          </w:p>
        </w:tc>
      </w:tr>
    </w:tbl>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经营活动现金流入同比增长</w:t>
      </w:r>
      <w:r>
        <w:rPr>
          <w:rFonts w:ascii="Times New Roman" w:eastAsia="Times New Roman" w:hAnsi="Times New Roman" w:cs="Times New Roman"/>
          <w:color w:val="000000"/>
          <w:spacing w:val="0"/>
          <w:w w:val="100"/>
          <w:position w:val="0"/>
        </w:rPr>
        <w:t>38.42%</w:t>
      </w:r>
      <w:r>
        <w:rPr>
          <w:color w:val="000000"/>
          <w:spacing w:val="0"/>
          <w:w w:val="100"/>
          <w:position w:val="0"/>
        </w:rPr>
        <w:t>,主要系本期回款增加所致。</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投资活动现金流入同比增长</w:t>
      </w:r>
      <w:r>
        <w:rPr>
          <w:rFonts w:ascii="Times New Roman" w:eastAsia="Times New Roman" w:hAnsi="Times New Roman" w:cs="Times New Roman"/>
          <w:color w:val="000000"/>
          <w:spacing w:val="0"/>
          <w:w w:val="100"/>
          <w:position w:val="0"/>
        </w:rPr>
        <w:t>4362.59%</w:t>
      </w:r>
      <w:r>
        <w:rPr>
          <w:color w:val="000000"/>
          <w:spacing w:val="0"/>
          <w:w w:val="100"/>
          <w:position w:val="0"/>
        </w:rPr>
        <w:t>，主要系理财产品投资收回所致；</w:t>
      </w:r>
    </w:p>
    <w:p>
      <w:pPr>
        <w:pStyle w:val="Style29"/>
        <w:keepNext w:val="0"/>
        <w:keepLines w:val="0"/>
        <w:widowControl w:val="0"/>
        <w:shd w:val="clear" w:color="auto" w:fill="auto"/>
        <w:bidi w:val="0"/>
        <w:spacing w:before="0" w:after="40" w:line="317" w:lineRule="exact"/>
        <w:ind w:left="0" w:right="0" w:firstLine="0"/>
        <w:jc w:val="both"/>
      </w:pPr>
      <w:r>
        <w:rPr>
          <w:color w:val="000000"/>
          <w:spacing w:val="0"/>
          <w:w w:val="100"/>
          <w:position w:val="0"/>
        </w:rPr>
        <w:t>筹资活动现金流入同比下降</w:t>
      </w:r>
      <w:r>
        <w:rPr>
          <w:rFonts w:ascii="Times New Roman" w:eastAsia="Times New Roman" w:hAnsi="Times New Roman" w:cs="Times New Roman"/>
          <w:color w:val="000000"/>
          <w:spacing w:val="0"/>
          <w:w w:val="100"/>
          <w:position w:val="0"/>
        </w:rPr>
        <w:t>92.83%</w:t>
      </w:r>
      <w:r>
        <w:rPr>
          <w:color w:val="000000"/>
          <w:spacing w:val="0"/>
          <w:w w:val="100"/>
          <w:position w:val="0"/>
        </w:rPr>
        <w:t>，主要系上期首次公开发行股票所致；</w:t>
      </w:r>
    </w:p>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报告期本公司经营活动产生的现金净流量为</w:t>
      </w:r>
      <w:r>
        <w:rPr>
          <w:rFonts w:ascii="Times New Roman" w:eastAsia="Times New Roman" w:hAnsi="Times New Roman" w:cs="Times New Roman"/>
          <w:color w:val="000000"/>
          <w:spacing w:val="0"/>
          <w:w w:val="100"/>
          <w:position w:val="0"/>
        </w:rPr>
        <w:t>11729.99</w:t>
      </w:r>
      <w:r>
        <w:rPr>
          <w:color w:val="000000"/>
          <w:spacing w:val="0"/>
          <w:w w:val="100"/>
          <w:position w:val="0"/>
        </w:rPr>
        <w:t>万元，本年度净利润为</w:t>
      </w:r>
      <w:r>
        <w:rPr>
          <w:rFonts w:ascii="Times New Roman" w:eastAsia="Times New Roman" w:hAnsi="Times New Roman" w:cs="Times New Roman"/>
          <w:color w:val="000000"/>
          <w:spacing w:val="0"/>
          <w:w w:val="100"/>
          <w:position w:val="0"/>
        </w:rPr>
        <w:t>6708.7</w:t>
      </w:r>
      <w:r>
        <w:rPr>
          <w:rFonts w:ascii="Times New Roman" w:eastAsia="Times New Roman" w:hAnsi="Times New Roman" w:cs="Times New Roman"/>
          <w:color w:val="000000"/>
          <w:spacing w:val="0"/>
          <w:w w:val="100"/>
          <w:position w:val="0"/>
        </w:rPr>
        <w:t>2</w:t>
      </w:r>
      <w:r>
        <w:rPr>
          <w:color w:val="000000"/>
          <w:spacing w:val="0"/>
          <w:w w:val="100"/>
          <w:position w:val="0"/>
        </w:rPr>
        <w:t>万元，差额</w:t>
      </w:r>
      <w:r>
        <w:rPr>
          <w:rFonts w:ascii="Times New Roman" w:eastAsia="Times New Roman" w:hAnsi="Times New Roman" w:cs="Times New Roman"/>
          <w:color w:val="000000"/>
          <w:spacing w:val="0"/>
          <w:w w:val="100"/>
          <w:position w:val="0"/>
        </w:rPr>
        <w:t>5021.27</w:t>
      </w:r>
      <w:r>
        <w:rPr>
          <w:color w:val="000000"/>
          <w:spacing w:val="0"/>
          <w:w w:val="100"/>
          <w:position w:val="0"/>
        </w:rPr>
        <w:t>万元，主要系本 期摊销股份支付成本费用</w:t>
      </w:r>
      <w:r>
        <w:rPr>
          <w:rFonts w:ascii="Times New Roman" w:eastAsia="Times New Roman" w:hAnsi="Times New Roman" w:cs="Times New Roman"/>
          <w:color w:val="000000"/>
          <w:spacing w:val="0"/>
          <w:w w:val="100"/>
          <w:position w:val="0"/>
        </w:rPr>
        <w:t>4798.06</w:t>
      </w:r>
      <w:r>
        <w:rPr>
          <w:color w:val="000000"/>
          <w:spacing w:val="0"/>
          <w:w w:val="100"/>
          <w:position w:val="0"/>
        </w:rPr>
        <w:t>万元无需支付现金所致。</w:t>
      </w:r>
    </w:p>
    <w:p>
      <w:pPr>
        <w:pStyle w:val="Style27"/>
        <w:keepNext/>
        <w:keepLines/>
        <w:widowControl w:val="0"/>
        <w:shd w:val="clear" w:color="auto" w:fill="auto"/>
        <w:tabs>
          <w:tab w:pos="522" w:val="left"/>
        </w:tabs>
        <w:bidi w:val="0"/>
        <w:spacing w:before="0" w:after="36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sz w:val="24"/>
          <w:szCs w:val="24"/>
        </w:rPr>
        <w:t>三</w:t>
      </w:r>
      <w:bookmarkEnd w:id="155"/>
      <w:r>
        <w:rPr>
          <w:color w:val="000000"/>
          <w:spacing w:val="0"/>
          <w:w w:val="100"/>
          <w:position w:val="0"/>
          <w:sz w:val="24"/>
          <w:szCs w:val="24"/>
        </w:rPr>
        <w:t>、</w:t>
        <w:tab/>
        <w:t>非主营业务情况</w:t>
      </w:r>
      <w:bookmarkEnd w:id="153"/>
      <w:bookmarkEnd w:id="154"/>
      <w:bookmarkEnd w:id="156"/>
    </w:p>
    <w:p>
      <w:pPr>
        <w:pStyle w:val="Style29"/>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sz w:val="24"/>
          <w:szCs w:val="24"/>
        </w:rPr>
        <w:t>四</w:t>
      </w:r>
      <w:bookmarkEnd w:id="159"/>
      <w:r>
        <w:rPr>
          <w:color w:val="000000"/>
          <w:spacing w:val="0"/>
          <w:w w:val="100"/>
          <w:position w:val="0"/>
          <w:sz w:val="24"/>
          <w:szCs w:val="24"/>
        </w:rPr>
        <w:t>、</w:t>
        <w:tab/>
        <w:t>资产及负债状况</w:t>
      </w:r>
      <w:bookmarkEnd w:id="157"/>
      <w:bookmarkEnd w:id="158"/>
      <w:bookmarkEnd w:id="160"/>
    </w:p>
    <w:p>
      <w:pPr>
        <w:pStyle w:val="Style35"/>
        <w:keepNext/>
        <w:keepLines/>
        <w:widowControl w:val="0"/>
        <w:shd w:val="clear" w:color="auto" w:fill="auto"/>
        <w:bidi w:val="0"/>
        <w:spacing w:before="0" w:after="36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317,942,646.</w:t>
            </w:r>
          </w:p>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334,811,457.</w:t>
            </w:r>
          </w:p>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312,970,867.</w:t>
            </w:r>
          </w:p>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223,301,821.</w:t>
            </w:r>
          </w:p>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主要系本期销售额增长，同时本期 合并范围增加所致。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44,266,417.5</w:t>
            </w:r>
          </w:p>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32,556,973.2</w:t>
            </w:r>
          </w:p>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主要系本期合并范围增加所致。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3,913,759.88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4,135,685.12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7,014,395.36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1,629,806.14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主要系本期新增参股公司浙江美康 网新云健康科技股份有限公司所 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245,370,858.</w:t>
            </w:r>
          </w:p>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75,586,185.3</w:t>
            </w:r>
          </w:p>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主要系创业智慧医疗软件生产基地 建设工程本期结转固定资产所致。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9,030,903.39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56,928,230.6</w:t>
            </w:r>
          </w:p>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主要系创业智慧医疗软件生产基地 建设工程本期结转固定资产所致。</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主要系本期合并范围增加所致。</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tbl>
      <w:tblPr>
        <w:tblOverlap w:val="never"/>
        <w:jc w:val="center"/>
        <w:tblLayout w:type="fixed"/>
      </w:tblPr>
      <w:tblGrid>
        <w:gridCol w:w="3288"/>
        <w:gridCol w:w="3283"/>
        <w:gridCol w:w="3293"/>
      </w:tblGrid>
      <w:tr>
        <w:trPr>
          <w:trHeight w:val="326" w:hRule="exact"/>
        </w:trPr>
        <w:tc>
          <w:tcPr>
            <w:tcBorders>
              <w:top w:val="single" w:sz="4"/>
              <w:left w:val="single" w:sz="4"/>
            </w:tcBorders>
            <w:shd w:val="clear" w:color="auto" w:fill="BEBEBE"/>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EBEBE"/>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期末账面价值</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元</w:t>
            </w:r>
            <w:r>
              <w:rPr>
                <w:b/>
                <w:bCs/>
                <w:color w:val="000000"/>
                <w:spacing w:val="0"/>
                <w:w w:val="100"/>
                <w:position w:val="0"/>
                <w:sz w:val="19"/>
                <w:szCs w:val="19"/>
              </w:rPr>
              <w:t>）</w:t>
            </w:r>
          </w:p>
        </w:tc>
        <w:tc>
          <w:tcPr>
            <w:tcBorders>
              <w:top w:val="single" w:sz="4"/>
              <w:left w:val="single" w:sz="4"/>
              <w:right w:val="single" w:sz="4"/>
            </w:tcBorders>
            <w:shd w:val="clear" w:color="auto" w:fill="BEBEBE"/>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保函保证金</w:t>
            </w:r>
            <w:r>
              <w:rPr>
                <w:rFonts w:ascii="Times New Roman" w:eastAsia="Times New Roman" w:hAnsi="Times New Roman" w:cs="Times New Roman"/>
                <w:color w:val="000000"/>
                <w:spacing w:val="0"/>
                <w:w w:val="100"/>
                <w:position w:val="0"/>
              </w:rPr>
              <w:t>160,000.00</w:t>
            </w:r>
            <w:r>
              <w:rPr>
                <w:color w:val="000000"/>
                <w:spacing w:val="0"/>
                <w:w w:val="100"/>
                <w:position w:val="0"/>
              </w:rPr>
              <w:t>元和已作为项目 保证金的定期存款</w:t>
            </w:r>
            <w:r>
              <w:rPr>
                <w:rFonts w:ascii="Times New Roman" w:eastAsia="Times New Roman" w:hAnsi="Times New Roman" w:cs="Times New Roman"/>
                <w:color w:val="000000"/>
                <w:spacing w:val="0"/>
                <w:w w:val="100"/>
                <w:position w:val="0"/>
              </w:rPr>
              <w:t>500,000.00</w:t>
            </w:r>
            <w:r>
              <w:rPr>
                <w:color w:val="000000"/>
                <w:spacing w:val="0"/>
                <w:w w:val="100"/>
                <w:position w:val="0"/>
              </w:rPr>
              <w:t>元</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9,711,000.00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有追索权的应收款保理</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689,789.71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为银行融资、开立银行承兑票据提供抵 押担保</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11,060,789.71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日，固定资产抵押项下的银行借款已偿还。</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五</w:t>
      </w:r>
      <w:bookmarkEnd w:id="175"/>
      <w:r>
        <w:rPr>
          <w:color w:val="000000"/>
          <w:spacing w:val="0"/>
          <w:w w:val="100"/>
          <w:position w:val="0"/>
          <w:sz w:val="24"/>
          <w:szCs w:val="24"/>
        </w:rPr>
        <w:t>、投资状况分析</w:t>
      </w:r>
      <w:bookmarkEnd w:id="173"/>
      <w:bookmarkEnd w:id="174"/>
      <w:bookmarkEnd w:id="176"/>
    </w:p>
    <w:p>
      <w:pPr>
        <w:pStyle w:val="Style35"/>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153,390,857.74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51,957,567.66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195.22%</w:t>
            </w:r>
          </w:p>
        </w:tc>
      </w:tr>
    </w:tbl>
    <w:p>
      <w:pPr>
        <w:widowControl w:val="0"/>
        <w:spacing w:after="1019" w:line="1" w:lineRule="exact"/>
      </w:pPr>
    </w:p>
    <w:p>
      <w:pPr>
        <w:pStyle w:val="Style3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、报告期内获取的重大的股权投资情况</w:t>
      </w:r>
      <w:bookmarkEnd w:id="181"/>
      <w:bookmarkEnd w:id="182"/>
      <w:bookmarkEnd w:id="184"/>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1"/>
        <w:gridCol w:w="662"/>
        <w:gridCol w:w="662"/>
        <w:gridCol w:w="662"/>
        <w:gridCol w:w="662"/>
        <w:gridCol w:w="658"/>
        <w:gridCol w:w="653"/>
        <w:gridCol w:w="662"/>
        <w:gridCol w:w="629"/>
        <w:gridCol w:w="739"/>
        <w:gridCol w:w="730"/>
        <w:gridCol w:w="734"/>
        <w:gridCol w:w="73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投资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14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合作</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 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投资 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77" w:lineRule="exact"/>
              <w:ind w:left="0" w:right="0" w:firstLine="0"/>
              <w:jc w:val="center"/>
            </w:pPr>
            <w:r>
              <w:rPr>
                <w:color w:val="000000"/>
                <w:spacing w:val="0"/>
                <w:w w:val="100"/>
                <w:position w:val="0"/>
              </w:rPr>
              <w:t>阜木 是否</w:t>
            </w:r>
          </w:p>
          <w:p>
            <w:pPr>
              <w:pStyle w:val="Style24"/>
              <w:keepNext w:val="0"/>
              <w:keepLines w:val="0"/>
              <w:widowControl w:val="0"/>
              <w:shd w:val="clear" w:color="auto" w:fill="auto"/>
              <w:bidi w:val="0"/>
              <w:spacing w:before="0" w:after="0" w:line="77" w:lineRule="exact"/>
              <w:ind w:left="0" w:right="0" w:firstLine="180"/>
              <w:jc w:val="left"/>
            </w:pPr>
            <w:r>
              <w:rPr>
                <w:color w:val="000000"/>
                <w:spacing w:val="0"/>
                <w:w w:val="100"/>
                <w:position w:val="0"/>
              </w:rPr>
              <w:t>涉诉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180" w:right="0" w:firstLine="0"/>
              <w:jc w:val="left"/>
            </w:pPr>
            <w:r>
              <w:rPr>
                <w:color w:val="000000"/>
                <w:spacing w:val="0"/>
                <w:w w:val="100"/>
                <w:position w:val="0"/>
              </w:rPr>
              <w:t>披露 日期</w:t>
            </w:r>
          </w:p>
          <w:p>
            <w:pPr>
              <w:pStyle w:val="Style24"/>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180" w:right="0" w:firstLine="0"/>
              <w:jc w:val="left"/>
            </w:pPr>
            <w:r>
              <w:rPr>
                <w:color w:val="000000"/>
                <w:spacing w:val="0"/>
                <w:w w:val="100"/>
                <w:position w:val="0"/>
              </w:rPr>
              <w:t>披露 索引</w:t>
            </w:r>
          </w:p>
          <w:p>
            <w:pPr>
              <w:pStyle w:val="Style24"/>
              <w:keepNext w:val="0"/>
              <w:keepLines w:val="0"/>
              <w:widowControl w:val="0"/>
              <w:shd w:val="clear" w:color="auto" w:fill="auto"/>
              <w:bidi w:val="0"/>
              <w:spacing w:before="0" w:after="0" w:line="326" w:lineRule="exact"/>
              <w:ind w:left="180" w:right="0" w:firstLine="0"/>
              <w:jc w:val="left"/>
            </w:pPr>
            <w:r>
              <w:rPr>
                <w:color w:val="000000"/>
                <w:spacing w:val="0"/>
                <w:w w:val="100"/>
                <w:position w:val="0"/>
              </w:rPr>
              <w:t>（如 有）</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广东 中拓 信息 技术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软件 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39,76</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80.00</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周青</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彭世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5,262,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http://</w:t>
            </w:r>
          </w:p>
          <w:p>
            <w:pPr>
              <w:pStyle w:val="Style24"/>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环保 监测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28,50</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47.50</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陈晓</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军、</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4,324,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http://</w:t>
            </w:r>
          </w:p>
          <w:p>
            <w:pPr>
              <w:pStyle w:val="Style24"/>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w:t>
            </w:r>
          </w:p>
        </w:tc>
      </w:tr>
    </w:tbl>
    <w:p>
      <w:pPr>
        <w:spacing w:lineRule="exact" w:line="1"/>
        <w:rPr>
          <w:sz w:val="2"/>
          <w:szCs w:val="2"/>
        </w:rPr>
      </w:pPr>
      <w:r>
        <w:br w:type="page"/>
      </w:r>
    </w:p>
    <w:tbl>
      <w:tblPr>
        <w:tblOverlap w:val="never"/>
        <w:jc w:val="center"/>
        <w:tblLayout w:type="fixed"/>
      </w:tblPr>
      <w:tblGrid>
        <w:gridCol w:w="701"/>
        <w:gridCol w:w="691"/>
        <w:gridCol w:w="662"/>
        <w:gridCol w:w="662"/>
        <w:gridCol w:w="662"/>
        <w:gridCol w:w="662"/>
        <w:gridCol w:w="658"/>
        <w:gridCol w:w="653"/>
        <w:gridCol w:w="662"/>
        <w:gridCol w:w="629"/>
        <w:gridCol w:w="739"/>
        <w:gridCol w:w="730"/>
        <w:gridCol w:w="734"/>
        <w:gridCol w:w="730"/>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pPr>
            <w:r>
              <w:rPr>
                <w:color w:val="000000"/>
                <w:spacing w:val="0"/>
                <w:w w:val="100"/>
                <w:position w:val="0"/>
              </w:rPr>
              <w:t>科技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om.cn</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68,26</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9,587,</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079.10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、报告期内正在进行的重大的非股权投资情况</w:t>
      </w:r>
      <w:bookmarkEnd w:id="185"/>
      <w:bookmarkEnd w:id="186"/>
      <w:bookmarkEnd w:id="18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78"/>
        <w:gridCol w:w="715"/>
        <w:gridCol w:w="720"/>
        <w:gridCol w:w="715"/>
        <w:gridCol w:w="653"/>
        <w:gridCol w:w="648"/>
        <w:gridCol w:w="653"/>
        <w:gridCol w:w="653"/>
        <w:gridCol w:w="653"/>
        <w:gridCol w:w="658"/>
      </w:tblGrid>
      <w:tr>
        <w:trPr>
          <w:trHeight w:val="25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截至 报告 期末 累计 实际 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项目 进度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 报告 期末 累计 实现 的收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未达 到计 划进 度和 预计 收益 的原 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披露 日期</w:t>
            </w:r>
          </w:p>
          <w:p>
            <w:pPr>
              <w:pStyle w:val="Style24"/>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披露 索引</w:t>
            </w:r>
          </w:p>
          <w:p>
            <w:pPr>
              <w:pStyle w:val="Style24"/>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（如 有）</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创业智慧医 疗软件生产 基地建设工 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医疗行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82,349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,957.7</w:t>
            </w:r>
          </w:p>
          <w:p>
            <w:pPr>
              <w:pStyle w:val="Style24"/>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139,27</w:t>
            </w:r>
          </w:p>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8,188.</w:t>
            </w:r>
          </w:p>
          <w:p>
            <w:pPr>
              <w:pStyle w:val="Style24"/>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自有 和募 集资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82,349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,957.7</w:t>
            </w:r>
          </w:p>
          <w:p>
            <w:pPr>
              <w:pStyle w:val="Style24"/>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139,27</w:t>
            </w:r>
          </w:p>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8,188.</w:t>
            </w:r>
          </w:p>
          <w:p>
            <w:pPr>
              <w:pStyle w:val="Style24"/>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、以公允价值计量的金融资产</w:t>
      </w:r>
      <w:bookmarkEnd w:id="189"/>
      <w:bookmarkEnd w:id="190"/>
      <w:bookmarkEnd w:id="192"/>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、募集资金使用情况</w:t>
      </w:r>
      <w:bookmarkEnd w:id="193"/>
      <w:bookmarkEnd w:id="194"/>
      <w:bookmarkEnd w:id="196"/>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160" w:right="0" w:firstLine="0"/>
              <w:jc w:val="left"/>
            </w:pPr>
            <w:r>
              <w:rPr>
                <w:color w:val="000000"/>
                <w:spacing w:val="0"/>
                <w:w w:val="100"/>
                <w:position w:val="0"/>
              </w:rPr>
              <w:t>募集资 金总额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已累计 使用募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报告期 内变更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尚未使 用募集</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闲置两</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年以上</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集资金 总额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用途的 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的募集 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的募集</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资金总</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额比例</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资金用 途及去</w:t>
            </w:r>
          </w:p>
          <w:p>
            <w:pPr>
              <w:pStyle w:val="Style24"/>
              <w:keepNext w:val="0"/>
              <w:keepLines w:val="0"/>
              <w:widowControl w:val="0"/>
              <w:shd w:val="clear" w:color="auto" w:fill="auto"/>
              <w:bidi w:val="0"/>
              <w:spacing w:before="0" w:after="0" w:line="326"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金金额</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网下向 投资者 询价配 售和网 上向持 有一定 数量非 限售股 份的投 资者定 价发行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10,151.4</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20,242.5</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活期存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10,151.4</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20,242.5</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934"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0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实际募集资金金额和资金到账时间</w:t>
            </w:r>
          </w:p>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723</w:t>
            </w:r>
            <w:r>
              <w:rPr>
                <w:color w:val="000000"/>
                <w:spacing w:val="0"/>
                <w:w w:val="100"/>
                <w:position w:val="0"/>
              </w:rPr>
              <w:t>号文核准，并经贵所同意，本公司由主承销商国元证券股份有限公司 采用网下向投资者询价配售和网上向持有一定数量非限售股份的投资者定价发行相结合的方式，向社会公众公开发行人 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股）股票人民币</w:t>
            </w:r>
            <w:r>
              <w:rPr>
                <w:rFonts w:ascii="Times New Roman" w:eastAsia="Times New Roman" w:hAnsi="Times New Roman" w:cs="Times New Roman"/>
                <w:color w:val="000000"/>
                <w:spacing w:val="0"/>
                <w:w w:val="100"/>
                <w:position w:val="0"/>
              </w:rPr>
              <w:t>1,700</w:t>
            </w:r>
            <w:r>
              <w:rPr>
                <w:color w:val="000000"/>
                <w:spacing w:val="0"/>
                <w:w w:val="100"/>
                <w:position w:val="0"/>
              </w:rPr>
              <w:t>万股，发行价为每股人民币</w:t>
            </w:r>
            <w:r>
              <w:rPr>
                <w:rFonts w:ascii="Times New Roman" w:eastAsia="Times New Roman" w:hAnsi="Times New Roman" w:cs="Times New Roman"/>
                <w:color w:val="000000"/>
                <w:spacing w:val="0"/>
                <w:w w:val="100"/>
                <w:position w:val="0"/>
              </w:rPr>
              <w:t>14.02</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rPr>
              <w:t>23,834.00</w:t>
            </w:r>
            <w:r>
              <w:rPr>
                <w:color w:val="000000"/>
                <w:spacing w:val="0"/>
                <w:w w:val="100"/>
                <w:position w:val="0"/>
              </w:rPr>
              <w:t>万元，坐扣 承销和保荐费用</w:t>
            </w:r>
            <w:r>
              <w:rPr>
                <w:rFonts w:ascii="Times New Roman" w:eastAsia="Times New Roman" w:hAnsi="Times New Roman" w:cs="Times New Roman"/>
                <w:color w:val="000000"/>
                <w:spacing w:val="0"/>
                <w:w w:val="100"/>
                <w:position w:val="0"/>
              </w:rPr>
              <w:t>2,200.00</w:t>
            </w:r>
            <w:r>
              <w:rPr>
                <w:color w:val="000000"/>
                <w:spacing w:val="0"/>
                <w:w w:val="100"/>
                <w:position w:val="0"/>
              </w:rPr>
              <w:t>万元（承销及保荐费用总计</w:t>
            </w:r>
            <w:r>
              <w:rPr>
                <w:rFonts w:ascii="Times New Roman" w:eastAsia="Times New Roman" w:hAnsi="Times New Roman" w:cs="Times New Roman"/>
                <w:color w:val="000000"/>
                <w:spacing w:val="0"/>
                <w:w w:val="100"/>
                <w:position w:val="0"/>
              </w:rPr>
              <w:t>2,300.00</w:t>
            </w:r>
            <w:r>
              <w:rPr>
                <w:color w:val="000000"/>
                <w:spacing w:val="0"/>
                <w:w w:val="100"/>
                <w:position w:val="0"/>
              </w:rPr>
              <w:t>万元，已预付</w:t>
            </w:r>
            <w:r>
              <w:rPr>
                <w:rFonts w:ascii="Times New Roman" w:eastAsia="Times New Roman" w:hAnsi="Times New Roman" w:cs="Times New Roman"/>
                <w:color w:val="000000"/>
                <w:spacing w:val="0"/>
                <w:w w:val="100"/>
                <w:position w:val="0"/>
              </w:rPr>
              <w:t>100.00</w:t>
            </w:r>
            <w:r>
              <w:rPr>
                <w:color w:val="000000"/>
                <w:spacing w:val="0"/>
                <w:w w:val="100"/>
                <w:position w:val="0"/>
              </w:rPr>
              <w:t>万元）后的募集资金为</w:t>
            </w:r>
            <w:r>
              <w:rPr>
                <w:rFonts w:ascii="Times New Roman" w:eastAsia="Times New Roman" w:hAnsi="Times New Roman" w:cs="Times New Roman"/>
                <w:color w:val="000000"/>
                <w:spacing w:val="0"/>
                <w:w w:val="100"/>
                <w:position w:val="0"/>
              </w:rPr>
              <w:t>21,634.00</w:t>
            </w:r>
            <w:r>
              <w:rPr>
                <w:color w:val="000000"/>
                <w:spacing w:val="0"/>
                <w:w w:val="100"/>
                <w:position w:val="0"/>
              </w:rPr>
              <w:t>万 元，已由主承销商国元证券股份有限公司于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日汇入本公司账户。另减除已预付承销及保荐费</w:t>
            </w:r>
            <w:r>
              <w:rPr>
                <w:rFonts w:ascii="Times New Roman" w:eastAsia="Times New Roman" w:hAnsi="Times New Roman" w:cs="Times New Roman"/>
                <w:color w:val="000000"/>
                <w:spacing w:val="0"/>
                <w:w w:val="100"/>
                <w:position w:val="0"/>
              </w:rPr>
              <w:t>100.00</w:t>
            </w:r>
            <w:r>
              <w:rPr>
                <w:color w:val="000000"/>
                <w:spacing w:val="0"/>
                <w:w w:val="100"/>
                <w:position w:val="0"/>
              </w:rPr>
              <w:t>万元， 上网发行费、招股说明书印刷费、申报会计师费、律师费、评估费等与发行权益性证券直接相关的新增外部费用</w:t>
            </w:r>
            <w:r>
              <w:rPr>
                <w:rFonts w:ascii="Times New Roman" w:eastAsia="Times New Roman" w:hAnsi="Times New Roman" w:cs="Times New Roman"/>
                <w:color w:val="000000"/>
                <w:spacing w:val="0"/>
                <w:w w:val="100"/>
                <w:position w:val="0"/>
              </w:rPr>
              <w:t xml:space="preserve">1,480.00 </w:t>
            </w:r>
            <w:r>
              <w:rPr>
                <w:color w:val="000000"/>
                <w:spacing w:val="0"/>
                <w:w w:val="100"/>
                <w:position w:val="0"/>
              </w:rPr>
              <w:t>万元后，公司本次募集资金净额为</w:t>
            </w:r>
            <w:r>
              <w:rPr>
                <w:rFonts w:ascii="Times New Roman" w:eastAsia="Times New Roman" w:hAnsi="Times New Roman" w:cs="Times New Roman"/>
                <w:color w:val="000000"/>
                <w:spacing w:val="0"/>
                <w:w w:val="100"/>
                <w:position w:val="0"/>
              </w:rPr>
              <w:t>20,054.00</w:t>
            </w:r>
            <w:r>
              <w:rPr>
                <w:color w:val="000000"/>
                <w:spacing w:val="0"/>
                <w:w w:val="100"/>
                <w:position w:val="0"/>
              </w:rPr>
              <w:t>万元。上述募集资金到位情况业经天健会计师事务所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验证， 并由其出具《验资报告》（天健验〔</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111</w:t>
            </w:r>
            <w:r>
              <w:rPr>
                <w:color w:val="000000"/>
                <w:spacing w:val="0"/>
                <w:w w:val="100"/>
                <w:position w:val="0"/>
              </w:rPr>
              <w:t>号）。</w:t>
            </w:r>
          </w:p>
          <w:p>
            <w:pPr>
              <w:pStyle w:val="Style24"/>
              <w:keepNext w:val="0"/>
              <w:keepLines w:val="0"/>
              <w:widowControl w:val="0"/>
              <w:shd w:val="clear" w:color="auto" w:fill="auto"/>
              <w:tabs>
                <w:tab w:pos="39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募集资金使用和结余情况</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rPr>
              <w:t>10,091.06</w:t>
            </w:r>
            <w:r>
              <w:rPr>
                <w:color w:val="000000"/>
                <w:spacing w:val="0"/>
                <w:w w:val="100"/>
                <w:position w:val="0"/>
              </w:rPr>
              <w:t>万元，以前年度收到的银行存款利息扣除银行手续费等的净额为</w:t>
            </w:r>
            <w:r>
              <w:rPr>
                <w:rFonts w:ascii="Times New Roman" w:eastAsia="Times New Roman" w:hAnsi="Times New Roman" w:cs="Times New Roman"/>
                <w:color w:val="000000"/>
                <w:spacing w:val="0"/>
                <w:w w:val="100"/>
                <w:position w:val="0"/>
              </w:rPr>
              <w:t>107.97</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rPr>
              <w:t>10,151.49</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rPr>
              <w:t>80.65</w:t>
            </w:r>
            <w:r>
              <w:rPr>
                <w:color w:val="000000"/>
                <w:spacing w:val="0"/>
                <w:w w:val="100"/>
                <w:position w:val="0"/>
              </w:rPr>
              <w:t>万元；累 计已使用募集资金</w:t>
            </w:r>
            <w:r>
              <w:rPr>
                <w:rFonts w:ascii="Times New Roman" w:eastAsia="Times New Roman" w:hAnsi="Times New Roman" w:cs="Times New Roman"/>
                <w:color w:val="000000"/>
                <w:spacing w:val="0"/>
                <w:w w:val="100"/>
                <w:position w:val="0"/>
              </w:rPr>
              <w:t>20,242.55</w:t>
            </w:r>
            <w:r>
              <w:rPr>
                <w:color w:val="000000"/>
                <w:spacing w:val="0"/>
                <w:w w:val="100"/>
                <w:position w:val="0"/>
              </w:rPr>
              <w:t>万元，累计收到的银行存款利息扣除银行手续费等的净额为</w:t>
            </w:r>
            <w:r>
              <w:rPr>
                <w:rFonts w:ascii="Times New Roman" w:eastAsia="Times New Roman" w:hAnsi="Times New Roman" w:cs="Times New Roman"/>
                <w:color w:val="000000"/>
                <w:spacing w:val="0"/>
                <w:w w:val="100"/>
                <w:position w:val="0"/>
              </w:rPr>
              <w:t>188.62</w:t>
            </w:r>
            <w:r>
              <w:rPr>
                <w:color w:val="000000"/>
                <w:spacing w:val="0"/>
                <w:w w:val="100"/>
                <w:position w:val="0"/>
              </w:rPr>
              <w:t>万元。</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rPr>
              <w:t>0.07</w:t>
            </w:r>
            <w:r>
              <w:rPr>
                <w:color w:val="000000"/>
                <w:spacing w:val="0"/>
                <w:w w:val="100"/>
                <w:position w:val="0"/>
              </w:rPr>
              <w:t>万元（包括累计收到的银行存款利息扣除银行手续费等的净额）， 已基本使用完毕。</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1"/>
      <w:bookmarkEnd w:id="202"/>
      <w:bookmarkEnd w:id="20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承诺投资项目和超 募资金投向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调整后 投资总 额</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322" w:lineRule="exact"/>
              <w:ind w:left="0" w:right="0" w:firstLine="0"/>
              <w:jc w:val="center"/>
            </w:pPr>
            <w:r>
              <w:rPr>
                <w:color w:val="000000"/>
                <w:spacing w:val="0"/>
                <w:w w:val="100"/>
                <w:position w:val="0"/>
              </w:rPr>
              <w:t>截至期 末投资 进度</w:t>
            </w:r>
          </w:p>
          <w:p>
            <w:pPr>
              <w:pStyle w:val="Style24"/>
              <w:keepNext w:val="0"/>
              <w:keepLines w:val="0"/>
              <w:widowControl w:val="0"/>
              <w:shd w:val="clear" w:color="auto" w:fill="auto"/>
              <w:bidi w:val="0"/>
              <w:spacing w:before="0" w:after="0" w:line="374"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本报告 期实现 的效益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化</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40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基于电子健康档 案的区域医疗卫生 综合管理信息系统 升级与产业化项目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7,095.4</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7,095.4</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3,401.7</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7,161.6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基于电子病历的 数字化医院信息集 成系统升级与产业 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7,297.7</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7,297.7</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研发中心与客户 服务中心技术改造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5,666.7</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5,666.7</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3,645.7</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5,725.8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10,151.</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20,242.</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1,411.0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10,151.</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20,242.</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1,411.0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募集资金投资项目 实施方式调整情况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 先期投入及置换情 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日，公司以自筹资金预先投入募投项目的投资额为</w:t>
            </w:r>
            <w:r>
              <w:rPr>
                <w:rFonts w:ascii="Times New Roman" w:eastAsia="Times New Roman" w:hAnsi="Times New Roman" w:cs="Times New Roman"/>
                <w:color w:val="000000"/>
                <w:spacing w:val="0"/>
                <w:w w:val="100"/>
                <w:position w:val="0"/>
              </w:rPr>
              <w:t>5,771.41</w:t>
            </w:r>
            <w:r>
              <w:rPr>
                <w:color w:val="000000"/>
                <w:spacing w:val="0"/>
                <w:w w:val="100"/>
                <w:position w:val="0"/>
              </w:rPr>
              <w:t>万元。经</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日公司第五届董事会第五次会议决议通过，公司以募集资金</w:t>
            </w:r>
            <w:r>
              <w:rPr>
                <w:rFonts w:ascii="Times New Roman" w:eastAsia="Times New Roman" w:hAnsi="Times New Roman" w:cs="Times New Roman"/>
                <w:color w:val="000000"/>
                <w:spacing w:val="0"/>
                <w:w w:val="100"/>
                <w:position w:val="0"/>
              </w:rPr>
              <w:t>5,771.41</w:t>
            </w:r>
            <w:r>
              <w:rPr>
                <w:color w:val="000000"/>
                <w:spacing w:val="0"/>
                <w:w w:val="100"/>
                <w:position w:val="0"/>
              </w:rPr>
              <w:t>万元置换预先已投入 募投项目的自筹资金。</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 时补充流动资金情 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募集资金已基本使用完毕。</w:t>
            </w: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5"/>
        <w:keepNext/>
        <w:keepLines/>
        <w:widowControl w:val="0"/>
        <w:shd w:val="clear" w:color="auto" w:fill="auto"/>
        <w:bidi w:val="0"/>
        <w:spacing w:before="0" w:after="22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5"/>
      <w:bookmarkEnd w:id="206"/>
      <w:bookmarkEnd w:id="208"/>
    </w:p>
    <w:p>
      <w:pPr>
        <w:pStyle w:val="Style29"/>
        <w:keepNext w:val="0"/>
        <w:keepLines w:val="0"/>
        <w:widowControl w:val="0"/>
        <w:shd w:val="clear" w:color="auto" w:fill="auto"/>
        <w:bidi w:val="0"/>
        <w:spacing w:before="0" w:after="34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公司报告期不存在募集资金变更项目情况。</w:t>
      </w:r>
    </w:p>
    <w:p>
      <w:pPr>
        <w:pStyle w:val="Style27"/>
        <w:keepNext/>
        <w:keepLines/>
        <w:widowControl w:val="0"/>
        <w:shd w:val="clear" w:color="auto" w:fill="auto"/>
        <w:tabs>
          <w:tab w:pos="517" w:val="left"/>
        </w:tabs>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重大资产和股权出售</w:t>
      </w:r>
      <w:bookmarkEnd w:id="209"/>
      <w:bookmarkEnd w:id="210"/>
      <w:bookmarkEnd w:id="212"/>
    </w:p>
    <w:p>
      <w:pPr>
        <w:pStyle w:val="Style35"/>
        <w:keepNext/>
        <w:keepLines/>
        <w:widowControl w:val="0"/>
        <w:shd w:val="clear" w:color="auto" w:fill="auto"/>
        <w:tabs>
          <w:tab w:pos="434" w:val="left"/>
        </w:tabs>
        <w:bidi w:val="0"/>
        <w:spacing w:before="0" w:after="26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434" w:val="left"/>
        </w:tabs>
        <w:bidi w:val="0"/>
        <w:spacing w:before="0" w:after="2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29"/>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2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w:t>
        <w:tab/>
        <w:t>主要控股参股公司分析</w:t>
      </w:r>
      <w:bookmarkEnd w:id="221"/>
      <w:bookmarkEnd w:id="222"/>
      <w:bookmarkEnd w:id="224"/>
    </w:p>
    <w:p>
      <w:pPr>
        <w:pStyle w:val="Style29"/>
        <w:keepNext w:val="0"/>
        <w:keepLines w:val="0"/>
        <w:widowControl w:val="0"/>
        <w:shd w:val="clear" w:color="auto" w:fill="auto"/>
        <w:bidi w:val="0"/>
        <w:spacing w:before="0" w:after="34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公司报告期内无应当披露的重要控股参股公司信息。</w:t>
      </w:r>
    </w:p>
    <w:p>
      <w:pPr>
        <w:pStyle w:val="Style27"/>
        <w:keepNext/>
        <w:keepLines/>
        <w:widowControl w:val="0"/>
        <w:shd w:val="clear" w:color="auto" w:fill="auto"/>
        <w:tabs>
          <w:tab w:pos="522" w:val="left"/>
        </w:tabs>
        <w:bidi w:val="0"/>
        <w:spacing w:before="0" w:after="2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29"/>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29"/>
        <w:keepNext w:val="0"/>
        <w:keepLines w:val="0"/>
        <w:widowControl w:val="0"/>
        <w:shd w:val="clear" w:color="auto" w:fill="auto"/>
        <w:bidi w:val="0"/>
        <w:spacing w:before="0" w:after="140" w:line="317" w:lineRule="exact"/>
        <w:ind w:left="0" w:right="0" w:firstLine="260"/>
        <w:jc w:val="left"/>
      </w:pPr>
      <w:bookmarkStart w:id="233" w:name="bookmark233"/>
      <w:r>
        <w:rPr>
          <w:color w:val="000000"/>
          <w:spacing w:val="0"/>
          <w:w w:val="100"/>
          <w:position w:val="0"/>
        </w:rPr>
        <w:t>（</w:t>
      </w:r>
      <w:bookmarkEnd w:id="233"/>
      <w:r>
        <w:rPr>
          <w:color w:val="000000"/>
          <w:spacing w:val="0"/>
          <w:w w:val="100"/>
          <w:position w:val="0"/>
        </w:rPr>
        <w:t>一）行业国家政策背景</w:t>
      </w:r>
    </w:p>
    <w:p>
      <w:pPr>
        <w:pStyle w:val="Style29"/>
        <w:keepNext w:val="0"/>
        <w:keepLines w:val="0"/>
        <w:widowControl w:val="0"/>
        <w:shd w:val="clear" w:color="auto" w:fill="auto"/>
        <w:bidi w:val="0"/>
        <w:spacing w:before="0" w:after="140" w:line="315" w:lineRule="exact"/>
        <w:ind w:left="0" w:right="0" w:firstLine="3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月，中共中央、国务院通过《关于深化医药卫生体制改革的意见》，明确提出卫生信息化建设是深化医药卫生体 制改革的八大支撑之一，包括建立实用共享的医药卫生信息系统，大力推进医药卫生信息化建设，加强信息标准化和公共服 务信息平台建设等内容；要以医院管理和电子病历为重点，推进医院信息化建设；利用网络信息技术，促进城市医院与社区 卫生服务机构的合作。</w:t>
      </w:r>
    </w:p>
    <w:p>
      <w:pPr>
        <w:pStyle w:val="Style29"/>
        <w:keepNext w:val="0"/>
        <w:keepLines w:val="0"/>
        <w:widowControl w:val="0"/>
        <w:shd w:val="clear" w:color="auto" w:fill="auto"/>
        <w:bidi w:val="0"/>
        <w:spacing w:before="0" w:after="140" w:line="317"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月，卫计委、中医药管理局发布的《关于加快推进人口健康信息化建设的指导意见》提出人口健康信息化的 总体框架：统筹人口健康信息资源，强化制度、标准和安全体系建设，有效整合和共享全员人口信息、电子健康档案和电子 </w:t>
      </w:r>
      <w:r>
        <w:rPr>
          <w:color w:val="000000"/>
          <w:spacing w:val="0"/>
          <w:w w:val="100"/>
          <w:position w:val="0"/>
        </w:rPr>
        <w:t>病历三大数据库资源，实现公共卫生、计划生育、医疗服务、医疗保障、药品管理、综合管理等六大业务应用，建设国家、 省、地市和县四级人口健康信息平台，以四级平台作为六大业务应用纵横连接的枢纽，以居民健康卡为群众享受各项卫生计 生服务的联结介质，形成覆盖各级各类卫生计生机构高效统一的网络，实现业务应用互联互通、信息共享、有效协同。</w:t>
      </w:r>
    </w:p>
    <w:p>
      <w:pPr>
        <w:pStyle w:val="Style29"/>
        <w:keepNext w:val="0"/>
        <w:keepLines w:val="0"/>
        <w:widowControl w:val="0"/>
        <w:shd w:val="clear" w:color="auto" w:fill="auto"/>
        <w:bidi w:val="0"/>
        <w:spacing w:before="0" w:after="140" w:line="317"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月，国务院发布的《全国医疗卫生服务体系规划纲要</w:t>
      </w:r>
      <w:r>
        <w:rPr>
          <w:color w:val="000000"/>
          <w:spacing w:val="0"/>
          <w:w w:val="100"/>
          <w:position w:val="0"/>
        </w:rPr>
        <w:t>（</w:t>
      </w:r>
      <w:r>
        <w:rPr>
          <w:rFonts w:ascii="Times New Roman" w:eastAsia="Times New Roman" w:hAnsi="Times New Roman" w:cs="Times New Roman"/>
          <w:color w:val="000000"/>
          <w:spacing w:val="0"/>
          <w:w w:val="100"/>
          <w:position w:val="0"/>
        </w:rPr>
        <w:t>2015-2020</w:t>
      </w:r>
      <w:r>
        <w:rPr>
          <w:color w:val="000000"/>
          <w:spacing w:val="0"/>
          <w:w w:val="100"/>
          <w:position w:val="0"/>
        </w:rPr>
        <w:t>年）》提出加强人口健康信息化建设，到</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年，实现全员人口信息、电子健康档案和电子病历三大数据库基本覆盖全国人口并信息动态更新，全面建成互联互通的国家、 省、市、县四级人口健康信息平台。</w:t>
      </w:r>
    </w:p>
    <w:p>
      <w:pPr>
        <w:pStyle w:val="Style29"/>
        <w:keepNext w:val="0"/>
        <w:keepLines w:val="0"/>
        <w:widowControl w:val="0"/>
        <w:shd w:val="clear" w:color="auto" w:fill="auto"/>
        <w:bidi w:val="0"/>
        <w:spacing w:before="0" w:after="140" w:line="317"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日，中共中央、国务院印发了《</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规划纲要》，首次将有关健康医疗产业的纲要提高至国家 层级的战略。</w:t>
      </w:r>
    </w:p>
    <w:p>
      <w:pPr>
        <w:pStyle w:val="Style29"/>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从以上国家政策来看，目前国家新医改政策对医疗卫生信息化在整个医疗改革中的战略地位的确认为整个行业的发展提 供了重要的政策基础保障。公司所处行业具有有利的国家政策环境。</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同时，随着国内经济的快速发展，社会生活水平的提高以及政府公共卫生投入的增加，近年来医疗信息化市场的投资规 模持续扩大，总体市场规模增速较快。根据</w:t>
      </w:r>
      <w:r>
        <w:rPr>
          <w:rFonts w:ascii="Times New Roman" w:eastAsia="Times New Roman" w:hAnsi="Times New Roman" w:cs="Times New Roman"/>
          <w:color w:val="000000"/>
          <w:spacing w:val="0"/>
          <w:w w:val="100"/>
          <w:position w:val="0"/>
        </w:rPr>
        <w:t>IDC</w:t>
      </w:r>
      <w:r>
        <w:rPr>
          <w:color w:val="000000"/>
          <w:spacing w:val="0"/>
          <w:w w:val="100"/>
          <w:position w:val="0"/>
        </w:rPr>
        <w:t>统计，</w:t>
      </w:r>
      <w:r>
        <w:rPr>
          <w:rFonts w:ascii="Times New Roman" w:eastAsia="Times New Roman" w:hAnsi="Times New Roman" w:cs="Times New Roman"/>
          <w:color w:val="000000"/>
          <w:spacing w:val="0"/>
          <w:w w:val="100"/>
          <w:position w:val="0"/>
        </w:rPr>
        <w:t>2014</w:t>
      </w:r>
      <w:r>
        <w:rPr>
          <w:color w:val="000000"/>
          <w:spacing w:val="0"/>
          <w:w w:val="100"/>
          <w:position w:val="0"/>
        </w:rPr>
        <w:t>年中国医疗行业</w:t>
      </w:r>
      <w:r>
        <w:rPr>
          <w:rFonts w:ascii="Times New Roman" w:eastAsia="Times New Roman" w:hAnsi="Times New Roman" w:cs="Times New Roman"/>
          <w:color w:val="000000"/>
          <w:spacing w:val="0"/>
          <w:w w:val="100"/>
          <w:position w:val="0"/>
        </w:rPr>
        <w:t>IT</w:t>
      </w:r>
      <w:r>
        <w:rPr>
          <w:color w:val="000000"/>
          <w:spacing w:val="0"/>
          <w:w w:val="100"/>
          <w:position w:val="0"/>
        </w:rPr>
        <w:t>花费为</w:t>
      </w:r>
      <w:r>
        <w:rPr>
          <w:rFonts w:ascii="Times New Roman" w:eastAsia="Times New Roman" w:hAnsi="Times New Roman" w:cs="Times New Roman"/>
          <w:color w:val="000000"/>
          <w:spacing w:val="0"/>
          <w:w w:val="100"/>
          <w:position w:val="0"/>
        </w:rPr>
        <w:t>223.</w:t>
      </w:r>
      <w:r>
        <w:rPr>
          <w:rFonts w:ascii="Times New Roman" w:eastAsia="Times New Roman" w:hAnsi="Times New Roman" w:cs="Times New Roman"/>
          <w:color w:val="000000"/>
          <w:spacing w:val="0"/>
          <w:w w:val="100"/>
          <w:position w:val="0"/>
        </w:rPr>
        <w:t>1</w:t>
      </w:r>
      <w:r>
        <w:rPr>
          <w:color w:val="000000"/>
          <w:spacing w:val="0"/>
          <w:w w:val="100"/>
          <w:position w:val="0"/>
        </w:rPr>
        <w:t>亿元，预计到</w:t>
      </w:r>
      <w:r>
        <w:rPr>
          <w:rFonts w:ascii="Times New Roman" w:eastAsia="Times New Roman" w:hAnsi="Times New Roman" w:cs="Times New Roman"/>
          <w:color w:val="000000"/>
          <w:spacing w:val="0"/>
          <w:w w:val="100"/>
          <w:position w:val="0"/>
        </w:rPr>
        <w:t>2019</w:t>
      </w:r>
      <w:r>
        <w:rPr>
          <w:color w:val="000000"/>
          <w:spacing w:val="0"/>
          <w:w w:val="100"/>
          <w:position w:val="0"/>
        </w:rPr>
        <w:t>年医疗行业</w:t>
      </w:r>
      <w:r>
        <w:rPr>
          <w:rFonts w:ascii="Times New Roman" w:eastAsia="Times New Roman" w:hAnsi="Times New Roman" w:cs="Times New Roman"/>
          <w:color w:val="000000"/>
          <w:spacing w:val="0"/>
          <w:w w:val="100"/>
          <w:position w:val="0"/>
        </w:rPr>
        <w:t xml:space="preserve">IT </w:t>
      </w:r>
      <w:r>
        <w:rPr>
          <w:color w:val="000000"/>
          <w:spacing w:val="0"/>
          <w:w w:val="100"/>
          <w:position w:val="0"/>
        </w:rPr>
        <w:t>花费市场的规模将达到</w:t>
      </w:r>
      <w:r>
        <w:rPr>
          <w:rFonts w:ascii="Times New Roman" w:eastAsia="Times New Roman" w:hAnsi="Times New Roman" w:cs="Times New Roman"/>
          <w:color w:val="000000"/>
          <w:spacing w:val="0"/>
          <w:w w:val="100"/>
          <w:position w:val="0"/>
        </w:rPr>
        <w:t>425.3</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年我国医疗行业</w:t>
      </w:r>
      <w:r>
        <w:rPr>
          <w:rFonts w:ascii="Times New Roman" w:eastAsia="Times New Roman" w:hAnsi="Times New Roman" w:cs="Times New Roman"/>
          <w:color w:val="000000"/>
          <w:spacing w:val="0"/>
          <w:w w:val="100"/>
          <w:position w:val="0"/>
        </w:rPr>
        <w:t>IT</w:t>
      </w:r>
      <w:r>
        <w:rPr>
          <w:color w:val="000000"/>
          <w:spacing w:val="0"/>
          <w:w w:val="100"/>
          <w:position w:val="0"/>
        </w:rPr>
        <w:t>总花费占医疗卫生总费用的比例为</w:t>
      </w:r>
      <w:r>
        <w:rPr>
          <w:rFonts w:ascii="Times New Roman" w:eastAsia="Times New Roman" w:hAnsi="Times New Roman" w:cs="Times New Roman"/>
          <w:color w:val="000000"/>
          <w:spacing w:val="0"/>
          <w:w w:val="100"/>
          <w:position w:val="0"/>
        </w:rPr>
        <w:t>0.62%</w:t>
      </w:r>
      <w:r>
        <w:rPr>
          <w:color w:val="000000"/>
          <w:spacing w:val="0"/>
          <w:w w:val="100"/>
          <w:position w:val="0"/>
        </w:rPr>
        <w:t xml:space="preserve">,而同期美国占比为 </w:t>
      </w:r>
      <w:r>
        <w:rPr>
          <w:rFonts w:ascii="Times New Roman" w:eastAsia="Times New Roman" w:hAnsi="Times New Roman" w:cs="Times New Roman"/>
          <w:color w:val="000000"/>
          <w:spacing w:val="0"/>
          <w:w w:val="100"/>
          <w:position w:val="0"/>
        </w:rPr>
        <w:t>1.94%</w:t>
      </w:r>
      <w:r>
        <w:rPr>
          <w:color w:val="000000"/>
          <w:spacing w:val="0"/>
          <w:w w:val="100"/>
          <w:position w:val="0"/>
        </w:rPr>
        <w:t>。我国医疗卫生信息化投入占医疗卫生费用的比例仍较低，未来市场发展空间广阔。</w:t>
      </w:r>
    </w:p>
    <w:p>
      <w:pPr>
        <w:pStyle w:val="Style29"/>
        <w:keepNext w:val="0"/>
        <w:keepLines w:val="0"/>
        <w:widowControl w:val="0"/>
        <w:shd w:val="clear" w:color="auto" w:fill="auto"/>
        <w:tabs>
          <w:tab w:pos="736" w:val="left"/>
        </w:tabs>
        <w:bidi w:val="0"/>
        <w:spacing w:before="0" w:after="0" w:line="312" w:lineRule="exact"/>
        <w:ind w:left="0" w:right="0" w:firstLine="240"/>
        <w:jc w:val="both"/>
      </w:pPr>
      <w:bookmarkStart w:id="234" w:name="bookmark234"/>
      <w:r>
        <w:rPr>
          <w:color w:val="000000"/>
          <w:spacing w:val="0"/>
          <w:w w:val="100"/>
          <w:position w:val="0"/>
        </w:rPr>
        <w:t>（</w:t>
      </w:r>
      <w:bookmarkEnd w:id="234"/>
      <w:r>
        <w:rPr>
          <w:color w:val="000000"/>
          <w:spacing w:val="0"/>
          <w:w w:val="100"/>
          <w:position w:val="0"/>
        </w:rPr>
        <w:t>二）</w:t>
        <w:tab/>
        <w:t>行业格局和趋势</w:t>
      </w:r>
    </w:p>
    <w:p>
      <w:pPr>
        <w:pStyle w:val="Style2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在多业务系统达到互联互通、业务协同的基础上，未来医疗卫生信息化建设将呈现五大发展趋势：</w:t>
      </w:r>
    </w:p>
    <w:p>
      <w:pPr>
        <w:pStyle w:val="Style29"/>
        <w:keepNext w:val="0"/>
        <w:keepLines w:val="0"/>
        <w:widowControl w:val="0"/>
        <w:shd w:val="clear" w:color="auto" w:fill="auto"/>
        <w:tabs>
          <w:tab w:pos="659" w:val="left"/>
        </w:tabs>
        <w:bidi w:val="0"/>
        <w:spacing w:before="0" w:after="0"/>
        <w:ind w:left="0" w:right="0" w:firstLine="36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医院信息化程度不断提高</w:t>
      </w:r>
    </w:p>
    <w:p>
      <w:pPr>
        <w:pStyle w:val="Style2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从纵向发展来看，医院的信息化程度将继续提高。医院电子病历和居民电子健康档案的衔接将更为密切，大型医院和基 层医疗机构将能够实现医疗信息系统共享，例如实现双向转诊、远程预约挂号等服务。</w:t>
      </w:r>
    </w:p>
    <w:p>
      <w:pPr>
        <w:pStyle w:val="Style29"/>
        <w:keepNext w:val="0"/>
        <w:keepLines w:val="0"/>
        <w:widowControl w:val="0"/>
        <w:shd w:val="clear" w:color="auto" w:fill="auto"/>
        <w:tabs>
          <w:tab w:pos="678" w:val="left"/>
        </w:tabs>
        <w:bidi w:val="0"/>
        <w:spacing w:before="0" w:after="0"/>
        <w:ind w:left="0" w:right="0" w:firstLine="36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公共卫生信息化建设快速发展</w:t>
      </w:r>
    </w:p>
    <w:p>
      <w:pPr>
        <w:pStyle w:val="Style2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从横向发展来看，公共卫生信息化建设快速发展，信息化程度不断提高。区域数据中心系统能够为管理部门提供完整信 息数据服务，区域内、跨区域的医疗机构逐步实现医疗信息安全共享，例如同级医疗机构检查检验结果互认，东部大型医院 与西部地区医院之间实现远程医疗服务。</w:t>
      </w:r>
    </w:p>
    <w:p>
      <w:pPr>
        <w:pStyle w:val="Style29"/>
        <w:keepNext w:val="0"/>
        <w:keepLines w:val="0"/>
        <w:widowControl w:val="0"/>
        <w:shd w:val="clear" w:color="auto" w:fill="auto"/>
        <w:tabs>
          <w:tab w:pos="678" w:val="left"/>
        </w:tabs>
        <w:bidi w:val="0"/>
        <w:spacing w:before="0" w:after="0"/>
        <w:ind w:left="0" w:right="0" w:firstLine="36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信息化软件由产品逐步向服务转变</w:t>
      </w:r>
    </w:p>
    <w:p>
      <w:pPr>
        <w:pStyle w:val="Style2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医疗卫生信息化的用户群体具有多元化特点，需求各有不同，用户会选择服务能力更强的软件供应商，服务将成为软件 发展的主要方向和盈利手段。而随着用户对于软件服务属性的认知不断深化，软件体现的是使用价值而不是销售价值，将促 进软件业向服务进行转变。</w:t>
      </w:r>
    </w:p>
    <w:p>
      <w:pPr>
        <w:pStyle w:val="Style29"/>
        <w:keepNext w:val="0"/>
        <w:keepLines w:val="0"/>
        <w:widowControl w:val="0"/>
        <w:shd w:val="clear" w:color="auto" w:fill="auto"/>
        <w:tabs>
          <w:tab w:pos="678" w:val="left"/>
        </w:tabs>
        <w:bidi w:val="0"/>
        <w:spacing w:before="0" w:after="0"/>
        <w:ind w:left="0" w:right="0" w:firstLine="36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w:t>
        <w:tab/>
        <w:t>信息化软件需求带来研发投入的不断加大</w:t>
      </w:r>
    </w:p>
    <w:p>
      <w:pPr>
        <w:pStyle w:val="Style2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研发投入是软件企业保持领先的基本要求，医疗卫生信息软件的核心竞争力体现在对于企业信息化模式的研究上，所以 需要不断投入大量资金用于知识采购和研发。而医疗卫生信息软件本身作为一种特殊的商品，它的安装、实施、维护和开发 都十分复杂，需要客户投入大量的人力、物力和财力。</w:t>
      </w:r>
    </w:p>
    <w:p>
      <w:pPr>
        <w:pStyle w:val="Style29"/>
        <w:keepNext w:val="0"/>
        <w:keepLines w:val="0"/>
        <w:widowControl w:val="0"/>
        <w:shd w:val="clear" w:color="auto" w:fill="auto"/>
        <w:tabs>
          <w:tab w:pos="678" w:val="left"/>
        </w:tabs>
        <w:bidi w:val="0"/>
        <w:spacing w:before="0" w:after="0"/>
        <w:ind w:left="0" w:right="0" w:firstLine="360"/>
        <w:jc w:val="both"/>
      </w:pPr>
      <w:bookmarkStart w:id="239" w:name="bookmark239"/>
      <w:r>
        <w:rPr>
          <w:rFonts w:ascii="Times New Roman" w:eastAsia="Times New Roman" w:hAnsi="Times New Roman" w:cs="Times New Roman"/>
          <w:color w:val="000000"/>
          <w:spacing w:val="0"/>
          <w:w w:val="100"/>
          <w:position w:val="0"/>
        </w:rPr>
        <w:t>5</w:t>
      </w:r>
      <w:bookmarkEnd w:id="239"/>
      <w:r>
        <w:rPr>
          <w:color w:val="000000"/>
          <w:spacing w:val="0"/>
          <w:w w:val="100"/>
          <w:position w:val="0"/>
        </w:rPr>
        <w:t>、</w:t>
        <w:tab/>
        <w:t>医疗卫生信息化技术水平继续提高</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新技术将更广泛深入应用于医疗卫生信息化，信息化程度将依托技术继续提高。例如物联网技术和无线技术的应用，医 院可以实施无线医疗，医护人员可以通过移动终端，迅速地获取患者的住院信息、病史、检验、检查结果和其他生命体征信 息，尽可能有效地与患者交流，从而获得高效率、高质量的探视和护理。</w:t>
      </w:r>
    </w:p>
    <w:p>
      <w:pPr>
        <w:pStyle w:val="Style29"/>
        <w:keepNext w:val="0"/>
        <w:keepLines w:val="0"/>
        <w:widowControl w:val="0"/>
        <w:shd w:val="clear" w:color="auto" w:fill="auto"/>
        <w:tabs>
          <w:tab w:pos="741" w:val="left"/>
        </w:tabs>
        <w:bidi w:val="0"/>
        <w:spacing w:before="0" w:after="0" w:line="312" w:lineRule="exact"/>
        <w:ind w:left="0" w:right="0" w:firstLine="240"/>
        <w:jc w:val="both"/>
      </w:pPr>
      <w:bookmarkStart w:id="240" w:name="bookmark240"/>
      <w:r>
        <w:rPr>
          <w:color w:val="000000"/>
          <w:spacing w:val="0"/>
          <w:w w:val="100"/>
          <w:position w:val="0"/>
        </w:rPr>
        <w:t>（</w:t>
      </w:r>
      <w:bookmarkEnd w:id="240"/>
      <w:r>
        <w:rPr>
          <w:color w:val="000000"/>
          <w:spacing w:val="0"/>
          <w:w w:val="100"/>
          <w:position w:val="0"/>
        </w:rPr>
        <w:t>三）</w:t>
        <w:tab/>
        <w:t>公司所处行业主要竞争对手</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公司所处的医疗卫生应用软件领域的竞争主要来自于国内主力厂商。经过多年的培育，在应用软件领域涌现出一批具有 较强实力的国内企业，占据主要的市场份额。</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国内厂商以创业软件、东软集团股份有限公司、卫宁健康科技集团股份有限公司、荣科科技股份有限公司、东华软件股 份有限公司、万达信息股份有限公司等企业为代表，具有较强的技术开发能力、相对成熟的产品系列和较为完善的营销与服 务网络，在国内医疗卫生应用软件市场中拥有较高的市场份额。随着医疗卫生信息化市场的快速增长，这些国内主力厂商将 凭借其业已形成的产业基础和雄厚的综合实力，加大对该行业的投入，通过合资、并购等方式进一步扩大其经营规模，优化</w:t>
        <w:br w:type="page"/>
      </w:r>
      <w:r>
        <w:rPr>
          <w:color w:val="000000"/>
          <w:spacing w:val="0"/>
          <w:w w:val="100"/>
          <w:position w:val="0"/>
        </w:rPr>
        <w:t>其产品结构和人才结构，抢占更大的市场份额。因此，未来较长一段时间内，医疗卫生应用软件市场的竞争将继续集中在国 内主力厂商间展开。</w:t>
      </w:r>
    </w:p>
    <w:p>
      <w:pPr>
        <w:pStyle w:val="Style29"/>
        <w:keepNext w:val="0"/>
        <w:keepLines w:val="0"/>
        <w:widowControl w:val="0"/>
        <w:shd w:val="clear" w:color="auto" w:fill="auto"/>
        <w:bidi w:val="0"/>
        <w:spacing w:before="0" w:after="0" w:line="317" w:lineRule="exact"/>
        <w:ind w:left="0" w:right="0" w:firstLine="280"/>
        <w:jc w:val="both"/>
      </w:pPr>
      <w:bookmarkStart w:id="241" w:name="bookmark241"/>
      <w:r>
        <w:rPr>
          <w:color w:val="000000"/>
          <w:spacing w:val="0"/>
          <w:w w:val="100"/>
          <w:position w:val="0"/>
        </w:rPr>
        <w:t>（</w:t>
      </w:r>
      <w:bookmarkEnd w:id="241"/>
      <w:r>
        <w:rPr>
          <w:color w:val="000000"/>
          <w:spacing w:val="0"/>
          <w:w w:val="100"/>
          <w:position w:val="0"/>
        </w:rPr>
        <w:t>四）公司近三年主营业务趋势</w:t>
      </w:r>
    </w:p>
    <w:p>
      <w:pPr>
        <w:pStyle w:val="Style29"/>
        <w:keepNext w:val="0"/>
        <w:keepLines w:val="0"/>
        <w:widowControl w:val="0"/>
        <w:shd w:val="clear" w:color="auto" w:fill="auto"/>
        <w:bidi w:val="0"/>
        <w:spacing w:before="0" w:after="240" w:line="317"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年公司主营业务收入分别为</w:t>
      </w:r>
      <w:r>
        <w:rPr>
          <w:rFonts w:ascii="Times New Roman" w:eastAsia="Times New Roman" w:hAnsi="Times New Roman" w:cs="Times New Roman"/>
          <w:color w:val="000000"/>
          <w:spacing w:val="0"/>
          <w:w w:val="100"/>
          <w:position w:val="0"/>
        </w:rPr>
        <w:t>39,066.84</w:t>
      </w:r>
      <w:r>
        <w:rPr>
          <w:color w:val="000000"/>
          <w:spacing w:val="0"/>
          <w:w w:val="100"/>
          <w:position w:val="0"/>
        </w:rPr>
        <w:t>万元、</w:t>
      </w:r>
      <w:r>
        <w:rPr>
          <w:rFonts w:ascii="Times New Roman" w:eastAsia="Times New Roman" w:hAnsi="Times New Roman" w:cs="Times New Roman"/>
          <w:color w:val="000000"/>
          <w:spacing w:val="0"/>
          <w:w w:val="100"/>
          <w:position w:val="0"/>
        </w:rPr>
        <w:t>42,141.12</w:t>
      </w:r>
      <w:r>
        <w:rPr>
          <w:color w:val="000000"/>
          <w:spacing w:val="0"/>
          <w:w w:val="100"/>
          <w:position w:val="0"/>
        </w:rPr>
        <w:t>万元、</w:t>
      </w:r>
      <w:r>
        <w:rPr>
          <w:rFonts w:ascii="Times New Roman" w:eastAsia="Times New Roman" w:hAnsi="Times New Roman" w:cs="Times New Roman"/>
          <w:color w:val="000000"/>
          <w:spacing w:val="0"/>
          <w:w w:val="100"/>
          <w:position w:val="0"/>
        </w:rPr>
        <w:t>54,801.97</w:t>
      </w:r>
      <w:r>
        <w:rPr>
          <w:color w:val="000000"/>
          <w:spacing w:val="0"/>
          <w:w w:val="100"/>
          <w:position w:val="0"/>
        </w:rPr>
        <w:t>万元。公司主营业务持续增 长表明公司的发展情况良好，产品和服务市场竞争力强，预示着公司主营业务的发展潜力较强、市场前景广阔。</w:t>
      </w:r>
    </w:p>
    <w:p>
      <w:pPr>
        <w:pStyle w:val="Style29"/>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9"/>
          <w:szCs w:val="19"/>
        </w:rPr>
        <w:t>近三年主 营 业务 收入趋 势 图 ＜</w:t>
      </w:r>
      <w:r>
        <w:rPr>
          <w:color w:val="000000"/>
          <w:spacing w:val="0"/>
          <w:w w:val="100"/>
          <w:position w:val="0"/>
          <w:sz w:val="13"/>
          <w:szCs w:val="13"/>
        </w:rPr>
        <w:t>单位：元</w:t>
      </w:r>
    </w:p>
    <w:p>
      <w:pPr>
        <w:widowControl w:val="0"/>
        <w:jc w:val="center"/>
        <w:rPr>
          <w:sz w:val="2"/>
          <w:szCs w:val="2"/>
        </w:rPr>
      </w:pPr>
      <w:r>
        <w:drawing>
          <wp:inline>
            <wp:extent cx="4559935" cy="148145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559935" cy="1481455"/>
                    </a:xfrm>
                    <a:prstGeom prst="rect"/>
                  </pic:spPr>
                </pic:pic>
              </a:graphicData>
            </a:graphic>
          </wp:inline>
        </w:drawing>
      </w:r>
    </w:p>
    <w:p>
      <w:pPr>
        <w:widowControl w:val="0"/>
        <w:spacing w:after="139" w:line="1" w:lineRule="exact"/>
      </w:pPr>
    </w:p>
    <w:p>
      <w:pPr>
        <w:pStyle w:val="Style29"/>
        <w:keepNext w:val="0"/>
        <w:keepLines w:val="0"/>
        <w:widowControl w:val="0"/>
        <w:shd w:val="clear" w:color="auto" w:fill="auto"/>
        <w:bidi w:val="0"/>
        <w:spacing w:before="0" w:after="0" w:line="312" w:lineRule="exact"/>
        <w:ind w:left="0" w:right="0" w:firstLine="280"/>
        <w:jc w:val="left"/>
      </w:pPr>
      <w:bookmarkStart w:id="242" w:name="bookmark242"/>
      <w:r>
        <w:rPr>
          <w:color w:val="000000"/>
          <w:spacing w:val="0"/>
          <w:w w:val="100"/>
          <w:position w:val="0"/>
        </w:rPr>
        <w:t>（</w:t>
      </w:r>
      <w:bookmarkEnd w:id="242"/>
      <w:r>
        <w:rPr>
          <w:color w:val="000000"/>
          <w:spacing w:val="0"/>
          <w:w w:val="100"/>
          <w:position w:val="0"/>
        </w:rPr>
        <w:t>五）公司的主要行业优势</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公司自成立以来一直秉持</w:t>
      </w:r>
      <w:r>
        <w:rPr>
          <w:rFonts w:ascii="Times New Roman" w:eastAsia="Times New Roman" w:hAnsi="Times New Roman" w:cs="Times New Roman"/>
          <w:color w:val="000000"/>
          <w:spacing w:val="0"/>
          <w:w w:val="100"/>
          <w:position w:val="0"/>
        </w:rPr>
        <w:t>“</w:t>
      </w:r>
      <w:r>
        <w:rPr>
          <w:color w:val="000000"/>
          <w:spacing w:val="0"/>
          <w:w w:val="100"/>
          <w:position w:val="0"/>
        </w:rPr>
        <w:t>创造数字医卫、服务健康事业</w:t>
      </w:r>
      <w:r>
        <w:rPr>
          <w:rFonts w:ascii="Times New Roman" w:eastAsia="Times New Roman" w:hAnsi="Times New Roman" w:cs="Times New Roman"/>
          <w:color w:val="000000"/>
          <w:spacing w:val="0"/>
          <w:w w:val="100"/>
          <w:position w:val="0"/>
        </w:rPr>
        <w:t>”</w:t>
      </w:r>
      <w:r>
        <w:rPr>
          <w:color w:val="000000"/>
          <w:spacing w:val="0"/>
          <w:w w:val="100"/>
          <w:position w:val="0"/>
        </w:rPr>
        <w:t>的愿景，专注于医疗卫生信息化领域的软件开发和整体解决方 案，从医保接口系列到医院全面信息化建设，从社区和新农合系统到基于个人健康档案的区域卫生信息平台，公司已拥有八 大系列</w:t>
      </w:r>
      <w:r>
        <w:rPr>
          <w:rFonts w:ascii="Times New Roman" w:eastAsia="Times New Roman" w:hAnsi="Times New Roman" w:cs="Times New Roman"/>
          <w:color w:val="000000"/>
          <w:spacing w:val="0"/>
          <w:w w:val="100"/>
          <w:position w:val="0"/>
        </w:rPr>
        <w:t>200</w:t>
      </w:r>
      <w:r>
        <w:rPr>
          <w:color w:val="000000"/>
          <w:spacing w:val="0"/>
          <w:w w:val="100"/>
          <w:position w:val="0"/>
        </w:rPr>
        <w:t>多个自主研发产品。用户数量达到</w:t>
      </w:r>
      <w:r>
        <w:rPr>
          <w:rFonts w:ascii="Times New Roman" w:eastAsia="Times New Roman" w:hAnsi="Times New Roman" w:cs="Times New Roman"/>
          <w:color w:val="000000"/>
          <w:spacing w:val="0"/>
          <w:w w:val="100"/>
          <w:position w:val="0"/>
        </w:rPr>
        <w:t>4000</w:t>
      </w:r>
      <w:r>
        <w:rPr>
          <w:color w:val="000000"/>
          <w:spacing w:val="0"/>
          <w:w w:val="100"/>
          <w:position w:val="0"/>
        </w:rPr>
        <w:t>多家，公共卫生项目遍及全国</w:t>
      </w:r>
      <w:r>
        <w:rPr>
          <w:rFonts w:ascii="Times New Roman" w:eastAsia="Times New Roman" w:hAnsi="Times New Roman" w:cs="Times New Roman"/>
          <w:color w:val="000000"/>
          <w:spacing w:val="0"/>
          <w:w w:val="100"/>
          <w:position w:val="0"/>
        </w:rPr>
        <w:t>190</w:t>
      </w:r>
      <w:r>
        <w:rPr>
          <w:color w:val="000000"/>
          <w:spacing w:val="0"/>
          <w:w w:val="100"/>
          <w:position w:val="0"/>
        </w:rPr>
        <w:t>多个区县，市场占有率居全国前列。目前 在医疗卫生信息化领域领域具有较大的领先优势，主要如下：</w:t>
      </w:r>
    </w:p>
    <w:p>
      <w:pPr>
        <w:pStyle w:val="Style29"/>
        <w:keepNext w:val="0"/>
        <w:keepLines w:val="0"/>
        <w:widowControl w:val="0"/>
        <w:shd w:val="clear" w:color="auto" w:fill="auto"/>
        <w:bidi w:val="0"/>
        <w:spacing w:before="0" w:after="0"/>
        <w:ind w:left="0" w:right="0"/>
        <w:jc w:val="both"/>
      </w:pPr>
      <w:bookmarkStart w:id="243" w:name="bookmark243"/>
      <w:r>
        <w:rPr>
          <w:rFonts w:ascii="Times New Roman" w:eastAsia="Times New Roman" w:hAnsi="Times New Roman" w:cs="Times New Roman"/>
          <w:color w:val="000000"/>
          <w:spacing w:val="0"/>
          <w:w w:val="100"/>
          <w:position w:val="0"/>
        </w:rPr>
        <w:t>1</w:t>
      </w:r>
      <w:bookmarkEnd w:id="243"/>
      <w:r>
        <w:rPr>
          <w:color w:val="000000"/>
          <w:spacing w:val="0"/>
          <w:w w:val="100"/>
          <w:position w:val="0"/>
        </w:rPr>
        <w:t>、领先的行业地位和丰富的行业经验</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公司是国内较早进入医疗卫生信息化的软件供应商之一，成立至今一直专注于医疗卫生信息化领域，目前拥有相对成熟 的技术体系、较强的自主研发能力、丰富的产品种类，能够满足不同客户的个性化需求，在医疗卫生信息化行业跻身前列。 公司参与了卫生部健康档案基本架构与数据标准、电子病历基本架构与数据标准、基于健康档案的区域卫生信息平台建设指 南及基于健康档案的区域卫生信息平台建设技术解决方案等国家卫生信息标准和规范的研发和编制，体现了公司在行业内的 技术水平具有领先优势。目前公司医疗卫生信息化产品种类较为完备，拥有医院信息化和公共卫生信息化二大系列产品，涉 及数字化医院、数字化社区卫生、数字化卫生行政管理、数字化卫生监督、数字化疾病控制、数字化药店管理、数字化社会 保险、信息集成平台等多个医疗卫生业务领域。</w:t>
      </w:r>
    </w:p>
    <w:p>
      <w:pPr>
        <w:widowControl w:val="0"/>
        <w:jc w:val="center"/>
        <w:rPr>
          <w:sz w:val="2"/>
          <w:szCs w:val="2"/>
        </w:rPr>
      </w:pPr>
      <w:r>
        <w:drawing>
          <wp:inline>
            <wp:extent cx="6120130" cy="29324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6120130" cy="2932430"/>
                    </a:xfrm>
                    <a:prstGeom prst="rect"/>
                  </pic:spPr>
                </pic:pic>
              </a:graphicData>
            </a:graphic>
          </wp:inline>
        </w:drawing>
      </w:r>
    </w:p>
    <w:p>
      <w:pPr>
        <w:pStyle w:val="Style50"/>
        <w:keepNext w:val="0"/>
        <w:keepLines w:val="0"/>
        <w:widowControl w:val="0"/>
        <w:shd w:val="clear" w:color="auto" w:fill="auto"/>
        <w:bidi w:val="0"/>
        <w:spacing w:before="0" w:after="0" w:line="240" w:lineRule="auto"/>
        <w:ind w:left="341" w:right="0" w:firstLine="0"/>
        <w:jc w:val="left"/>
      </w:pPr>
      <w:r>
        <w:rPr>
          <w:color w:val="000000"/>
          <w:spacing w:val="0"/>
          <w:w w:val="100"/>
          <w:position w:val="0"/>
        </w:rPr>
        <w:t>报告期内，公司新增</w:t>
      </w:r>
      <w:r>
        <w:rPr>
          <w:rFonts w:ascii="Times New Roman" w:eastAsia="Times New Roman" w:hAnsi="Times New Roman" w:cs="Times New Roman"/>
          <w:color w:val="000000"/>
          <w:spacing w:val="0"/>
          <w:w w:val="100"/>
          <w:position w:val="0"/>
        </w:rPr>
        <w:t>2</w:t>
      </w:r>
      <w:r>
        <w:rPr>
          <w:color w:val="000000"/>
          <w:spacing w:val="0"/>
          <w:w w:val="100"/>
          <w:position w:val="0"/>
        </w:rPr>
        <w:t>项发明专利，</w:t>
      </w:r>
      <w:r>
        <w:rPr>
          <w:rFonts w:ascii="Times New Roman" w:eastAsia="Times New Roman" w:hAnsi="Times New Roman" w:cs="Times New Roman"/>
          <w:color w:val="000000"/>
          <w:spacing w:val="0"/>
          <w:w w:val="100"/>
          <w:position w:val="0"/>
        </w:rPr>
        <w:t>12</w:t>
      </w:r>
      <w:r>
        <w:rPr>
          <w:color w:val="000000"/>
          <w:spacing w:val="0"/>
          <w:w w:val="100"/>
          <w:position w:val="0"/>
        </w:rPr>
        <w:t>项软件著作权，在项目研发上完成了</w:t>
      </w:r>
      <w:r>
        <w:rPr>
          <w:rFonts w:ascii="Times New Roman" w:eastAsia="Times New Roman" w:hAnsi="Times New Roman" w:cs="Times New Roman"/>
          <w:color w:val="000000"/>
          <w:spacing w:val="0"/>
          <w:w w:val="100"/>
          <w:position w:val="0"/>
        </w:rPr>
        <w:t>5</w:t>
      </w:r>
      <w:r>
        <w:rPr>
          <w:color w:val="000000"/>
          <w:spacing w:val="0"/>
          <w:w w:val="100"/>
          <w:position w:val="0"/>
        </w:rPr>
        <w:t>项新产品的研发和</w:t>
      </w:r>
      <w:r>
        <w:rPr>
          <w:rFonts w:ascii="Times New Roman" w:eastAsia="Times New Roman" w:hAnsi="Times New Roman" w:cs="Times New Roman"/>
          <w:color w:val="000000"/>
          <w:spacing w:val="0"/>
          <w:w w:val="100"/>
          <w:position w:val="0"/>
        </w:rPr>
        <w:t>8</w:t>
      </w:r>
      <w:r>
        <w:rPr>
          <w:color w:val="000000"/>
          <w:spacing w:val="0"/>
          <w:w w:val="100"/>
          <w:position w:val="0"/>
        </w:rPr>
        <w:t>项项目技术升级，所有</w:t>
      </w:r>
      <w:r>
        <w:br w:type="page"/>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项目都按计划要求完成，取得了良好效果。</w:t>
      </w:r>
    </w:p>
    <w:p>
      <w:pPr>
        <w:pStyle w:val="Style29"/>
        <w:keepNext w:val="0"/>
        <w:keepLines w:val="0"/>
        <w:widowControl w:val="0"/>
        <w:shd w:val="clear" w:color="auto" w:fill="auto"/>
        <w:bidi w:val="0"/>
        <w:spacing w:before="0" w:after="500" w:line="240" w:lineRule="auto"/>
        <w:ind w:left="0" w:right="0" w:firstLine="400"/>
        <w:jc w:val="left"/>
      </w:pPr>
      <w:r>
        <w:rPr>
          <w:color w:val="000000"/>
          <w:spacing w:val="0"/>
          <w:w w:val="100"/>
          <w:position w:val="0"/>
        </w:rPr>
        <w:t>报告期内，公司新增获得发明专利授权</w:t>
      </w:r>
      <w:r>
        <w:rPr>
          <w:rFonts w:ascii="Times New Roman" w:eastAsia="Times New Roman" w:hAnsi="Times New Roman" w:cs="Times New Roman"/>
          <w:color w:val="000000"/>
          <w:spacing w:val="0"/>
          <w:w w:val="100"/>
          <w:position w:val="0"/>
        </w:rPr>
        <w:t>2</w:t>
      </w:r>
      <w:r>
        <w:rPr>
          <w:color w:val="000000"/>
          <w:spacing w:val="0"/>
          <w:w w:val="100"/>
          <w:position w:val="0"/>
        </w:rPr>
        <w:t>项，具体如下:</w:t>
      </w:r>
    </w:p>
    <w:tbl>
      <w:tblPr>
        <w:tblOverlap w:val="never"/>
        <w:jc w:val="center"/>
        <w:tblLayout w:type="fixed"/>
      </w:tblPr>
      <w:tblGrid>
        <w:gridCol w:w="658"/>
        <w:gridCol w:w="1786"/>
        <w:gridCol w:w="5304"/>
        <w:gridCol w:w="1949"/>
      </w:tblGrid>
      <w:tr>
        <w:trPr>
          <w:trHeight w:val="648" w:hRule="exact"/>
        </w:trPr>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发明名称</w:t>
            </w:r>
          </w:p>
        </w:tc>
        <w:tc>
          <w:tcPr>
            <w:tcBorders>
              <w:top w:val="single" w:sz="4"/>
              <w:left w:val="single" w:sz="4"/>
              <w:righ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授权公告日</w:t>
            </w:r>
          </w:p>
        </w:tc>
      </w:tr>
      <w:tr>
        <w:trPr>
          <w:trHeight w:val="6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ZL201410445171.5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w:t>
            </w:r>
            <w:r>
              <w:rPr>
                <w:rFonts w:ascii="Times New Roman" w:eastAsia="Times New Roman" w:hAnsi="Times New Roman" w:cs="Times New Roman"/>
                <w:color w:val="000000"/>
                <w:spacing w:val="0"/>
                <w:w w:val="100"/>
                <w:position w:val="0"/>
              </w:rPr>
              <w:t>RAID5</w:t>
            </w:r>
            <w:r>
              <w:rPr>
                <w:color w:val="000000"/>
                <w:spacing w:val="0"/>
                <w:w w:val="100"/>
                <w:position w:val="0"/>
              </w:rPr>
              <w:t>重构中的数据源选择方法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6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ZL201310175169.6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一种基于加权无向图的室内无线定位</w:t>
            </w:r>
            <w:r>
              <w:rPr>
                <w:rFonts w:ascii="Times New Roman" w:eastAsia="Times New Roman" w:hAnsi="Times New Roman" w:cs="Times New Roman"/>
                <w:color w:val="000000"/>
                <w:spacing w:val="0"/>
                <w:w w:val="100"/>
                <w:position w:val="0"/>
              </w:rPr>
              <w:t>AP</w:t>
            </w:r>
            <w:r>
              <w:rPr>
                <w:color w:val="000000"/>
                <w:spacing w:val="0"/>
                <w:w w:val="100"/>
                <w:position w:val="0"/>
              </w:rPr>
              <w:t>快速部署方法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报告期内，公司申请获得</w:t>
      </w:r>
      <w:r>
        <w:rPr>
          <w:rFonts w:ascii="Times New Roman" w:eastAsia="Times New Roman" w:hAnsi="Times New Roman" w:cs="Times New Roman"/>
          <w:color w:val="000000"/>
          <w:spacing w:val="0"/>
          <w:w w:val="100"/>
          <w:position w:val="0"/>
        </w:rPr>
        <w:t>12</w:t>
      </w:r>
      <w:r>
        <w:rPr>
          <w:color w:val="000000"/>
          <w:spacing w:val="0"/>
          <w:w w:val="100"/>
          <w:position w:val="0"/>
        </w:rPr>
        <w:t>项计算机软件著作权，具体明细如下:</w:t>
      </w:r>
    </w:p>
    <w:p>
      <w:pPr>
        <w:widowControl w:val="0"/>
        <w:spacing w:after="159" w:line="1" w:lineRule="exact"/>
      </w:pPr>
    </w:p>
    <w:tbl>
      <w:tblPr>
        <w:tblOverlap w:val="never"/>
        <w:jc w:val="center"/>
        <w:tblLayout w:type="fixed"/>
      </w:tblPr>
      <w:tblGrid>
        <w:gridCol w:w="653"/>
        <w:gridCol w:w="1786"/>
        <w:gridCol w:w="4502"/>
        <w:gridCol w:w="802"/>
        <w:gridCol w:w="1934"/>
      </w:tblGrid>
      <w:tr>
        <w:trPr>
          <w:trHeight w:val="355" w:hRule="exact"/>
        </w:trPr>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登记号</w:t>
            </w:r>
          </w:p>
        </w:tc>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w:t>
            </w:r>
          </w:p>
        </w:tc>
        <w:tc>
          <w:tcPr>
            <w:tcBorders>
              <w:top w:val="single" w:sz="4"/>
              <w:left w:val="single" w:sz="4"/>
              <w:righ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2016SR057343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创业社区绩效考核系统软件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6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2016SR058515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创业区域卫生综合管理平台软件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6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2016SR084082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创业消毒供应中心追溯管理系统软件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2016SR084053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创业血液净化中心智能管理系统软件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2016SR139286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创业区域协同胸痛急救信息系统应用软件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2016SR321096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创业电子病历浏览器系统软件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2016SR321031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创业电子健康档案浏览器系统软件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2016SR321067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创业医院运营管理系统软件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6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2016SR376002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创业智慧建筑综合运维管理平台软件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2016SR376844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创业智慧医院综合运维管理平台软件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6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2016SR373588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创业医学临床图像智能处理系统软件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6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2017SR029781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创业移动健康随访系统软件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bl>
    <w:p>
      <w:pPr>
        <w:widowControl w:val="0"/>
        <w:spacing w:after="259" w:line="1" w:lineRule="exact"/>
      </w:pPr>
    </w:p>
    <w:p>
      <w:pPr>
        <w:pStyle w:val="Style2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经过多年发展，公司已累计实施了</w:t>
      </w:r>
      <w:r>
        <w:rPr>
          <w:rFonts w:ascii="Times New Roman" w:eastAsia="Times New Roman" w:hAnsi="Times New Roman" w:cs="Times New Roman"/>
          <w:color w:val="000000"/>
          <w:spacing w:val="0"/>
          <w:w w:val="100"/>
          <w:position w:val="0"/>
        </w:rPr>
        <w:t>4,000</w:t>
      </w:r>
      <w:r>
        <w:rPr>
          <w:color w:val="000000"/>
          <w:spacing w:val="0"/>
          <w:w w:val="100"/>
          <w:position w:val="0"/>
        </w:rPr>
        <w:t>余个医疗卫生信息化建设项目，涉及医院、社区卫生服务中心、农村合作医疗 机构、疾控中心、药店、社保卫生管理部门等各类医疗卫生机构的信息化建设，积累了丰富的经验，特别是在大型数字化医 院建设和区域卫生信息化平台建设方面，公司先后实施了北京、上海、成都、杭州等多个医疗卫生信息化示范项目，深化了 对行业与客户需求的理解，积累了大型项目实施经验，服务水平得到显著提升。报告期内，首个区域医疗信息平台建设的运 营项目</w:t>
      </w:r>
      <w:r>
        <w:rPr>
          <w:color w:val="000000"/>
          <w:spacing w:val="0"/>
          <w:w w:val="100"/>
          <w:position w:val="0"/>
        </w:rPr>
        <w:t>一</w:t>
      </w:r>
      <w:r>
        <w:rPr>
          <w:color w:val="000000"/>
          <w:spacing w:val="0"/>
          <w:w w:val="100"/>
          <w:position w:val="0"/>
        </w:rPr>
        <w:t>中山市区域卫生信息平台建设运营项目正在顺利推进，建成后为下一步区域性信息化运营业务的开展奠定了良好 基础。</w:t>
      </w:r>
    </w:p>
    <w:p>
      <w:pPr>
        <w:pStyle w:val="Style29"/>
        <w:keepNext w:val="0"/>
        <w:keepLines w:val="0"/>
        <w:widowControl w:val="0"/>
        <w:shd w:val="clear" w:color="auto" w:fill="auto"/>
        <w:bidi w:val="0"/>
        <w:spacing w:before="0" w:after="200" w:line="312" w:lineRule="exact"/>
        <w:ind w:left="0" w:right="0" w:firstLine="400"/>
        <w:jc w:val="both"/>
      </w:pPr>
      <w:bookmarkStart w:id="244" w:name="bookmark244"/>
      <w:r>
        <w:rPr>
          <w:rFonts w:ascii="Times New Roman" w:eastAsia="Times New Roman" w:hAnsi="Times New Roman" w:cs="Times New Roman"/>
          <w:color w:val="000000"/>
          <w:spacing w:val="0"/>
          <w:w w:val="100"/>
          <w:position w:val="0"/>
        </w:rPr>
        <w:t>2</w:t>
      </w:r>
      <w:bookmarkEnd w:id="244"/>
      <w:r>
        <w:rPr>
          <w:color w:val="000000"/>
          <w:spacing w:val="0"/>
          <w:w w:val="100"/>
          <w:position w:val="0"/>
        </w:rPr>
        <w:t>、具有创新和谐的企业文化和高素质人才优势</w:t>
      </w:r>
    </w:p>
    <w:p>
      <w:pPr>
        <w:pStyle w:val="Style29"/>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多年来，公司致力于培育创新和谐的企业文化，提倡</w:t>
      </w:r>
      <w:r>
        <w:rPr>
          <w:rFonts w:ascii="Times New Roman" w:eastAsia="Times New Roman" w:hAnsi="Times New Roman" w:cs="Times New Roman"/>
          <w:color w:val="000000"/>
          <w:spacing w:val="0"/>
          <w:w w:val="100"/>
          <w:position w:val="0"/>
        </w:rPr>
        <w:t>“</w:t>
      </w:r>
      <w:r>
        <w:rPr>
          <w:color w:val="000000"/>
          <w:spacing w:val="0"/>
          <w:w w:val="100"/>
          <w:position w:val="0"/>
        </w:rPr>
        <w:t>让员工干自己最愿意干的工作，让员工干自己最具特长的工作； 实现企业价值与员工个人价值和社会价值最大化</w:t>
      </w:r>
      <w:r>
        <w:rPr>
          <w:rFonts w:ascii="Times New Roman" w:eastAsia="Times New Roman" w:hAnsi="Times New Roman" w:cs="Times New Roman"/>
          <w:color w:val="000000"/>
          <w:spacing w:val="0"/>
          <w:w w:val="100"/>
          <w:position w:val="0"/>
        </w:rPr>
        <w:t>”</w:t>
      </w:r>
      <w:r>
        <w:rPr>
          <w:color w:val="000000"/>
          <w:spacing w:val="0"/>
          <w:w w:val="100"/>
          <w:position w:val="0"/>
        </w:rPr>
        <w:t>，围绕建设中国一流软件企业的发展目标，逐渐形成了</w:t>
      </w:r>
      <w:r>
        <w:rPr>
          <w:rFonts w:ascii="Times New Roman" w:eastAsia="Times New Roman" w:hAnsi="Times New Roman" w:cs="Times New Roman"/>
          <w:color w:val="000000"/>
          <w:spacing w:val="0"/>
          <w:w w:val="100"/>
          <w:position w:val="0"/>
        </w:rPr>
        <w:t>“</w:t>
      </w:r>
      <w:r>
        <w:rPr>
          <w:color w:val="000000"/>
          <w:spacing w:val="0"/>
          <w:w w:val="100"/>
          <w:position w:val="0"/>
        </w:rPr>
        <w:t>团结创新、领先一 步、服务用户、共同进步</w:t>
      </w:r>
      <w:r>
        <w:rPr>
          <w:rFonts w:ascii="Times New Roman" w:eastAsia="Times New Roman" w:hAnsi="Times New Roman" w:cs="Times New Roman"/>
          <w:color w:val="000000"/>
          <w:spacing w:val="0"/>
          <w:w w:val="100"/>
          <w:position w:val="0"/>
        </w:rPr>
        <w:t>”</w:t>
      </w:r>
      <w:r>
        <w:rPr>
          <w:color w:val="000000"/>
          <w:spacing w:val="0"/>
          <w:w w:val="100"/>
          <w:position w:val="0"/>
        </w:rPr>
        <w:t>的企业文化，拥有一支高素质的核心管理团队和优秀的技术团队，整体技术水平与创新能力居行 业前列。</w:t>
      </w:r>
    </w:p>
    <w:p>
      <w:pPr>
        <w:pStyle w:val="Style29"/>
        <w:keepNext w:val="0"/>
        <w:keepLines w:val="0"/>
        <w:widowControl w:val="0"/>
        <w:shd w:val="clear" w:color="auto" w:fill="auto"/>
        <w:tabs>
          <w:tab w:pos="755" w:val="left"/>
        </w:tabs>
        <w:bidi w:val="0"/>
        <w:spacing w:before="0" w:after="0"/>
        <w:ind w:left="0" w:right="0" w:firstLine="460"/>
        <w:jc w:val="both"/>
      </w:pPr>
      <w:bookmarkStart w:id="245" w:name="bookmark245"/>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先进的技术水平和持续的创新能力</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作为高新技术企业，公司一贯坚持技术领先的企业发展战略，紧跟国际信息技术的发展潮流，紧密结合我国医疗卫生信 息化建设的实际情况，始终重视自主研发和科技创新活动。经过多年的研发与积累，公司掌握了一批较为领先的核心技术， 同时取得了多项科技成果，形成了功能较为完善的医疗卫生信息化应用软件。自</w:t>
      </w:r>
      <w:r>
        <w:rPr>
          <w:rFonts w:ascii="Times New Roman" w:eastAsia="Times New Roman" w:hAnsi="Times New Roman" w:cs="Times New Roman"/>
          <w:color w:val="000000"/>
          <w:spacing w:val="0"/>
          <w:w w:val="100"/>
          <w:position w:val="0"/>
        </w:rPr>
        <w:t>2010</w:t>
      </w:r>
      <w:r>
        <w:rPr>
          <w:color w:val="000000"/>
          <w:spacing w:val="0"/>
          <w:w w:val="100"/>
          <w:position w:val="0"/>
        </w:rPr>
        <w:t>年以来，公司被连续认定为</w:t>
      </w:r>
      <w:r>
        <w:rPr>
          <w:rFonts w:ascii="Times New Roman" w:eastAsia="Times New Roman" w:hAnsi="Times New Roman" w:cs="Times New Roman"/>
          <w:color w:val="000000"/>
          <w:spacing w:val="0"/>
          <w:w w:val="100"/>
          <w:position w:val="0"/>
        </w:rPr>
        <w:t>“</w:t>
      </w:r>
      <w:r>
        <w:rPr>
          <w:color w:val="000000"/>
          <w:spacing w:val="0"/>
          <w:w w:val="100"/>
          <w:position w:val="0"/>
        </w:rPr>
        <w:t>国家火炬 计划重点高新技术企业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历年来，公司凭借其积累的技术开发能力，先后承担了包括国家科技支撑计划项目、国家电子信息产业发展基金项目、 国家高新技术产业化项目、国家火炬计划项目、国家重点创新基金项目等在内的多项政府科技开发项目，其中国家级项目</w:t>
      </w:r>
      <w:r>
        <w:rPr>
          <w:rFonts w:ascii="Times New Roman" w:eastAsia="Times New Roman" w:hAnsi="Times New Roman" w:cs="Times New Roman"/>
          <w:color w:val="000000"/>
          <w:spacing w:val="0"/>
          <w:w w:val="100"/>
          <w:position w:val="0"/>
        </w:rPr>
        <w:t xml:space="preserve">18 </w:t>
      </w:r>
      <w:r>
        <w:rPr>
          <w:color w:val="000000"/>
          <w:spacing w:val="0"/>
          <w:w w:val="100"/>
          <w:position w:val="0"/>
        </w:rPr>
        <w:t>项、省市级项目</w:t>
      </w:r>
      <w:r>
        <w:rPr>
          <w:rFonts w:ascii="Times New Roman" w:eastAsia="Times New Roman" w:hAnsi="Times New Roman" w:cs="Times New Roman"/>
          <w:color w:val="000000"/>
          <w:spacing w:val="0"/>
          <w:w w:val="100"/>
          <w:position w:val="0"/>
        </w:rPr>
        <w:t>40</w:t>
      </w:r>
      <w:r>
        <w:rPr>
          <w:color w:val="000000"/>
          <w:spacing w:val="0"/>
          <w:w w:val="100"/>
          <w:position w:val="0"/>
        </w:rPr>
        <w:t>余项。</w:t>
      </w:r>
    </w:p>
    <w:p>
      <w:pPr>
        <w:pStyle w:val="Style29"/>
        <w:keepNext w:val="0"/>
        <w:keepLines w:val="0"/>
        <w:widowControl w:val="0"/>
        <w:shd w:val="clear" w:color="auto" w:fill="auto"/>
        <w:tabs>
          <w:tab w:pos="764" w:val="left"/>
        </w:tabs>
        <w:bidi w:val="0"/>
        <w:spacing w:before="0" w:after="0"/>
        <w:ind w:left="0" w:right="0" w:firstLine="460"/>
        <w:jc w:val="both"/>
      </w:pPr>
      <w:bookmarkStart w:id="246" w:name="bookmark246"/>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具有完善的营销网络和稳固的客户资源</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公司自设立以来一直致力于产品和服务的市场品牌建设和推广，注重销售团队的建设和营销网络的建设。截至目前，公 司累计用户达</w:t>
      </w:r>
      <w:r>
        <w:rPr>
          <w:rFonts w:ascii="Times New Roman" w:eastAsia="Times New Roman" w:hAnsi="Times New Roman" w:cs="Times New Roman"/>
          <w:color w:val="000000"/>
          <w:spacing w:val="0"/>
          <w:w w:val="100"/>
          <w:position w:val="0"/>
        </w:rPr>
        <w:t>4000</w:t>
      </w:r>
      <w:r>
        <w:rPr>
          <w:color w:val="000000"/>
          <w:spacing w:val="0"/>
          <w:w w:val="100"/>
          <w:position w:val="0"/>
        </w:rPr>
        <w:t>余家，其中包括国内著名大型三甲医院以及各级卫生行政管理部门。公司坚持</w:t>
      </w:r>
      <w:r>
        <w:rPr>
          <w:rFonts w:ascii="Times New Roman" w:eastAsia="Times New Roman" w:hAnsi="Times New Roman" w:cs="Times New Roman"/>
          <w:color w:val="000000"/>
          <w:spacing w:val="0"/>
          <w:w w:val="100"/>
          <w:position w:val="0"/>
        </w:rPr>
        <w:t>“</w:t>
      </w:r>
      <w:r>
        <w:rPr>
          <w:color w:val="000000"/>
          <w:spacing w:val="0"/>
          <w:w w:val="100"/>
          <w:position w:val="0"/>
        </w:rPr>
        <w:t>合作双赢，共同进步</w:t>
      </w:r>
      <w:r>
        <w:rPr>
          <w:rFonts w:ascii="Times New Roman" w:eastAsia="Times New Roman" w:hAnsi="Times New Roman" w:cs="Times New Roman"/>
          <w:color w:val="000000"/>
          <w:spacing w:val="0"/>
          <w:w w:val="100"/>
          <w:position w:val="0"/>
        </w:rPr>
        <w:t>”</w:t>
      </w:r>
      <w:r>
        <w:rPr>
          <w:color w:val="000000"/>
          <w:spacing w:val="0"/>
          <w:w w:val="100"/>
          <w:position w:val="0"/>
        </w:rPr>
        <w:t>的经 营方针，与主要客户建立紧密的合作关系，在合作中共同发展。为构建与客户之间良好的伙伴关系，公司采取了灵活机动的 沟通方式，运用信息化手段，建立了客户服务中心，开发了客户信息化服务平台，实现了与客户之间的及时沟通，从而为公 司业务持续快速增长奠定了良好的基础。</w:t>
      </w:r>
    </w:p>
    <w:p>
      <w:pPr>
        <w:pStyle w:val="Style29"/>
        <w:keepNext w:val="0"/>
        <w:keepLines w:val="0"/>
        <w:widowControl w:val="0"/>
        <w:shd w:val="clear" w:color="auto" w:fill="auto"/>
        <w:tabs>
          <w:tab w:pos="764" w:val="left"/>
        </w:tabs>
        <w:bidi w:val="0"/>
        <w:spacing w:before="0" w:after="0" w:line="312" w:lineRule="exact"/>
        <w:ind w:left="0" w:right="0" w:firstLine="460"/>
        <w:jc w:val="both"/>
      </w:pPr>
      <w:bookmarkStart w:id="247" w:name="bookmark247"/>
      <w:r>
        <w:rPr>
          <w:rFonts w:ascii="Times New Roman" w:eastAsia="Times New Roman" w:hAnsi="Times New Roman" w:cs="Times New Roman"/>
          <w:color w:val="000000"/>
          <w:spacing w:val="0"/>
          <w:w w:val="100"/>
          <w:position w:val="0"/>
        </w:rPr>
        <w:t>5</w:t>
      </w:r>
      <w:bookmarkEnd w:id="247"/>
      <w:r>
        <w:rPr>
          <w:color w:val="000000"/>
          <w:spacing w:val="0"/>
          <w:w w:val="100"/>
          <w:position w:val="0"/>
        </w:rPr>
        <w:t>、</w:t>
        <w:tab/>
        <w:t>具有良好的品牌形象和高等级的专业资质优势</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随着客户数量的增加以及示范工程项目的推广，公司的品牌知名度不断提升。同时，随着市场秩序的日趋完善，业务专 项资质已成为衡量一个软件企业管理水平和综合实力的一项重要指标，也成为软件企业参与各类招标项目的一项必备条件。 经过多年的努力，公司已取得了如</w:t>
      </w:r>
      <w:r>
        <w:rPr>
          <w:rFonts w:ascii="Times New Roman" w:eastAsia="Times New Roman" w:hAnsi="Times New Roman" w:cs="Times New Roman"/>
          <w:color w:val="000000"/>
          <w:spacing w:val="0"/>
          <w:w w:val="100"/>
          <w:position w:val="0"/>
        </w:rPr>
        <w:t>“</w:t>
      </w:r>
      <w:r>
        <w:rPr>
          <w:color w:val="000000"/>
          <w:spacing w:val="0"/>
          <w:w w:val="100"/>
          <w:position w:val="0"/>
        </w:rPr>
        <w:t>软件能力成熟度模型集成五级</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计算机信息系统集成壹级资质</w:t>
      </w:r>
      <w:r>
        <w:rPr>
          <w:rFonts w:ascii="Times New Roman" w:eastAsia="Times New Roman" w:hAnsi="Times New Roman" w:cs="Times New Roman"/>
          <w:color w:val="000000"/>
          <w:spacing w:val="0"/>
          <w:w w:val="100"/>
          <w:position w:val="0"/>
        </w:rPr>
        <w:t>“</w:t>
      </w:r>
      <w:r>
        <w:rPr>
          <w:color w:val="000000"/>
          <w:spacing w:val="0"/>
          <w:w w:val="100"/>
          <w:position w:val="0"/>
        </w:rPr>
        <w:t>建筑智 能化工程设计与施工壹级资质</w:t>
      </w:r>
      <w:r>
        <w:rPr>
          <w:rFonts w:ascii="Times New Roman" w:eastAsia="Times New Roman" w:hAnsi="Times New Roman" w:cs="Times New Roman"/>
          <w:color w:val="000000"/>
          <w:spacing w:val="0"/>
          <w:w w:val="100"/>
          <w:position w:val="0"/>
        </w:rPr>
        <w:t>”</w:t>
      </w:r>
      <w:r>
        <w:rPr>
          <w:color w:val="000000"/>
          <w:spacing w:val="0"/>
          <w:w w:val="100"/>
          <w:position w:val="0"/>
        </w:rPr>
        <w:t>、安全生产许可证、医疗器械产品经营企业许可证、医疗器械生产企业许可证等含金量较高 的资质证书，使公司在激烈的市场竞争中占有独特的比较优势。</w:t>
      </w:r>
    </w:p>
    <w:p>
      <w:pPr>
        <w:pStyle w:val="Style29"/>
        <w:keepNext w:val="0"/>
        <w:keepLines w:val="0"/>
        <w:widowControl w:val="0"/>
        <w:shd w:val="clear" w:color="auto" w:fill="auto"/>
        <w:bidi w:val="0"/>
        <w:spacing w:before="0" w:after="80" w:line="312" w:lineRule="exact"/>
        <w:ind w:left="0" w:right="0"/>
        <w:jc w:val="both"/>
      </w:pPr>
      <w:bookmarkStart w:id="248" w:name="bookmark248"/>
      <w:r>
        <w:rPr>
          <w:color w:val="000000"/>
          <w:spacing w:val="0"/>
          <w:w w:val="100"/>
          <w:position w:val="0"/>
        </w:rPr>
        <w:t>（</w:t>
      </w:r>
      <w:bookmarkEnd w:id="248"/>
      <w:r>
        <w:rPr>
          <w:color w:val="000000"/>
          <w:spacing w:val="0"/>
          <w:w w:val="100"/>
          <w:position w:val="0"/>
        </w:rPr>
        <w:t>六）公司发展战略</w:t>
      </w:r>
    </w:p>
    <w:p>
      <w:pPr>
        <w:pStyle w:val="Style29"/>
        <w:keepNext w:val="0"/>
        <w:keepLines w:val="0"/>
        <w:widowControl w:val="0"/>
        <w:shd w:val="clear" w:color="auto" w:fill="auto"/>
        <w:tabs>
          <w:tab w:pos="745" w:val="left"/>
        </w:tabs>
        <w:bidi w:val="0"/>
        <w:spacing w:before="0" w:after="0"/>
        <w:ind w:left="0" w:right="0" w:firstLine="460"/>
        <w:jc w:val="both"/>
      </w:pPr>
      <w:bookmarkStart w:id="249" w:name="bookmark249"/>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t>公司未来发展战略</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未来将继续秉承</w:t>
      </w:r>
      <w:r>
        <w:rPr>
          <w:rFonts w:ascii="Times New Roman" w:eastAsia="Times New Roman" w:hAnsi="Times New Roman" w:cs="Times New Roman"/>
          <w:color w:val="000000"/>
          <w:spacing w:val="0"/>
          <w:w w:val="100"/>
          <w:position w:val="0"/>
        </w:rPr>
        <w:t>“</w:t>
      </w:r>
      <w:r>
        <w:rPr>
          <w:color w:val="000000"/>
          <w:spacing w:val="0"/>
          <w:w w:val="100"/>
          <w:position w:val="0"/>
        </w:rPr>
        <w:t>团结创新、领先一步；服务用户，共同进步</w:t>
      </w:r>
      <w:r>
        <w:rPr>
          <w:rFonts w:ascii="Times New Roman" w:eastAsia="Times New Roman" w:hAnsi="Times New Roman" w:cs="Times New Roman"/>
          <w:color w:val="000000"/>
          <w:spacing w:val="0"/>
          <w:w w:val="100"/>
          <w:position w:val="0"/>
        </w:rPr>
        <w:t>”</w:t>
      </w:r>
      <w:r>
        <w:rPr>
          <w:color w:val="000000"/>
          <w:spacing w:val="0"/>
          <w:w w:val="100"/>
          <w:position w:val="0"/>
        </w:rPr>
        <w:t>的经营理念，顺应国内医疗健康信息化的大趋势，立足医 疗卫生信息化行业，依托业已形成的综合优势，紧跟产业步伐，拓展新兴市场，向智慧医疗与健康服务进行拓展整合，持续 提升业绩增长和盈利能力,逐步将公司主营业务从以软件产品开发销售为主导向信息系统的运维服务和区域医疗健康平台运 营服务领域拓展，形成以智慧医疗、区域卫生、健康城市等为主要模式的主营业务格局，实现成为大健康全产业链的中国最 优秀的医疗健康服务运营商。</w:t>
      </w:r>
    </w:p>
    <w:p>
      <w:pPr>
        <w:pStyle w:val="Style29"/>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报告期内，公司的经营模式和业务模式未发生重大变化。</w:t>
      </w:r>
    </w:p>
    <w:p>
      <w:pPr>
        <w:pStyle w:val="Style29"/>
        <w:keepNext w:val="0"/>
        <w:keepLines w:val="0"/>
        <w:widowControl w:val="0"/>
        <w:shd w:val="clear" w:color="auto" w:fill="auto"/>
        <w:tabs>
          <w:tab w:pos="764" w:val="left"/>
        </w:tabs>
        <w:bidi w:val="0"/>
        <w:spacing w:before="0" w:after="0"/>
        <w:ind w:left="0" w:right="0" w:firstLine="460"/>
        <w:jc w:val="both"/>
      </w:pPr>
      <w:bookmarkStart w:id="250" w:name="bookmark250"/>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年战略发展推进计划</w:t>
      </w:r>
    </w:p>
    <w:p>
      <w:pPr>
        <w:pStyle w:val="Style29"/>
        <w:keepNext w:val="0"/>
        <w:keepLines w:val="0"/>
        <w:widowControl w:val="0"/>
        <w:shd w:val="clear" w:color="auto" w:fill="auto"/>
        <w:bidi w:val="0"/>
        <w:spacing w:before="0" w:after="40" w:line="312" w:lineRule="exact"/>
        <w:ind w:left="0" w:right="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）新技术、新产品的开发计划</w:t>
      </w:r>
    </w:p>
    <w:p>
      <w:pPr>
        <w:pStyle w:val="Style29"/>
        <w:keepNext w:val="0"/>
        <w:keepLines w:val="0"/>
        <w:widowControl w:val="0"/>
        <w:shd w:val="clear" w:color="auto" w:fill="auto"/>
        <w:bidi w:val="0"/>
        <w:spacing w:before="0" w:after="80" w:line="32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年度公司继续贴近用户、打造样板、顶层设计、突破创新，加大产品研发力度。截至本报告出具日，公司已经内 部立项的研发项目计划如下：</w:t>
      </w:r>
    </w:p>
    <w:tbl>
      <w:tblPr>
        <w:tblOverlap w:val="never"/>
        <w:jc w:val="center"/>
        <w:tblLayout w:type="fixed"/>
      </w:tblPr>
      <w:tblGrid>
        <w:gridCol w:w="1464"/>
        <w:gridCol w:w="8400"/>
      </w:tblGrid>
      <w:tr>
        <w:trPr>
          <w:trHeight w:val="470" w:hRule="exact"/>
        </w:trPr>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righ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研发项目名称</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医疗科研大数据平台</w:t>
            </w:r>
            <w:r>
              <w:rPr>
                <w:rFonts w:ascii="Times New Roman" w:eastAsia="Times New Roman" w:hAnsi="Times New Roman" w:cs="Times New Roman"/>
                <w:color w:val="000000"/>
                <w:spacing w:val="0"/>
                <w:w w:val="100"/>
                <w:position w:val="0"/>
              </w:rPr>
              <w:t>MBS</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区域影像大数据自动分析平台</w:t>
            </w:r>
            <w:r>
              <w:rPr>
                <w:rFonts w:ascii="Times New Roman" w:eastAsia="Times New Roman" w:hAnsi="Times New Roman" w:cs="Times New Roman"/>
                <w:color w:val="000000"/>
                <w:spacing w:val="0"/>
                <w:w w:val="100"/>
                <w:position w:val="0"/>
              </w:rPr>
              <w:t>PABS</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区域卫生大数据平台</w:t>
            </w:r>
            <w:r>
              <w:rPr>
                <w:rFonts w:ascii="Times New Roman" w:eastAsia="Times New Roman" w:hAnsi="Times New Roman" w:cs="Times New Roman"/>
                <w:color w:val="000000"/>
                <w:spacing w:val="0"/>
                <w:w w:val="100"/>
                <w:position w:val="0"/>
              </w:rPr>
              <w:t>HBS</w:t>
            </w: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创业分布式远程医疗系统软件</w:t>
            </w:r>
          </w:p>
        </w:tc>
      </w:tr>
    </w:tbl>
    <w:tbl>
      <w:tblPr>
        <w:tblOverlap w:val="never"/>
        <w:jc w:val="center"/>
        <w:tblLayout w:type="fixed"/>
      </w:tblPr>
      <w:tblGrid>
        <w:gridCol w:w="1464"/>
        <w:gridCol w:w="8400"/>
      </w:tblGrid>
      <w:tr>
        <w:trPr>
          <w:trHeight w:val="470" w:hRule="exact"/>
        </w:trPr>
        <w:tc>
          <w:tcPr>
            <w:tcBorders>
              <w:top w:val="single" w:sz="4"/>
              <w:lef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right w:val="single" w:sz="4"/>
            </w:tcBorders>
            <w:shd w:val="clear" w:color="auto" w:fill="AFACAB"/>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研发项目名称</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创业互联网医院云诊室系统软件</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创业院外病人管理系统软件</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创业医疗云平台软件</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创业体检信息系统</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创业医院临床数据中心软件</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创业医院信息集成平台软件</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创业医院管理决策支持系统软件</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创业医院信息管理系统软件</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创业电子病历系统软件</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创业急诊临床信息系统软件</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第三方独立实验室信息平台</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实验室质量管理系统</w:t>
            </w:r>
          </w:p>
        </w:tc>
      </w:tr>
      <w:tr>
        <w:trPr>
          <w:trHeight w:val="4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区域体检产品升级</w:t>
            </w:r>
          </w:p>
        </w:tc>
      </w:tr>
    </w:tbl>
    <w:p>
      <w:pPr>
        <w:widowControl w:val="0"/>
        <w:spacing w:after="39" w:line="1" w:lineRule="exact"/>
      </w:pPr>
    </w:p>
    <w:p>
      <w:pPr>
        <w:pStyle w:val="Style29"/>
        <w:keepNext w:val="0"/>
        <w:keepLines w:val="0"/>
        <w:widowControl w:val="0"/>
        <w:numPr>
          <w:ilvl w:val="0"/>
          <w:numId w:val="3"/>
        </w:numPr>
        <w:shd w:val="clear" w:color="auto" w:fill="auto"/>
        <w:bidi w:val="0"/>
        <w:spacing w:before="0" w:after="120" w:line="240" w:lineRule="auto"/>
        <w:ind w:left="0" w:right="0" w:firstLine="460"/>
        <w:jc w:val="left"/>
      </w:pPr>
      <w:bookmarkStart w:id="252" w:name="bookmark252"/>
      <w:bookmarkEnd w:id="252"/>
      <w:r>
        <w:rPr>
          <w:color w:val="000000"/>
          <w:spacing w:val="0"/>
          <w:w w:val="100"/>
          <w:position w:val="0"/>
        </w:rPr>
        <w:t>资产收购等重大投资计划</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年，公司仍将充分利用好资本市场，继续寻求有协同效应的收购兼并对象，以并购为契机，以机制为保障，拓展</w:t>
      </w:r>
    </w:p>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公司新的、强大的利润增长点，成就公司战略目标。</w:t>
      </w:r>
    </w:p>
    <w:p>
      <w:pPr>
        <w:pStyle w:val="Style29"/>
        <w:keepNext w:val="0"/>
        <w:keepLines w:val="0"/>
        <w:widowControl w:val="0"/>
        <w:numPr>
          <w:ilvl w:val="0"/>
          <w:numId w:val="3"/>
        </w:numPr>
        <w:shd w:val="clear" w:color="auto" w:fill="auto"/>
        <w:bidi w:val="0"/>
        <w:spacing w:before="0" w:after="40" w:line="317" w:lineRule="exact"/>
        <w:ind w:left="0" w:right="0"/>
        <w:jc w:val="left"/>
      </w:pPr>
      <w:bookmarkStart w:id="253" w:name="bookmark253"/>
      <w:bookmarkEnd w:id="253"/>
      <w:r>
        <w:rPr>
          <w:color w:val="000000"/>
          <w:spacing w:val="0"/>
          <w:w w:val="100"/>
          <w:position w:val="0"/>
        </w:rPr>
        <w:t>投资者回报安排</w:t>
      </w:r>
    </w:p>
    <w:p>
      <w:pPr>
        <w:pStyle w:val="Style29"/>
        <w:keepNext w:val="0"/>
        <w:keepLines w:val="0"/>
        <w:widowControl w:val="0"/>
        <w:shd w:val="clear" w:color="auto" w:fill="auto"/>
        <w:bidi w:val="0"/>
        <w:spacing w:before="0" w:after="40" w:line="317" w:lineRule="exact"/>
        <w:ind w:left="0" w:right="0" w:firstLine="460"/>
        <w:jc w:val="both"/>
      </w:pPr>
      <w:r>
        <w:rPr>
          <w:color w:val="000000"/>
          <w:spacing w:val="0"/>
          <w:w w:val="100"/>
          <w:position w:val="0"/>
        </w:rPr>
        <w:t>按照公司《公司章程》的规定，公司将实行持续、稳定、合理的利润分配政策，重视对投资者的合理投资回报并兼顾公 司的可持续发展，综合考虑公司的发展战略和实际经营情况，科学地制定公司利润分配政策。</w:t>
      </w:r>
    </w:p>
    <w:p>
      <w:pPr>
        <w:pStyle w:val="Style29"/>
        <w:keepNext w:val="0"/>
        <w:keepLines w:val="0"/>
        <w:widowControl w:val="0"/>
        <w:numPr>
          <w:ilvl w:val="0"/>
          <w:numId w:val="5"/>
        </w:numPr>
        <w:shd w:val="clear" w:color="auto" w:fill="auto"/>
        <w:tabs>
          <w:tab w:pos="911" w:val="left"/>
        </w:tabs>
        <w:bidi w:val="0"/>
        <w:spacing w:before="0" w:after="40" w:line="317" w:lineRule="exact"/>
        <w:ind w:left="0" w:right="0"/>
        <w:jc w:val="left"/>
      </w:pPr>
      <w:bookmarkStart w:id="254" w:name="bookmark254"/>
      <w:bookmarkEnd w:id="254"/>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p>
    <w:p>
      <w:pPr>
        <w:pStyle w:val="Style29"/>
        <w:keepNext w:val="0"/>
        <w:keepLines w:val="0"/>
        <w:widowControl w:val="0"/>
        <w:numPr>
          <w:ilvl w:val="0"/>
          <w:numId w:val="7"/>
        </w:numPr>
        <w:shd w:val="clear" w:color="auto" w:fill="auto"/>
        <w:tabs>
          <w:tab w:pos="820" w:val="left"/>
        </w:tabs>
        <w:bidi w:val="0"/>
        <w:spacing w:before="0" w:after="40" w:line="317" w:lineRule="exact"/>
        <w:ind w:left="0" w:right="0"/>
        <w:jc w:val="left"/>
      </w:pPr>
      <w:bookmarkStart w:id="255" w:name="bookmark255"/>
      <w:bookmarkEnd w:id="255"/>
      <w:r>
        <w:rPr>
          <w:color w:val="000000"/>
          <w:spacing w:val="0"/>
          <w:w w:val="100"/>
          <w:position w:val="0"/>
        </w:rPr>
        <w:t>客户及市场开拓计划</w:t>
      </w:r>
    </w:p>
    <w:p>
      <w:pPr>
        <w:pStyle w:val="Style29"/>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公司仍将立足医疗卫生信息化行业，依托业已形成的综合优势，进一步提高市场占有率，加大对营销网络建设的投入力 度，重点加强地市级和区县级营销网络的建设，加强与各地区卫生行政管理部门的联系与交流，积极参与各地区公共卫生信 息化规划设计，因地制宜地提供医疗卫生信息化解决方案。公司将采取更加积极的经营管理措施。</w:t>
      </w:r>
    </w:p>
    <w:p>
      <w:pPr>
        <w:pStyle w:val="Style29"/>
        <w:keepNext w:val="0"/>
        <w:keepLines w:val="0"/>
        <w:widowControl w:val="0"/>
        <w:numPr>
          <w:ilvl w:val="0"/>
          <w:numId w:val="7"/>
        </w:numPr>
        <w:shd w:val="clear" w:color="auto" w:fill="auto"/>
        <w:tabs>
          <w:tab w:pos="820" w:val="left"/>
        </w:tabs>
        <w:bidi w:val="0"/>
        <w:spacing w:before="0" w:after="40" w:line="317" w:lineRule="exact"/>
        <w:ind w:left="0" w:right="0"/>
        <w:jc w:val="left"/>
      </w:pPr>
      <w:bookmarkStart w:id="256" w:name="bookmark256"/>
      <w:bookmarkEnd w:id="256"/>
      <w:r>
        <w:rPr>
          <w:color w:val="000000"/>
          <w:spacing w:val="0"/>
          <w:w w:val="100"/>
          <w:position w:val="0"/>
        </w:rPr>
        <w:t>研发提升计划</w:t>
      </w:r>
    </w:p>
    <w:p>
      <w:pPr>
        <w:pStyle w:val="Style29"/>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积极引进高端研发人员，加强与国内外著名高校和科研机构的合作，重点开展医疗大数据应用技术的研发。同时，对已 形成产业化的产品进行深度开发，加快其升级换代，保持技术优势。</w:t>
      </w:r>
    </w:p>
    <w:p>
      <w:pPr>
        <w:pStyle w:val="Style29"/>
        <w:keepNext w:val="0"/>
        <w:keepLines w:val="0"/>
        <w:widowControl w:val="0"/>
        <w:numPr>
          <w:ilvl w:val="0"/>
          <w:numId w:val="7"/>
        </w:numPr>
        <w:shd w:val="clear" w:color="auto" w:fill="auto"/>
        <w:tabs>
          <w:tab w:pos="820" w:val="left"/>
        </w:tabs>
        <w:bidi w:val="0"/>
        <w:spacing w:before="0" w:after="40" w:line="317" w:lineRule="exact"/>
        <w:ind w:left="0" w:right="0"/>
        <w:jc w:val="left"/>
      </w:pPr>
      <w:bookmarkStart w:id="257" w:name="bookmark257"/>
      <w:bookmarkEnd w:id="257"/>
      <w:r>
        <w:rPr>
          <w:color w:val="000000"/>
          <w:spacing w:val="0"/>
          <w:w w:val="100"/>
          <w:position w:val="0"/>
        </w:rPr>
        <w:t>管理创新计划</w:t>
      </w:r>
    </w:p>
    <w:p>
      <w:pPr>
        <w:pStyle w:val="Style29"/>
        <w:keepNext w:val="0"/>
        <w:keepLines w:val="0"/>
        <w:widowControl w:val="0"/>
        <w:shd w:val="clear" w:color="auto" w:fill="auto"/>
        <w:tabs>
          <w:tab w:pos="712" w:val="left"/>
        </w:tabs>
        <w:bidi w:val="0"/>
        <w:spacing w:before="0" w:after="40" w:line="317" w:lineRule="exact"/>
        <w:ind w:left="0" w:right="0" w:firstLine="460"/>
        <w:jc w:val="both"/>
      </w:pPr>
      <w:bookmarkStart w:id="258" w:name="bookmark258"/>
      <w:r>
        <w:rPr>
          <w:rFonts w:ascii="Times New Roman" w:eastAsia="Times New Roman" w:hAnsi="Times New Roman" w:cs="Times New Roman"/>
          <w:color w:val="000000"/>
          <w:spacing w:val="0"/>
          <w:w w:val="100"/>
          <w:position w:val="0"/>
        </w:rPr>
        <w:t>a</w:t>
      </w:r>
      <w:bookmarkEnd w:id="258"/>
      <w:r>
        <w:rPr>
          <w:color w:val="000000"/>
          <w:spacing w:val="0"/>
          <w:w w:val="100"/>
          <w:position w:val="0"/>
        </w:rPr>
        <w:t>、</w:t>
        <w:tab/>
      </w:r>
      <w:r>
        <w:rPr>
          <w:color w:val="000000"/>
          <w:spacing w:val="0"/>
          <w:w w:val="100"/>
          <w:position w:val="0"/>
        </w:rPr>
        <w:t>加大产品创新力度。根据公司战略发展目标制定产品研发策略，对已有的产品线按照客户需求研发新产品，服务并 满足客户体验，帮助各大区落地交付，同时加大新产品研发，积极开拓互联网技术应用产品、大数据应用产品、平台产品， 为未来市场扩展提前做好准备。</w:t>
      </w:r>
    </w:p>
    <w:p>
      <w:pPr>
        <w:pStyle w:val="Style29"/>
        <w:keepNext w:val="0"/>
        <w:keepLines w:val="0"/>
        <w:widowControl w:val="0"/>
        <w:shd w:val="clear" w:color="auto" w:fill="auto"/>
        <w:tabs>
          <w:tab w:pos="712" w:val="left"/>
        </w:tabs>
        <w:bidi w:val="0"/>
        <w:spacing w:before="0" w:after="40" w:line="317" w:lineRule="exact"/>
        <w:ind w:left="0" w:right="0" w:firstLine="460"/>
        <w:jc w:val="both"/>
      </w:pPr>
      <w:bookmarkStart w:id="259" w:name="bookmark259"/>
      <w:r>
        <w:rPr>
          <w:rFonts w:ascii="Times New Roman" w:eastAsia="Times New Roman" w:hAnsi="Times New Roman" w:cs="Times New Roman"/>
          <w:color w:val="000000"/>
          <w:spacing w:val="0"/>
          <w:w w:val="100"/>
          <w:position w:val="0"/>
        </w:rPr>
        <w:t>b</w:t>
      </w:r>
      <w:bookmarkEnd w:id="259"/>
      <w:r>
        <w:rPr>
          <w:color w:val="000000"/>
          <w:spacing w:val="0"/>
          <w:w w:val="100"/>
          <w:position w:val="0"/>
        </w:rPr>
        <w:t>、</w:t>
        <w:tab/>
      </w:r>
      <w:r>
        <w:rPr>
          <w:color w:val="000000"/>
          <w:spacing w:val="0"/>
          <w:w w:val="100"/>
          <w:position w:val="0"/>
        </w:rPr>
        <w:t>在业务上努力创新，加强对渠道与营销模式的创新力度，来支撑公司未来高速发展要求。建立集团业务发展部，整 合协同公司总部与兄弟公司资源，开拓跨区域医疗健康产业合作项目。</w:t>
      </w:r>
    </w:p>
    <w:p>
      <w:pPr>
        <w:pStyle w:val="Style29"/>
        <w:keepNext w:val="0"/>
        <w:keepLines w:val="0"/>
        <w:widowControl w:val="0"/>
        <w:shd w:val="clear" w:color="auto" w:fill="auto"/>
        <w:tabs>
          <w:tab w:pos="814" w:val="left"/>
        </w:tabs>
        <w:bidi w:val="0"/>
        <w:spacing w:before="0" w:after="120" w:line="317" w:lineRule="exact"/>
        <w:ind w:left="0" w:right="0" w:firstLine="460"/>
        <w:jc w:val="both"/>
      </w:pPr>
      <w:bookmarkStart w:id="260" w:name="bookmark260"/>
      <w:r>
        <w:rPr>
          <w:rFonts w:ascii="Times New Roman" w:eastAsia="Times New Roman" w:hAnsi="Times New Roman" w:cs="Times New Roman"/>
          <w:color w:val="000000"/>
          <w:spacing w:val="0"/>
          <w:w w:val="100"/>
          <w:position w:val="0"/>
        </w:rPr>
        <w:t>c</w:t>
      </w:r>
      <w:bookmarkEnd w:id="260"/>
      <w:r>
        <w:rPr>
          <w:color w:val="000000"/>
          <w:spacing w:val="0"/>
          <w:w w:val="100"/>
          <w:position w:val="0"/>
        </w:rPr>
        <w:t>、</w:t>
        <w:tab/>
      </w:r>
      <w:r>
        <w:rPr>
          <w:color w:val="000000"/>
          <w:spacing w:val="0"/>
          <w:w w:val="100"/>
          <w:position w:val="0"/>
        </w:rPr>
        <w:t>加强对软件开发过程的管理，持续推进</w:t>
      </w:r>
      <w:r>
        <w:rPr>
          <w:rFonts w:ascii="Times New Roman" w:eastAsia="Times New Roman" w:hAnsi="Times New Roman" w:cs="Times New Roman"/>
          <w:color w:val="000000"/>
          <w:spacing w:val="0"/>
          <w:w w:val="100"/>
          <w:position w:val="0"/>
        </w:rPr>
        <w:t>CMMI</w:t>
      </w:r>
      <w:r>
        <w:rPr>
          <w:color w:val="000000"/>
          <w:spacing w:val="0"/>
          <w:w w:val="100"/>
          <w:position w:val="0"/>
        </w:rPr>
        <w:t>体系的实施，加强运维服务体系建设、提升公司运维服务能力。</w:t>
      </w:r>
    </w:p>
    <w:p>
      <w:pPr>
        <w:pStyle w:val="Style29"/>
        <w:keepNext w:val="0"/>
        <w:keepLines w:val="0"/>
        <w:widowControl w:val="0"/>
        <w:shd w:val="clear" w:color="auto" w:fill="auto"/>
        <w:bidi w:val="0"/>
        <w:spacing w:before="0" w:after="40" w:line="240" w:lineRule="auto"/>
        <w:ind w:left="0" w:right="0" w:firstLine="460"/>
        <w:jc w:val="both"/>
      </w:pPr>
      <w:bookmarkStart w:id="261" w:name="bookmark261"/>
      <w:r>
        <w:rPr>
          <w:rFonts w:ascii="Times New Roman" w:eastAsia="Times New Roman" w:hAnsi="Times New Roman" w:cs="Times New Roman"/>
          <w:color w:val="000000"/>
          <w:spacing w:val="0"/>
          <w:w w:val="100"/>
          <w:position w:val="0"/>
        </w:rPr>
        <w:t>d</w:t>
      </w:r>
      <w:bookmarkEnd w:id="261"/>
      <w:r>
        <w:rPr>
          <w:color w:val="000000"/>
          <w:spacing w:val="0"/>
          <w:w w:val="100"/>
          <w:position w:val="0"/>
        </w:rPr>
        <w:t>、</w:t>
      </w:r>
      <w:r>
        <w:rPr>
          <w:color w:val="000000"/>
          <w:spacing w:val="0"/>
          <w:w w:val="100"/>
          <w:position w:val="0"/>
        </w:rPr>
        <w:t xml:space="preserve">管理体制创新，总裁办公会下设六大管理委员会：产品技术委员会、工程服务委员会、市场营销委员会、人力资源 </w:t>
      </w:r>
      <w:r>
        <w:rPr>
          <w:color w:val="000000"/>
          <w:spacing w:val="0"/>
          <w:w w:val="100"/>
          <w:position w:val="0"/>
        </w:rPr>
        <w:t>委员会、财务管理委员会、内部管理委员会。</w:t>
      </w:r>
    </w:p>
    <w:p>
      <w:pPr>
        <w:pStyle w:val="Style29"/>
        <w:keepNext w:val="0"/>
        <w:keepLines w:val="0"/>
        <w:widowControl w:val="0"/>
        <w:shd w:val="clear" w:color="auto" w:fill="auto"/>
        <w:tabs>
          <w:tab w:pos="640" w:val="left"/>
        </w:tabs>
        <w:bidi w:val="0"/>
        <w:spacing w:before="0" w:after="40" w:line="317" w:lineRule="exact"/>
        <w:ind w:left="0" w:right="0" w:firstLine="460"/>
        <w:jc w:val="both"/>
      </w:pPr>
      <w:bookmarkStart w:id="262" w:name="bookmark262"/>
      <w:r>
        <w:rPr>
          <w:rFonts w:ascii="Times New Roman" w:eastAsia="Times New Roman" w:hAnsi="Times New Roman" w:cs="Times New Roman"/>
          <w:color w:val="000000"/>
          <w:spacing w:val="0"/>
          <w:w w:val="100"/>
          <w:position w:val="0"/>
        </w:rPr>
        <w:t>e</w:t>
      </w:r>
      <w:bookmarkEnd w:id="262"/>
      <w:r>
        <w:rPr>
          <w:color w:val="000000"/>
          <w:spacing w:val="0"/>
          <w:w w:val="100"/>
          <w:position w:val="0"/>
        </w:rPr>
        <w:t>、</w:t>
        <w:tab/>
      </w:r>
      <w:r>
        <w:rPr>
          <w:color w:val="000000"/>
          <w:spacing w:val="0"/>
          <w:w w:val="100"/>
          <w:position w:val="0"/>
        </w:rPr>
        <w:t>注重人均绩效，改进项目成本管理方法，完善公司内部工程项目成本核算体系，加强对项目实施过程的质量、进度、 费用监控，控制成本、努力降低工程费用，提高工程效率和项目质量。</w:t>
      </w:r>
    </w:p>
    <w:p>
      <w:pPr>
        <w:pStyle w:val="Style29"/>
        <w:keepNext w:val="0"/>
        <w:keepLines w:val="0"/>
        <w:widowControl w:val="0"/>
        <w:shd w:val="clear" w:color="auto" w:fill="auto"/>
        <w:tabs>
          <w:tab w:pos="649" w:val="left"/>
        </w:tabs>
        <w:bidi w:val="0"/>
        <w:spacing w:before="0" w:after="40" w:line="314" w:lineRule="exact"/>
        <w:ind w:left="0" w:right="0" w:firstLine="460"/>
        <w:jc w:val="both"/>
      </w:pPr>
      <w:bookmarkStart w:id="263" w:name="bookmark263"/>
      <w:r>
        <w:rPr>
          <w:rFonts w:ascii="Times New Roman" w:eastAsia="Times New Roman" w:hAnsi="Times New Roman" w:cs="Times New Roman"/>
          <w:color w:val="000000"/>
          <w:spacing w:val="0"/>
          <w:w w:val="100"/>
          <w:position w:val="0"/>
        </w:rPr>
        <w:t>f</w:t>
      </w:r>
      <w:bookmarkEnd w:id="263"/>
      <w:r>
        <w:rPr>
          <w:color w:val="000000"/>
          <w:spacing w:val="0"/>
          <w:w w:val="100"/>
          <w:position w:val="0"/>
        </w:rPr>
        <w:t>、</w:t>
        <w:tab/>
      </w:r>
      <w:r>
        <w:rPr>
          <w:color w:val="000000"/>
          <w:spacing w:val="0"/>
          <w:w w:val="100"/>
          <w:position w:val="0"/>
        </w:rPr>
        <w:t>进一步完善公司治理结构，强化内部控制制度，提高决策水平和管理效率。公司将高度重视信息披露与投资者关系 管理工作，严格按照《上市公司信息披露管理办法》、深圳证券交易所创业板上市公司的信息披露格式指引等规定以及公司 制定的《信息披露制度》等操作性文件的要求，真实准确、完整及时的披露信息。将进一步加强投资者关系管理工作，以提 高公司信息透明度，保障全体股东的合法权益。</w:t>
      </w:r>
    </w:p>
    <w:p>
      <w:pPr>
        <w:pStyle w:val="Style29"/>
        <w:keepNext w:val="0"/>
        <w:keepLines w:val="0"/>
        <w:widowControl w:val="0"/>
        <w:shd w:val="clear" w:color="auto" w:fill="auto"/>
        <w:tabs>
          <w:tab w:pos="780" w:val="left"/>
        </w:tabs>
        <w:bidi w:val="0"/>
        <w:spacing w:before="0" w:after="40" w:line="314" w:lineRule="exact"/>
        <w:ind w:left="0" w:right="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4</w:t>
      </w:r>
      <w:r>
        <w:rPr>
          <w:color w:val="000000"/>
          <w:spacing w:val="0"/>
          <w:w w:val="100"/>
          <w:position w:val="0"/>
        </w:rPr>
        <w:t>）</w:t>
        <w:tab/>
        <w:t>人才发展计划</w:t>
      </w:r>
    </w:p>
    <w:p>
      <w:pPr>
        <w:pStyle w:val="Style29"/>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人力资源是公司核心战略资源。未来公司将继续坚持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的人才方针，根据发展战略和业务需要，不断完善人力 资源建设计划，重点做好以下工作：</w:t>
      </w:r>
    </w:p>
    <w:p>
      <w:pPr>
        <w:pStyle w:val="Style29"/>
        <w:keepNext w:val="0"/>
        <w:keepLines w:val="0"/>
        <w:widowControl w:val="0"/>
        <w:shd w:val="clear" w:color="auto" w:fill="auto"/>
        <w:tabs>
          <w:tab w:pos="654" w:val="left"/>
        </w:tabs>
        <w:bidi w:val="0"/>
        <w:spacing w:before="0" w:after="40" w:line="317" w:lineRule="exact"/>
        <w:ind w:left="0" w:right="0" w:firstLine="460"/>
        <w:jc w:val="both"/>
      </w:pPr>
      <w:bookmarkStart w:id="265" w:name="bookmark265"/>
      <w:r>
        <w:rPr>
          <w:rFonts w:ascii="Times New Roman" w:eastAsia="Times New Roman" w:hAnsi="Times New Roman" w:cs="Times New Roman"/>
          <w:color w:val="000000"/>
          <w:spacing w:val="0"/>
          <w:w w:val="100"/>
          <w:position w:val="0"/>
        </w:rPr>
        <w:t>a</w:t>
      </w:r>
      <w:bookmarkEnd w:id="265"/>
      <w:r>
        <w:rPr>
          <w:color w:val="000000"/>
          <w:spacing w:val="0"/>
          <w:w w:val="100"/>
          <w:position w:val="0"/>
        </w:rPr>
        <w:t>、</w:t>
        <w:tab/>
      </w:r>
      <w:r>
        <w:rPr>
          <w:color w:val="000000"/>
          <w:spacing w:val="0"/>
          <w:w w:val="100"/>
          <w:position w:val="0"/>
        </w:rPr>
        <w:t>继续加强高端人才的培养与引进工作，重点针对高级项目经理、行业咨询专家、高级产品经理、高级项目经理等岗 位开展工作，并为公司持续发展提供必要的人才储备。</w:t>
      </w:r>
    </w:p>
    <w:p>
      <w:pPr>
        <w:pStyle w:val="Style29"/>
        <w:keepNext w:val="0"/>
        <w:keepLines w:val="0"/>
        <w:widowControl w:val="0"/>
        <w:shd w:val="clear" w:color="auto" w:fill="auto"/>
        <w:tabs>
          <w:tab w:pos="654" w:val="left"/>
        </w:tabs>
        <w:bidi w:val="0"/>
        <w:spacing w:before="0" w:after="40" w:line="317" w:lineRule="exact"/>
        <w:ind w:left="0" w:right="0" w:firstLine="460"/>
        <w:jc w:val="both"/>
      </w:pPr>
      <w:bookmarkStart w:id="266" w:name="bookmark266"/>
      <w:r>
        <w:rPr>
          <w:rFonts w:ascii="Times New Roman" w:eastAsia="Times New Roman" w:hAnsi="Times New Roman" w:cs="Times New Roman"/>
          <w:color w:val="000000"/>
          <w:spacing w:val="0"/>
          <w:w w:val="100"/>
          <w:position w:val="0"/>
        </w:rPr>
        <w:t>b</w:t>
      </w:r>
      <w:bookmarkEnd w:id="266"/>
      <w:r>
        <w:rPr>
          <w:color w:val="000000"/>
          <w:spacing w:val="0"/>
          <w:w w:val="100"/>
          <w:position w:val="0"/>
        </w:rPr>
        <w:t>、</w:t>
        <w:tab/>
      </w:r>
      <w:r>
        <w:rPr>
          <w:color w:val="000000"/>
          <w:spacing w:val="0"/>
          <w:w w:val="100"/>
          <w:position w:val="0"/>
        </w:rPr>
        <w:t>继续开展与全国</w:t>
      </w:r>
      <w:r>
        <w:rPr>
          <w:rFonts w:ascii="Times New Roman" w:eastAsia="Times New Roman" w:hAnsi="Times New Roman" w:cs="Times New Roman"/>
          <w:color w:val="000000"/>
          <w:spacing w:val="0"/>
          <w:w w:val="100"/>
          <w:position w:val="0"/>
        </w:rPr>
        <w:t>30</w:t>
      </w:r>
      <w:r>
        <w:rPr>
          <w:color w:val="000000"/>
          <w:spacing w:val="0"/>
          <w:w w:val="100"/>
          <w:position w:val="0"/>
        </w:rPr>
        <w:t>多所高等院校的校企人才合作，充分利用高校的人才与教学资源优势，建立长效合作机制，为公 司人才队伍的稳定提供可靠保障。</w:t>
      </w:r>
    </w:p>
    <w:p>
      <w:pPr>
        <w:pStyle w:val="Style29"/>
        <w:keepNext w:val="0"/>
        <w:keepLines w:val="0"/>
        <w:widowControl w:val="0"/>
        <w:shd w:val="clear" w:color="auto" w:fill="auto"/>
        <w:bidi w:val="0"/>
        <w:spacing w:before="0" w:after="40" w:line="322" w:lineRule="exact"/>
        <w:ind w:left="0" w:right="0" w:firstLine="460"/>
        <w:jc w:val="both"/>
      </w:pPr>
      <w:bookmarkStart w:id="267" w:name="bookmark267"/>
      <w:r>
        <w:rPr>
          <w:rFonts w:ascii="Times New Roman" w:eastAsia="Times New Roman" w:hAnsi="Times New Roman" w:cs="Times New Roman"/>
          <w:color w:val="000000"/>
          <w:spacing w:val="0"/>
          <w:w w:val="100"/>
          <w:position w:val="0"/>
        </w:rPr>
        <w:t>c</w:t>
      </w:r>
      <w:bookmarkEnd w:id="267"/>
      <w:r>
        <w:rPr>
          <w:color w:val="000000"/>
          <w:spacing w:val="0"/>
          <w:w w:val="100"/>
          <w:position w:val="0"/>
        </w:rPr>
        <w:t xml:space="preserve">、 </w:t>
      </w:r>
      <w:r>
        <w:rPr>
          <w:color w:val="000000"/>
          <w:spacing w:val="0"/>
          <w:w w:val="100"/>
          <w:position w:val="0"/>
        </w:rPr>
        <w:t>进一步优化人员结构，通过多种形式的培训、转岗培养，建设多层次、复合型的人才队伍，提高员工整体素质，以 满足医疗信息化行业对复合型人才的要求。</w:t>
      </w:r>
    </w:p>
    <w:p>
      <w:pPr>
        <w:pStyle w:val="Style29"/>
        <w:keepNext w:val="0"/>
        <w:keepLines w:val="0"/>
        <w:widowControl w:val="0"/>
        <w:shd w:val="clear" w:color="auto" w:fill="auto"/>
        <w:tabs>
          <w:tab w:pos="668" w:val="left"/>
        </w:tabs>
        <w:bidi w:val="0"/>
        <w:spacing w:before="0" w:after="40" w:line="317" w:lineRule="exact"/>
        <w:ind w:left="0" w:right="0" w:firstLine="460"/>
        <w:jc w:val="both"/>
      </w:pPr>
      <w:bookmarkStart w:id="268" w:name="bookmark268"/>
      <w:r>
        <w:rPr>
          <w:rFonts w:ascii="Times New Roman" w:eastAsia="Times New Roman" w:hAnsi="Times New Roman" w:cs="Times New Roman"/>
          <w:color w:val="000000"/>
          <w:spacing w:val="0"/>
          <w:w w:val="100"/>
          <w:position w:val="0"/>
        </w:rPr>
        <w:t>d</w:t>
      </w:r>
      <w:bookmarkEnd w:id="268"/>
      <w:r>
        <w:rPr>
          <w:color w:val="000000"/>
          <w:spacing w:val="0"/>
          <w:w w:val="100"/>
          <w:position w:val="0"/>
        </w:rPr>
        <w:t>、</w:t>
        <w:tab/>
      </w:r>
      <w:r>
        <w:rPr>
          <w:color w:val="000000"/>
          <w:spacing w:val="0"/>
          <w:w w:val="100"/>
          <w:position w:val="0"/>
        </w:rPr>
        <w:t>积极探索新形势下员工激励机制，进一步完善以绩效为导向的人力资源管理体系，努力营造团结和谐、主动积极的 企业文化，强化员工对企业的归宿感和责任感，实现人力资源的可持续发展。</w:t>
      </w:r>
    </w:p>
    <w:p>
      <w:pPr>
        <w:pStyle w:val="Style29"/>
        <w:keepNext w:val="0"/>
        <w:keepLines w:val="0"/>
        <w:widowControl w:val="0"/>
        <w:shd w:val="clear" w:color="auto" w:fill="auto"/>
        <w:tabs>
          <w:tab w:pos="780" w:val="left"/>
        </w:tabs>
        <w:bidi w:val="0"/>
        <w:spacing w:before="0" w:after="40" w:line="314"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5</w:t>
      </w:r>
      <w:r>
        <w:rPr>
          <w:color w:val="000000"/>
          <w:spacing w:val="0"/>
          <w:w w:val="100"/>
          <w:position w:val="0"/>
        </w:rPr>
        <w:t>）</w:t>
        <w:tab/>
        <w:t>产业升级业务转型计划</w:t>
      </w:r>
    </w:p>
    <w:p>
      <w:pPr>
        <w:pStyle w:val="Style29"/>
        <w:keepNext w:val="0"/>
        <w:keepLines w:val="0"/>
        <w:widowControl w:val="0"/>
        <w:shd w:val="clear" w:color="auto" w:fill="auto"/>
        <w:tabs>
          <w:tab w:pos="649" w:val="left"/>
        </w:tabs>
        <w:bidi w:val="0"/>
        <w:spacing w:before="0" w:after="40" w:line="314" w:lineRule="exact"/>
        <w:ind w:left="0" w:right="0" w:firstLine="460"/>
        <w:jc w:val="both"/>
      </w:pPr>
      <w:bookmarkStart w:id="270" w:name="bookmark270"/>
      <w:r>
        <w:rPr>
          <w:rFonts w:ascii="Times New Roman" w:eastAsia="Times New Roman" w:hAnsi="Times New Roman" w:cs="Times New Roman"/>
          <w:color w:val="000000"/>
          <w:spacing w:val="0"/>
          <w:w w:val="100"/>
          <w:position w:val="0"/>
        </w:rPr>
        <w:t>a</w:t>
      </w:r>
      <w:bookmarkEnd w:id="270"/>
      <w:r>
        <w:rPr>
          <w:color w:val="000000"/>
          <w:spacing w:val="0"/>
          <w:w w:val="100"/>
          <w:position w:val="0"/>
        </w:rPr>
        <w:t>、</w:t>
        <w:tab/>
      </w:r>
      <w:r>
        <w:rPr>
          <w:color w:val="000000"/>
          <w:spacing w:val="0"/>
          <w:w w:val="100"/>
          <w:position w:val="0"/>
        </w:rPr>
        <w:t>随着医疗卫生信息化建设的不断推进，各医疗机构和卫生管理部门积累了大量的医疗数据。通过大数据应用、分析, 使得医疗机构能够对结构性数据和非结构性数据进行整合利用，通过数据应用软件，完成信息分析与数据挖掘工作，在临床 医学、医疗事务管理、政府行政管理、居民健康管理等方面为卫生行政部门、医疗机构、区域居民等提供以医疗大数据应用 为核心的综合医疗信息化应用支持服务。</w:t>
      </w:r>
    </w:p>
    <w:p>
      <w:pPr>
        <w:pStyle w:val="Style29"/>
        <w:keepNext w:val="0"/>
        <w:keepLines w:val="0"/>
        <w:widowControl w:val="0"/>
        <w:shd w:val="clear" w:color="auto" w:fill="auto"/>
        <w:tabs>
          <w:tab w:pos="664" w:val="left"/>
        </w:tabs>
        <w:bidi w:val="0"/>
        <w:spacing w:before="0" w:after="40" w:line="314" w:lineRule="exact"/>
        <w:ind w:left="0" w:right="0" w:firstLine="460"/>
        <w:jc w:val="both"/>
      </w:pPr>
      <w:bookmarkStart w:id="271" w:name="bookmark271"/>
      <w:r>
        <w:rPr>
          <w:rFonts w:ascii="Times New Roman" w:eastAsia="Times New Roman" w:hAnsi="Times New Roman" w:cs="Times New Roman"/>
          <w:color w:val="000000"/>
          <w:spacing w:val="0"/>
          <w:w w:val="100"/>
          <w:position w:val="0"/>
        </w:rPr>
        <w:t>b</w:t>
      </w:r>
      <w:bookmarkEnd w:id="271"/>
      <w:r>
        <w:rPr>
          <w:color w:val="000000"/>
          <w:spacing w:val="0"/>
          <w:w w:val="100"/>
          <w:position w:val="0"/>
        </w:rPr>
        <w:t>、</w:t>
        <w:tab/>
      </w:r>
      <w:r>
        <w:rPr>
          <w:color w:val="000000"/>
          <w:spacing w:val="0"/>
          <w:w w:val="100"/>
          <w:position w:val="0"/>
        </w:rPr>
        <w:t>为顺应国内医疗健康信息化的大趋势，积极投身大健康产业，公司正逐步将主营业务将从以软件产品开发销售为主 导逐渐转向以智慧医疗、区域卫生、健康城市为主要发展方向，通过搭建基于居民电子健康档案的医疗健康运营平台与医养 服务、药品流通、商业医疗保险等多产业实现跨界互联，共同打造大健康全产业链。</w:t>
      </w:r>
    </w:p>
    <w:p>
      <w:pPr>
        <w:pStyle w:val="Style29"/>
        <w:keepNext w:val="0"/>
        <w:keepLines w:val="0"/>
        <w:widowControl w:val="0"/>
        <w:shd w:val="clear" w:color="auto" w:fill="auto"/>
        <w:tabs>
          <w:tab w:pos="668" w:val="left"/>
        </w:tabs>
        <w:bidi w:val="0"/>
        <w:spacing w:before="0" w:after="40" w:line="314" w:lineRule="exact"/>
        <w:ind w:left="0" w:right="0" w:firstLine="460"/>
        <w:jc w:val="both"/>
        <w:sectPr>
          <w:footnotePr>
            <w:pos w:val="pageBottom"/>
            <w:numFmt w:val="decimal"/>
            <w:numRestart w:val="continuous"/>
          </w:footnotePr>
          <w:pgSz w:w="11900" w:h="16840"/>
          <w:pgMar w:top="1383" w:right="1008" w:bottom="1455" w:left="1027" w:header="0" w:footer="3" w:gutter="0"/>
          <w:cols w:space="720"/>
          <w:noEndnote/>
          <w:rtlGutter w:val="0"/>
          <w:docGrid w:linePitch="360"/>
        </w:sectPr>
      </w:pPr>
      <w:bookmarkStart w:id="272" w:name="bookmark272"/>
      <w:r>
        <w:rPr>
          <w:rFonts w:ascii="Times New Roman" w:eastAsia="Times New Roman" w:hAnsi="Times New Roman" w:cs="Times New Roman"/>
          <w:color w:val="000000"/>
          <w:spacing w:val="0"/>
          <w:w w:val="100"/>
          <w:position w:val="0"/>
        </w:rPr>
        <w:t>c</w:t>
      </w:r>
      <w:bookmarkEnd w:id="272"/>
      <w:r>
        <w:rPr>
          <w:color w:val="000000"/>
          <w:spacing w:val="0"/>
          <w:w w:val="100"/>
          <w:position w:val="0"/>
        </w:rPr>
        <w:t>、</w:t>
        <w:tab/>
      </w:r>
      <w:r>
        <w:rPr>
          <w:color w:val="000000"/>
          <w:spacing w:val="0"/>
          <w:w w:val="100"/>
          <w:position w:val="0"/>
        </w:rPr>
        <w:t>未来公司将密切跟踪行业动向，深入分析市场需求，从智慧医疗与健康服务全产业链的视角来定位公司的业务，以 互联网思维，对公司的经营思路、营运模式、人员结构等进行调整和提升，并做好典型项目（中山运营项目）的落地实施， 为后续产业化推广做好示范。</w:t>
      </w:r>
    </w:p>
    <w:p>
      <w:pPr>
        <w:pStyle w:val="Style16"/>
        <w:keepNext/>
        <w:keepLines/>
        <w:widowControl w:val="0"/>
        <w:shd w:val="clear" w:color="auto" w:fill="auto"/>
        <w:bidi w:val="0"/>
        <w:spacing w:before="880" w:after="540" w:line="240" w:lineRule="auto"/>
        <w:ind w:left="0" w:right="0" w:firstLine="0"/>
        <w:jc w:val="center"/>
      </w:pPr>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p>
    <w:p>
      <w:pPr>
        <w:pStyle w:val="Style27"/>
        <w:keepNext/>
        <w:keepLines/>
        <w:widowControl w:val="0"/>
        <w:shd w:val="clear" w:color="auto" w:fill="auto"/>
        <w:bidi w:val="0"/>
        <w:spacing w:before="0" w:after="2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、公司普通股利润分配及资本公积金转增股本情况</w:t>
      </w:r>
      <w:bookmarkEnd w:id="276"/>
      <w:bookmarkEnd w:id="277"/>
      <w:bookmarkEnd w:id="279"/>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报告期内执行利润分配方案：根据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日公司第五届董事会第十六次会议审议通过的</w:t>
      </w:r>
      <w:r>
        <w:rPr>
          <w:rFonts w:ascii="Times New Roman" w:eastAsia="Times New Roman" w:hAnsi="Times New Roman" w:cs="Times New Roman"/>
          <w:color w:val="000000"/>
          <w:spacing w:val="0"/>
          <w:w w:val="100"/>
          <w:position w:val="0"/>
        </w:rPr>
        <w:t>2015</w:t>
      </w:r>
      <w:r>
        <w:rPr>
          <w:color w:val="000000"/>
          <w:spacing w:val="0"/>
          <w:w w:val="100"/>
          <w:position w:val="0"/>
        </w:rPr>
        <w:t>年利润分配预案，公司按 母公司</w:t>
      </w:r>
      <w:r>
        <w:rPr>
          <w:rFonts w:ascii="Times New Roman" w:eastAsia="Times New Roman" w:hAnsi="Times New Roman" w:cs="Times New Roman"/>
          <w:color w:val="000000"/>
          <w:spacing w:val="0"/>
          <w:w w:val="100"/>
          <w:position w:val="0"/>
        </w:rPr>
        <w:t>2015</w:t>
      </w:r>
      <w:r>
        <w:rPr>
          <w:color w:val="000000"/>
          <w:spacing w:val="0"/>
          <w:w w:val="100"/>
          <w:position w:val="0"/>
        </w:rPr>
        <w:t>年度实现净利润的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提取法定盈余公积，以公司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70,067,500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股。上述利润分配预案尚待股东大会审议批 准。</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242,949,263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24,294,926.30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300,691,798.81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公司将以第五届董事会第三十一次会议决议公告日的股本为基数,向全体股东每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1.0</w:t>
            </w:r>
            <w:r>
              <w:rPr>
                <w:color w:val="000000"/>
                <w:spacing w:val="0"/>
                <w:w w:val="100"/>
                <w:position w:val="0"/>
              </w:rPr>
              <w:t>元（含税），</w:t>
            </w:r>
          </w:p>
        </w:tc>
      </w:tr>
    </w:tbl>
    <w:p>
      <w:pPr>
        <w:pStyle w:val="Style29"/>
        <w:keepNext w:val="0"/>
        <w:keepLines w:val="0"/>
        <w:widowControl w:val="0"/>
        <w:shd w:val="clear" w:color="auto" w:fill="auto"/>
        <w:bidi w:val="0"/>
        <w:spacing w:before="0" w:after="60" w:line="324" w:lineRule="exact"/>
        <w:ind w:left="0" w:right="0" w:firstLine="0"/>
        <w:jc w:val="left"/>
      </w:pPr>
      <w:r>
        <w:rPr>
          <w:color w:val="000000"/>
          <w:spacing w:val="0"/>
          <w:w w:val="100"/>
          <w:position w:val="0"/>
        </w:rPr>
        <w:t>派发现金股利总额为</w:t>
      </w:r>
      <w:r>
        <w:rPr>
          <w:rFonts w:ascii="Times New Roman" w:eastAsia="Times New Roman" w:hAnsi="Times New Roman" w:cs="Times New Roman"/>
          <w:color w:val="000000"/>
          <w:spacing w:val="0"/>
          <w:w w:val="100"/>
          <w:position w:val="0"/>
        </w:rPr>
        <w:t>24,294,926.30</w:t>
      </w:r>
      <w:r>
        <w:rPr>
          <w:color w:val="000000"/>
          <w:spacing w:val="0"/>
          <w:w w:val="100"/>
          <w:position w:val="0"/>
        </w:rPr>
        <w:t>元，本年度不进行资本公积转增。</w:t>
      </w:r>
    </w:p>
    <w:p>
      <w:pPr>
        <w:pStyle w:val="Style29"/>
        <w:keepNext w:val="0"/>
        <w:keepLines w:val="0"/>
        <w:widowControl w:val="0"/>
        <w:shd w:val="clear" w:color="auto" w:fill="auto"/>
        <w:bidi w:val="0"/>
        <w:spacing w:before="0" w:after="60" w:line="32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年利润分配方案：根据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日公司年度股东大会审议通过的</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年度利润分配方案，公司按母公司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 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提取法定盈余公积，没</w:t>
      </w:r>
      <w:r>
        <w:rPr>
          <w:rFonts w:ascii="Times New Roman" w:eastAsia="Times New Roman" w:hAnsi="Times New Roman" w:cs="Times New Roman"/>
          <w:color w:val="000000"/>
          <w:spacing w:val="0"/>
          <w:w w:val="100"/>
          <w:position w:val="0"/>
        </w:rPr>
        <w:t>0</w:t>
      </w:r>
      <w:r>
        <w:rPr>
          <w:color w:val="000000"/>
          <w:spacing w:val="0"/>
          <w:w w:val="100"/>
          <w:position w:val="0"/>
        </w:rPr>
        <w:t>股派发</w:t>
      </w:r>
      <w:r>
        <w:rPr>
          <w:rFonts w:ascii="Times New Roman" w:eastAsia="Times New Roman" w:hAnsi="Times New Roman" w:cs="Times New Roman"/>
          <w:color w:val="000000"/>
          <w:spacing w:val="0"/>
          <w:w w:val="100"/>
          <w:position w:val="0"/>
        </w:rPr>
        <w:t>2</w:t>
      </w:r>
      <w:r>
        <w:rPr>
          <w:color w:val="000000"/>
          <w:spacing w:val="0"/>
          <w:w w:val="100"/>
          <w:position w:val="0"/>
        </w:rPr>
        <w:t>元（含税）；</w:t>
      </w:r>
    </w:p>
    <w:p>
      <w:pPr>
        <w:pStyle w:val="Style29"/>
        <w:keepNext w:val="0"/>
        <w:keepLines w:val="0"/>
        <w:widowControl w:val="0"/>
        <w:shd w:val="clear" w:color="auto" w:fill="auto"/>
        <w:bidi w:val="0"/>
        <w:spacing w:before="0" w:after="140" w:line="32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年利润分配方案：根据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日公司第五届董事会第十六次会议审议通过的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年利润分配预案，公司按母公司 </w:t>
      </w:r>
      <w:r>
        <w:rPr>
          <w:rFonts w:ascii="Times New Roman" w:eastAsia="Times New Roman" w:hAnsi="Times New Roman" w:cs="Times New Roman"/>
          <w:color w:val="000000"/>
          <w:spacing w:val="0"/>
          <w:w w:val="100"/>
          <w:position w:val="0"/>
        </w:rPr>
        <w:t>2015</w:t>
      </w:r>
      <w:r>
        <w:rPr>
          <w:color w:val="000000"/>
          <w:spacing w:val="0"/>
          <w:w w:val="100"/>
          <w:position w:val="0"/>
        </w:rPr>
        <w:t>年度实现净利润的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提取法定盈余公积，以公司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70,067,500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金红利人民币</w:t>
      </w:r>
      <w:r>
        <w:rPr>
          <w:rFonts w:ascii="Times New Roman" w:eastAsia="Times New Roman" w:hAnsi="Times New Roman" w:cs="Times New Roman"/>
          <w:color w:val="000000"/>
          <w:spacing w:val="0"/>
          <w:w w:val="100"/>
          <w:position w:val="0"/>
        </w:rPr>
        <w:t>1.50</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股。上述利润分配预案尚待股东大会审议批准。 公司近三年（包括本报告期）普通股现金分红情况表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24,294,926.30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63,003,453.15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10,510,125.00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49,681,720.73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47,576,147.03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、承诺事项履行情况</w:t>
      </w:r>
      <w:bookmarkEnd w:id="280"/>
      <w:bookmarkEnd w:id="281"/>
      <w:bookmarkEnd w:id="283"/>
    </w:p>
    <w:p>
      <w:pPr>
        <w:pStyle w:val="Style35"/>
        <w:keepNext/>
        <w:keepLines/>
        <w:widowControl w:val="0"/>
        <w:shd w:val="clear" w:color="auto" w:fill="auto"/>
        <w:bidi w:val="0"/>
        <w:spacing w:before="0" w:after="360" w:line="322"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 尚未履行完毕的承诺事项</w:t>
      </w:r>
      <w:bookmarkEnd w:id="284"/>
      <w:bookmarkEnd w:id="285"/>
      <w:bookmarkEnd w:id="28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37"/>
        <w:gridCol w:w="1018"/>
        <w:gridCol w:w="898"/>
        <w:gridCol w:w="2448"/>
        <w:gridCol w:w="854"/>
        <w:gridCol w:w="840"/>
        <w:gridCol w:w="682"/>
      </w:tblGrid>
      <w:tr>
        <w:trPr>
          <w:trHeight w:val="7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履行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442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本次协议转让的股份自过户 登记完成之日起</w:t>
            </w:r>
            <w:r>
              <w:rPr>
                <w:rFonts w:ascii="Times New Roman" w:eastAsia="Times New Roman" w:hAnsi="Times New Roman" w:cs="Times New Roman"/>
                <w:color w:val="000000"/>
                <w:spacing w:val="0"/>
                <w:w w:val="100"/>
                <w:position w:val="0"/>
              </w:rPr>
              <w:t>6</w:t>
            </w:r>
            <w:r>
              <w:rPr>
                <w:color w:val="000000"/>
                <w:spacing w:val="0"/>
                <w:w w:val="100"/>
                <w:position w:val="0"/>
              </w:rPr>
              <w:t>个月内， 本人不转让直接持有的创业 软件股票。本人在担任创业 软件董事、监事或高级管理 人员期间，每年转让的股份 不超过本人直接或间接持有 的创业软件股份总数的百分 之二十五；若今后从创业软 件离职，离职后半年内，不 转让本人直接或间接持有的 创业软件股份。在上述承诺 履行期间，本人职务变更、 离职等原因不影响本承诺的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效力。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自认购的创业软件新增股份 在法定登记机构登记于本人 名下并上市之日起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 内，不转让或者委托他人管 理本人拥有的该等新增股份 （若本人在实际转让上市公 司股份前，上市公司发生转 增股本、送红股等除权行为 的，则实际可转让股份数将 进行相应调整）。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0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、在本承诺签署之日，本人 及所控制的公司和拥有权益 的公司均未生产、开发任何 与创业软件产品构成竞争或 可能竞争的产品，未直接或 间接经营任何与创业软件经 营的业务构成竞争或可能竞 争的业务，也未参与投资任 何与创业软件生产的产品或 经营的业务构成竞争或可能 竞争的其他企业。</w:t>
            </w:r>
            <w:r>
              <w:rPr>
                <w:rFonts w:ascii="Times New Roman" w:eastAsia="Times New Roman" w:hAnsi="Times New Roman" w:cs="Times New Roman"/>
                <w:color w:val="000000"/>
                <w:spacing w:val="0"/>
                <w:w w:val="100"/>
                <w:position w:val="0"/>
              </w:rPr>
              <w:t>2</w:t>
            </w:r>
            <w:r>
              <w:rPr>
                <w:color w:val="000000"/>
                <w:spacing w:val="0"/>
                <w:w w:val="100"/>
                <w:position w:val="0"/>
              </w:rPr>
              <w:t>、自本承 诺签署之日起，本人及所控 制的公司和拥有权益的公司 将不生产、开发任何与创业 软件产品构成竞争或可能竞 争的产品，不直接或间接经 营任何与创业软件经营的业 务构成竞争或可能竞争的业 务，不参与投资任何与创业 软件生产的产品或经营的业 务构成竞争或可能竞争的其 他企业。</w:t>
            </w:r>
            <w:r>
              <w:rPr>
                <w:rFonts w:ascii="Times New Roman" w:eastAsia="Times New Roman" w:hAnsi="Times New Roman" w:cs="Times New Roman"/>
                <w:color w:val="000000"/>
                <w:spacing w:val="0"/>
                <w:w w:val="100"/>
                <w:position w:val="0"/>
              </w:rPr>
              <w:t>3</w:t>
            </w:r>
            <w:r>
              <w:rPr>
                <w:color w:val="000000"/>
                <w:spacing w:val="0"/>
                <w:w w:val="100"/>
                <w:position w:val="0"/>
              </w:rPr>
              <w:t>、自本承诺签署之 日起，如创业软件进一步拓 展其产品和业务范围，本人 及所控制的公司和拥有权益 的公司将不与创业软件拓展 后的产品和业务相竞争；若 与创业软件拓展后的产品和 业务相竞争，本人及所控制 的公司和拥有权益的公司将 采取以下方式避免同业竞 争：①停止生产或经营相竞 争的产品和业务；②将相竞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争的业务纳入创业软件经 营；③向无关联关系的第三 方转让该业务。</w:t>
            </w:r>
            <w:r>
              <w:rPr>
                <w:rFonts w:ascii="Times New Roman" w:eastAsia="Times New Roman" w:hAnsi="Times New Roman" w:cs="Times New Roman"/>
                <w:color w:val="000000"/>
                <w:spacing w:val="0"/>
                <w:w w:val="100"/>
                <w:position w:val="0"/>
              </w:rPr>
              <w:t>4</w:t>
            </w:r>
            <w:r>
              <w:rPr>
                <w:color w:val="000000"/>
                <w:spacing w:val="0"/>
                <w:w w:val="100"/>
                <w:position w:val="0"/>
              </w:rPr>
              <w:t>、如本承诺 未被遵守，本人将向创业软 件赔偿一切直接或间接损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自认购的创业软件新增股份 在法定登记机构登记于本人 名下并上市之日起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 内，不转让或者委托他人管 理本人拥有的该等新增股份 （若本人在实际转让上市公 司股份前，上市公司发生转 增股本、送红股等除权行为 的，则实际可转让股份数将 进行相应调整）。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87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杭州铜粟 投资管理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杭州鑫粟 投资管理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、鑫粟投资、铜粟投资若在 取得本次发行的股份时，持 有博泰服务股权时间超过</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个月，则其于本次发行中取 得的上市公司股份自股份上 市之日起</w:t>
            </w:r>
            <w:r>
              <w:rPr>
                <w:rFonts w:ascii="Times New Roman" w:eastAsia="Times New Roman" w:hAnsi="Times New Roman" w:cs="Times New Roman"/>
                <w:color w:val="000000"/>
                <w:spacing w:val="0"/>
                <w:w w:val="100"/>
                <w:position w:val="0"/>
              </w:rPr>
              <w:t>12</w:t>
            </w:r>
            <w:r>
              <w:rPr>
                <w:color w:val="000000"/>
                <w:spacing w:val="0"/>
                <w:w w:val="100"/>
                <w:position w:val="0"/>
              </w:rPr>
              <w:t>个月不得交易或 转让。前述</w:t>
            </w:r>
            <w:r>
              <w:rPr>
                <w:rFonts w:ascii="Times New Roman" w:eastAsia="Times New Roman" w:hAnsi="Times New Roman" w:cs="Times New Roman"/>
                <w:color w:val="000000"/>
                <w:spacing w:val="0"/>
                <w:w w:val="100"/>
                <w:position w:val="0"/>
              </w:rPr>
              <w:t>12</w:t>
            </w:r>
            <w:r>
              <w:rPr>
                <w:color w:val="000000"/>
                <w:spacing w:val="0"/>
                <w:w w:val="100"/>
                <w:position w:val="0"/>
              </w:rPr>
              <w:t>个月期限届满 后，具体的解锁期间及解锁 比例如下：（</w:t>
            </w:r>
            <w:r>
              <w:rPr>
                <w:rFonts w:ascii="Times New Roman" w:eastAsia="Times New Roman" w:hAnsi="Times New Roman" w:cs="Times New Roman"/>
                <w:color w:val="000000"/>
                <w:spacing w:val="0"/>
                <w:w w:val="100"/>
                <w:position w:val="0"/>
              </w:rPr>
              <w:t>1</w:t>
            </w:r>
            <w:r>
              <w:rPr>
                <w:color w:val="000000"/>
                <w:spacing w:val="0"/>
                <w:w w:val="100"/>
                <w:position w:val="0"/>
              </w:rPr>
              <w:t>）自股份上市 之日起</w:t>
            </w:r>
            <w:r>
              <w:rPr>
                <w:rFonts w:ascii="Times New Roman" w:eastAsia="Times New Roman" w:hAnsi="Times New Roman" w:cs="Times New Roman"/>
                <w:color w:val="000000"/>
                <w:spacing w:val="0"/>
                <w:w w:val="100"/>
                <w:position w:val="0"/>
              </w:rPr>
              <w:t>12</w:t>
            </w:r>
            <w:r>
              <w:rPr>
                <w:color w:val="000000"/>
                <w:spacing w:val="0"/>
                <w:w w:val="100"/>
                <w:position w:val="0"/>
              </w:rPr>
              <w:t>个月届满，且依据 《利润补偿协议》达到</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年度利润承诺，在具备证券 期货从业资格的审计机构出 具相应年度博泰服务利润承 诺实现情况的《年度专项审 核报告》后</w:t>
            </w:r>
            <w:r>
              <w:rPr>
                <w:rFonts w:ascii="Times New Roman" w:eastAsia="Times New Roman" w:hAnsi="Times New Roman" w:cs="Times New Roman"/>
                <w:color w:val="000000"/>
                <w:spacing w:val="0"/>
                <w:w w:val="100"/>
                <w:position w:val="0"/>
              </w:rPr>
              <w:t>30</w:t>
            </w:r>
            <w:r>
              <w:rPr>
                <w:color w:val="000000"/>
                <w:spacing w:val="0"/>
                <w:w w:val="100"/>
                <w:position w:val="0"/>
              </w:rPr>
              <w:t>个工作日起， 可转让或交易不超过其于本 次发行中取得的上市公司股 份数量的</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）自股份 上市之日起</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个月届满，且 依据《利润补偿协议》达到 </w:t>
            </w:r>
            <w:r>
              <w:rPr>
                <w:rFonts w:ascii="Times New Roman" w:eastAsia="Times New Roman" w:hAnsi="Times New Roman" w:cs="Times New Roman"/>
                <w:color w:val="000000"/>
                <w:spacing w:val="0"/>
                <w:w w:val="100"/>
                <w:position w:val="0"/>
              </w:rPr>
              <w:t>2017</w:t>
            </w:r>
            <w:r>
              <w:rPr>
                <w:color w:val="000000"/>
                <w:spacing w:val="0"/>
                <w:w w:val="100"/>
                <w:position w:val="0"/>
              </w:rPr>
              <w:t>年度利润承诺，在具备 证券期货从业资格的审计机 构出具相应年度博泰服务利 润承诺实现情况的《年度专 项审核报告》后</w:t>
            </w:r>
            <w:r>
              <w:rPr>
                <w:rFonts w:ascii="Times New Roman" w:eastAsia="Times New Roman" w:hAnsi="Times New Roman" w:cs="Times New Roman"/>
                <w:color w:val="000000"/>
                <w:spacing w:val="0"/>
                <w:w w:val="100"/>
                <w:position w:val="0"/>
              </w:rPr>
              <w:t>30</w:t>
            </w:r>
            <w:r>
              <w:rPr>
                <w:color w:val="000000"/>
                <w:spacing w:val="0"/>
                <w:w w:val="100"/>
                <w:position w:val="0"/>
              </w:rPr>
              <w:t>个工作日 起，新增可转让或交易不超 过其于本次发行中取得的上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市公司股份数量的</w:t>
            </w:r>
            <w:r>
              <w:rPr>
                <w:rFonts w:ascii="Times New Roman" w:eastAsia="Times New Roman" w:hAnsi="Times New Roman" w:cs="Times New Roman"/>
                <w:color w:val="000000"/>
                <w:spacing w:val="0"/>
                <w:w w:val="100"/>
                <w:position w:val="0"/>
              </w:rPr>
              <w:t>20%</w:t>
            </w:r>
            <w:r>
              <w:rPr>
                <w:color w:val="000000"/>
                <w:spacing w:val="0"/>
                <w:w w:val="100"/>
                <w:position w:val="0"/>
              </w:rPr>
              <w:t>； (</w:t>
            </w:r>
            <w:r>
              <w:rPr>
                <w:rFonts w:ascii="Times New Roman" w:eastAsia="Times New Roman" w:hAnsi="Times New Roman" w:cs="Times New Roman"/>
                <w:color w:val="000000"/>
                <w:spacing w:val="0"/>
                <w:w w:val="100"/>
                <w:position w:val="0"/>
              </w:rPr>
              <w:t>3</w:t>
            </w:r>
            <w:r>
              <w:rPr>
                <w:color w:val="000000"/>
                <w:spacing w:val="0"/>
                <w:w w:val="100"/>
                <w:position w:val="0"/>
              </w:rPr>
              <w:t>) 利润承诺期届满，在具备证 券期货从业资格的审计机构 出具相应年度博泰服务利润 承诺实现情况的《利润承诺 期专项审核报告》以及对标 的资产进行减值测试的《减 值测试报告》后</w:t>
            </w:r>
            <w:r>
              <w:rPr>
                <w:rFonts w:ascii="Times New Roman" w:eastAsia="Times New Roman" w:hAnsi="Times New Roman" w:cs="Times New Roman"/>
                <w:color w:val="000000"/>
                <w:spacing w:val="0"/>
                <w:w w:val="100"/>
                <w:position w:val="0"/>
              </w:rPr>
              <w:t>30</w:t>
            </w:r>
            <w:r>
              <w:rPr>
                <w:color w:val="000000"/>
                <w:spacing w:val="0"/>
                <w:w w:val="100"/>
                <w:position w:val="0"/>
              </w:rPr>
              <w:t>个工作日 起，且以履行了《利润补偿 协议》的利润补偿和标的资 产减值测试所需补偿义务为 前提，余下其于本次发行中 取得的上市公司股份可以转 让或交易。</w:t>
            </w:r>
            <w:r>
              <w:rPr>
                <w:rFonts w:ascii="Times New Roman" w:eastAsia="Times New Roman" w:hAnsi="Times New Roman" w:cs="Times New Roman"/>
                <w:color w:val="000000"/>
                <w:spacing w:val="0"/>
                <w:w w:val="100"/>
                <w:position w:val="0"/>
              </w:rPr>
              <w:t>2</w:t>
            </w:r>
            <w:r>
              <w:rPr>
                <w:color w:val="000000"/>
                <w:spacing w:val="0"/>
                <w:w w:val="100"/>
                <w:position w:val="0"/>
              </w:rPr>
              <w:t>、鑫粟投资、铜 粟投资若在取得本次发行的 股份时，持有博泰服务股权 时间未超过</w:t>
            </w:r>
            <w:r>
              <w:rPr>
                <w:rFonts w:ascii="Times New Roman" w:eastAsia="Times New Roman" w:hAnsi="Times New Roman" w:cs="Times New Roman"/>
                <w:color w:val="000000"/>
                <w:spacing w:val="0"/>
                <w:w w:val="100"/>
                <w:position w:val="0"/>
              </w:rPr>
              <w:t>12</w:t>
            </w:r>
            <w:r>
              <w:rPr>
                <w:color w:val="000000"/>
                <w:spacing w:val="0"/>
                <w:w w:val="100"/>
                <w:position w:val="0"/>
              </w:rPr>
              <w:t>个月，则股份 锁定期为其于本次发行中取 得的上市公司股份上市之日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个月。自股份上市之日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个月届满，在具备证券 期货从业资格的审计机构出 具相应年度博泰服务利润承 诺实现情况的《利润承诺期 专项审核报告》以及对标的 资产进行减值测试的《减值 测试报告》后</w:t>
            </w:r>
            <w:r>
              <w:rPr>
                <w:rFonts w:ascii="Times New Roman" w:eastAsia="Times New Roman" w:hAnsi="Times New Roman" w:cs="Times New Roman"/>
                <w:color w:val="000000"/>
                <w:spacing w:val="0"/>
                <w:w w:val="100"/>
                <w:position w:val="0"/>
              </w:rPr>
              <w:t>30</w:t>
            </w:r>
            <w:r>
              <w:rPr>
                <w:color w:val="000000"/>
                <w:spacing w:val="0"/>
                <w:w w:val="100"/>
                <w:position w:val="0"/>
              </w:rPr>
              <w:t>个工作日起， 且以履行了《利润补偿协议》 的利润补偿和标的资产减值 测试所需补偿义务为前提， 其于本次发行中取得的上市 公司股份可以转让或交易。 本次交易中发行的上市公司 新增股份的限售期最终由创 业软件股东大会授权董事会 根据相关法律法规的规定及 主管部门审核的要求进行确 定，但应当事先取得承诺人 书面同意。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杭州铜粟 投资管理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杭州鑫粟 投资管理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 诺及补 偿安排</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博泰服务</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 度、</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w:t>
            </w:r>
            <w:r>
              <w:rPr>
                <w:color w:val="000000"/>
                <w:spacing w:val="0"/>
                <w:w w:val="100"/>
                <w:position w:val="0"/>
              </w:rPr>
              <w:t>(</w:t>
            </w:r>
            <w:r>
              <w:rPr>
                <w:rFonts w:ascii="Times New Roman" w:eastAsia="Times New Roman" w:hAnsi="Times New Roman" w:cs="Times New Roman"/>
                <w:color w:val="000000"/>
                <w:spacing w:val="0"/>
                <w:w w:val="100"/>
                <w:position w:val="0"/>
              </w:rPr>
              <w:t xml:space="preserve">2016-2018 </w:t>
            </w:r>
            <w:r>
              <w:rPr>
                <w:color w:val="000000"/>
                <w:spacing w:val="0"/>
                <w:w w:val="100"/>
                <w:position w:val="0"/>
              </w:rPr>
              <w:t>年度简称</w:t>
            </w:r>
            <w:r>
              <w:rPr>
                <w:rFonts w:ascii="Times New Roman" w:eastAsia="Times New Roman" w:hAnsi="Times New Roman" w:cs="Times New Roman"/>
                <w:color w:val="000000"/>
                <w:spacing w:val="0"/>
                <w:w w:val="100"/>
                <w:position w:val="0"/>
              </w:rPr>
              <w:t>“</w:t>
            </w:r>
            <w:r>
              <w:rPr>
                <w:color w:val="000000"/>
                <w:spacing w:val="0"/>
                <w:w w:val="100"/>
                <w:position w:val="0"/>
              </w:rPr>
              <w:t>利润承诺期间</w:t>
            </w:r>
            <w:r>
              <w:rPr>
                <w:rFonts w:ascii="Times New Roman" w:eastAsia="Times New Roman" w:hAnsi="Times New Roman" w:cs="Times New Roman"/>
                <w:color w:val="000000"/>
                <w:spacing w:val="0"/>
                <w:w w:val="100"/>
                <w:position w:val="0"/>
              </w:rPr>
              <w:t>/</w:t>
            </w:r>
            <w:r>
              <w:rPr>
                <w:color w:val="000000"/>
                <w:spacing w:val="0"/>
                <w:w w:val="100"/>
                <w:position w:val="0"/>
              </w:rPr>
              <w:t>利 润补偿期间</w:t>
            </w:r>
            <w:r>
              <w:rPr>
                <w:rFonts w:ascii="Times New Roman" w:eastAsia="Times New Roman" w:hAnsi="Times New Roman" w:cs="Times New Roman"/>
                <w:color w:val="000000"/>
                <w:spacing w:val="0"/>
                <w:w w:val="100"/>
                <w:position w:val="0"/>
              </w:rPr>
              <w:t>”</w:t>
            </w:r>
            <w:r>
              <w:rPr>
                <w:color w:val="000000"/>
                <w:spacing w:val="0"/>
                <w:w w:val="100"/>
                <w:position w:val="0"/>
              </w:rPr>
              <w:t>)净利润分别不 低于</w:t>
            </w:r>
            <w:r>
              <w:rPr>
                <w:rFonts w:ascii="Times New Roman" w:eastAsia="Times New Roman" w:hAnsi="Times New Roman" w:cs="Times New Roman"/>
                <w:color w:val="000000"/>
                <w:spacing w:val="0"/>
                <w:w w:val="100"/>
                <w:position w:val="0"/>
              </w:rPr>
              <w:t>8,650</w:t>
            </w:r>
            <w:r>
              <w:rPr>
                <w:color w:val="000000"/>
                <w:spacing w:val="0"/>
                <w:w w:val="100"/>
                <w:position w:val="0"/>
              </w:rPr>
              <w:t>万元、</w:t>
            </w:r>
            <w:r>
              <w:rPr>
                <w:rFonts w:ascii="Times New Roman" w:eastAsia="Times New Roman" w:hAnsi="Times New Roman" w:cs="Times New Roman"/>
                <w:color w:val="000000"/>
                <w:spacing w:val="0"/>
                <w:w w:val="100"/>
                <w:position w:val="0"/>
              </w:rPr>
              <w:t>9,950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11,400</w:t>
            </w:r>
            <w:r>
              <w:rPr>
                <w:color w:val="000000"/>
                <w:spacing w:val="0"/>
                <w:w w:val="100"/>
                <w:position w:val="0"/>
              </w:rPr>
              <w:t xml:space="preserve">万元，上述三个年度 累计承诺净利润总和不低于 </w:t>
            </w:r>
            <w:r>
              <w:rPr>
                <w:rFonts w:ascii="Times New Roman" w:eastAsia="Times New Roman" w:hAnsi="Times New Roman" w:cs="Times New Roman"/>
                <w:color w:val="000000"/>
                <w:spacing w:val="0"/>
                <w:w w:val="100"/>
                <w:position w:val="0"/>
              </w:rPr>
              <w:t>30,000</w:t>
            </w:r>
            <w:r>
              <w:rPr>
                <w:color w:val="000000"/>
                <w:spacing w:val="0"/>
                <w:w w:val="100"/>
                <w:position w:val="0"/>
              </w:rPr>
              <w:t>万元。净利润是指经 审计合并报表中扣除非经常 性损益后的归属于母公司所 有者的净利润。本次交易实 施完成后，上市公司将分别 在</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年度结束时， 聘请具有证券期货业务资格 的会计师事务所对博泰服务 相应年度实际实现的净利润 进行专项审计并出具《年度 专项审核报告》；在</w:t>
            </w:r>
            <w:r>
              <w:rPr>
                <w:rFonts w:ascii="Times New Roman" w:eastAsia="Times New Roman" w:hAnsi="Times New Roman" w:cs="Times New Roman"/>
                <w:color w:val="000000"/>
                <w:spacing w:val="0"/>
                <w:w w:val="100"/>
                <w:position w:val="0"/>
              </w:rPr>
              <w:t>2018</w:t>
            </w:r>
            <w:r>
              <w:rPr>
                <w:color w:val="000000"/>
                <w:spacing w:val="0"/>
                <w:w w:val="100"/>
                <w:position w:val="0"/>
              </w:rPr>
              <w:t>年 度结束时，聘请具有证券期 货业务资格的会计师事务所 对博泰服务在利润承诺期内 实际实现的净利润进行专项 审计并出具《利润承诺期专 项审核报告》。协议双方以此 确定博泰服务在相应年度实 现的净利润数和利润补偿期 内累计实现的净利润数。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杭州铜粟 投资管理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杭州鑫粟 投资管理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周建新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一、关于避免同业竞争的承 诺本承诺人现就有关避免 同业竞争事宜作出确认、承 诺和保证如下：</w:t>
            </w:r>
            <w:r>
              <w:rPr>
                <w:rFonts w:ascii="Times New Roman" w:eastAsia="Times New Roman" w:hAnsi="Times New Roman" w:cs="Times New Roman"/>
                <w:color w:val="000000"/>
                <w:spacing w:val="0"/>
                <w:w w:val="100"/>
                <w:position w:val="0"/>
              </w:rPr>
              <w:t>1</w:t>
            </w:r>
            <w:r>
              <w:rPr>
                <w:color w:val="000000"/>
                <w:spacing w:val="0"/>
                <w:w w:val="100"/>
                <w:position w:val="0"/>
              </w:rPr>
              <w:t>、博泰服务 与上市公司重组后，非经上 市公司董事会和</w:t>
            </w:r>
            <w:r>
              <w:rPr>
                <w:rFonts w:ascii="Times New Roman" w:eastAsia="Times New Roman" w:hAnsi="Times New Roman" w:cs="Times New Roman"/>
                <w:color w:val="000000"/>
                <w:spacing w:val="0"/>
                <w:w w:val="100"/>
                <w:position w:val="0"/>
              </w:rPr>
              <w:t>/</w:t>
            </w:r>
            <w:r>
              <w:rPr>
                <w:color w:val="000000"/>
                <w:spacing w:val="0"/>
                <w:w w:val="100"/>
                <w:position w:val="0"/>
              </w:rPr>
              <w:t>或股东大会 书面同意，本公司</w:t>
            </w:r>
            <w:r>
              <w:rPr>
                <w:rFonts w:ascii="Times New Roman" w:eastAsia="Times New Roman" w:hAnsi="Times New Roman" w:cs="Times New Roman"/>
                <w:color w:val="000000"/>
                <w:spacing w:val="0"/>
                <w:w w:val="100"/>
                <w:position w:val="0"/>
              </w:rPr>
              <w:t>/</w:t>
            </w:r>
            <w:r>
              <w:rPr>
                <w:color w:val="000000"/>
                <w:spacing w:val="0"/>
                <w:w w:val="100"/>
                <w:position w:val="0"/>
              </w:rPr>
              <w:t>本人不单 独或与他人，以任何形式</w:t>
            </w:r>
            <w:r>
              <w:rPr>
                <w:rFonts w:ascii="Times New Roman" w:eastAsia="Times New Roman" w:hAnsi="Times New Roman" w:cs="Times New Roman"/>
                <w:color w:val="000000"/>
                <w:spacing w:val="0"/>
                <w:w w:val="100"/>
                <w:position w:val="0"/>
              </w:rPr>
              <w:t>（</w:t>
            </w:r>
            <w:r>
              <w:rPr>
                <w:color w:val="000000"/>
                <w:spacing w:val="0"/>
                <w:w w:val="100"/>
                <w:position w:val="0"/>
              </w:rPr>
              <w:t>包 括但不限于投资、并购、联 营、合资、合作、合伙、承 包或租赁经营、参股</w:t>
            </w:r>
            <w:r>
              <w:rPr>
                <w:rFonts w:ascii="Times New Roman" w:eastAsia="Times New Roman" w:hAnsi="Times New Roman" w:cs="Times New Roman"/>
                <w:color w:val="000000"/>
                <w:spacing w:val="0"/>
                <w:w w:val="100"/>
                <w:position w:val="0"/>
              </w:rPr>
              <w:t>）</w:t>
            </w:r>
            <w:r>
              <w:rPr>
                <w:color w:val="000000"/>
                <w:spacing w:val="0"/>
                <w:w w:val="100"/>
                <w:position w:val="0"/>
              </w:rPr>
              <w:t>直接或 间接从事或参与或协助从事 或参与任何与博泰服务及其 控制的企业目前及今后进行 的金融自助设备维保业务构 成或可能构成竞争的业务或 活动；</w:t>
            </w:r>
            <w:r>
              <w:rPr>
                <w:rFonts w:ascii="Times New Roman" w:eastAsia="Times New Roman" w:hAnsi="Times New Roman" w:cs="Times New Roman"/>
                <w:color w:val="000000"/>
                <w:spacing w:val="0"/>
                <w:w w:val="100"/>
                <w:position w:val="0"/>
              </w:rPr>
              <w:t>2</w:t>
            </w:r>
            <w:r>
              <w:rPr>
                <w:color w:val="000000"/>
                <w:spacing w:val="0"/>
                <w:w w:val="100"/>
                <w:position w:val="0"/>
              </w:rPr>
              <w:t>、博泰服务与上市公 司重组后，本公司</w:t>
            </w:r>
            <w:r>
              <w:rPr>
                <w:rFonts w:ascii="Times New Roman" w:eastAsia="Times New Roman" w:hAnsi="Times New Roman" w:cs="Times New Roman"/>
                <w:color w:val="000000"/>
                <w:spacing w:val="0"/>
                <w:w w:val="100"/>
                <w:position w:val="0"/>
              </w:rPr>
              <w:t>/</w:t>
            </w:r>
            <w:r>
              <w:rPr>
                <w:color w:val="000000"/>
                <w:spacing w:val="0"/>
                <w:w w:val="100"/>
                <w:position w:val="0"/>
              </w:rPr>
              <w:t>本人承诺 将不会以任何形式支持上市 公司、博泰服务及其控制的 企业以外的他人从事与上市 公司、博泰服务及其控制的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企业目前及今后进行的金融 自助设备维保业务构成或可 能构成竞争的业务及以其他 方式参与（不论直接或间接） 任何与上市公司、博泰服务 及其控制的企业目前及今后 进行的金融自助设备维保业 务构成竞争或可能构成竞争 的业务或活动；</w:t>
            </w:r>
            <w:r>
              <w:rPr>
                <w:rFonts w:ascii="Times New Roman" w:eastAsia="Times New Roman" w:hAnsi="Times New Roman" w:cs="Times New Roman"/>
                <w:color w:val="000000"/>
                <w:spacing w:val="0"/>
                <w:w w:val="100"/>
                <w:position w:val="0"/>
              </w:rPr>
              <w:t>3</w:t>
            </w:r>
            <w:r>
              <w:rPr>
                <w:color w:val="000000"/>
                <w:spacing w:val="0"/>
                <w:w w:val="100"/>
                <w:position w:val="0"/>
              </w:rPr>
              <w:t>、博泰服务 与上市公司重组后，本公司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本人如有任何与博泰服务金 融自助设备维保的竞争性业 务机会，应立即通知上市公 司，并将在本公司</w:t>
            </w:r>
            <w:r>
              <w:rPr>
                <w:rFonts w:ascii="Times New Roman" w:eastAsia="Times New Roman" w:hAnsi="Times New Roman" w:cs="Times New Roman"/>
                <w:color w:val="000000"/>
                <w:spacing w:val="0"/>
                <w:w w:val="100"/>
                <w:position w:val="0"/>
              </w:rPr>
              <w:t>/</w:t>
            </w:r>
            <w:r>
              <w:rPr>
                <w:color w:val="000000"/>
                <w:spacing w:val="0"/>
                <w:w w:val="100"/>
                <w:position w:val="0"/>
              </w:rPr>
              <w:t>本人合法 权利范围内竭尽全力地首先 促使该业务机会以不亚于提 供给本公司</w:t>
            </w:r>
            <w:r>
              <w:rPr>
                <w:rFonts w:ascii="Times New Roman" w:eastAsia="Times New Roman" w:hAnsi="Times New Roman" w:cs="Times New Roman"/>
                <w:color w:val="000000"/>
                <w:spacing w:val="0"/>
                <w:w w:val="100"/>
                <w:position w:val="0"/>
              </w:rPr>
              <w:t>/</w:t>
            </w:r>
            <w:r>
              <w:rPr>
                <w:color w:val="000000"/>
                <w:spacing w:val="0"/>
                <w:w w:val="100"/>
                <w:position w:val="0"/>
              </w:rPr>
              <w:t>本人的条件提供 给上市公司；</w:t>
            </w:r>
            <w:r>
              <w:rPr>
                <w:rFonts w:ascii="Times New Roman" w:eastAsia="Times New Roman" w:hAnsi="Times New Roman" w:cs="Times New Roman"/>
                <w:color w:val="000000"/>
                <w:spacing w:val="0"/>
                <w:w w:val="100"/>
                <w:position w:val="0"/>
              </w:rPr>
              <w:t>4</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 将充分尊重上市公司及博泰 服务的独立法人地位，保障 上市公司、博泰服务及其控 制的企业的独立经营、自主 决策；</w:t>
            </w:r>
            <w:r>
              <w:rPr>
                <w:rFonts w:ascii="Times New Roman" w:eastAsia="Times New Roman" w:hAnsi="Times New Roman" w:cs="Times New Roman"/>
                <w:color w:val="000000"/>
                <w:spacing w:val="0"/>
                <w:w w:val="100"/>
                <w:position w:val="0"/>
              </w:rPr>
              <w:t>5</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本人承诺不 以现在于博泰服务任职职位 或未来可能于上市公司所任 职位便利谋求不正当利益， 进而损害上市公司、博泰服 务其他股东的权益。如因本 公司或本公司控制</w:t>
            </w:r>
            <w:r>
              <w:rPr>
                <w:rFonts w:ascii="Times New Roman" w:eastAsia="Times New Roman" w:hAnsi="Times New Roman" w:cs="Times New Roman"/>
                <w:color w:val="000000"/>
                <w:spacing w:val="0"/>
                <w:w w:val="100"/>
                <w:position w:val="0"/>
              </w:rPr>
              <w:t>/</w:t>
            </w:r>
            <w:r>
              <w:rPr>
                <w:color w:val="000000"/>
                <w:spacing w:val="0"/>
                <w:w w:val="100"/>
                <w:position w:val="0"/>
              </w:rPr>
              <w:t>本人或本 人控制的其他企业违反上述 声明与承诺而导致上市公 司、博泰服务及其控制的企 业的权益受到损害的，本公 司</w:t>
            </w:r>
            <w:r>
              <w:rPr>
                <w:rFonts w:ascii="Times New Roman" w:eastAsia="Times New Roman" w:hAnsi="Times New Roman" w:cs="Times New Roman"/>
                <w:color w:val="000000"/>
                <w:spacing w:val="0"/>
                <w:w w:val="100"/>
                <w:position w:val="0"/>
              </w:rPr>
              <w:t>/</w:t>
            </w:r>
            <w:r>
              <w:rPr>
                <w:color w:val="000000"/>
                <w:spacing w:val="0"/>
                <w:w w:val="100"/>
                <w:position w:val="0"/>
              </w:rPr>
              <w:t>本人将对因违反承诺给上 市公司、博泰服务造成的损 失，以现金形式进行充分赔 偿；</w:t>
            </w:r>
            <w:r>
              <w:rPr>
                <w:rFonts w:ascii="Times New Roman" w:eastAsia="Times New Roman" w:hAnsi="Times New Roman" w:cs="Times New Roman"/>
                <w:color w:val="000000"/>
                <w:spacing w:val="0"/>
                <w:w w:val="100"/>
                <w:position w:val="0"/>
              </w:rPr>
              <w:t>6</w:t>
            </w:r>
            <w:r>
              <w:rPr>
                <w:color w:val="000000"/>
                <w:spacing w:val="0"/>
                <w:w w:val="100"/>
                <w:position w:val="0"/>
              </w:rPr>
              <w:t>、本承诺自签署之日起 生效，生效后即构成对本公 司</w:t>
            </w:r>
            <w:r>
              <w:rPr>
                <w:rFonts w:ascii="Times New Roman" w:eastAsia="Times New Roman" w:hAnsi="Times New Roman" w:cs="Times New Roman"/>
                <w:color w:val="000000"/>
                <w:spacing w:val="0"/>
                <w:w w:val="100"/>
                <w:position w:val="0"/>
              </w:rPr>
              <w:t>/</w:t>
            </w:r>
            <w:r>
              <w:rPr>
                <w:color w:val="000000"/>
                <w:spacing w:val="0"/>
                <w:w w:val="100"/>
                <w:position w:val="0"/>
              </w:rPr>
              <w:t>本人有约束力的法律文 件。如违反本承诺，本公司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本人愿意承担法律责任；</w:t>
            </w:r>
            <w:r>
              <w:rPr>
                <w:rFonts w:ascii="Times New Roman" w:eastAsia="Times New Roman" w:hAnsi="Times New Roman" w:cs="Times New Roman"/>
                <w:color w:val="000000"/>
                <w:spacing w:val="0"/>
                <w:w w:val="100"/>
                <w:position w:val="0"/>
              </w:rPr>
              <w:t>7</w:t>
            </w:r>
            <w:r>
              <w:rPr>
                <w:color w:val="000000"/>
                <w:spacing w:val="0"/>
                <w:w w:val="100"/>
                <w:position w:val="0"/>
              </w:rPr>
              <w:t>、 本承诺在本公司</w:t>
            </w:r>
            <w:r>
              <w:rPr>
                <w:rFonts w:ascii="Times New Roman" w:eastAsia="Times New Roman" w:hAnsi="Times New Roman" w:cs="Times New Roman"/>
                <w:color w:val="000000"/>
                <w:spacing w:val="0"/>
                <w:w w:val="100"/>
                <w:position w:val="0"/>
              </w:rPr>
              <w:t>/</w:t>
            </w:r>
            <w:r>
              <w:rPr>
                <w:color w:val="000000"/>
                <w:spacing w:val="0"/>
                <w:w w:val="100"/>
                <w:position w:val="0"/>
              </w:rPr>
              <w:t>本人直接或 间接持有上市公司股份期间 内持续有效且不可变更或撤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销。二、关于减少和规范关 联交易的承诺为减少并规 范本承诺人及所控制的企业 与创业软件之间的关联交 易，本承诺人现作出确认、 承诺和保证如下：</w:t>
            </w:r>
            <w:r>
              <w:rPr>
                <w:rFonts w:ascii="Times New Roman" w:eastAsia="Times New Roman" w:hAnsi="Times New Roman" w:cs="Times New Roman"/>
                <w:color w:val="000000"/>
                <w:spacing w:val="0"/>
                <w:w w:val="100"/>
                <w:position w:val="0"/>
              </w:rPr>
              <w:t>1</w:t>
            </w:r>
            <w:r>
              <w:rPr>
                <w:color w:val="000000"/>
                <w:spacing w:val="0"/>
                <w:w w:val="100"/>
                <w:position w:val="0"/>
              </w:rPr>
              <w:t>、本人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本公司控制的 企业（如有）与上市公司及 其控股子公司之间已存在及 将来不可避免发生的关联交 易事项，保证遵循市场交易 的公平原则即正常的商业条 款与上市公司及其控股子公 司发生交易。如未按市场交 易的公平原则与上市公司及 其控股子公司发生交易，而 给上市公司及其控股子公司 造成损失或已经造成损失， 由本人</w:t>
            </w:r>
            <w:r>
              <w:rPr>
                <w:rFonts w:ascii="Times New Roman" w:eastAsia="Times New Roman" w:hAnsi="Times New Roman" w:cs="Times New Roman"/>
                <w:color w:val="000000"/>
                <w:spacing w:val="0"/>
                <w:w w:val="100"/>
                <w:position w:val="0"/>
              </w:rPr>
              <w:t>/</w:t>
            </w:r>
            <w:r>
              <w:rPr>
                <w:color w:val="000000"/>
                <w:spacing w:val="0"/>
                <w:w w:val="100"/>
                <w:position w:val="0"/>
              </w:rPr>
              <w:t>本公司承担赔偿责 任；</w:t>
            </w:r>
            <w:r>
              <w:rPr>
                <w:rFonts w:ascii="Times New Roman" w:eastAsia="Times New Roman" w:hAnsi="Times New Roman" w:cs="Times New Roman"/>
                <w:color w:val="000000"/>
                <w:spacing w:val="0"/>
                <w:w w:val="100"/>
                <w:position w:val="0"/>
              </w:rPr>
              <w:t>2</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本公司将善意履 行作为上市公司股东的义 务，充分尊重上市公司的独 立法人地位，保障上市公司 独立经营、自主决策。本人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本公司将严格按照中国《公 司法》以及上市公司的公司 章程的规定，促使经本人</w:t>
            </w:r>
            <w:r>
              <w:rPr>
                <w:rFonts w:ascii="Times New Roman" w:eastAsia="Times New Roman" w:hAnsi="Times New Roman" w:cs="Times New Roman"/>
                <w:color w:val="000000"/>
                <w:spacing w:val="0"/>
                <w:w w:val="100"/>
                <w:position w:val="0"/>
              </w:rPr>
              <w:t>/</w:t>
            </w:r>
            <w:r>
              <w:rPr>
                <w:color w:val="000000"/>
                <w:spacing w:val="0"/>
                <w:w w:val="100"/>
                <w:position w:val="0"/>
              </w:rPr>
              <w:t>本 公司提名的上市公司董事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（如有）依法履行其应尽的 诚信和勤勉责任；</w:t>
            </w:r>
            <w:r>
              <w:rPr>
                <w:rFonts w:ascii="Times New Roman" w:eastAsia="Times New Roman" w:hAnsi="Times New Roman" w:cs="Times New Roman"/>
                <w:color w:val="000000"/>
                <w:spacing w:val="0"/>
                <w:w w:val="100"/>
                <w:position w:val="0"/>
              </w:rPr>
              <w:t>3</w:t>
            </w:r>
            <w:r>
              <w:rPr>
                <w:color w:val="000000"/>
                <w:spacing w:val="0"/>
                <w:w w:val="100"/>
                <w:position w:val="0"/>
              </w:rPr>
              <w:t>、本人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本公司以及本人</w:t>
            </w:r>
            <w:r>
              <w:rPr>
                <w:rFonts w:ascii="Times New Roman" w:eastAsia="Times New Roman" w:hAnsi="Times New Roman" w:cs="Times New Roman"/>
                <w:color w:val="000000"/>
                <w:spacing w:val="0"/>
                <w:w w:val="100"/>
                <w:position w:val="0"/>
              </w:rPr>
              <w:t>/</w:t>
            </w:r>
            <w:r>
              <w:rPr>
                <w:color w:val="000000"/>
                <w:spacing w:val="0"/>
                <w:w w:val="100"/>
                <w:position w:val="0"/>
              </w:rPr>
              <w:t>本公司控股 或实际控制的其他公司或者 其他企业或经济组织（以下 统称</w:t>
            </w:r>
            <w:r>
              <w:rPr>
                <w:rFonts w:ascii="Times New Roman" w:eastAsia="Times New Roman" w:hAnsi="Times New Roman" w:cs="Times New Roman"/>
                <w:color w:val="000000"/>
                <w:spacing w:val="0"/>
                <w:w w:val="100"/>
                <w:position w:val="0"/>
              </w:rPr>
              <w:t>“</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 业</w:t>
            </w:r>
            <w:r>
              <w:rPr>
                <w:rFonts w:ascii="Times New Roman" w:eastAsia="Times New Roman" w:hAnsi="Times New Roman" w:cs="Times New Roman"/>
                <w:color w:val="000000"/>
                <w:spacing w:val="0"/>
                <w:w w:val="100"/>
                <w:position w:val="0"/>
              </w:rPr>
              <w:t>”</w:t>
            </w:r>
            <w:r>
              <w:rPr>
                <w:color w:val="000000"/>
                <w:spacing w:val="0"/>
                <w:w w:val="100"/>
                <w:position w:val="0"/>
              </w:rPr>
              <w:t>，如有），将来尽可能避 免与上市公司发生关联交 易；</w:t>
            </w:r>
            <w:r>
              <w:rPr>
                <w:rFonts w:ascii="Times New Roman" w:eastAsia="Times New Roman" w:hAnsi="Times New Roman" w:cs="Times New Roman"/>
                <w:color w:val="000000"/>
                <w:spacing w:val="0"/>
                <w:w w:val="100"/>
                <w:position w:val="0"/>
              </w:rPr>
              <w:t>4</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本公司的关联企业承诺不以 借款、代偿债务、代垫款项 或者其他方式占用上市公司 资金，也不要求上市公司为 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本公司 的关联企业进行违规担保； </w:t>
            </w:r>
            <w:r>
              <w:rPr>
                <w:rFonts w:ascii="Times New Roman" w:eastAsia="Times New Roman" w:hAnsi="Times New Roman" w:cs="Times New Roman"/>
                <w:color w:val="000000"/>
                <w:spacing w:val="0"/>
                <w:w w:val="100"/>
                <w:position w:val="0"/>
              </w:rPr>
              <w:t>5</w:t>
            </w:r>
            <w:r>
              <w:rPr>
                <w:color w:val="000000"/>
                <w:spacing w:val="0"/>
                <w:w w:val="100"/>
                <w:position w:val="0"/>
              </w:rPr>
              <w:t>、如果上市公司在今后的经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营活动中必须与本人</w:t>
            </w:r>
            <w:r>
              <w:rPr>
                <w:rFonts w:ascii="Times New Roman" w:eastAsia="Times New Roman" w:hAnsi="Times New Roman" w:cs="Times New Roman"/>
                <w:color w:val="000000"/>
                <w:spacing w:val="0"/>
                <w:w w:val="100"/>
                <w:position w:val="0"/>
              </w:rPr>
              <w:t>/</w:t>
            </w:r>
            <w:r>
              <w:rPr>
                <w:color w:val="000000"/>
                <w:spacing w:val="0"/>
                <w:w w:val="100"/>
                <w:position w:val="0"/>
              </w:rPr>
              <w:t>本公司 或本人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本公司的关联企业发 生不可避免的关联交易，本 人</w:t>
            </w:r>
            <w:r>
              <w:rPr>
                <w:rFonts w:ascii="Times New Roman" w:eastAsia="Times New Roman" w:hAnsi="Times New Roman" w:cs="Times New Roman"/>
                <w:color w:val="000000"/>
                <w:spacing w:val="0"/>
                <w:w w:val="100"/>
                <w:position w:val="0"/>
              </w:rPr>
              <w:t>/</w:t>
            </w:r>
            <w:r>
              <w:rPr>
                <w:color w:val="000000"/>
                <w:spacing w:val="0"/>
                <w:w w:val="100"/>
                <w:position w:val="0"/>
              </w:rPr>
              <w:t>本公司将促使此等交易严 格按照国家有关法律法规、 上市公司章程和上市公司的 有关规定履行有关程序，在 上市公司股东大会对关联交 易进行表决时，本人</w:t>
            </w:r>
            <w:r>
              <w:rPr>
                <w:rFonts w:ascii="Times New Roman" w:eastAsia="Times New Roman" w:hAnsi="Times New Roman" w:cs="Times New Roman"/>
                <w:color w:val="000000"/>
                <w:spacing w:val="0"/>
                <w:w w:val="100"/>
                <w:position w:val="0"/>
              </w:rPr>
              <w:t>/</w:t>
            </w:r>
            <w:r>
              <w:rPr>
                <w:color w:val="000000"/>
                <w:spacing w:val="0"/>
                <w:w w:val="100"/>
                <w:position w:val="0"/>
              </w:rPr>
              <w:t>本公司 严格履行回避表决的义务； 与上市公司依法签订协议， 及时进行信息披露；保证按 照正常的商业条件进行，且 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 的关联企业将不会要求或接 受上市公司给予比在任何一 项市场公平交易中第三者更 优惠的条件，保证不通过关 联交易损害上市公司及其他 股东的合法权益；</w:t>
            </w:r>
            <w:r>
              <w:rPr>
                <w:rFonts w:ascii="Times New Roman" w:eastAsia="Times New Roman" w:hAnsi="Times New Roman" w:cs="Times New Roman"/>
                <w:color w:val="000000"/>
                <w:spacing w:val="0"/>
                <w:w w:val="100"/>
                <w:position w:val="0"/>
              </w:rPr>
              <w:t>6</w:t>
            </w:r>
            <w:r>
              <w:rPr>
                <w:color w:val="000000"/>
                <w:spacing w:val="0"/>
                <w:w w:val="100"/>
                <w:position w:val="0"/>
              </w:rPr>
              <w:t>、本人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 企业将严格和善意地履行其 与上市公司签订的各种关联 交易协议。本人</w:t>
            </w:r>
            <w:r>
              <w:rPr>
                <w:rFonts w:ascii="Times New Roman" w:eastAsia="Times New Roman" w:hAnsi="Times New Roman" w:cs="Times New Roman"/>
                <w:color w:val="000000"/>
                <w:spacing w:val="0"/>
                <w:w w:val="100"/>
                <w:position w:val="0"/>
              </w:rPr>
              <w:t>/</w:t>
            </w:r>
            <w:r>
              <w:rPr>
                <w:color w:val="000000"/>
                <w:spacing w:val="0"/>
                <w:w w:val="100"/>
                <w:position w:val="0"/>
              </w:rPr>
              <w:t>本公司及本 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本公司的关联企业将不会 向上市公司谋求任何超出上 述协议规定以外的利益或收 益；</w:t>
            </w:r>
            <w:r>
              <w:rPr>
                <w:rFonts w:ascii="Times New Roman" w:eastAsia="Times New Roman" w:hAnsi="Times New Roman" w:cs="Times New Roman"/>
                <w:color w:val="000000"/>
                <w:spacing w:val="0"/>
                <w:w w:val="100"/>
                <w:position w:val="0"/>
              </w:rPr>
              <w:t>7</w:t>
            </w:r>
            <w:r>
              <w:rPr>
                <w:color w:val="000000"/>
                <w:spacing w:val="0"/>
                <w:w w:val="100"/>
                <w:position w:val="0"/>
              </w:rPr>
              <w:t>、如违反上述承诺给上 市公司造成损失，本人</w:t>
            </w:r>
            <w:r>
              <w:rPr>
                <w:rFonts w:ascii="Times New Roman" w:eastAsia="Times New Roman" w:hAnsi="Times New Roman" w:cs="Times New Roman"/>
                <w:color w:val="000000"/>
                <w:spacing w:val="0"/>
                <w:w w:val="100"/>
                <w:position w:val="0"/>
              </w:rPr>
              <w:t>/</w:t>
            </w:r>
            <w:r>
              <w:rPr>
                <w:color w:val="000000"/>
                <w:spacing w:val="0"/>
                <w:w w:val="100"/>
                <w:position w:val="0"/>
              </w:rPr>
              <w:t>本公 司将向上市公司作出赔偿。 三、关于不存在资金占用情 形的承诺博泰服务实际控 制人周建新承诺：截至本承 诺出具日，本人及本人控制 的其他企业不存在对杭州博 泰信息技术服务有限公司非 经营性资金占用的情形。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杭州铜粟 投资管理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杭州鑫粟 投资管理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周建新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为减少并规范本承诺人及所 控制的企业与创业软件之间 的关联交易，本承诺人现作 出确认、承诺和保证如下：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 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914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限售锁 定承诺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月内，不转让或者委托他人 管理本人直接或间接持有的 创业软件公开发行股票前已 发行的股份，也不由创业软 件回购上述股份。创业软件 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 价格连续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 价（如因派息、送股、资本 公积金转增股本、增发新股 等原因除权、除息的，则须 按照深圳证券交易所的有关 规定进行调整，下同）均低 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月期末收盘价低于发行价， 本人所持创业软件的股票的 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 上述承诺期满后，本人在担 任创业软件董事、监事或高 级管理人员期间，每年转让 的股份不超过本人直接或间 接持有的创业软件股份总数 的百分之二十五；若今后从 创业软件离职，离职后半年 内，不转让本人直接或间接 持有的创业软件股份。在上 述承诺履行期间，本人职务 变更、离职等原因不影响本 承诺的效力。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杭州阜康 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限售锁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月内，不转让或者委托他人 管理本公司持有的创业软件 公开发行股票前已发行的股 份，也不由创业软件回购上 述股份。创业软件上市后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个月内如公司股票价格连续 </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 期末收盘价低于发行价，本 公司所持创业软件的股票的 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洪邵平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限售锁 定承诺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 月内，不转让或者委托他人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自申报 离职之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管理本人持有的公司公开发 行股票前已发行的股份，也 不由公司回购上述股份。创 业软件上市后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 司股票价格连续</w:t>
            </w:r>
            <w:r>
              <w:rPr>
                <w:rFonts w:ascii="Times New Roman" w:eastAsia="Times New Roman" w:hAnsi="Times New Roman" w:cs="Times New Roman"/>
                <w:color w:val="000000"/>
                <w:spacing w:val="0"/>
                <w:w w:val="100"/>
                <w:position w:val="0"/>
              </w:rPr>
              <w:t>20</w:t>
            </w:r>
            <w:r>
              <w:rPr>
                <w:color w:val="000000"/>
                <w:spacing w:val="0"/>
                <w:w w:val="100"/>
                <w:position w:val="0"/>
              </w:rPr>
              <w:t>个交易日 的收盘价均低于发行价，或 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 低于发行价，本人所持创业 软件的股票的锁定期限自动 延长</w:t>
            </w:r>
            <w:r>
              <w:rPr>
                <w:rFonts w:ascii="Times New Roman" w:eastAsia="Times New Roman" w:hAnsi="Times New Roman" w:cs="Times New Roman"/>
                <w:color w:val="000000"/>
                <w:spacing w:val="0"/>
                <w:w w:val="100"/>
                <w:position w:val="0"/>
              </w:rPr>
              <w:t>6</w:t>
            </w:r>
            <w:r>
              <w:rPr>
                <w:color w:val="000000"/>
                <w:spacing w:val="0"/>
                <w:w w:val="100"/>
                <w:position w:val="0"/>
              </w:rPr>
              <w:t>个月。上述承诺期满 后，本人在担任创业软件董 事、监事或高级管理人员期 间，每年转让的股份不超过 本人持有的创业软件股份总 数的百分之二十五；若今后 从创业软件离职，离职后半 年内，不转让本人持有的创 业软件股份。本人在首次公 开发行股票上市之日起六个 月内申报离职的，自申报离 职之日起十八个月内不转让 本人持有的创业软件股份， 本人在首次公开发行股票上 市之日起第七个月至第十二 个月之间申报离职的，自申 报离职之日起十二个月内不 转让本人持有的创业软件股 份。在上述承诺履行期间， 本人职务变更、离职等原因 不影响本承诺的效力。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44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限售锁 定承诺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自创业软件股票上市之日起 </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 他人管理本人持有的创业软 件公开发行股票前已发行的 股份，也不由创业软件回购 上述股份。上述承诺期满后， 本人在公司担任董事、监事 或高级管理人员期间，每年 转让的股份不超过本人所持 有公司股份总数的百分之二 十五；若今后从公司离职， 离职后半年内，不转让本人 所持有的公司股份。本人在 首次公开发行股票上市之日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自申报 离职之 日起</w:t>
            </w:r>
            <w:r>
              <w:rPr>
                <w:rFonts w:ascii="Times New Roman" w:eastAsia="Times New Roman" w:hAnsi="Times New Roman" w:cs="Times New Roman"/>
                <w:color w:val="000000"/>
                <w:spacing w:val="0"/>
                <w:w w:val="100"/>
                <w:position w:val="0"/>
              </w:rPr>
              <w:t xml:space="preserve">18 </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起六个月内申报离职的，自 申报离职之日起十八个月内 不转让本人持有的公司股 份，本人在公司首次公开发 行股票上市之日起第七个月 至第十二个月之间申报离职 的，自申报离职之日起十二 个月内不转让本人持有的公 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安丰创业 投资有限 公司</w:t>
            </w:r>
            <w:r>
              <w:rPr>
                <w:rFonts w:ascii="Times New Roman" w:eastAsia="Times New Roman" w:hAnsi="Times New Roman" w:cs="Times New Roman"/>
                <w:color w:val="000000"/>
                <w:spacing w:val="0"/>
                <w:w w:val="100"/>
                <w:position w:val="0"/>
              </w:rPr>
              <w:t>;</w:t>
            </w:r>
            <w:r>
              <w:rPr>
                <w:color w:val="000000"/>
                <w:spacing w:val="0"/>
                <w:w w:val="100"/>
                <w:position w:val="0"/>
              </w:rPr>
              <w:t>杭州 杭软创业 投资合伙 企业（有 限合伙）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戎燕</w:t>
            </w:r>
            <w:r>
              <w:rPr>
                <w:rFonts w:ascii="Times New Roman" w:eastAsia="Times New Roman" w:hAnsi="Times New Roman" w:cs="Times New Roman"/>
                <w:color w:val="000000"/>
                <w:spacing w:val="0"/>
                <w:w w:val="100"/>
                <w:position w:val="0"/>
              </w:rPr>
              <w:t>;</w:t>
            </w:r>
            <w:r>
              <w:rPr>
                <w:color w:val="000000"/>
                <w:spacing w:val="0"/>
                <w:w w:val="100"/>
                <w:position w:val="0"/>
              </w:rPr>
              <w:t>薛小 云</w:t>
            </w:r>
            <w:r>
              <w:rPr>
                <w:rFonts w:ascii="Times New Roman" w:eastAsia="Times New Roman" w:hAnsi="Times New Roman" w:cs="Times New Roman"/>
                <w:color w:val="000000"/>
                <w:spacing w:val="0"/>
                <w:w w:val="100"/>
                <w:position w:val="0"/>
              </w:rPr>
              <w:t>;</w:t>
            </w:r>
            <w:r>
              <w:rPr>
                <w:color w:val="000000"/>
                <w:spacing w:val="0"/>
                <w:w w:val="100"/>
                <w:position w:val="0"/>
              </w:rPr>
              <w:t>雅戈尔 集团股份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英特尔产 品（成都）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浙江安丰 进取创业 投资有限 公司</w:t>
            </w:r>
            <w:r>
              <w:rPr>
                <w:rFonts w:ascii="Times New Roman" w:eastAsia="Times New Roman" w:hAnsi="Times New Roman" w:cs="Times New Roman"/>
                <w:color w:val="000000"/>
                <w:spacing w:val="0"/>
                <w:w w:val="100"/>
                <w:position w:val="0"/>
              </w:rPr>
              <w:t>;</w:t>
            </w:r>
            <w:r>
              <w:rPr>
                <w:color w:val="000000"/>
                <w:spacing w:val="0"/>
                <w:w w:val="100"/>
                <w:position w:val="0"/>
              </w:rPr>
              <w:t>浙江 省兴合集 团有限责 任公司</w:t>
            </w:r>
            <w:r>
              <w:rPr>
                <w:rFonts w:ascii="Times New Roman" w:eastAsia="Times New Roman" w:hAnsi="Times New Roman" w:cs="Times New Roman"/>
                <w:color w:val="000000"/>
                <w:spacing w:val="0"/>
                <w:w w:val="100"/>
                <w:position w:val="0"/>
              </w:rPr>
              <w:t>;</w:t>
            </w:r>
            <w:r>
              <w:rPr>
                <w:color w:val="000000"/>
                <w:spacing w:val="0"/>
                <w:w w:val="100"/>
                <w:position w:val="0"/>
              </w:rPr>
              <w:t>浙 江天堂硅 谷资产管 理集团有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自创业软件股票上市之日起 </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 他人管理其持有的创业软件 公开发行股票前已发行的股 份，也不由创业软件回购上 述股份。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安丰创业 投资有限 公司</w:t>
            </w:r>
            <w:r>
              <w:rPr>
                <w:rFonts w:ascii="Times New Roman" w:eastAsia="Times New Roman" w:hAnsi="Times New Roman" w:cs="Times New Roman"/>
                <w:color w:val="000000"/>
                <w:spacing w:val="0"/>
                <w:w w:val="100"/>
                <w:position w:val="0"/>
              </w:rPr>
              <w:t>;</w:t>
            </w:r>
            <w:r>
              <w:rPr>
                <w:color w:val="000000"/>
                <w:spacing w:val="0"/>
                <w:w w:val="100"/>
                <w:position w:val="0"/>
              </w:rPr>
              <w:t>浙江 安丰进取 创业投资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、本公司将严格遵守公司本 次发行上市前本公司做出的 股份限售安排和自愿锁定的 承诺。</w:t>
            </w:r>
            <w:r>
              <w:rPr>
                <w:rFonts w:ascii="Times New Roman" w:eastAsia="Times New Roman" w:hAnsi="Times New Roman" w:cs="Times New Roman"/>
                <w:color w:val="000000"/>
                <w:spacing w:val="0"/>
                <w:w w:val="100"/>
                <w:position w:val="0"/>
              </w:rPr>
              <w:t>2</w:t>
            </w:r>
            <w:r>
              <w:rPr>
                <w:color w:val="000000"/>
                <w:spacing w:val="0"/>
                <w:w w:val="100"/>
                <w:position w:val="0"/>
              </w:rPr>
              <w:t>、所持创业软件股份 锁定期满后，本公司在减持 创业软件股份时应符合相关 法律法规及深圳证券交易所 的相关规则要求，减持方式 包括但不限于交易所集中竞 价交易方式、大宗交易方式、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协议转让方式等。</w:t>
            </w:r>
            <w:r>
              <w:rPr>
                <w:rFonts w:ascii="Times New Roman" w:eastAsia="Times New Roman" w:hAnsi="Times New Roman" w:cs="Times New Roman"/>
                <w:color w:val="000000"/>
                <w:spacing w:val="0"/>
                <w:w w:val="100"/>
                <w:position w:val="0"/>
              </w:rPr>
              <w:t>3</w:t>
            </w:r>
            <w:r>
              <w:rPr>
                <w:color w:val="000000"/>
                <w:spacing w:val="0"/>
                <w:w w:val="100"/>
                <w:position w:val="0"/>
              </w:rPr>
              <w:t>、本公司 减持公司股份的价格根据当 时的二级市场价格确定，并 应符合相关法律法规及深圳 证券交易所的规则要求。</w:t>
            </w:r>
            <w:r>
              <w:rPr>
                <w:rFonts w:ascii="Times New Roman" w:eastAsia="Times New Roman" w:hAnsi="Times New Roman" w:cs="Times New Roman"/>
                <w:color w:val="000000"/>
                <w:spacing w:val="0"/>
                <w:w w:val="100"/>
                <w:position w:val="0"/>
              </w:rPr>
              <w:t>4</w:t>
            </w:r>
            <w:r>
              <w:rPr>
                <w:color w:val="000000"/>
                <w:spacing w:val="0"/>
                <w:w w:val="100"/>
                <w:position w:val="0"/>
              </w:rPr>
              <w:t>、 本公司将根据相关法律法规 及深圳证券交易所规则，结 合证券市场情况、发行人股 票走势及公开信息、本公司 需要等情况，自主决策、择 机进行减持。</w:t>
            </w:r>
            <w:r>
              <w:rPr>
                <w:rFonts w:ascii="Times New Roman" w:eastAsia="Times New Roman" w:hAnsi="Times New Roman" w:cs="Times New Roman"/>
                <w:color w:val="000000"/>
                <w:spacing w:val="0"/>
                <w:w w:val="100"/>
                <w:position w:val="0"/>
              </w:rPr>
              <w:t>5</w:t>
            </w:r>
            <w:r>
              <w:rPr>
                <w:color w:val="000000"/>
                <w:spacing w:val="0"/>
                <w:w w:val="100"/>
                <w:position w:val="0"/>
              </w:rPr>
              <w:t>、本公司在减 持创业软件股份前，应提前</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个交易日公告，并按照深圳 证券交易所的规则及时、准 确、完整地履行信息披露义 务。本公司合计持有创业软 件股份低于</w:t>
            </w:r>
            <w:r>
              <w:rPr>
                <w:rFonts w:ascii="Times New Roman" w:eastAsia="Times New Roman" w:hAnsi="Times New Roman" w:cs="Times New Roman"/>
                <w:color w:val="000000"/>
                <w:spacing w:val="0"/>
                <w:w w:val="100"/>
                <w:position w:val="0"/>
              </w:rPr>
              <w:t>5%</w:t>
            </w:r>
            <w:r>
              <w:rPr>
                <w:color w:val="000000"/>
                <w:spacing w:val="0"/>
                <w:w w:val="100"/>
                <w:position w:val="0"/>
              </w:rPr>
              <w:t>时除外。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杭州阜康 投资有限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50"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本公司将严格遵守公司本 次发行上市前其做出的股份 限售安排和自愿锁定的承 诺，在锁定期满后两年内进 行减持的，合计减持数量不 超过公司本次发行上市时本 公司所持公司股份的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4"/>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本公司在锁定期满后两年 内进行减持时，减持价格不 低于本次公开发行股票的发 行价格。</w:t>
            </w:r>
            <w:r>
              <w:rPr>
                <w:rFonts w:ascii="Times New Roman" w:eastAsia="Times New Roman" w:hAnsi="Times New Roman" w:cs="Times New Roman"/>
                <w:color w:val="000000"/>
                <w:spacing w:val="0"/>
                <w:w w:val="100"/>
                <w:position w:val="0"/>
              </w:rPr>
              <w:t>3</w:t>
            </w:r>
            <w:r>
              <w:rPr>
                <w:color w:val="000000"/>
                <w:spacing w:val="0"/>
                <w:w w:val="100"/>
                <w:position w:val="0"/>
              </w:rPr>
              <w:t>、本公司在减持创 业软件股份前，应提前</w:t>
            </w:r>
            <w:r>
              <w:rPr>
                <w:rFonts w:ascii="Times New Roman" w:eastAsia="Times New Roman" w:hAnsi="Times New Roman" w:cs="Times New Roman"/>
                <w:color w:val="000000"/>
                <w:spacing w:val="0"/>
                <w:w w:val="100"/>
                <w:position w:val="0"/>
              </w:rPr>
              <w:t>3</w:t>
            </w:r>
            <w:r>
              <w:rPr>
                <w:color w:val="000000"/>
                <w:spacing w:val="0"/>
                <w:w w:val="100"/>
                <w:position w:val="0"/>
              </w:rPr>
              <w:t>个 交易日公告，并按照深圳证 券交易所的规则及时、准确、 完整地履行信息披露义务。</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、本公司将根据相关法律法 规及深圳证券交易所规则， 结合证券市场情况、公司股 票走势及公开信息、承诺人 需要等情况，自主决策、择 机进行减持。</w:t>
            </w:r>
            <w:r>
              <w:rPr>
                <w:rFonts w:ascii="Times New Roman" w:eastAsia="Times New Roman" w:hAnsi="Times New Roman" w:cs="Times New Roman"/>
                <w:color w:val="000000"/>
                <w:spacing w:val="0"/>
                <w:w w:val="100"/>
                <w:position w:val="0"/>
              </w:rPr>
              <w:t>5</w:t>
            </w:r>
            <w:r>
              <w:rPr>
                <w:color w:val="000000"/>
                <w:spacing w:val="0"/>
                <w:w w:val="100"/>
                <w:position w:val="0"/>
              </w:rPr>
              <w:t>、本公司在减 持创业软件股份时应符合相 关法律法规及深圳证券交易 所的相关规则要求，减持方 式包括但不限于交易所集中 竞价交易方式、大宗交易方 式、协议转让方式等。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883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洪邵平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45"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本人将严格遵守公司本次 发行上市前其做出的股份限 售安排和自愿锁定的承诺。</w:t>
            </w:r>
          </w:p>
          <w:p>
            <w:pPr>
              <w:pStyle w:val="Style24"/>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本人在锁定期满后两年内 进行减持时，减持价格不低 于本次公开发行股票的发行 价格。</w:t>
            </w:r>
            <w:r>
              <w:rPr>
                <w:rFonts w:ascii="Times New Roman" w:eastAsia="Times New Roman" w:hAnsi="Times New Roman" w:cs="Times New Roman"/>
                <w:color w:val="000000"/>
                <w:spacing w:val="0"/>
                <w:w w:val="100"/>
                <w:position w:val="0"/>
              </w:rPr>
              <w:t>3</w:t>
            </w:r>
            <w:r>
              <w:rPr>
                <w:color w:val="000000"/>
                <w:spacing w:val="0"/>
                <w:w w:val="100"/>
                <w:position w:val="0"/>
              </w:rPr>
              <w:t>、所持创业软件股份 锁定期满后，本人在减持创 业软件股份时应符合相关法 律法规及深圳证券交易所的 相关规则要求，减持方式包 括但不限于交易所集中竞价 交易方式、大宗交易方式、 协议转让方式等。</w:t>
            </w:r>
            <w:r>
              <w:rPr>
                <w:rFonts w:ascii="Times New Roman" w:eastAsia="Times New Roman" w:hAnsi="Times New Roman" w:cs="Times New Roman"/>
                <w:color w:val="000000"/>
                <w:spacing w:val="0"/>
                <w:w w:val="100"/>
                <w:position w:val="0"/>
              </w:rPr>
              <w:t>4</w:t>
            </w:r>
            <w:r>
              <w:rPr>
                <w:color w:val="000000"/>
                <w:spacing w:val="0"/>
                <w:w w:val="100"/>
                <w:position w:val="0"/>
              </w:rPr>
              <w:t>、本人将 根据相关法律法规及深圳证 券交易所规则，结合证券市 场情况、公司股票走势及公 开信息、承诺人需要等情况， 自主决策、择机进行减持。</w:t>
            </w:r>
            <w:r>
              <w:rPr>
                <w:rFonts w:ascii="Times New Roman" w:eastAsia="Times New Roman" w:hAnsi="Times New Roman" w:cs="Times New Roman"/>
                <w:color w:val="000000"/>
                <w:spacing w:val="0"/>
                <w:w w:val="100"/>
                <w:position w:val="0"/>
              </w:rPr>
              <w:t>5</w:t>
            </w:r>
            <w:r>
              <w:rPr>
                <w:color w:val="000000"/>
                <w:spacing w:val="0"/>
                <w:w w:val="100"/>
                <w:position w:val="0"/>
              </w:rPr>
              <w:t>、 本人在减持创业软件股份 前，应提前</w:t>
            </w:r>
            <w:r>
              <w:rPr>
                <w:rFonts w:ascii="Times New Roman" w:eastAsia="Times New Roman" w:hAnsi="Times New Roman" w:cs="Times New Roman"/>
                <w:color w:val="000000"/>
                <w:spacing w:val="0"/>
                <w:w w:val="100"/>
                <w:position w:val="0"/>
              </w:rPr>
              <w:t>3</w:t>
            </w:r>
            <w:r>
              <w:rPr>
                <w:color w:val="000000"/>
                <w:spacing w:val="0"/>
                <w:w w:val="100"/>
                <w:position w:val="0"/>
              </w:rPr>
              <w:t>个交易日公告， 并按照深圳证券交易所的规 则及时、准确、完整地履行 信息披露义务。本人持有创 业软件股份低于</w:t>
            </w:r>
            <w:r>
              <w:rPr>
                <w:rFonts w:ascii="Times New Roman" w:eastAsia="Times New Roman" w:hAnsi="Times New Roman" w:cs="Times New Roman"/>
                <w:color w:val="000000"/>
                <w:spacing w:val="0"/>
                <w:w w:val="100"/>
                <w:position w:val="0"/>
              </w:rPr>
              <w:t>5%</w:t>
            </w:r>
            <w:r>
              <w:rPr>
                <w:color w:val="000000"/>
                <w:spacing w:val="0"/>
                <w:w w:val="100"/>
                <w:position w:val="0"/>
              </w:rPr>
              <w:t>时除外。</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、在上述承诺履行期间，本 人职务变更、离职等原因不 影响本承诺的效力。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50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雅戈尔集 团股份有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、本公司将严格遵守公司本 次发行上市前本公司做出的 股份限售安排和自愿锁定的 承诺。</w:t>
            </w:r>
            <w:r>
              <w:rPr>
                <w:rFonts w:ascii="Times New Roman" w:eastAsia="Times New Roman" w:hAnsi="Times New Roman" w:cs="Times New Roman"/>
                <w:color w:val="000000"/>
                <w:spacing w:val="0"/>
                <w:w w:val="100"/>
                <w:position w:val="0"/>
              </w:rPr>
              <w:t>2</w:t>
            </w:r>
            <w:r>
              <w:rPr>
                <w:color w:val="000000"/>
                <w:spacing w:val="0"/>
                <w:w w:val="100"/>
                <w:position w:val="0"/>
              </w:rPr>
              <w:t>、所持创业软件股份 锁定期满后，本公司在减持 创业软件股份时应符合相关 法律法规及深圳证券交易所 的相关规则要求，减持方式 包括但不限于交易所集中竞 价交易方式、大宗交易方式、 协议转让方式等。</w:t>
            </w:r>
            <w:r>
              <w:rPr>
                <w:rFonts w:ascii="Times New Roman" w:eastAsia="Times New Roman" w:hAnsi="Times New Roman" w:cs="Times New Roman"/>
                <w:color w:val="000000"/>
                <w:spacing w:val="0"/>
                <w:w w:val="100"/>
                <w:position w:val="0"/>
              </w:rPr>
              <w:t>3</w:t>
            </w:r>
            <w:r>
              <w:rPr>
                <w:color w:val="000000"/>
                <w:spacing w:val="0"/>
                <w:w w:val="100"/>
                <w:position w:val="0"/>
              </w:rPr>
              <w:t>、本公司 减持公司股份的价格根据当 时的二级市场价格确定，并 应符合相关法律法规及深圳 证券交易所的规则要求。</w:t>
            </w:r>
            <w:r>
              <w:rPr>
                <w:rFonts w:ascii="Times New Roman" w:eastAsia="Times New Roman" w:hAnsi="Times New Roman" w:cs="Times New Roman"/>
                <w:color w:val="000000"/>
                <w:spacing w:val="0"/>
                <w:w w:val="100"/>
                <w:position w:val="0"/>
              </w:rPr>
              <w:t>4</w:t>
            </w:r>
            <w:r>
              <w:rPr>
                <w:color w:val="000000"/>
                <w:spacing w:val="0"/>
                <w:w w:val="100"/>
                <w:position w:val="0"/>
              </w:rPr>
              <w:t>、 本公司将根据相关法律法规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及深圳证券交易所规则，结 合证券市场情况、发行人股 票走势及公开信息、本公司 需要等情况，自主决策、择 机进行减持。</w:t>
            </w:r>
            <w:r>
              <w:rPr>
                <w:rFonts w:ascii="Times New Roman" w:eastAsia="Times New Roman" w:hAnsi="Times New Roman" w:cs="Times New Roman"/>
                <w:color w:val="000000"/>
                <w:spacing w:val="0"/>
                <w:w w:val="100"/>
                <w:position w:val="0"/>
              </w:rPr>
              <w:t>5</w:t>
            </w:r>
            <w:r>
              <w:rPr>
                <w:color w:val="000000"/>
                <w:spacing w:val="0"/>
                <w:w w:val="100"/>
                <w:position w:val="0"/>
              </w:rPr>
              <w:t>、本公司在减 持创业软件股份前，应提前</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个交易日公告，并按照深圳 证券交易所的规则及时、准 确、完整地履行信息披露义 务。本公司持有创业软件股 份低于</w:t>
            </w:r>
            <w:r>
              <w:rPr>
                <w:rFonts w:ascii="Times New Roman" w:eastAsia="Times New Roman" w:hAnsi="Times New Roman" w:cs="Times New Roman"/>
                <w:color w:val="000000"/>
                <w:spacing w:val="0"/>
                <w:w w:val="100"/>
                <w:position w:val="0"/>
              </w:rPr>
              <w:t>5%</w:t>
            </w:r>
            <w:r>
              <w:rPr>
                <w:color w:val="000000"/>
                <w:spacing w:val="0"/>
                <w:w w:val="100"/>
                <w:position w:val="0"/>
              </w:rPr>
              <w:t>时除外。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tabs>
                <w:tab w:pos="25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本人将严格遵守公司本次 发行上市前其做出的股份限 售安排和自愿锁定的承诺， 在锁定期满后两年内进行减 持的，合计减持数量不超过 公司本次发行上市时本人所 持公司股份的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（如因送 股、资本公积金转增股本的， 则须按照深圳证券交易所的 有关规定进行调整，下同）。</w:t>
            </w:r>
          </w:p>
          <w:p>
            <w:pPr>
              <w:pStyle w:val="Style24"/>
              <w:keepNext w:val="0"/>
              <w:keepLines w:val="0"/>
              <w:widowControl w:val="0"/>
              <w:shd w:val="clear" w:color="auto" w:fill="auto"/>
              <w:tabs>
                <w:tab w:pos="259"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本人在锁定期满后两年内 进行减持时，减持价格（如 因派息、送股、资本公积金 转增股本、增发新股等原因 除权、除息的，则须按照深 圳证券交易所的有关规定进 行调整，下同）不低于本次 公开发行股票的发行价格。</w:t>
            </w:r>
          </w:p>
          <w:p>
            <w:pPr>
              <w:pStyle w:val="Style24"/>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本人在减持公司股份前， 应提前</w:t>
            </w:r>
            <w:r>
              <w:rPr>
                <w:rFonts w:ascii="Times New Roman" w:eastAsia="Times New Roman" w:hAnsi="Times New Roman" w:cs="Times New Roman"/>
                <w:color w:val="000000"/>
                <w:spacing w:val="0"/>
                <w:w w:val="100"/>
                <w:position w:val="0"/>
              </w:rPr>
              <w:t>3</w:t>
            </w:r>
            <w:r>
              <w:rPr>
                <w:color w:val="000000"/>
                <w:spacing w:val="0"/>
                <w:w w:val="100"/>
                <w:position w:val="0"/>
              </w:rPr>
              <w:t>个交易日公告，并 按照深圳证券交易所的规则 及时、准确、完整地履行信 息披露义务。</w:t>
            </w:r>
            <w:r>
              <w:rPr>
                <w:rFonts w:ascii="Times New Roman" w:eastAsia="Times New Roman" w:hAnsi="Times New Roman" w:cs="Times New Roman"/>
                <w:color w:val="000000"/>
                <w:spacing w:val="0"/>
                <w:w w:val="100"/>
                <w:position w:val="0"/>
              </w:rPr>
              <w:t>4</w:t>
            </w:r>
            <w:r>
              <w:rPr>
                <w:color w:val="000000"/>
                <w:spacing w:val="0"/>
                <w:w w:val="100"/>
                <w:position w:val="0"/>
              </w:rPr>
              <w:t>、本人将根据 相关法律法规及深圳证券交 易所规则，结合证券市场情 况、公司股票走势及公开信 息、承诺人需要等情况，自 主决策、择机进行减持。</w:t>
            </w:r>
            <w:r>
              <w:rPr>
                <w:rFonts w:ascii="Times New Roman" w:eastAsia="Times New Roman" w:hAnsi="Times New Roman" w:cs="Times New Roman"/>
                <w:color w:val="000000"/>
                <w:spacing w:val="0"/>
                <w:w w:val="100"/>
                <w:position w:val="0"/>
              </w:rPr>
              <w:t>5</w:t>
            </w:r>
            <w:r>
              <w:rPr>
                <w:color w:val="000000"/>
                <w:spacing w:val="0"/>
                <w:w w:val="100"/>
                <w:position w:val="0"/>
              </w:rPr>
              <w:t>、 本人在减持公司股份时应符 合相关法律法规及深圳证券 交易所的相关规则要求，减 持方式包括但不限于交易所 集中竞价交易方式、大宗交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易方式、协议转让方式等。</w:t>
            </w:r>
            <w:r>
              <w:rPr>
                <w:rFonts w:ascii="Times New Roman" w:eastAsia="Times New Roman" w:hAnsi="Times New Roman" w:cs="Times New Roman"/>
                <w:color w:val="000000"/>
                <w:spacing w:val="0"/>
                <w:w w:val="100"/>
                <w:position w:val="0"/>
              </w:rPr>
              <w:t>6</w:t>
            </w:r>
            <w:r>
              <w:rPr>
                <w:color w:val="000000"/>
                <w:spacing w:val="0"/>
                <w:w w:val="100"/>
                <w:position w:val="0"/>
              </w:rPr>
              <w:t>、 在上述承诺履行期间，本人 职务变更、离职等原因不影 响承诺的效力。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、本人将严格遵守公司本次 发行上市前本人做出的股份 限售安排和自愿锁定的承 诺。</w:t>
            </w:r>
            <w:r>
              <w:rPr>
                <w:rFonts w:ascii="Times New Roman" w:eastAsia="Times New Roman" w:hAnsi="Times New Roman" w:cs="Times New Roman"/>
                <w:color w:val="000000"/>
                <w:spacing w:val="0"/>
                <w:w w:val="100"/>
                <w:position w:val="0"/>
              </w:rPr>
              <w:t>2</w:t>
            </w:r>
            <w:r>
              <w:rPr>
                <w:color w:val="000000"/>
                <w:spacing w:val="0"/>
                <w:w w:val="100"/>
                <w:position w:val="0"/>
              </w:rPr>
              <w:t>、所持创业软件股份锁 定期满后，本人在减持创业 软件股份时应符合相关法律 法规及深圳证券交易所的相 关规则要求，减持方式包括 但不限于交易所集中竞价交 易方式、大宗交易方式、协 议转让方式等。</w:t>
            </w:r>
            <w:r>
              <w:rPr>
                <w:rFonts w:ascii="Times New Roman" w:eastAsia="Times New Roman" w:hAnsi="Times New Roman" w:cs="Times New Roman"/>
                <w:color w:val="000000"/>
                <w:spacing w:val="0"/>
                <w:w w:val="100"/>
                <w:position w:val="0"/>
              </w:rPr>
              <w:t>3</w:t>
            </w:r>
            <w:r>
              <w:rPr>
                <w:color w:val="000000"/>
                <w:spacing w:val="0"/>
                <w:w w:val="100"/>
                <w:position w:val="0"/>
              </w:rPr>
              <w:t>、本人减持 公司股份的价格根据当时的 二级市场价格确定，并应符 合相关法律法规及深圳证券 交易所的规则要求。</w:t>
            </w:r>
            <w:r>
              <w:rPr>
                <w:rFonts w:ascii="Times New Roman" w:eastAsia="Times New Roman" w:hAnsi="Times New Roman" w:cs="Times New Roman"/>
                <w:color w:val="000000"/>
                <w:spacing w:val="0"/>
                <w:w w:val="100"/>
                <w:position w:val="0"/>
              </w:rPr>
              <w:t>4</w:t>
            </w:r>
            <w:r>
              <w:rPr>
                <w:color w:val="000000"/>
                <w:spacing w:val="0"/>
                <w:w w:val="100"/>
                <w:position w:val="0"/>
              </w:rPr>
              <w:t>、本人 将根据相关法律法规及深圳 证券交易所规则，结合证券 市场情况、发行人股票走势 及公开信息、本人需要等情 况，自主决策、择机进行减 持。</w:t>
            </w:r>
            <w:r>
              <w:rPr>
                <w:rFonts w:ascii="Times New Roman" w:eastAsia="Times New Roman" w:hAnsi="Times New Roman" w:cs="Times New Roman"/>
                <w:color w:val="000000"/>
                <w:spacing w:val="0"/>
                <w:w w:val="100"/>
                <w:position w:val="0"/>
              </w:rPr>
              <w:t>5</w:t>
            </w:r>
            <w:r>
              <w:rPr>
                <w:color w:val="000000"/>
                <w:spacing w:val="0"/>
                <w:w w:val="100"/>
                <w:position w:val="0"/>
              </w:rPr>
              <w:t>、本人在减持创业软件 股份前，应提前</w:t>
            </w:r>
            <w:r>
              <w:rPr>
                <w:rFonts w:ascii="Times New Roman" w:eastAsia="Times New Roman" w:hAnsi="Times New Roman" w:cs="Times New Roman"/>
                <w:color w:val="000000"/>
                <w:spacing w:val="0"/>
                <w:w w:val="100"/>
                <w:position w:val="0"/>
              </w:rPr>
              <w:t>3</w:t>
            </w:r>
            <w:r>
              <w:rPr>
                <w:color w:val="000000"/>
                <w:spacing w:val="0"/>
                <w:w w:val="100"/>
                <w:position w:val="0"/>
              </w:rPr>
              <w:t>个交易日 公告，并按照深圳证券交易 所的规则及时、准确、完整 地履行信息披露义务。本人 持有创业软件股份低于</w:t>
            </w:r>
            <w:r>
              <w:rPr>
                <w:rFonts w:ascii="Times New Roman" w:eastAsia="Times New Roman" w:hAnsi="Times New Roman" w:cs="Times New Roman"/>
                <w:color w:val="000000"/>
                <w:spacing w:val="0"/>
                <w:w w:val="100"/>
                <w:position w:val="0"/>
              </w:rPr>
              <w:t xml:space="preserve">5% </w:t>
            </w:r>
            <w:r>
              <w:rPr>
                <w:color w:val="000000"/>
                <w:spacing w:val="0"/>
                <w:w w:val="100"/>
                <w:position w:val="0"/>
              </w:rPr>
              <w:t>时除外。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1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 除已经披露的情形外，本人 （包括本人所控制的公司） 与发行人之间不存在其他关 联交易。本人不利用实际控 制人的地位影响发行人的独 立性、故意促使发行人对与 本人（包括本人所控制的公 司）的任何关联交易采取任 何行动、故意促使发行人的 股东大会或董事会作出侵犯 其他股东合法权益的决议。 如果发行人必须与本人（包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括本人所控制的公司）发生 任何关联交易，则本人承诺 将促使上述交易按照公平合 理和正常商业交易的条件进 行。本人（包括本人所控制 的公司）将不会要求或接受 发行人给予比在任何一项市 场公平交易中第三者更优惠 的条件。</w:t>
            </w:r>
            <w:r>
              <w:rPr>
                <w:rFonts w:ascii="Times New Roman" w:eastAsia="Times New Roman" w:hAnsi="Times New Roman" w:cs="Times New Roman"/>
                <w:color w:val="000000"/>
                <w:spacing w:val="0"/>
                <w:w w:val="100"/>
                <w:position w:val="0"/>
              </w:rPr>
              <w:t>2</w:t>
            </w:r>
            <w:r>
              <w:rPr>
                <w:color w:val="000000"/>
                <w:spacing w:val="0"/>
                <w:w w:val="100"/>
                <w:position w:val="0"/>
              </w:rPr>
              <w:t>、本人（包括本人 所控制的公司）将严格和善 意地履行与发行人签订的各 种关联交易协议。本人（包 括本人所控制的公司）承诺 将不会向发行人谋求任何超 出上述协议规定以外的利益 或收益。</w:t>
            </w:r>
            <w:r>
              <w:rPr>
                <w:rFonts w:ascii="Times New Roman" w:eastAsia="Times New Roman" w:hAnsi="Times New Roman" w:cs="Times New Roman"/>
                <w:color w:val="000000"/>
                <w:spacing w:val="0"/>
                <w:w w:val="100"/>
                <w:position w:val="0"/>
              </w:rPr>
              <w:t>3</w:t>
            </w:r>
            <w:r>
              <w:rPr>
                <w:color w:val="000000"/>
                <w:spacing w:val="0"/>
                <w:w w:val="100"/>
                <w:position w:val="0"/>
              </w:rPr>
              <w:t>、本人对上述承诺 的真实性及合法性负全部法 律责任，如果本人（包括本 人所控制的公司）违反上述 声明、保证与承诺，并造成 发行人经济损失的，本人同 意赔偿相应的损失。</w:t>
            </w:r>
            <w:r>
              <w:rPr>
                <w:rFonts w:ascii="Times New Roman" w:eastAsia="Times New Roman" w:hAnsi="Times New Roman" w:cs="Times New Roman"/>
                <w:color w:val="000000"/>
                <w:spacing w:val="0"/>
                <w:w w:val="100"/>
                <w:position w:val="0"/>
              </w:rPr>
              <w:t>4</w:t>
            </w:r>
            <w:r>
              <w:rPr>
                <w:color w:val="000000"/>
                <w:spacing w:val="0"/>
                <w:w w:val="100"/>
                <w:position w:val="0"/>
              </w:rPr>
              <w:t>、本承 诺将持续有效，直至本人不 再作为发行人的实际控制 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）在本承诺函签署之日， 本人及所控制的公司和拥有 权益的公司均未生产、开发 任何与创业软件产品构成竞 争或可能竞争的产品，未直 接或间接经营任何与创业软 件经营的业务构成竞争或可 能竞争的业务，也未参与投 资任何与创业软件生产的产 品或经营的业务构成竞争或 可能竞争的其他企业。（</w:t>
            </w:r>
            <w:r>
              <w:rPr>
                <w:rFonts w:ascii="Times New Roman" w:eastAsia="Times New Roman" w:hAnsi="Times New Roman" w:cs="Times New Roman"/>
                <w:color w:val="000000"/>
                <w:spacing w:val="0"/>
                <w:w w:val="100"/>
                <w:position w:val="0"/>
              </w:rPr>
              <w:t>2</w:t>
            </w:r>
            <w:r>
              <w:rPr>
                <w:color w:val="000000"/>
                <w:spacing w:val="0"/>
                <w:w w:val="100"/>
                <w:position w:val="0"/>
              </w:rPr>
              <w:t>） 自本承诺函签署之日起，本 人及所控制的公司和拥有权 益的公司将不生产、开发任 何与创业软件产品构成竞争 或可能竞争的产品，不直接 或间接经营任何与创业软件 经营的业务构成竞争或可能 竞争的业务，不参与投资任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何与创业软件生产的产品或 经营的业务构成竞争或可能 竞争的其他企业。（</w:t>
            </w:r>
            <w:r>
              <w:rPr>
                <w:rFonts w:ascii="Times New Roman" w:eastAsia="Times New Roman" w:hAnsi="Times New Roman" w:cs="Times New Roman"/>
                <w:color w:val="000000"/>
                <w:spacing w:val="0"/>
                <w:w w:val="100"/>
                <w:position w:val="0"/>
              </w:rPr>
              <w:t>3</w:t>
            </w:r>
            <w:r>
              <w:rPr>
                <w:color w:val="000000"/>
                <w:spacing w:val="0"/>
                <w:w w:val="100"/>
                <w:position w:val="0"/>
              </w:rPr>
              <w:t>）自本 承诺函签署之日起，如创业 软件进一步拓展其产品和业 务范围，本人及所控制的公 司和拥有权益的公司将不与 创业软件拓展后的产品和业 务相竞争；若与创业软件拓 展后的产品和业务相竞争， 本人及所控制的公司和拥有 权益的公司将采取以下方式 避免同业竞争：①停止生产 或经营相竞争的产品和业 务；②将相竞争的业务纳入 创业软件经营；③向无关联 关系的第三方转让该业务。</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）如本承诺函未被遵守， 将向创业软件赔偿一切直接 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创业软件 股份有限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 股价承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创业软件股份有限公司股票 上市后三年内公司股价低于 每股净资产时股价稳定预 案：一、启动稳定股价措施 的条件公司自上市后三 年内，如出现连续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 日公司股票的收盘价（如因 派息、送股、资本公积金转 增股本、增发新股等原因除 权、除息的，则须按照深圳 证券交易所的有关规定进行 调整，下同）均低于公司最 近一期经审计的每股净资产 （每股净资产</w:t>
            </w:r>
            <w:r>
              <w:rPr>
                <w:rFonts w:ascii="Times New Roman" w:eastAsia="Times New Roman" w:hAnsi="Times New Roman" w:cs="Times New Roman"/>
                <w:color w:val="000000"/>
                <w:spacing w:val="0"/>
                <w:w w:val="100"/>
                <w:position w:val="0"/>
              </w:rPr>
              <w:t>=</w:t>
            </w:r>
            <w:r>
              <w:rPr>
                <w:color w:val="000000"/>
                <w:spacing w:val="0"/>
                <w:w w:val="100"/>
                <w:position w:val="0"/>
              </w:rPr>
              <w:t>合并财务报 表中归属于母公司普通股股 东权益合计数</w:t>
            </w:r>
            <w:r>
              <w:rPr>
                <w:rFonts w:ascii="Times New Roman" w:eastAsia="Times New Roman" w:hAnsi="Times New Roman" w:cs="Times New Roman"/>
                <w:color w:val="000000"/>
                <w:spacing w:val="0"/>
                <w:w w:val="100"/>
                <w:position w:val="0"/>
              </w:rPr>
              <w:t>+</w:t>
            </w:r>
            <w:r>
              <w:rPr>
                <w:color w:val="000000"/>
                <w:spacing w:val="0"/>
                <w:w w:val="100"/>
                <w:position w:val="0"/>
              </w:rPr>
              <w:t>公司股份总 数，下同）情形时，非因不 可抗力因素所致，则启动稳 定股价的预案。二、稳定股 价的具体措施公司将在 启动稳定股价措施的条件触 发之日起</w:t>
            </w:r>
            <w:r>
              <w:rPr>
                <w:rFonts w:ascii="Times New Roman" w:eastAsia="Times New Roman" w:hAnsi="Times New Roman" w:cs="Times New Roman"/>
                <w:color w:val="000000"/>
                <w:spacing w:val="0"/>
                <w:w w:val="100"/>
                <w:position w:val="0"/>
              </w:rPr>
              <w:t>3</w:t>
            </w:r>
            <w:r>
              <w:rPr>
                <w:color w:val="000000"/>
                <w:spacing w:val="0"/>
                <w:w w:val="100"/>
                <w:position w:val="0"/>
              </w:rPr>
              <w:t>个交易日内与公 司控股股东、董事及高级管 理人员协商确定稳定股价的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措施。公司及相关主体将采 取以下措施中的一项或多项 稳定公司股价：</w:t>
            </w:r>
            <w:r>
              <w:rPr>
                <w:rFonts w:ascii="Times New Roman" w:eastAsia="Times New Roman" w:hAnsi="Times New Roman" w:cs="Times New Roman"/>
                <w:color w:val="000000"/>
                <w:spacing w:val="0"/>
                <w:w w:val="100"/>
                <w:position w:val="0"/>
              </w:rPr>
              <w:t>1</w:t>
            </w:r>
            <w:r>
              <w:rPr>
                <w:color w:val="000000"/>
                <w:spacing w:val="0"/>
                <w:w w:val="100"/>
                <w:position w:val="0"/>
              </w:rPr>
              <w:t>、公司回购 公司股票；</w:t>
            </w:r>
            <w:r>
              <w:rPr>
                <w:rFonts w:ascii="Times New Roman" w:eastAsia="Times New Roman" w:hAnsi="Times New Roman" w:cs="Times New Roman"/>
                <w:color w:val="000000"/>
                <w:spacing w:val="0"/>
                <w:w w:val="100"/>
                <w:position w:val="0"/>
              </w:rPr>
              <w:t>2</w:t>
            </w:r>
            <w:r>
              <w:rPr>
                <w:color w:val="000000"/>
                <w:spacing w:val="0"/>
                <w:w w:val="100"/>
                <w:position w:val="0"/>
              </w:rPr>
              <w:t>、公司控股股东 增持公司股票；</w:t>
            </w:r>
            <w:r>
              <w:rPr>
                <w:rFonts w:ascii="Times New Roman" w:eastAsia="Times New Roman" w:hAnsi="Times New Roman" w:cs="Times New Roman"/>
                <w:color w:val="000000"/>
                <w:spacing w:val="0"/>
                <w:w w:val="100"/>
                <w:position w:val="0"/>
              </w:rPr>
              <w:t>3</w:t>
            </w:r>
            <w:r>
              <w:rPr>
                <w:color w:val="000000"/>
                <w:spacing w:val="0"/>
                <w:w w:val="100"/>
                <w:position w:val="0"/>
              </w:rPr>
              <w:t>、公司董事、 高级管理人员增持公司股 票。</w:t>
            </w:r>
            <w:r>
              <w:rPr>
                <w:rFonts w:ascii="Times New Roman" w:eastAsia="Times New Roman" w:hAnsi="Times New Roman" w:cs="Times New Roman"/>
                <w:color w:val="000000"/>
                <w:spacing w:val="0"/>
                <w:w w:val="100"/>
                <w:position w:val="0"/>
              </w:rPr>
              <w:t>1</w:t>
            </w:r>
            <w:r>
              <w:rPr>
                <w:color w:val="000000"/>
                <w:spacing w:val="0"/>
                <w:w w:val="100"/>
                <w:position w:val="0"/>
              </w:rPr>
              <w:t>、公司回购公司股票 如各方最终确定以公司回购 公司股票作为稳定股价的措 施，则公司将在符合相关法 律、法规的规定且不应导致 公司股权分布不符合上市条 件的前提下，向社会公众股 东依法回购股份，回购价格 不高于公司最近一期经审计 的每股净资产。公司董事会 应在启动稳定股价预案的条 件触发之日起</w:t>
            </w:r>
            <w:r>
              <w:rPr>
                <w:rFonts w:ascii="Times New Roman" w:eastAsia="Times New Roman" w:hAnsi="Times New Roman" w:cs="Times New Roman"/>
                <w:color w:val="000000"/>
                <w:spacing w:val="0"/>
                <w:w w:val="100"/>
                <w:position w:val="0"/>
              </w:rPr>
              <w:t>10</w:t>
            </w:r>
            <w:r>
              <w:rPr>
                <w:color w:val="000000"/>
                <w:spacing w:val="0"/>
                <w:w w:val="100"/>
                <w:position w:val="0"/>
              </w:rPr>
              <w:t>个交易日 内，做出实施回购股份的决 议。公司董事会应当在做出 决议后及时公告董事会决 议、回购股份预案，并发布 召开股东大会的通知。公司 股东大会对回购股份做出决 议，须经出席会议的股东所 持表决权的三分之二以上通 过，公司控股股东承诺就该 等回购事宜在股东大会中投 赞成票。经股东大会决议决 定实施回购的，公司将依法 通知债权人，并向证券监督 管理部门、证券交易所等主 管部门报送相关材料，办理 审批或备案手续。公司回购 公司股票应在履行完毕法律 法规规定的程序后</w:t>
            </w:r>
            <w:r>
              <w:rPr>
                <w:rFonts w:ascii="Times New Roman" w:eastAsia="Times New Roman" w:hAnsi="Times New Roman" w:cs="Times New Roman"/>
                <w:color w:val="000000"/>
                <w:spacing w:val="0"/>
                <w:w w:val="100"/>
                <w:position w:val="0"/>
              </w:rPr>
              <w:t>90</w:t>
            </w:r>
            <w:r>
              <w:rPr>
                <w:color w:val="000000"/>
                <w:spacing w:val="0"/>
                <w:w w:val="100"/>
                <w:position w:val="0"/>
              </w:rPr>
              <w:t>个交易 日内实施完毕。单次实施回 购股票完毕或终止后，本次 回购的公司股票应在实施完 毕或终止之日起</w:t>
            </w:r>
            <w:r>
              <w:rPr>
                <w:rFonts w:ascii="Times New Roman" w:eastAsia="Times New Roman" w:hAnsi="Times New Roman" w:cs="Times New Roman"/>
                <w:color w:val="000000"/>
                <w:spacing w:val="0"/>
                <w:w w:val="100"/>
                <w:position w:val="0"/>
              </w:rPr>
              <w:t>10</w:t>
            </w:r>
            <w:r>
              <w:rPr>
                <w:color w:val="000000"/>
                <w:spacing w:val="0"/>
                <w:w w:val="100"/>
                <w:position w:val="0"/>
              </w:rPr>
              <w:t xml:space="preserve">内注销， 并及时办理公司减资程序。 公司董事会公告回购股份预 案后，公司股票收盘价连续 </w:t>
            </w:r>
            <w:r>
              <w:rPr>
                <w:rFonts w:ascii="Times New Roman" w:eastAsia="Times New Roman" w:hAnsi="Times New Roman" w:cs="Times New Roman"/>
                <w:color w:val="000000"/>
                <w:spacing w:val="0"/>
                <w:w w:val="100"/>
                <w:position w:val="0"/>
              </w:rPr>
              <w:t>10</w:t>
            </w:r>
            <w:r>
              <w:rPr>
                <w:color w:val="000000"/>
                <w:spacing w:val="0"/>
                <w:w w:val="100"/>
                <w:position w:val="0"/>
              </w:rPr>
              <w:t>个交易日高于最近一期经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审计的每股净资产，则公司 可不再继续实施回购股份计 划。若某一会计年度内公司 股价多次触发上述启动稳定 股价措施的条件的（不包括 控股股东实施稳定股价措施 期间及自实施完毕当次稳定 股价措施并由公司公告日后 开始计算的连续</w:t>
            </w:r>
            <w:r>
              <w:rPr>
                <w:rFonts w:ascii="Times New Roman" w:eastAsia="Times New Roman" w:hAnsi="Times New Roman" w:cs="Times New Roman"/>
                <w:color w:val="000000"/>
                <w:spacing w:val="0"/>
                <w:w w:val="100"/>
                <w:position w:val="0"/>
              </w:rPr>
              <w:t>20</w:t>
            </w:r>
            <w:r>
              <w:rPr>
                <w:color w:val="000000"/>
                <w:spacing w:val="0"/>
                <w:w w:val="100"/>
                <w:position w:val="0"/>
              </w:rPr>
              <w:t>个交易日 股票收盘价仍低于上一个会 计年度经审计的每股净资产 的情形），公司将继续按照上 述稳定股价预案执行。公司 为稳定股价进行股份回购 的，除应符合相关法律法规 之要求之外，还应遵循以下 原则：单次用于回购股份的 资金金额不高于上一个会计 年度经审计的归属于母公司 股东净利润的</w:t>
            </w:r>
            <w:r>
              <w:rPr>
                <w:rFonts w:ascii="Times New Roman" w:eastAsia="Times New Roman" w:hAnsi="Times New Roman" w:cs="Times New Roman"/>
                <w:color w:val="000000"/>
                <w:spacing w:val="0"/>
                <w:w w:val="100"/>
                <w:position w:val="0"/>
              </w:rPr>
              <w:t>20%</w:t>
            </w:r>
            <w:r>
              <w:rPr>
                <w:color w:val="000000"/>
                <w:spacing w:val="0"/>
                <w:w w:val="100"/>
                <w:position w:val="0"/>
              </w:rPr>
              <w:t>,单一会 计年度用以稳定股价的回购 资金合计不超过上一会计年 度经审计的归属于母公司股 东净利润的</w:t>
            </w:r>
            <w:r>
              <w:rPr>
                <w:rFonts w:ascii="Times New Roman" w:eastAsia="Times New Roman" w:hAnsi="Times New Roman" w:cs="Times New Roman"/>
                <w:color w:val="000000"/>
                <w:spacing w:val="0"/>
                <w:w w:val="100"/>
                <w:position w:val="0"/>
              </w:rPr>
              <w:t>50%</w:t>
            </w:r>
            <w:r>
              <w:rPr>
                <w:color w:val="000000"/>
                <w:spacing w:val="0"/>
                <w:w w:val="100"/>
                <w:position w:val="0"/>
              </w:rPr>
              <w:t>；超过上述 标准的，有关稳定股价措施 在当年度不再继续实施。</w:t>
            </w:r>
            <w:r>
              <w:rPr>
                <w:rFonts w:ascii="Times New Roman" w:eastAsia="Times New Roman" w:hAnsi="Times New Roman" w:cs="Times New Roman"/>
                <w:color w:val="000000"/>
                <w:spacing w:val="0"/>
                <w:w w:val="100"/>
                <w:position w:val="0"/>
              </w:rPr>
              <w:t>2</w:t>
            </w:r>
            <w:r>
              <w:rPr>
                <w:color w:val="000000"/>
                <w:spacing w:val="0"/>
                <w:w w:val="100"/>
                <w:position w:val="0"/>
              </w:rPr>
              <w:t xml:space="preserve">、 公司控股股东增持公司股票 如各方最终确定以公司控股 股东增持公司股票作为稳定 股价的措施，则公司控股股 东在符合相关法律、法规的 规定且不应导致公司股权分 布不符合上市条件的前提 下，依法对公司股票进行增 持，增持价格不高于公司最 近一期经审计的每股净资 产。控股股东应在启动稳定 股价预案的条件触发之日起 </w:t>
            </w:r>
            <w:r>
              <w:rPr>
                <w:rFonts w:ascii="Times New Roman" w:eastAsia="Times New Roman" w:hAnsi="Times New Roman" w:cs="Times New Roman"/>
                <w:color w:val="000000"/>
                <w:spacing w:val="0"/>
                <w:w w:val="100"/>
                <w:position w:val="0"/>
              </w:rPr>
              <w:t>10</w:t>
            </w:r>
            <w:r>
              <w:rPr>
                <w:color w:val="000000"/>
                <w:spacing w:val="0"/>
                <w:w w:val="100"/>
                <w:position w:val="0"/>
              </w:rPr>
              <w:t>个交易日内，就其增持公 司股票的具体计划书面通知 公司并由公司进行公告，并 应在履行完毕法律法规规定 的程序后</w:t>
            </w:r>
            <w:r>
              <w:rPr>
                <w:rFonts w:ascii="Times New Roman" w:eastAsia="Times New Roman" w:hAnsi="Times New Roman" w:cs="Times New Roman"/>
                <w:color w:val="000000"/>
                <w:spacing w:val="0"/>
                <w:w w:val="100"/>
                <w:position w:val="0"/>
              </w:rPr>
              <w:t>90</w:t>
            </w:r>
            <w:r>
              <w:rPr>
                <w:color w:val="000000"/>
                <w:spacing w:val="0"/>
                <w:w w:val="100"/>
                <w:position w:val="0"/>
              </w:rPr>
              <w:t>个交易日内实施 完毕。增持公告作出之日后，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公司股票收盘价连续</w:t>
            </w:r>
            <w:r>
              <w:rPr>
                <w:rFonts w:ascii="Times New Roman" w:eastAsia="Times New Roman" w:hAnsi="Times New Roman" w:cs="Times New Roman"/>
                <w:color w:val="000000"/>
                <w:spacing w:val="0"/>
                <w:w w:val="100"/>
                <w:position w:val="0"/>
              </w:rPr>
              <w:t>10</w:t>
            </w:r>
            <w:r>
              <w:rPr>
                <w:color w:val="000000"/>
                <w:spacing w:val="0"/>
                <w:w w:val="100"/>
                <w:position w:val="0"/>
              </w:rPr>
              <w:t>个交 易日高于最近一期经审计的 每股净资产，则控股股东可 不再继续实施增持计划。若 某一会计年度内公司股价多 次触发上述启动稳定股价措 施的条件的（不包括控股股 东实施稳定股价措施期间及 自实施完毕当次稳定股价措 施并由公司公告日后开始计 算的连续</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个交易日股票收 盘价仍低于上一个会计年度 经审计的每股净资产的情 形），控股股东将继续按照上 述稳定股价预案执行。单次 用于增持公司股份的资金不 少于其自上市后累计从公司 取得的税后现金分红总和的 </w:t>
            </w:r>
            <w:r>
              <w:rPr>
                <w:rFonts w:ascii="Times New Roman" w:eastAsia="Times New Roman" w:hAnsi="Times New Roman" w:cs="Times New Roman"/>
                <w:color w:val="000000"/>
                <w:spacing w:val="0"/>
                <w:w w:val="100"/>
                <w:position w:val="0"/>
              </w:rPr>
              <w:t>20%</w:t>
            </w:r>
            <w:r>
              <w:rPr>
                <w:color w:val="000000"/>
                <w:spacing w:val="0"/>
                <w:w w:val="100"/>
                <w:position w:val="0"/>
              </w:rPr>
              <w:t>，单一年度用以稳定股价 的增持资金不超过其自上市 后累计从公司取得的税后现 金分红总和的</w:t>
            </w:r>
            <w:r>
              <w:rPr>
                <w:rFonts w:ascii="Times New Roman" w:eastAsia="Times New Roman" w:hAnsi="Times New Roman" w:cs="Times New Roman"/>
                <w:color w:val="000000"/>
                <w:spacing w:val="0"/>
                <w:w w:val="100"/>
                <w:position w:val="0"/>
              </w:rPr>
              <w:t>50%</w:t>
            </w:r>
            <w:r>
              <w:rPr>
                <w:color w:val="000000"/>
                <w:spacing w:val="0"/>
                <w:w w:val="100"/>
                <w:position w:val="0"/>
              </w:rPr>
              <w:t>；超过上 述标准的，有关稳定股价措 施在当年度不再继续实施。 下一年度触发股价稳定措施 时，以前年度已经用于稳定 股价的增持资金额不再计入 累计现金分红金额。控股股 东履行完成前述增持义务 后，可自愿增持。</w:t>
            </w:r>
            <w:r>
              <w:rPr>
                <w:rFonts w:ascii="Times New Roman" w:eastAsia="Times New Roman" w:hAnsi="Times New Roman" w:cs="Times New Roman"/>
                <w:color w:val="000000"/>
                <w:spacing w:val="0"/>
                <w:w w:val="100"/>
                <w:position w:val="0"/>
              </w:rPr>
              <w:t>3</w:t>
            </w:r>
            <w:r>
              <w:rPr>
                <w:color w:val="000000"/>
                <w:spacing w:val="0"/>
                <w:w w:val="100"/>
                <w:position w:val="0"/>
              </w:rPr>
              <w:t>、公司董 事、高级管理人员增持公司 股票如各方最终确定以 公司董事、高级管理人员增 持公司股票作为稳定股价的 措施，则在公司领取薪酬的 董事（独立董事除外）、高级 管理人员将在符合相关法 律、法规的规定且不应导致 公司股权分布不符合上市条 件的前提下，依法对公司股 票进行增持，增持价格不高 于公司最近一期经审计的每 股净资产。有义务增持的董 事、高级管理人员应在启动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稳定股价预案的条件触发之 日起</w:t>
            </w:r>
            <w:r>
              <w:rPr>
                <w:rFonts w:ascii="Times New Roman" w:eastAsia="Times New Roman" w:hAnsi="Times New Roman" w:cs="Times New Roman"/>
                <w:color w:val="000000"/>
                <w:spacing w:val="0"/>
                <w:w w:val="100"/>
                <w:position w:val="0"/>
              </w:rPr>
              <w:t>10</w:t>
            </w:r>
            <w:r>
              <w:rPr>
                <w:color w:val="000000"/>
                <w:spacing w:val="0"/>
                <w:w w:val="100"/>
                <w:position w:val="0"/>
              </w:rPr>
              <w:t>个交易日内，就其 增持公司股票的具体计划书 面通知公司并由公司进行公 告，并应在履行完毕法律法 规规定的程序后</w:t>
            </w:r>
            <w:r>
              <w:rPr>
                <w:rFonts w:ascii="Times New Roman" w:eastAsia="Times New Roman" w:hAnsi="Times New Roman" w:cs="Times New Roman"/>
                <w:color w:val="000000"/>
                <w:spacing w:val="0"/>
                <w:w w:val="100"/>
                <w:position w:val="0"/>
              </w:rPr>
              <w:t>90</w:t>
            </w:r>
            <w:r>
              <w:rPr>
                <w:color w:val="000000"/>
                <w:spacing w:val="0"/>
                <w:w w:val="100"/>
                <w:position w:val="0"/>
              </w:rPr>
              <w:t>个交易日 内实施完毕。增持公告作出 之日后，公司股票收盘价连 续</w:t>
            </w:r>
            <w:r>
              <w:rPr>
                <w:rFonts w:ascii="Times New Roman" w:eastAsia="Times New Roman" w:hAnsi="Times New Roman" w:cs="Times New Roman"/>
                <w:color w:val="000000"/>
                <w:spacing w:val="0"/>
                <w:w w:val="100"/>
                <w:position w:val="0"/>
              </w:rPr>
              <w:t>10</w:t>
            </w:r>
            <w:r>
              <w:rPr>
                <w:color w:val="000000"/>
                <w:spacing w:val="0"/>
                <w:w w:val="100"/>
                <w:position w:val="0"/>
              </w:rPr>
              <w:t>个交易日高于最近一 期经审计的每股净资产，则 董事、高级管理人员可不再 继续实施增持计划。若某一 会计年度内公司股价多次触 发上述启动稳定股价措施的 条件的（不包括董事、高级 管理人员实施稳定股价措施 期间及自实施完毕当次稳定 股价措施并由公司公告日后 开始计算的连续</w:t>
            </w:r>
            <w:r>
              <w:rPr>
                <w:rFonts w:ascii="Times New Roman" w:eastAsia="Times New Roman" w:hAnsi="Times New Roman" w:cs="Times New Roman"/>
                <w:color w:val="000000"/>
                <w:spacing w:val="0"/>
                <w:w w:val="100"/>
                <w:position w:val="0"/>
              </w:rPr>
              <w:t>20</w:t>
            </w:r>
            <w:r>
              <w:rPr>
                <w:color w:val="000000"/>
                <w:spacing w:val="0"/>
                <w:w w:val="100"/>
                <w:position w:val="0"/>
              </w:rPr>
              <w:t>个交易日 股票收盘价仍低于上一个会 计年度经审计的每股净资产 的情形），董事、高级管理人 员将继续按照上述稳定股价 预案执行。有义务增持的公 司董事、高级管理人员应遵 循以下原则：单次用于增持 公司股份的资金不少于该等 董事、高级管理人员上年度 从公司取得的薪酬总和（税 后，下同）的</w:t>
            </w:r>
            <w:r>
              <w:rPr>
                <w:rFonts w:ascii="Times New Roman" w:eastAsia="Times New Roman" w:hAnsi="Times New Roman" w:cs="Times New Roman"/>
                <w:color w:val="000000"/>
                <w:spacing w:val="0"/>
                <w:w w:val="100"/>
                <w:position w:val="0"/>
              </w:rPr>
              <w:t>20%</w:t>
            </w:r>
            <w:r>
              <w:rPr>
                <w:color w:val="000000"/>
                <w:spacing w:val="0"/>
                <w:w w:val="100"/>
                <w:position w:val="0"/>
              </w:rPr>
              <w:t>,单一年 度内用于增持公司股份的资 金不超过该等董事、高级管 理人员上年度从公司取得的 薪酬总和的</w:t>
            </w:r>
            <w:r>
              <w:rPr>
                <w:rFonts w:ascii="Times New Roman" w:eastAsia="Times New Roman" w:hAnsi="Times New Roman" w:cs="Times New Roman"/>
                <w:color w:val="000000"/>
                <w:spacing w:val="0"/>
                <w:w w:val="100"/>
                <w:position w:val="0"/>
              </w:rPr>
              <w:t>50%</w:t>
            </w:r>
            <w:r>
              <w:rPr>
                <w:color w:val="000000"/>
                <w:spacing w:val="0"/>
                <w:w w:val="100"/>
                <w:position w:val="0"/>
              </w:rPr>
              <w:t>；超过上述 标准的，有关稳定股价措施 在当年度不再继续实施。公 司在首次公开发行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 票上市后三年内新聘任的在 公司领取薪酬的董事和高级 管理人员应当遵守本预案关 于公司董事、高级管理人员 的义务及责任的规定，公司 及公司控股股东、现有董事、 高级管理人员应当促成公司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新聘任的该等董事、高级管 理人员遵守本预案并签署相 关承诺。三、约束措施 若 公司董事会制订的稳定公司 股价措施涉及公司控股股东 增持公司股票的，如果控股 股东未能履行其增持义务， 则公司有权将用于实施增持 股票计划相等金额的应付控 股股东现金分红予以扣留或 扣减。若公司董事会制订的 稳定公司股价措施涉及公司 董事、高级管理人员增持公 司股票的，如果公司董事、 高级管理人员未能履行其增 持义务，则公司有权将应付 董事、高级管理人员的薪酬 及现金分红予以扣留或扣 减。四、本预案的法律程序 本预案经公司股东大会审议 通过后，自公司完成首次公 开发行股票并在创业板上市 之日起生效。如因法律法规 修订或政策变动等情形导致 本预案与相关规定不符，公 司董事会应对本预案进行调 整的，需经出席股东大会的 股东所持有表决权股份总数 的二分之一以上同意通过。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创业软件 股份有限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关于首次公开发行股票填补 被摊薄即期回报的措施及承 诺：</w:t>
            </w:r>
            <w:r>
              <w:rPr>
                <w:rFonts w:ascii="Times New Roman" w:eastAsia="Times New Roman" w:hAnsi="Times New Roman" w:cs="Times New Roman"/>
                <w:color w:val="000000"/>
                <w:spacing w:val="0"/>
                <w:w w:val="100"/>
                <w:position w:val="0"/>
              </w:rPr>
              <w:t>1</w:t>
            </w:r>
            <w:r>
              <w:rPr>
                <w:color w:val="000000"/>
                <w:spacing w:val="0"/>
                <w:w w:val="100"/>
                <w:position w:val="0"/>
              </w:rPr>
              <w:t>、提高募集资金使用效 率，加强募集资金管理本次 募集资金到位，有助于进一 步增强公司的资本实力，满 足公司经营的资金需求，优 化公司财务结构，综合提升 公司的盈利能力。同时，公 司将根据相关法规和公司</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《募集资金使用管理办法》 的要求，严格管理募集资金 使用，保证募集资金按照原 定用途得到充分有效利用。 </w:t>
            </w:r>
            <w:r>
              <w:rPr>
                <w:rFonts w:ascii="Times New Roman" w:eastAsia="Times New Roman" w:hAnsi="Times New Roman" w:cs="Times New Roman"/>
                <w:color w:val="000000"/>
                <w:spacing w:val="0"/>
                <w:w w:val="100"/>
                <w:position w:val="0"/>
              </w:rPr>
              <w:t>2</w:t>
            </w:r>
            <w:r>
              <w:rPr>
                <w:color w:val="000000"/>
                <w:spacing w:val="0"/>
                <w:w w:val="100"/>
                <w:position w:val="0"/>
              </w:rPr>
              <w:t>、推动主营业务的优化升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837"/>
        <w:gridCol w:w="1018"/>
        <w:gridCol w:w="898"/>
        <w:gridCol w:w="2448"/>
        <w:gridCol w:w="854"/>
        <w:gridCol w:w="840"/>
        <w:gridCol w:w="682"/>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级，提高公司市场竞争力和 持续盈利能力公司主营业务 为面向医疗卫生行业提供医 疗卫生信息化应用软件和基 于信息技术的系统集成服 务。目前，公司在医疗卫生 信息化建设领域已形成较强 的竞争力，依托业已形成的 综合优势，通过技术改造实 现核心产品的升级换代和研 发、服务体系的优化升级， 从而提升公司的技术开发能 力、客户服务能力，提高核 心产品的市场竞争能力和持 续盈利能力。</w:t>
            </w:r>
            <w:r>
              <w:rPr>
                <w:rFonts w:ascii="Times New Roman" w:eastAsia="Times New Roman" w:hAnsi="Times New Roman" w:cs="Times New Roman"/>
                <w:color w:val="000000"/>
                <w:spacing w:val="0"/>
                <w:w w:val="100"/>
                <w:position w:val="0"/>
              </w:rPr>
              <w:t>3</w:t>
            </w:r>
            <w:r>
              <w:rPr>
                <w:color w:val="000000"/>
                <w:spacing w:val="0"/>
                <w:w w:val="100"/>
                <w:position w:val="0"/>
              </w:rPr>
              <w:t>、严格执行公 司既定的分红政策，保证公 司股东的利益回报公司上市 后适用的《公司章程（草案）》 明确了利润分配尤其是现金 分红的具体条件、比例、分 配形式等，完善了公司利润 分配的决策程序和机制以及 利润分配政策的调整原则， 加强了对中小投资者的利益 保护，公司本次发行完成并 上市后将严格执行相关利润 分配政策。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5"/>
        <w:keepNext/>
        <w:keepLines/>
        <w:widowControl w:val="0"/>
        <w:shd w:val="clear" w:color="auto" w:fill="auto"/>
        <w:bidi w:val="0"/>
        <w:spacing w:before="0" w:after="360" w:line="317"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三</w:t>
      </w:r>
      <w:bookmarkEnd w:id="294"/>
      <w:r>
        <w:rPr>
          <w:color w:val="000000"/>
          <w:spacing w:val="0"/>
          <w:w w:val="100"/>
          <w:position w:val="0"/>
          <w:sz w:val="24"/>
          <w:szCs w:val="24"/>
        </w:rPr>
        <w:t>、控股股东及其关联方对上市公司的非经营性占用资金情况</w:t>
      </w:r>
      <w:bookmarkEnd w:id="292"/>
      <w:bookmarkEnd w:id="293"/>
      <w:bookmarkEnd w:id="2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498"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四</w:t>
      </w:r>
      <w:bookmarkEnd w:id="29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6"/>
      <w:bookmarkEnd w:id="297"/>
      <w:bookmarkEnd w:id="299"/>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五</w:t>
      </w:r>
      <w:bookmarkEnd w:id="30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0"/>
      <w:bookmarkEnd w:id="301"/>
      <w:bookmarkEnd w:id="303"/>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六</w:t>
      </w:r>
      <w:bookmarkEnd w:id="306"/>
      <w:r>
        <w:rPr>
          <w:color w:val="000000"/>
          <w:spacing w:val="0"/>
          <w:w w:val="100"/>
          <w:position w:val="0"/>
          <w:sz w:val="24"/>
          <w:szCs w:val="24"/>
        </w:rPr>
        <w:t>、</w:t>
        <w:tab/>
        <w:t>董事会关于报告期会计政策、会计估计变更或重大会计差错更正的说明</w:t>
      </w:r>
      <w:bookmarkEnd w:id="304"/>
      <w:bookmarkEnd w:id="305"/>
      <w:bookmarkEnd w:id="307"/>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七</w:t>
      </w:r>
      <w:bookmarkEnd w:id="310"/>
      <w:r>
        <w:rPr>
          <w:color w:val="000000"/>
          <w:spacing w:val="0"/>
          <w:w w:val="100"/>
          <w:position w:val="0"/>
          <w:sz w:val="24"/>
          <w:szCs w:val="24"/>
        </w:rPr>
        <w:t>、</w:t>
        <w:tab/>
        <w:t>与上年度财务报告相比，合并报表范围发生变化的情况说明</w:t>
      </w:r>
      <w:bookmarkEnd w:id="308"/>
      <w:bookmarkEnd w:id="309"/>
      <w:bookmarkEnd w:id="311"/>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年公司新设立全资子公司中山市杭创科技有限公司和宁海杭创网络科技有限公司；收购杭州惟勤科技有限公司、中山市 蓝天电脑有限公司、广东中拓信息技术有限公司及浙江创源环境科技股份有限公司，并于本报告期纳入合并报表范围。</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w:t>
        <w:tab/>
        <w:t>聘任、解聘会计师事务所情况</w:t>
      </w:r>
      <w:bookmarkEnd w:id="312"/>
      <w:bookmarkEnd w:id="313"/>
      <w:bookmarkEnd w:id="31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王强、张晓平</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九</w:t>
      </w:r>
      <w:bookmarkEnd w:id="318"/>
      <w:r>
        <w:rPr>
          <w:color w:val="000000"/>
          <w:spacing w:val="0"/>
          <w:w w:val="100"/>
          <w:position w:val="0"/>
          <w:sz w:val="24"/>
          <w:szCs w:val="24"/>
        </w:rPr>
        <w:t>、年度报告披露后面临暂停上市和终止上市情况</w:t>
      </w:r>
      <w:bookmarkEnd w:id="316"/>
      <w:bookmarkEnd w:id="317"/>
      <w:bookmarkEnd w:id="31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十、破产重整相关事项</w:t>
      </w:r>
      <w:bookmarkEnd w:id="320"/>
      <w:bookmarkEnd w:id="321"/>
      <w:bookmarkEnd w:id="322"/>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both"/>
      </w:pPr>
      <w:bookmarkStart w:id="323" w:name="bookmark323"/>
      <w:bookmarkStart w:id="324" w:name="bookmark324"/>
      <w:bookmarkStart w:id="325" w:name="bookmark325"/>
      <w:r>
        <w:rPr>
          <w:color w:val="000000"/>
          <w:spacing w:val="0"/>
          <w:w w:val="100"/>
          <w:position w:val="0"/>
          <w:sz w:val="24"/>
          <w:szCs w:val="24"/>
        </w:rPr>
        <w:t>十一、重大诉讼、仲裁事项</w:t>
      </w:r>
      <w:bookmarkEnd w:id="323"/>
      <w:bookmarkEnd w:id="324"/>
      <w:bookmarkEnd w:id="325"/>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十二、处罚及整改情况</w:t>
      </w:r>
      <w:bookmarkEnd w:id="326"/>
      <w:bookmarkEnd w:id="327"/>
      <w:bookmarkEnd w:id="328"/>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十三、公司及其控股股东、实际控制人的诚信状况</w:t>
      </w:r>
      <w:bookmarkEnd w:id="329"/>
      <w:bookmarkEnd w:id="330"/>
      <w:bookmarkEnd w:id="331"/>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报告期内，公司及控股股东、实际控制人无诚信问题</w:t>
      </w:r>
    </w:p>
    <w:p>
      <w:pPr>
        <w:pStyle w:val="Style27"/>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十四、公司股权激励计划、员工持股计划或其他员工激励措施的实施情况</w:t>
      </w:r>
      <w:bookmarkEnd w:id="332"/>
      <w:bookmarkEnd w:id="333"/>
      <w:bookmarkEnd w:id="334"/>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480"/>
        <w:jc w:val="both"/>
      </w:pPr>
      <w:bookmarkStart w:id="335" w:name="bookmark335"/>
      <w:r>
        <w:rPr>
          <w:color w:val="000000"/>
          <w:spacing w:val="0"/>
          <w:w w:val="100"/>
          <w:position w:val="0"/>
        </w:rPr>
        <w:t>一</w:t>
      </w:r>
      <w:bookmarkEnd w:id="335"/>
      <w:r>
        <w:rPr>
          <w:color w:val="000000"/>
          <w:spacing w:val="0"/>
          <w:w w:val="100"/>
          <w:position w:val="0"/>
        </w:rPr>
        <w:t>、报告期内，公司尚在执行的股权激励计划</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年第三次临时股东大会审议通过的《关于创业股份有限公司</w:t>
      </w:r>
      <w:r>
        <w:rPr>
          <w:color w:val="000000"/>
          <w:spacing w:val="0"/>
          <w:w w:val="100"/>
          <w:position w:val="0"/>
        </w:rPr>
        <w:t>〈</w:t>
      </w:r>
      <w:r>
        <w:rPr>
          <w:color w:val="000000"/>
          <w:spacing w:val="0"/>
          <w:w w:val="100"/>
          <w:position w:val="0"/>
        </w:rPr>
        <w:t>股票期权与限制性股票激励计划（草案修订 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及其摘要的议案》和第五届董事会第十一次会议审议通过的《关于调整股票期权与限制性股票激励计划相关事项的议 案》等议案。公司向包括公司董事、高级管理人员、中层管理人员、核心技术（业务）人员授予限制性股票和股票期权，其 中：向</w:t>
      </w:r>
      <w:r>
        <w:rPr>
          <w:rFonts w:ascii="Times New Roman" w:eastAsia="Times New Roman" w:hAnsi="Times New Roman" w:cs="Times New Roman"/>
          <w:color w:val="000000"/>
          <w:spacing w:val="0"/>
          <w:w w:val="100"/>
          <w:position w:val="0"/>
        </w:rPr>
        <w:t>214</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55.20</w:t>
      </w:r>
      <w:r>
        <w:rPr>
          <w:color w:val="000000"/>
          <w:spacing w:val="0"/>
          <w:w w:val="100"/>
          <w:position w:val="0"/>
        </w:rPr>
        <w:t>万份股票期权；向</w:t>
      </w:r>
      <w:r>
        <w:rPr>
          <w:rFonts w:ascii="Times New Roman" w:eastAsia="Times New Roman" w:hAnsi="Times New Roman" w:cs="Times New Roman"/>
          <w:color w:val="000000"/>
          <w:spacing w:val="0"/>
          <w:w w:val="100"/>
          <w:position w:val="0"/>
        </w:rPr>
        <w:t>341</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206.75</w:t>
      </w:r>
      <w:r>
        <w:rPr>
          <w:color w:val="000000"/>
          <w:spacing w:val="0"/>
          <w:w w:val="100"/>
          <w:position w:val="0"/>
        </w:rPr>
        <w:t xml:space="preserve">万股限制性股票，限制性股票授予日为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日。限制性股票已于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日授予登记完成，报告期内首次授予部分限制性股票第一期的解除限售手续 已办理完毕，于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日上市流通。</w:t>
      </w:r>
    </w:p>
    <w:p>
      <w:pPr>
        <w:pStyle w:val="Style29"/>
        <w:keepNext w:val="0"/>
        <w:keepLines w:val="0"/>
        <w:widowControl w:val="0"/>
        <w:shd w:val="clear" w:color="auto" w:fill="auto"/>
        <w:tabs>
          <w:tab w:pos="694" w:val="left"/>
        </w:tabs>
        <w:bidi w:val="0"/>
        <w:spacing w:before="0" w:after="0" w:line="313" w:lineRule="exact"/>
        <w:ind w:left="0" w:right="0"/>
        <w:jc w:val="both"/>
      </w:pPr>
      <w:bookmarkStart w:id="336" w:name="bookmark336"/>
      <w:r>
        <w:rPr>
          <w:rFonts w:ascii="Times New Roman" w:eastAsia="Times New Roman" w:hAnsi="Times New Roman" w:cs="Times New Roman"/>
          <w:color w:val="000000"/>
          <w:spacing w:val="0"/>
          <w:w w:val="100"/>
          <w:position w:val="0"/>
        </w:rPr>
        <w:t>1</w:t>
      </w:r>
      <w:bookmarkEnd w:id="336"/>
      <w:r>
        <w:rPr>
          <w:color w:val="000000"/>
          <w:spacing w:val="0"/>
          <w:w w:val="100"/>
          <w:position w:val="0"/>
        </w:rPr>
        <w:t>、</w:t>
        <w:tab/>
        <w:t>标的种类：本激励计划授予激励对象的标的股票为公司普通股</w:t>
      </w:r>
      <w:r>
        <w:rPr>
          <w:rFonts w:ascii="Times New Roman" w:eastAsia="Times New Roman" w:hAnsi="Times New Roman" w:cs="Times New Roman"/>
          <w:color w:val="000000"/>
          <w:spacing w:val="0"/>
          <w:w w:val="100"/>
          <w:position w:val="0"/>
        </w:rPr>
        <w:t>A</w:t>
      </w:r>
      <w:r>
        <w:rPr>
          <w:color w:val="000000"/>
          <w:spacing w:val="0"/>
          <w:w w:val="100"/>
          <w:position w:val="0"/>
        </w:rPr>
        <w:t>股股票。</w:t>
      </w:r>
    </w:p>
    <w:p>
      <w:pPr>
        <w:pStyle w:val="Style29"/>
        <w:keepNext w:val="0"/>
        <w:keepLines w:val="0"/>
        <w:widowControl w:val="0"/>
        <w:shd w:val="clear" w:color="auto" w:fill="auto"/>
        <w:tabs>
          <w:tab w:pos="713" w:val="left"/>
        </w:tabs>
        <w:bidi w:val="0"/>
        <w:spacing w:before="0" w:after="0" w:line="313" w:lineRule="exact"/>
        <w:ind w:left="0" w:right="0"/>
        <w:jc w:val="both"/>
      </w:pPr>
      <w:bookmarkStart w:id="337" w:name="bookmark337"/>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标的股票来源：股票期权与限制性股票激励计划的股票来源为公司向激励对象定向发行的公司普通股</w:t>
      </w:r>
      <w:r>
        <w:rPr>
          <w:rFonts w:ascii="Times New Roman" w:eastAsia="Times New Roman" w:hAnsi="Times New Roman" w:cs="Times New Roman"/>
          <w:color w:val="000000"/>
          <w:spacing w:val="0"/>
          <w:w w:val="100"/>
          <w:position w:val="0"/>
        </w:rPr>
        <w:t>A</w:t>
      </w:r>
      <w:r>
        <w:rPr>
          <w:color w:val="000000"/>
          <w:spacing w:val="0"/>
          <w:w w:val="100"/>
          <w:position w:val="0"/>
        </w:rPr>
        <w:t>股股票。</w:t>
      </w:r>
    </w:p>
    <w:p>
      <w:pPr>
        <w:pStyle w:val="Style29"/>
        <w:keepNext w:val="0"/>
        <w:keepLines w:val="0"/>
        <w:widowControl w:val="0"/>
        <w:shd w:val="clear" w:color="auto" w:fill="auto"/>
        <w:bidi w:val="0"/>
        <w:spacing w:before="0" w:after="0" w:line="313" w:lineRule="exact"/>
        <w:ind w:left="0" w:right="0"/>
        <w:jc w:val="both"/>
      </w:pPr>
      <w:bookmarkStart w:id="338" w:name="bookmark338"/>
      <w:r>
        <w:rPr>
          <w:color w:val="000000"/>
          <w:spacing w:val="0"/>
          <w:w w:val="100"/>
          <w:position w:val="0"/>
        </w:rPr>
        <w:t>二</w:t>
      </w:r>
      <w:bookmarkEnd w:id="338"/>
      <w:r>
        <w:rPr>
          <w:color w:val="000000"/>
          <w:spacing w:val="0"/>
          <w:w w:val="100"/>
          <w:position w:val="0"/>
        </w:rPr>
        <w:t>、报告期内公司股权激励方案调整情况</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日，公司召开第五届董事会第十八次会议，审议通过了《关于向激励对象授予预留限制性股票的议案》；同 日，公司召开第五届监事会第十六次会议，审议通过了《关于核实</w:t>
      </w:r>
      <w:r>
        <w:rPr>
          <w:color w:val="000000"/>
          <w:spacing w:val="0"/>
          <w:w w:val="100"/>
          <w:position w:val="0"/>
        </w:rPr>
        <w:t>〈</w:t>
      </w:r>
      <w:r>
        <w:rPr>
          <w:color w:val="000000"/>
          <w:spacing w:val="0"/>
          <w:w w:val="100"/>
          <w:position w:val="0"/>
        </w:rPr>
        <w:t>创业软件股份有限公司股权激励计划预留限制性股票激 励对象名单</w:t>
      </w:r>
      <w:r>
        <w:rPr>
          <w:color w:val="000000"/>
          <w:spacing w:val="0"/>
          <w:w w:val="100"/>
          <w:position w:val="0"/>
        </w:rPr>
        <w:t>〉</w:t>
      </w:r>
      <w:r>
        <w:rPr>
          <w:color w:val="000000"/>
          <w:spacing w:val="0"/>
          <w:w w:val="100"/>
          <w:position w:val="0"/>
        </w:rPr>
        <w:t>的议案》和《关于向激励对象授予预留限制性股票的议案》。确定以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日作为预留限制性股票的授予 日，向符合条件的</w:t>
      </w:r>
      <w:r>
        <w:rPr>
          <w:rFonts w:ascii="Times New Roman" w:eastAsia="Times New Roman" w:hAnsi="Times New Roman" w:cs="Times New Roman"/>
          <w:color w:val="000000"/>
          <w:spacing w:val="0"/>
          <w:w w:val="100"/>
          <w:position w:val="0"/>
        </w:rPr>
        <w:t>35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29.10</w:t>
      </w:r>
      <w:r>
        <w:rPr>
          <w:color w:val="000000"/>
          <w:spacing w:val="0"/>
          <w:w w:val="100"/>
          <w:position w:val="0"/>
        </w:rPr>
        <w:t>万股预留限制性股票。</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日，公司召开第五届董事会第十九次会议，根据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年第三次临时股东大会的授权，审议通过了《关于调 整股票期权与限制性股票激励计划相关事项的议案》、《关于回购注销离职股权激励对象所持已获授但尚未解锁的限制性股票 的议案》，同意在发生</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年年度权益分派和原激励对象离职等情况后，对股票期权和限制性股票激励计划的相应参数和预 留限制性股票授予的数量和名单进行调整，同时，回购注销离职股权激励对象所持已获授但尚未解锁的限制性股票。</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日，公司召开第五届董事会第二十七次会议，审议通过了《关于股票期权与限制性股票激励计划首次授予 部分涉及的权益数量进行调整的议案》、《关于股票期权与限制性股票激励计划首次授予部分第一次行权</w:t>
      </w:r>
      <w:r>
        <w:rPr>
          <w:rFonts w:ascii="Times New Roman" w:eastAsia="Times New Roman" w:hAnsi="Times New Roman" w:cs="Times New Roman"/>
          <w:color w:val="000000"/>
          <w:spacing w:val="0"/>
          <w:w w:val="100"/>
          <w:position w:val="0"/>
        </w:rPr>
        <w:t>/</w:t>
      </w:r>
      <w:r>
        <w:rPr>
          <w:color w:val="000000"/>
          <w:spacing w:val="0"/>
          <w:w w:val="100"/>
          <w:position w:val="0"/>
        </w:rPr>
        <w:t>解锁期行权</w:t>
      </w:r>
      <w:r>
        <w:rPr>
          <w:rFonts w:ascii="Times New Roman" w:eastAsia="Times New Roman" w:hAnsi="Times New Roman" w:cs="Times New Roman"/>
          <w:color w:val="000000"/>
          <w:spacing w:val="0"/>
          <w:w w:val="100"/>
          <w:position w:val="0"/>
        </w:rPr>
        <w:t>/</w:t>
      </w:r>
      <w:r>
        <w:rPr>
          <w:color w:val="000000"/>
          <w:spacing w:val="0"/>
          <w:w w:val="100"/>
          <w:position w:val="0"/>
        </w:rPr>
        <w:t>解锁条 件成就的议案》、《关于对股票期权与限制性股票激励计划部分激励股份回购注销的议案》。同日，公司召开监事会第二十一 次会议，审议通过了上述议案。</w:t>
      </w:r>
    </w:p>
    <w:p>
      <w:pPr>
        <w:pStyle w:val="Style29"/>
        <w:keepNext w:val="0"/>
        <w:keepLines w:val="0"/>
        <w:widowControl w:val="0"/>
        <w:shd w:val="clear" w:color="auto" w:fill="auto"/>
        <w:bidi w:val="0"/>
        <w:spacing w:before="0" w:after="0" w:line="313" w:lineRule="exact"/>
        <w:ind w:left="0" w:right="0" w:firstLine="300"/>
        <w:jc w:val="both"/>
      </w:pPr>
      <w:bookmarkStart w:id="339" w:name="bookmark339"/>
      <w:r>
        <w:rPr>
          <w:color w:val="000000"/>
          <w:spacing w:val="0"/>
          <w:w w:val="100"/>
          <w:position w:val="0"/>
        </w:rPr>
        <w:t>（</w:t>
      </w:r>
      <w:bookmarkEnd w:id="339"/>
      <w:r>
        <w:rPr>
          <w:color w:val="000000"/>
          <w:spacing w:val="0"/>
          <w:w w:val="100"/>
          <w:position w:val="0"/>
        </w:rPr>
        <w:t>一）调整原因</w:t>
      </w:r>
    </w:p>
    <w:p>
      <w:pPr>
        <w:pStyle w:val="Style29"/>
        <w:keepNext w:val="0"/>
        <w:keepLines w:val="0"/>
        <w:widowControl w:val="0"/>
        <w:shd w:val="clear" w:color="auto" w:fill="auto"/>
        <w:tabs>
          <w:tab w:pos="683" w:val="left"/>
        </w:tabs>
        <w:bidi w:val="0"/>
        <w:spacing w:before="0" w:after="0" w:line="313" w:lineRule="exact"/>
        <w:ind w:left="0" w:right="0"/>
        <w:jc w:val="both"/>
      </w:pPr>
      <w:bookmarkStart w:id="340" w:name="bookmark340"/>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年年度利润分配方案》，公司将以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 本</w:t>
      </w:r>
      <w:r>
        <w:rPr>
          <w:rFonts w:ascii="Times New Roman" w:eastAsia="Times New Roman" w:hAnsi="Times New Roman" w:cs="Times New Roman"/>
          <w:color w:val="000000"/>
          <w:spacing w:val="0"/>
          <w:w w:val="100"/>
          <w:position w:val="0"/>
        </w:rPr>
        <w:t>70,067,500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1.5</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 合计转增</w:t>
      </w:r>
      <w:r>
        <w:rPr>
          <w:rFonts w:ascii="Times New Roman" w:eastAsia="Times New Roman" w:hAnsi="Times New Roman" w:cs="Times New Roman"/>
          <w:color w:val="000000"/>
          <w:spacing w:val="0"/>
          <w:w w:val="100"/>
          <w:position w:val="0"/>
        </w:rPr>
        <w:t>140,135,000</w:t>
      </w:r>
      <w:r>
        <w:rPr>
          <w:color w:val="000000"/>
          <w:spacing w:val="0"/>
          <w:w w:val="100"/>
          <w:position w:val="0"/>
        </w:rPr>
        <w:t>股。上述利润分配方案已于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日实施完毕。故股票期权和限制性股票激励计划参数需要做相 应调整。</w:t>
      </w:r>
    </w:p>
    <w:p>
      <w:pPr>
        <w:pStyle w:val="Style29"/>
        <w:keepNext w:val="0"/>
        <w:keepLines w:val="0"/>
        <w:widowControl w:val="0"/>
        <w:shd w:val="clear" w:color="auto" w:fill="auto"/>
        <w:tabs>
          <w:tab w:pos="688" w:val="left"/>
        </w:tabs>
        <w:bidi w:val="0"/>
        <w:spacing w:before="0" w:after="0" w:line="313" w:lineRule="exact"/>
        <w:ind w:left="0" w:right="0"/>
        <w:jc w:val="both"/>
      </w:pPr>
      <w:bookmarkStart w:id="341" w:name="bookmark341"/>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根据《股票期权与限制性股票激励计划（草案修订稿）》规定及公司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年第三次临时股东大会的授权，第五届董事 会第十八次会议决定将</w:t>
      </w:r>
      <w:r>
        <w:rPr>
          <w:rFonts w:ascii="Times New Roman" w:eastAsia="Times New Roman" w:hAnsi="Times New Roman" w:cs="Times New Roman"/>
          <w:color w:val="000000"/>
          <w:spacing w:val="0"/>
          <w:w w:val="100"/>
          <w:position w:val="0"/>
        </w:rPr>
        <w:t>2015</w:t>
      </w:r>
      <w:r>
        <w:rPr>
          <w:color w:val="000000"/>
          <w:spacing w:val="0"/>
          <w:w w:val="100"/>
          <w:position w:val="0"/>
        </w:rPr>
        <w:t>年《股票期权与限制性股票激励计划（草案修订稿）》预留的</w:t>
      </w:r>
      <w:r>
        <w:rPr>
          <w:rFonts w:ascii="Times New Roman" w:eastAsia="Times New Roman" w:hAnsi="Times New Roman" w:cs="Times New Roman"/>
          <w:color w:val="000000"/>
          <w:spacing w:val="0"/>
          <w:w w:val="100"/>
          <w:position w:val="0"/>
        </w:rPr>
        <w:t>29.10</w:t>
      </w:r>
      <w:r>
        <w:rPr>
          <w:color w:val="000000"/>
          <w:spacing w:val="0"/>
          <w:w w:val="100"/>
          <w:position w:val="0"/>
        </w:rPr>
        <w:t>万股限制性股票授予</w:t>
      </w:r>
      <w:r>
        <w:rPr>
          <w:rFonts w:ascii="Times New Roman" w:eastAsia="Times New Roman" w:hAnsi="Times New Roman" w:cs="Times New Roman"/>
          <w:color w:val="000000"/>
          <w:spacing w:val="0"/>
          <w:w w:val="100"/>
          <w:position w:val="0"/>
        </w:rPr>
        <w:t>35</w:t>
      </w:r>
      <w:r>
        <w:rPr>
          <w:color w:val="000000"/>
          <w:spacing w:val="0"/>
          <w:w w:val="100"/>
          <w:position w:val="0"/>
        </w:rPr>
        <w:t>名激励 对象，授予日为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日。现截至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日，由于原激励对象中</w:t>
      </w:r>
      <w:r>
        <w:rPr>
          <w:rFonts w:ascii="Times New Roman" w:eastAsia="Times New Roman" w:hAnsi="Times New Roman" w:cs="Times New Roman"/>
          <w:color w:val="000000"/>
          <w:spacing w:val="0"/>
          <w:w w:val="100"/>
          <w:position w:val="0"/>
        </w:rPr>
        <w:t>7</w:t>
      </w:r>
      <w:r>
        <w:rPr>
          <w:color w:val="000000"/>
          <w:spacing w:val="0"/>
          <w:w w:val="100"/>
          <w:position w:val="0"/>
        </w:rPr>
        <w:t>人因离职等个人原因主动放弃拟向其授予的预 留部分限制性股票共计</w:t>
      </w:r>
      <w:r>
        <w:rPr>
          <w:rFonts w:ascii="Times New Roman" w:eastAsia="Times New Roman" w:hAnsi="Times New Roman" w:cs="Times New Roman"/>
          <w:color w:val="000000"/>
          <w:spacing w:val="0"/>
          <w:w w:val="100"/>
          <w:position w:val="0"/>
        </w:rPr>
        <w:t>24,000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年年度权益分派后数量调整为</w:t>
      </w:r>
      <w:r>
        <w:rPr>
          <w:rFonts w:ascii="Times New Roman" w:eastAsia="Times New Roman" w:hAnsi="Times New Roman" w:cs="Times New Roman"/>
          <w:color w:val="000000"/>
          <w:spacing w:val="0"/>
          <w:w w:val="100"/>
          <w:position w:val="0"/>
        </w:rPr>
        <w:t>72,000</w:t>
      </w:r>
      <w:r>
        <w:rPr>
          <w:color w:val="000000"/>
          <w:spacing w:val="0"/>
          <w:w w:val="100"/>
          <w:position w:val="0"/>
        </w:rPr>
        <w:t>股）</w:t>
      </w:r>
      <w:r>
        <w:rPr>
          <w:color w:val="000000"/>
          <w:spacing w:val="0"/>
          <w:w w:val="100"/>
          <w:position w:val="0"/>
        </w:rPr>
        <w:t>，</w:t>
      </w:r>
      <w:r>
        <w:rPr>
          <w:color w:val="000000"/>
          <w:spacing w:val="0"/>
          <w:w w:val="100"/>
          <w:position w:val="0"/>
        </w:rPr>
        <w:t xml:space="preserve">故依据公司激励计划，公司对激励对象名单 </w:t>
      </w:r>
      <w:r>
        <w:rPr>
          <w:color w:val="000000"/>
          <w:spacing w:val="0"/>
          <w:w w:val="100"/>
          <w:position w:val="0"/>
        </w:rPr>
        <w:t>和授予数量进行调整。</w:t>
      </w:r>
    </w:p>
    <w:p>
      <w:pPr>
        <w:pStyle w:val="Style29"/>
        <w:keepNext w:val="0"/>
        <w:keepLines w:val="0"/>
        <w:widowControl w:val="0"/>
        <w:shd w:val="clear" w:color="auto" w:fill="auto"/>
        <w:bidi w:val="0"/>
        <w:spacing w:before="0" w:after="0" w:line="312" w:lineRule="exact"/>
        <w:ind w:left="0" w:right="0"/>
        <w:jc w:val="both"/>
      </w:pPr>
      <w:bookmarkStart w:id="342" w:name="bookmark342"/>
      <w:r>
        <w:rPr>
          <w:rFonts w:ascii="Times New Roman" w:eastAsia="Times New Roman" w:hAnsi="Times New Roman" w:cs="Times New Roman"/>
          <w:color w:val="000000"/>
          <w:spacing w:val="0"/>
          <w:w w:val="100"/>
          <w:position w:val="0"/>
        </w:rPr>
        <w:t>3</w:t>
      </w:r>
      <w:bookmarkEnd w:id="342"/>
      <w:r>
        <w:rPr>
          <w:color w:val="000000"/>
          <w:spacing w:val="0"/>
          <w:w w:val="100"/>
          <w:position w:val="0"/>
        </w:rPr>
        <w:t>、根据公司第五届董事会第十九次会议决议及</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年第三次临时股东大会的授权，需回购注销离职股权激励对象赵峰、 郜冬冬</w:t>
      </w:r>
      <w:r>
        <w:rPr>
          <w:rFonts w:ascii="Times New Roman" w:eastAsia="Times New Roman" w:hAnsi="Times New Roman" w:cs="Times New Roman"/>
          <w:color w:val="000000"/>
          <w:spacing w:val="0"/>
          <w:w w:val="100"/>
          <w:position w:val="0"/>
        </w:rPr>
        <w:t>2</w:t>
      </w:r>
      <w:r>
        <w:rPr>
          <w:color w:val="000000"/>
          <w:spacing w:val="0"/>
          <w:w w:val="100"/>
          <w:position w:val="0"/>
        </w:rPr>
        <w:t>人所持已获授但尚未解锁的限制性股票。</w:t>
      </w:r>
    </w:p>
    <w:p>
      <w:pPr>
        <w:pStyle w:val="Style29"/>
        <w:keepNext w:val="0"/>
        <w:keepLines w:val="0"/>
        <w:widowControl w:val="0"/>
        <w:shd w:val="clear" w:color="auto" w:fill="auto"/>
        <w:bidi w:val="0"/>
        <w:spacing w:before="0" w:after="80" w:line="312" w:lineRule="exact"/>
        <w:ind w:left="0" w:right="0"/>
        <w:jc w:val="both"/>
      </w:pPr>
      <w:bookmarkStart w:id="343" w:name="bookmark343"/>
      <w:r>
        <w:rPr>
          <w:rFonts w:ascii="Times New Roman" w:eastAsia="Times New Roman" w:hAnsi="Times New Roman" w:cs="Times New Roman"/>
          <w:color w:val="000000"/>
          <w:spacing w:val="0"/>
          <w:w w:val="100"/>
          <w:position w:val="0"/>
        </w:rPr>
        <w:t>3</w:t>
      </w:r>
      <w:bookmarkEnd w:id="343"/>
      <w:r>
        <w:rPr>
          <w:color w:val="000000"/>
          <w:spacing w:val="0"/>
          <w:w w:val="100"/>
          <w:position w:val="0"/>
        </w:rPr>
        <w:t>、依据公司第五届董事会第二十七次会议和监事会第二十一次会议的决议及公司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 公司原激励对象蒋金辉等</w:t>
      </w:r>
      <w:r>
        <w:rPr>
          <w:rFonts w:ascii="Times New Roman" w:eastAsia="Times New Roman" w:hAnsi="Times New Roman" w:cs="Times New Roman"/>
          <w:color w:val="000000"/>
          <w:spacing w:val="0"/>
          <w:w w:val="100"/>
          <w:position w:val="0"/>
        </w:rPr>
        <w:t>23</w:t>
      </w:r>
      <w:r>
        <w:rPr>
          <w:color w:val="000000"/>
          <w:spacing w:val="0"/>
          <w:w w:val="100"/>
          <w:position w:val="0"/>
        </w:rPr>
        <w:t>人因已离职不符合激励条件，根据《股票期权与限制性股票激励计划（草案修订稿）》公司将对 其已获授但尚未行权的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w:t>
      </w:r>
      <w:r>
        <w:rPr>
          <w:color w:val="000000"/>
          <w:spacing w:val="0"/>
          <w:w w:val="100"/>
          <w:position w:val="0"/>
        </w:rPr>
        <w:t>万股份股票期权和已获授但尚未解锁的</w:t>
      </w:r>
      <w:r>
        <w:rPr>
          <w:rFonts w:ascii="Times New Roman" w:eastAsia="Times New Roman" w:hAnsi="Times New Roman" w:cs="Times New Roman"/>
          <w:color w:val="000000"/>
          <w:spacing w:val="0"/>
          <w:w w:val="100"/>
          <w:position w:val="0"/>
        </w:rPr>
        <w:t>2.25</w:t>
      </w:r>
      <w:r>
        <w:rPr>
          <w:color w:val="000000"/>
          <w:spacing w:val="0"/>
          <w:w w:val="100"/>
          <w:position w:val="0"/>
        </w:rPr>
        <w:t>万股限制性股票回购注销，并对首次授予部分涉及的 权益数量进行调整。同时，股票期权与限制性股票激励计划首次授予部分第一次行权/解锁期行权</w:t>
      </w:r>
      <w:r>
        <w:rPr>
          <w:rFonts w:ascii="Times New Roman" w:eastAsia="Times New Roman" w:hAnsi="Times New Roman" w:cs="Times New Roman"/>
          <w:color w:val="000000"/>
          <w:spacing w:val="0"/>
          <w:w w:val="100"/>
          <w:position w:val="0"/>
        </w:rPr>
        <w:t>/</w:t>
      </w:r>
      <w:r>
        <w:rPr>
          <w:color w:val="000000"/>
          <w:spacing w:val="0"/>
          <w:w w:val="100"/>
          <w:position w:val="0"/>
        </w:rPr>
        <w:t>解锁条件已满足，需在有 关机构办理相关手续。</w:t>
      </w:r>
    </w:p>
    <w:p>
      <w:pPr>
        <w:pStyle w:val="Style29"/>
        <w:keepNext w:val="0"/>
        <w:keepLines w:val="0"/>
        <w:widowControl w:val="0"/>
        <w:shd w:val="clear" w:color="auto" w:fill="auto"/>
        <w:bidi w:val="0"/>
        <w:spacing w:before="0" w:after="0"/>
        <w:ind w:left="0" w:right="0"/>
        <w:jc w:val="both"/>
      </w:pPr>
      <w:bookmarkStart w:id="344" w:name="bookmark344"/>
      <w:r>
        <w:rPr>
          <w:rFonts w:ascii="Times New Roman" w:eastAsia="Times New Roman" w:hAnsi="Times New Roman" w:cs="Times New Roman"/>
          <w:color w:val="000000"/>
          <w:spacing w:val="0"/>
          <w:w w:val="100"/>
          <w:position w:val="0"/>
        </w:rPr>
        <w:t>（</w:t>
      </w:r>
      <w:bookmarkEnd w:id="344"/>
      <w:r>
        <w:rPr>
          <w:color w:val="000000"/>
          <w:spacing w:val="0"/>
          <w:w w:val="100"/>
          <w:position w:val="0"/>
        </w:rPr>
        <w:t>二）调整结果</w:t>
      </w:r>
    </w:p>
    <w:p>
      <w:pPr>
        <w:pStyle w:val="Style29"/>
        <w:keepNext w:val="0"/>
        <w:keepLines w:val="0"/>
        <w:widowControl w:val="0"/>
        <w:shd w:val="clear" w:color="auto" w:fill="auto"/>
        <w:tabs>
          <w:tab w:pos="704" w:val="left"/>
        </w:tabs>
        <w:bidi w:val="0"/>
        <w:spacing w:before="0" w:after="0" w:line="312" w:lineRule="exact"/>
        <w:ind w:left="0" w:right="0"/>
        <w:jc w:val="both"/>
      </w:pPr>
      <w:bookmarkStart w:id="345" w:name="bookmark345"/>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公司限制性股票的总数量因权益分派和预留部分授予数量的调整由原</w:t>
      </w:r>
      <w:r>
        <w:rPr>
          <w:rFonts w:ascii="Times New Roman" w:eastAsia="Times New Roman" w:hAnsi="Times New Roman" w:cs="Times New Roman"/>
          <w:color w:val="000000"/>
          <w:spacing w:val="0"/>
          <w:w w:val="100"/>
          <w:position w:val="0"/>
        </w:rPr>
        <w:t>235.85</w:t>
      </w:r>
      <w:r>
        <w:rPr>
          <w:color w:val="000000"/>
          <w:spacing w:val="0"/>
          <w:w w:val="100"/>
          <w:position w:val="0"/>
        </w:rPr>
        <w:t>万股调整为</w:t>
      </w:r>
      <w:r>
        <w:rPr>
          <w:rFonts w:ascii="Times New Roman" w:eastAsia="Times New Roman" w:hAnsi="Times New Roman" w:cs="Times New Roman"/>
          <w:color w:val="000000"/>
          <w:spacing w:val="0"/>
          <w:w w:val="100"/>
          <w:position w:val="0"/>
        </w:rPr>
        <w:t>700.35</w:t>
      </w:r>
      <w:r>
        <w:rPr>
          <w:color w:val="000000"/>
          <w:spacing w:val="0"/>
          <w:w w:val="100"/>
          <w:position w:val="0"/>
        </w:rPr>
        <w:t>万股，其中首次授予的 限制性股票数量由原</w:t>
      </w:r>
      <w:r>
        <w:rPr>
          <w:rFonts w:ascii="Times New Roman" w:eastAsia="Times New Roman" w:hAnsi="Times New Roman" w:cs="Times New Roman"/>
          <w:color w:val="000000"/>
          <w:spacing w:val="0"/>
          <w:w w:val="100"/>
          <w:position w:val="0"/>
        </w:rPr>
        <w:t>206.75</w:t>
      </w:r>
      <w:r>
        <w:rPr>
          <w:color w:val="000000"/>
          <w:spacing w:val="0"/>
          <w:w w:val="100"/>
          <w:position w:val="0"/>
        </w:rPr>
        <w:t>万股调整为</w:t>
      </w:r>
      <w:r>
        <w:rPr>
          <w:rFonts w:ascii="Times New Roman" w:eastAsia="Times New Roman" w:hAnsi="Times New Roman" w:cs="Times New Roman"/>
          <w:color w:val="000000"/>
          <w:spacing w:val="0"/>
          <w:w w:val="100"/>
          <w:position w:val="0"/>
        </w:rPr>
        <w:t>620.25</w:t>
      </w:r>
      <w:r>
        <w:rPr>
          <w:color w:val="000000"/>
          <w:spacing w:val="0"/>
          <w:w w:val="100"/>
          <w:position w:val="0"/>
        </w:rPr>
        <w:t>万股，预留部分授予总数由</w:t>
      </w:r>
      <w:r>
        <w:rPr>
          <w:rFonts w:ascii="Times New Roman" w:eastAsia="Times New Roman" w:hAnsi="Times New Roman" w:cs="Times New Roman"/>
          <w:color w:val="000000"/>
          <w:spacing w:val="0"/>
          <w:w w:val="100"/>
          <w:position w:val="0"/>
        </w:rPr>
        <w:t>29.10</w:t>
      </w:r>
      <w:r>
        <w:rPr>
          <w:color w:val="000000"/>
          <w:spacing w:val="0"/>
          <w:w w:val="100"/>
          <w:position w:val="0"/>
        </w:rPr>
        <w:t>万股调整为</w:t>
      </w:r>
      <w:r>
        <w:rPr>
          <w:rFonts w:ascii="Times New Roman" w:eastAsia="Times New Roman" w:hAnsi="Times New Roman" w:cs="Times New Roman"/>
          <w:color w:val="000000"/>
          <w:spacing w:val="0"/>
          <w:w w:val="100"/>
          <w:position w:val="0"/>
        </w:rPr>
        <w:t>26.70</w:t>
      </w:r>
      <w:r>
        <w:rPr>
          <w:color w:val="000000"/>
          <w:spacing w:val="0"/>
          <w:w w:val="100"/>
          <w:position w:val="0"/>
        </w:rPr>
        <w:t>万股，考虑</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 派后，预留部分授予数量最终调整为</w:t>
      </w:r>
      <w:r>
        <w:rPr>
          <w:rFonts w:ascii="Times New Roman" w:eastAsia="Times New Roman" w:hAnsi="Times New Roman" w:cs="Times New Roman"/>
          <w:color w:val="000000"/>
          <w:spacing w:val="0"/>
          <w:w w:val="100"/>
          <w:position w:val="0"/>
        </w:rPr>
        <w:t>80.10</w:t>
      </w:r>
      <w:r>
        <w:rPr>
          <w:color w:val="000000"/>
          <w:spacing w:val="0"/>
          <w:w w:val="100"/>
          <w:position w:val="0"/>
        </w:rPr>
        <w:t>万股。限制性股票价格调整：其中首次授予的限制性股票价格由原</w:t>
      </w:r>
      <w:r>
        <w:rPr>
          <w:rFonts w:ascii="Times New Roman" w:eastAsia="Times New Roman" w:hAnsi="Times New Roman" w:cs="Times New Roman"/>
          <w:color w:val="000000"/>
          <w:spacing w:val="0"/>
          <w:w w:val="100"/>
          <w:position w:val="0"/>
        </w:rPr>
        <w:t>50.18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 为</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股，预留部分授予的限制性股票价格由原</w:t>
      </w:r>
      <w:r>
        <w:rPr>
          <w:rFonts w:ascii="Times New Roman" w:eastAsia="Times New Roman" w:hAnsi="Times New Roman" w:cs="Times New Roman"/>
          <w:color w:val="000000"/>
          <w:spacing w:val="0"/>
          <w:w w:val="100"/>
          <w:position w:val="0"/>
        </w:rPr>
        <w:t>74.83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24.89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9"/>
        <w:keepNext w:val="0"/>
        <w:keepLines w:val="0"/>
        <w:widowControl w:val="0"/>
        <w:shd w:val="clear" w:color="auto" w:fill="auto"/>
        <w:tabs>
          <w:tab w:pos="704" w:val="left"/>
        </w:tabs>
        <w:bidi w:val="0"/>
        <w:spacing w:before="0" w:after="0" w:line="312" w:lineRule="exact"/>
        <w:ind w:left="0" w:right="0"/>
        <w:jc w:val="both"/>
      </w:pPr>
      <w:bookmarkStart w:id="346" w:name="bookmark346"/>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公司预留部分授限制性股票的激励对象人数由</w:t>
      </w:r>
      <w:r>
        <w:rPr>
          <w:rFonts w:ascii="Times New Roman" w:eastAsia="Times New Roman" w:hAnsi="Times New Roman" w:cs="Times New Roman"/>
          <w:color w:val="000000"/>
          <w:spacing w:val="0"/>
          <w:w w:val="100"/>
          <w:position w:val="0"/>
        </w:rPr>
        <w:t>35</w:t>
      </w:r>
      <w:r>
        <w:rPr>
          <w:color w:val="000000"/>
          <w:spacing w:val="0"/>
          <w:w w:val="100"/>
          <w:position w:val="0"/>
        </w:rPr>
        <w:t>人调整为</w:t>
      </w:r>
      <w:r>
        <w:rPr>
          <w:rFonts w:ascii="Times New Roman" w:eastAsia="Times New Roman" w:hAnsi="Times New Roman" w:cs="Times New Roman"/>
          <w:color w:val="000000"/>
          <w:spacing w:val="0"/>
          <w:w w:val="100"/>
          <w:position w:val="0"/>
        </w:rPr>
        <w:t>28</w:t>
      </w:r>
      <w:r>
        <w:rPr>
          <w:color w:val="000000"/>
          <w:spacing w:val="0"/>
          <w:w w:val="100"/>
          <w:position w:val="0"/>
        </w:rPr>
        <w:t>人。公司股权激励计划涉及的期权的总份数由原</w:t>
      </w:r>
      <w:r>
        <w:rPr>
          <w:rFonts w:ascii="Times New Roman" w:eastAsia="Times New Roman" w:hAnsi="Times New Roman" w:cs="Times New Roman"/>
          <w:color w:val="000000"/>
          <w:spacing w:val="0"/>
          <w:w w:val="100"/>
          <w:position w:val="0"/>
        </w:rPr>
        <w:t>55.</w:t>
      </w:r>
      <w:r>
        <w:rPr>
          <w:rFonts w:ascii="Times New Roman" w:eastAsia="Times New Roman" w:hAnsi="Times New Roman" w:cs="Times New Roman"/>
          <w:color w:val="000000"/>
          <w:spacing w:val="0"/>
          <w:w w:val="100"/>
          <w:position w:val="0"/>
        </w:rPr>
        <w:t>2</w:t>
      </w:r>
      <w:r>
        <w:rPr>
          <w:color w:val="000000"/>
          <w:spacing w:val="0"/>
          <w:w w:val="100"/>
          <w:position w:val="0"/>
        </w:rPr>
        <w:t>万 份调整为</w:t>
      </w:r>
      <w:r>
        <w:rPr>
          <w:rFonts w:ascii="Times New Roman" w:eastAsia="Times New Roman" w:hAnsi="Times New Roman" w:cs="Times New Roman"/>
          <w:color w:val="000000"/>
          <w:spacing w:val="0"/>
          <w:w w:val="100"/>
          <w:position w:val="0"/>
        </w:rPr>
        <w:t>165.6</w:t>
      </w:r>
      <w:r>
        <w:rPr>
          <w:color w:val="000000"/>
          <w:spacing w:val="0"/>
          <w:w w:val="100"/>
          <w:position w:val="0"/>
        </w:rPr>
        <w:t>万份，行权价格由原</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41.34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9"/>
        <w:keepNext w:val="0"/>
        <w:keepLines w:val="0"/>
        <w:widowControl w:val="0"/>
        <w:shd w:val="clear" w:color="auto" w:fill="auto"/>
        <w:tabs>
          <w:tab w:pos="623" w:val="left"/>
        </w:tabs>
        <w:bidi w:val="0"/>
        <w:spacing w:before="0" w:after="0" w:line="312" w:lineRule="exact"/>
        <w:ind w:left="0" w:right="0"/>
        <w:jc w:val="both"/>
      </w:pPr>
      <w:bookmarkStart w:id="347" w:name="bookmark347"/>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依据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日，公司召开的第五届董事会第十九次会议，根据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年第三次临时股东大会的授权，审议通过了 《关于注销部分股票期权和回购注销部分限制性股票的议案》，同意取消赵峰、郜冬冬</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人的激励对象资格并回购注销其尚未</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解锁的全部限制性股票，共计</w:t>
      </w:r>
      <w:r>
        <w:rPr>
          <w:rFonts w:ascii="Times New Roman" w:eastAsia="Times New Roman" w:hAnsi="Times New Roman" w:cs="Times New Roman"/>
          <w:color w:val="000000"/>
          <w:spacing w:val="0"/>
          <w:w w:val="100"/>
          <w:position w:val="0"/>
        </w:rPr>
        <w:t>7500</w:t>
      </w:r>
      <w:r>
        <w:rPr>
          <w:color w:val="000000"/>
          <w:spacing w:val="0"/>
          <w:w w:val="100"/>
          <w:position w:val="0"/>
        </w:rPr>
        <w:t>股，截止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日上述限制性股票完成注销回购手续。公司股份总数由原来的 </w:t>
      </w:r>
      <w:r>
        <w:rPr>
          <w:rFonts w:ascii="Times New Roman" w:eastAsia="Times New Roman" w:hAnsi="Times New Roman" w:cs="Times New Roman"/>
          <w:color w:val="000000"/>
          <w:spacing w:val="0"/>
          <w:w w:val="100"/>
          <w:position w:val="0"/>
        </w:rPr>
        <w:t>211,003,500</w:t>
      </w:r>
      <w:r>
        <w:rPr>
          <w:color w:val="000000"/>
          <w:spacing w:val="0"/>
          <w:w w:val="100"/>
          <w:position w:val="0"/>
        </w:rPr>
        <w:t>股减少为</w:t>
      </w:r>
      <w:r>
        <w:rPr>
          <w:rFonts w:ascii="Times New Roman" w:eastAsia="Times New Roman" w:hAnsi="Times New Roman" w:cs="Times New Roman"/>
          <w:color w:val="000000"/>
          <w:spacing w:val="0"/>
          <w:w w:val="100"/>
          <w:position w:val="0"/>
        </w:rPr>
        <w:t>210,996,000</w:t>
      </w:r>
      <w:r>
        <w:rPr>
          <w:color w:val="000000"/>
          <w:spacing w:val="0"/>
          <w:w w:val="100"/>
          <w:position w:val="0"/>
        </w:rPr>
        <w:t>股。</w:t>
      </w:r>
    </w:p>
    <w:p>
      <w:pPr>
        <w:pStyle w:val="Style29"/>
        <w:keepNext w:val="0"/>
        <w:keepLines w:val="0"/>
        <w:widowControl w:val="0"/>
        <w:shd w:val="clear" w:color="auto" w:fill="auto"/>
        <w:tabs>
          <w:tab w:pos="704" w:val="left"/>
        </w:tabs>
        <w:bidi w:val="0"/>
        <w:spacing w:before="0" w:after="0" w:line="312" w:lineRule="exact"/>
        <w:ind w:left="0" w:right="0"/>
        <w:jc w:val="left"/>
      </w:pPr>
      <w:bookmarkStart w:id="348" w:name="bookmark348"/>
      <w:r>
        <w:rPr>
          <w:rFonts w:ascii="Times New Roman" w:eastAsia="Times New Roman" w:hAnsi="Times New Roman" w:cs="Times New Roman"/>
          <w:color w:val="000000"/>
          <w:spacing w:val="0"/>
          <w:w w:val="100"/>
          <w:position w:val="0"/>
        </w:rPr>
        <w:t>4</w:t>
      </w:r>
      <w:bookmarkEnd w:id="34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日，公司对部分因离职而不符合激励条件人员的已获授但尚未行权的</w:t>
      </w:r>
      <w:r>
        <w:rPr>
          <w:rFonts w:ascii="Times New Roman" w:eastAsia="Times New Roman" w:hAnsi="Times New Roman" w:cs="Times New Roman"/>
          <w:color w:val="000000"/>
          <w:spacing w:val="0"/>
          <w:w w:val="100"/>
          <w:position w:val="0"/>
        </w:rPr>
        <w:t>10.8</w:t>
      </w:r>
      <w:r>
        <w:rPr>
          <w:color w:val="000000"/>
          <w:spacing w:val="0"/>
          <w:w w:val="100"/>
          <w:position w:val="0"/>
        </w:rPr>
        <w:t>万份股票期权（期权简称创 业</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036203</w:t>
      </w:r>
      <w:r>
        <w:rPr>
          <w:color w:val="000000"/>
          <w:spacing w:val="0"/>
          <w:w w:val="100"/>
          <w:position w:val="0"/>
        </w:rPr>
        <w:t>）办理了注销手续，激励计划首次授予股票期权的总数由</w:t>
      </w:r>
      <w:r>
        <w:rPr>
          <w:rFonts w:ascii="Times New Roman" w:eastAsia="Times New Roman" w:hAnsi="Times New Roman" w:cs="Times New Roman"/>
          <w:color w:val="000000"/>
          <w:spacing w:val="0"/>
          <w:w w:val="100"/>
          <w:position w:val="0"/>
        </w:rPr>
        <w:t>165.6</w:t>
      </w:r>
      <w:r>
        <w:rPr>
          <w:color w:val="000000"/>
          <w:spacing w:val="0"/>
          <w:w w:val="100"/>
          <w:position w:val="0"/>
        </w:rPr>
        <w:t>万份调整为</w:t>
      </w:r>
      <w:r>
        <w:rPr>
          <w:rFonts w:ascii="Times New Roman" w:eastAsia="Times New Roman" w:hAnsi="Times New Roman" w:cs="Times New Roman"/>
          <w:color w:val="000000"/>
          <w:spacing w:val="0"/>
          <w:w w:val="100"/>
          <w:position w:val="0"/>
        </w:rPr>
        <w:t>154.8</w:t>
      </w:r>
      <w:r>
        <w:rPr>
          <w:color w:val="000000"/>
          <w:spacing w:val="0"/>
          <w:w w:val="100"/>
          <w:position w:val="0"/>
        </w:rPr>
        <w:t>万份。</w:t>
      </w:r>
    </w:p>
    <w:p>
      <w:pPr>
        <w:pStyle w:val="Style29"/>
        <w:keepNext w:val="0"/>
        <w:keepLines w:val="0"/>
        <w:widowControl w:val="0"/>
        <w:shd w:val="clear" w:color="auto" w:fill="auto"/>
        <w:tabs>
          <w:tab w:pos="714" w:val="left"/>
        </w:tabs>
        <w:bidi w:val="0"/>
        <w:spacing w:before="0" w:after="0" w:line="312" w:lineRule="exact"/>
        <w:ind w:left="0" w:right="0"/>
        <w:jc w:val="left"/>
      </w:pPr>
      <w:bookmarkStart w:id="349" w:name="bookmark349"/>
      <w:r>
        <w:rPr>
          <w:rFonts w:ascii="Times New Roman" w:eastAsia="Times New Roman" w:hAnsi="Times New Roman" w:cs="Times New Roman"/>
          <w:color w:val="000000"/>
          <w:spacing w:val="0"/>
          <w:w w:val="100"/>
          <w:position w:val="0"/>
        </w:rPr>
        <w:t>5</w:t>
      </w:r>
      <w:bookmarkEnd w:id="349"/>
      <w:r>
        <w:rPr>
          <w:color w:val="000000"/>
          <w:spacing w:val="0"/>
          <w:w w:val="100"/>
          <w:position w:val="0"/>
        </w:rPr>
        <w:t>、</w:t>
        <w:tab/>
        <w:t>根据公司《股票期权与限制性股票激励计划（草案修订稿）》，自首次授予日（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日）起满</w:t>
      </w:r>
      <w:r>
        <w:rPr>
          <w:rFonts w:ascii="Times New Roman" w:eastAsia="Times New Roman" w:hAnsi="Times New Roman" w:cs="Times New Roman"/>
          <w:color w:val="000000"/>
          <w:spacing w:val="0"/>
          <w:w w:val="100"/>
          <w:position w:val="0"/>
        </w:rPr>
        <w:t>12</w:t>
      </w:r>
      <w:r>
        <w:rPr>
          <w:color w:val="000000"/>
          <w:spacing w:val="0"/>
          <w:w w:val="100"/>
          <w:position w:val="0"/>
        </w:rPr>
        <w:t>个月后的首 个交易日起至首次授予日起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个月内的最后一个交易日止，可申请行权</w:t>
      </w:r>
      <w:r>
        <w:rPr>
          <w:rFonts w:ascii="Times New Roman" w:eastAsia="Times New Roman" w:hAnsi="Times New Roman" w:cs="Times New Roman"/>
          <w:color w:val="000000"/>
          <w:spacing w:val="0"/>
          <w:w w:val="100"/>
          <w:position w:val="0"/>
        </w:rPr>
        <w:t>/</w:t>
      </w:r>
      <w:r>
        <w:rPr>
          <w:color w:val="000000"/>
          <w:spacing w:val="0"/>
          <w:w w:val="100"/>
          <w:position w:val="0"/>
        </w:rPr>
        <w:t>解锁所获总量的</w:t>
      </w:r>
      <w:r>
        <w:rPr>
          <w:rFonts w:ascii="Times New Roman" w:eastAsia="Times New Roman" w:hAnsi="Times New Roman" w:cs="Times New Roman"/>
          <w:color w:val="000000"/>
          <w:spacing w:val="0"/>
          <w:w w:val="100"/>
          <w:position w:val="0"/>
        </w:rPr>
        <w:t>25%</w:t>
      </w:r>
      <w:r>
        <w:rPr>
          <w:color w:val="000000"/>
          <w:spacing w:val="0"/>
          <w:w w:val="100"/>
          <w:position w:val="0"/>
        </w:rPr>
        <w:t>,公司授予的股票期权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 股票首次授予部分第一个等待</w:t>
      </w:r>
      <w:r>
        <w:rPr>
          <w:rFonts w:ascii="Times New Roman" w:eastAsia="Times New Roman" w:hAnsi="Times New Roman" w:cs="Times New Roman"/>
          <w:color w:val="000000"/>
          <w:spacing w:val="0"/>
          <w:w w:val="100"/>
          <w:position w:val="0"/>
        </w:rPr>
        <w:t>/</w:t>
      </w:r>
      <w:r>
        <w:rPr>
          <w:color w:val="000000"/>
          <w:spacing w:val="0"/>
          <w:w w:val="100"/>
          <w:position w:val="0"/>
        </w:rPr>
        <w:t>锁定期已届。首次授予部分涉及的</w:t>
      </w:r>
      <w:r>
        <w:rPr>
          <w:rFonts w:ascii="Times New Roman" w:eastAsia="Times New Roman" w:hAnsi="Times New Roman" w:cs="Times New Roman"/>
          <w:color w:val="000000"/>
          <w:spacing w:val="0"/>
          <w:w w:val="100"/>
          <w:position w:val="0"/>
        </w:rPr>
        <w:t>476</w:t>
      </w:r>
      <w:r>
        <w:rPr>
          <w:color w:val="000000"/>
          <w:spacing w:val="0"/>
          <w:w w:val="100"/>
          <w:position w:val="0"/>
        </w:rPr>
        <w:t>名激励对象</w:t>
      </w:r>
      <w:r>
        <w:rPr>
          <w:rFonts w:ascii="Times New Roman" w:eastAsia="Times New Roman" w:hAnsi="Times New Roman" w:cs="Times New Roman"/>
          <w:color w:val="000000"/>
          <w:spacing w:val="0"/>
          <w:w w:val="100"/>
          <w:position w:val="0"/>
        </w:rPr>
        <w:t>2015</w:t>
      </w:r>
      <w:r>
        <w:rPr>
          <w:color w:val="000000"/>
          <w:spacing w:val="0"/>
          <w:w w:val="100"/>
          <w:position w:val="0"/>
        </w:rPr>
        <w:t>年个人考核结果均为</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满足解锁条件。 董事会同意按照首期激励计划的相关规定办理解锁的相关手续。本次股票期权采用自主行权方式，行权期限：</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日止，具体行权事宜需待自主行权审批手续办理完毕后方可实施。</w:t>
      </w:r>
    </w:p>
    <w:p>
      <w:pPr>
        <w:pStyle w:val="Style29"/>
        <w:keepNext w:val="0"/>
        <w:keepLines w:val="0"/>
        <w:widowControl w:val="0"/>
        <w:shd w:val="clear" w:color="auto" w:fill="auto"/>
        <w:bidi w:val="0"/>
        <w:spacing w:before="0" w:after="0" w:line="312" w:lineRule="exact"/>
        <w:ind w:left="0" w:right="0" w:firstLine="200"/>
        <w:jc w:val="left"/>
      </w:pPr>
      <w:bookmarkStart w:id="350" w:name="bookmark350"/>
      <w:r>
        <w:rPr>
          <w:color w:val="000000"/>
          <w:spacing w:val="0"/>
          <w:w w:val="100"/>
          <w:position w:val="0"/>
        </w:rPr>
        <w:t>（</w:t>
      </w:r>
      <w:bookmarkEnd w:id="350"/>
      <w:r>
        <w:rPr>
          <w:color w:val="000000"/>
          <w:spacing w:val="0"/>
          <w:w w:val="100"/>
          <w:position w:val="0"/>
        </w:rPr>
        <w:t>三）调整进展</w:t>
      </w:r>
    </w:p>
    <w:p>
      <w:pPr>
        <w:pStyle w:val="Style29"/>
        <w:keepNext w:val="0"/>
        <w:keepLines w:val="0"/>
        <w:widowControl w:val="0"/>
        <w:shd w:val="clear" w:color="auto" w:fill="auto"/>
        <w:tabs>
          <w:tab w:pos="714" w:val="left"/>
        </w:tabs>
        <w:bidi w:val="0"/>
        <w:spacing w:before="0" w:after="0" w:line="312" w:lineRule="exact"/>
        <w:ind w:left="0" w:right="0"/>
        <w:jc w:val="both"/>
      </w:pPr>
      <w:bookmarkStart w:id="351" w:name="bookmark351"/>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限制性股票与股票期权的数量、价格已于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日调整完毕。</w:t>
      </w:r>
    </w:p>
    <w:p>
      <w:pPr>
        <w:pStyle w:val="Style29"/>
        <w:keepNext w:val="0"/>
        <w:keepLines w:val="0"/>
        <w:widowControl w:val="0"/>
        <w:shd w:val="clear" w:color="auto" w:fill="auto"/>
        <w:tabs>
          <w:tab w:pos="734" w:val="left"/>
        </w:tabs>
        <w:bidi w:val="0"/>
        <w:spacing w:before="0" w:after="0" w:line="312" w:lineRule="exact"/>
        <w:ind w:left="0" w:right="0"/>
        <w:jc w:val="both"/>
      </w:pPr>
      <w:bookmarkStart w:id="352" w:name="bookmark352"/>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预留部分限制性股票已于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日授予登记完成。</w:t>
      </w:r>
    </w:p>
    <w:p>
      <w:pPr>
        <w:pStyle w:val="Style29"/>
        <w:keepNext w:val="0"/>
        <w:keepLines w:val="0"/>
        <w:widowControl w:val="0"/>
        <w:shd w:val="clear" w:color="auto" w:fill="auto"/>
        <w:tabs>
          <w:tab w:pos="734" w:val="left"/>
        </w:tabs>
        <w:bidi w:val="0"/>
        <w:spacing w:before="0" w:after="0" w:line="312" w:lineRule="exact"/>
        <w:ind w:left="0" w:right="0"/>
        <w:jc w:val="both"/>
      </w:pPr>
      <w:bookmarkStart w:id="353" w:name="bookmark353"/>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公司股权激励对象赵峰、告</w:t>
      </w:r>
      <w:r>
        <w:rPr>
          <w:rFonts w:ascii="Times New Roman" w:eastAsia="Times New Roman" w:hAnsi="Times New Roman" w:cs="Times New Roman"/>
          <w:color w:val="000000"/>
          <w:spacing w:val="0"/>
          <w:w w:val="100"/>
          <w:position w:val="0"/>
        </w:rPr>
        <w:t>K</w:t>
      </w:r>
      <w:r>
        <w:rPr>
          <w:color w:val="000000"/>
          <w:spacing w:val="0"/>
          <w:w w:val="100"/>
          <w:position w:val="0"/>
        </w:rPr>
        <w:t>冬冬</w:t>
      </w:r>
      <w:r>
        <w:rPr>
          <w:rFonts w:ascii="Times New Roman" w:eastAsia="Times New Roman" w:hAnsi="Times New Roman" w:cs="Times New Roman"/>
          <w:color w:val="000000"/>
          <w:spacing w:val="0"/>
          <w:w w:val="100"/>
          <w:position w:val="0"/>
        </w:rPr>
        <w:t>2</w:t>
      </w:r>
      <w:r>
        <w:rPr>
          <w:color w:val="000000"/>
          <w:spacing w:val="0"/>
          <w:w w:val="100"/>
          <w:position w:val="0"/>
        </w:rPr>
        <w:t>人的限制性股票共计</w:t>
      </w:r>
      <w:r>
        <w:rPr>
          <w:rFonts w:ascii="Times New Roman" w:eastAsia="Times New Roman" w:hAnsi="Times New Roman" w:cs="Times New Roman"/>
          <w:color w:val="000000"/>
          <w:spacing w:val="0"/>
          <w:w w:val="100"/>
          <w:position w:val="0"/>
        </w:rPr>
        <w:t>7500</w:t>
      </w:r>
      <w:r>
        <w:rPr>
          <w:color w:val="000000"/>
          <w:spacing w:val="0"/>
          <w:w w:val="100"/>
          <w:position w:val="0"/>
        </w:rPr>
        <w:t>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日完成注销回购手续。</w:t>
      </w:r>
    </w:p>
    <w:p>
      <w:pPr>
        <w:pStyle w:val="Style29"/>
        <w:keepNext w:val="0"/>
        <w:keepLines w:val="0"/>
        <w:widowControl w:val="0"/>
        <w:shd w:val="clear" w:color="auto" w:fill="auto"/>
        <w:tabs>
          <w:tab w:pos="734" w:val="left"/>
        </w:tabs>
        <w:bidi w:val="0"/>
        <w:spacing w:before="0" w:after="0" w:line="312" w:lineRule="exact"/>
        <w:ind w:left="0" w:right="0"/>
        <w:jc w:val="both"/>
      </w:pPr>
      <w:bookmarkStart w:id="354" w:name="bookmark354"/>
      <w:r>
        <w:rPr>
          <w:rFonts w:ascii="Times New Roman" w:eastAsia="Times New Roman" w:hAnsi="Times New Roman" w:cs="Times New Roman"/>
          <w:color w:val="000000"/>
          <w:spacing w:val="0"/>
          <w:w w:val="100"/>
          <w:position w:val="0"/>
        </w:rPr>
        <w:t>4</w:t>
      </w:r>
      <w:bookmarkEnd w:id="354"/>
      <w:r>
        <w:rPr>
          <w:color w:val="000000"/>
          <w:spacing w:val="0"/>
          <w:w w:val="100"/>
          <w:position w:val="0"/>
        </w:rPr>
        <w:t>、</w:t>
        <w:tab/>
        <w:t>对部分因离职而不符合激励条件人员的已获授但尚未行权的</w:t>
      </w:r>
      <w:r>
        <w:rPr>
          <w:rFonts w:ascii="Times New Roman" w:eastAsia="Times New Roman" w:hAnsi="Times New Roman" w:cs="Times New Roman"/>
          <w:color w:val="000000"/>
          <w:spacing w:val="0"/>
          <w:w w:val="100"/>
          <w:position w:val="0"/>
        </w:rPr>
        <w:t>10.8</w:t>
      </w:r>
      <w:r>
        <w:rPr>
          <w:color w:val="000000"/>
          <w:spacing w:val="0"/>
          <w:w w:val="100"/>
          <w:position w:val="0"/>
        </w:rPr>
        <w:t>万份股票期权于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日办理了注销手续。</w:t>
      </w:r>
    </w:p>
    <w:p>
      <w:pPr>
        <w:pStyle w:val="Style29"/>
        <w:keepNext w:val="0"/>
        <w:keepLines w:val="0"/>
        <w:widowControl w:val="0"/>
        <w:shd w:val="clear" w:color="auto" w:fill="auto"/>
        <w:tabs>
          <w:tab w:pos="709" w:val="left"/>
        </w:tabs>
        <w:bidi w:val="0"/>
        <w:spacing w:before="0" w:after="0" w:line="312" w:lineRule="exact"/>
        <w:ind w:left="0" w:right="0"/>
        <w:jc w:val="both"/>
      </w:pPr>
      <w:bookmarkStart w:id="355" w:name="bookmark355"/>
      <w:r>
        <w:rPr>
          <w:rFonts w:ascii="Times New Roman" w:eastAsia="Times New Roman" w:hAnsi="Times New Roman" w:cs="Times New Roman"/>
          <w:color w:val="000000"/>
          <w:spacing w:val="0"/>
          <w:w w:val="100"/>
          <w:position w:val="0"/>
        </w:rPr>
        <w:t>5</w:t>
      </w:r>
      <w:bookmarkEnd w:id="355"/>
      <w:r>
        <w:rPr>
          <w:color w:val="000000"/>
          <w:spacing w:val="0"/>
          <w:w w:val="100"/>
          <w:position w:val="0"/>
        </w:rPr>
        <w:t>、</w:t>
        <w:tab/>
        <w:t>首次授予的部分限制性股票第一期的解除限售手续已办理完毕，本次解除限售的限制性股票数量为</w:t>
      </w:r>
      <w:r>
        <w:rPr>
          <w:rFonts w:ascii="Times New Roman" w:eastAsia="Times New Roman" w:hAnsi="Times New Roman" w:cs="Times New Roman"/>
          <w:color w:val="000000"/>
          <w:spacing w:val="0"/>
          <w:w w:val="100"/>
          <w:position w:val="0"/>
        </w:rPr>
        <w:t>1,543,116</w:t>
      </w:r>
      <w:r>
        <w:rPr>
          <w:color w:val="000000"/>
          <w:spacing w:val="0"/>
          <w:w w:val="100"/>
          <w:position w:val="0"/>
        </w:rPr>
        <w:t>股，占 公司总股本的比例为</w:t>
      </w:r>
      <w:r>
        <w:rPr>
          <w:rFonts w:ascii="Times New Roman" w:eastAsia="Times New Roman" w:hAnsi="Times New Roman" w:cs="Times New Roman"/>
          <w:color w:val="000000"/>
          <w:spacing w:val="0"/>
          <w:w w:val="100"/>
          <w:position w:val="0"/>
        </w:rPr>
        <w:t>0.73%</w:t>
      </w:r>
      <w:r>
        <w:rPr>
          <w:color w:val="000000"/>
          <w:spacing w:val="0"/>
          <w:w w:val="100"/>
          <w:position w:val="0"/>
        </w:rPr>
        <w:t>,上市流通日为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日，涉及股东人数为</w:t>
      </w:r>
      <w:r>
        <w:rPr>
          <w:rFonts w:ascii="Times New Roman" w:eastAsia="Times New Roman" w:hAnsi="Times New Roman" w:cs="Times New Roman"/>
          <w:color w:val="000000"/>
          <w:spacing w:val="0"/>
          <w:w w:val="100"/>
          <w:position w:val="0"/>
        </w:rPr>
        <w:t>334</w:t>
      </w:r>
      <w:r>
        <w:rPr>
          <w:color w:val="000000"/>
          <w:spacing w:val="0"/>
          <w:w w:val="100"/>
          <w:position w:val="0"/>
        </w:rPr>
        <w:t>人。</w:t>
      </w:r>
    </w:p>
    <w:p>
      <w:pPr>
        <w:pStyle w:val="Style29"/>
        <w:keepNext w:val="0"/>
        <w:keepLines w:val="0"/>
        <w:widowControl w:val="0"/>
        <w:shd w:val="clear" w:color="auto" w:fill="auto"/>
        <w:bidi w:val="0"/>
        <w:spacing w:before="0" w:after="0" w:line="312" w:lineRule="exact"/>
        <w:ind w:left="0" w:right="0"/>
        <w:jc w:val="both"/>
      </w:pPr>
      <w:bookmarkStart w:id="356" w:name="bookmark356"/>
      <w:r>
        <w:rPr>
          <w:color w:val="000000"/>
          <w:spacing w:val="0"/>
          <w:w w:val="100"/>
          <w:position w:val="0"/>
        </w:rPr>
        <w:t>三</w:t>
      </w:r>
      <w:bookmarkEnd w:id="356"/>
      <w:r>
        <w:rPr>
          <w:color w:val="000000"/>
          <w:spacing w:val="0"/>
          <w:w w:val="100"/>
          <w:position w:val="0"/>
        </w:rPr>
        <w:t>、股票期权与限制性股票激励计划的调整对公司的影响</w:t>
      </w:r>
    </w:p>
    <w:p>
      <w:pPr>
        <w:pStyle w:val="Style29"/>
        <w:keepNext w:val="0"/>
        <w:keepLines w:val="0"/>
        <w:widowControl w:val="0"/>
        <w:shd w:val="clear" w:color="auto" w:fill="auto"/>
        <w:bidi w:val="0"/>
        <w:spacing w:before="0" w:after="340" w:line="312" w:lineRule="exact"/>
        <w:ind w:left="0" w:right="0"/>
        <w:jc w:val="left"/>
      </w:pPr>
      <w:r>
        <w:rPr>
          <w:color w:val="000000"/>
          <w:spacing w:val="0"/>
          <w:w w:val="100"/>
          <w:position w:val="0"/>
        </w:rPr>
        <w:t>报告期内，公司上述对股票期权与限制性股票参数的调整，不会对公司的财务状况和经营成果产生重大影响。</w:t>
      </w:r>
    </w:p>
    <w:p>
      <w:pPr>
        <w:pStyle w:val="Style27"/>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十六、重大合同及其履行情况</w:t>
      </w:r>
      <w:bookmarkEnd w:id="357"/>
      <w:bookmarkEnd w:id="358"/>
      <w:bookmarkEnd w:id="359"/>
    </w:p>
    <w:p>
      <w:pPr>
        <w:pStyle w:val="Style35"/>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、托管、承包、租赁事项情况</w:t>
      </w:r>
      <w:bookmarkEnd w:id="360"/>
      <w:bookmarkEnd w:id="361"/>
      <w:bookmarkEnd w:id="363"/>
    </w:p>
    <w:p>
      <w:pPr>
        <w:pStyle w:val="Style35"/>
        <w:keepNext/>
        <w:keepLines/>
        <w:widowControl w:val="0"/>
        <w:shd w:val="clear" w:color="auto" w:fill="auto"/>
        <w:bidi w:val="0"/>
        <w:spacing w:before="0" w:line="240" w:lineRule="auto"/>
        <w:ind w:left="0" w:right="0" w:firstLine="0"/>
        <w:jc w:val="left"/>
      </w:pPr>
      <w:bookmarkStart w:id="360" w:name="bookmark360"/>
      <w:bookmarkStart w:id="361" w:name="bookmark361"/>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60"/>
      <w:bookmarkEnd w:id="361"/>
      <w:bookmarkEnd w:id="365"/>
    </w:p>
    <w:p>
      <w:pPr>
        <w:pStyle w:val="Style29"/>
        <w:keepNext w:val="0"/>
        <w:keepLines w:val="0"/>
        <w:widowControl w:val="0"/>
        <w:shd w:val="clear" w:color="auto" w:fill="auto"/>
        <w:bidi w:val="0"/>
        <w:spacing w:before="0" w:after="22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6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6"/>
      <w:bookmarkEnd w:id="367"/>
      <w:bookmarkEnd w:id="36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6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0"/>
      <w:bookmarkEnd w:id="371"/>
      <w:bookmarkEnd w:id="37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82" w:val="left"/>
        </w:tabs>
        <w:bidi w:val="0"/>
        <w:spacing w:before="0" w:after="36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重大担保</w:t>
      </w:r>
      <w:bookmarkEnd w:id="374"/>
      <w:bookmarkEnd w:id="375"/>
      <w:bookmarkEnd w:id="37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公司报告期不存在担保情况。</w:t>
      </w:r>
    </w:p>
    <w:p>
      <w:pPr>
        <w:pStyle w:val="Style35"/>
        <w:keepNext/>
        <w:keepLines/>
        <w:widowControl w:val="0"/>
        <w:shd w:val="clear" w:color="auto" w:fill="auto"/>
        <w:tabs>
          <w:tab w:pos="488" w:val="left"/>
        </w:tabs>
        <w:bidi w:val="0"/>
        <w:spacing w:before="0" w:after="36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w:t>
        <w:tab/>
        <w:t>担保情况</w:t>
      </w:r>
      <w:bookmarkEnd w:id="378"/>
      <w:bookmarkEnd w:id="379"/>
      <w:bookmarkEnd w:id="38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6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w:t>
        <w:tab/>
        <w:t>违规对外担保情况</w:t>
      </w:r>
      <w:bookmarkEnd w:id="382"/>
      <w:bookmarkEnd w:id="383"/>
      <w:bookmarkEnd w:id="38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82" w:val="left"/>
        </w:tabs>
        <w:bidi w:val="0"/>
        <w:spacing w:before="0" w:after="36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委托他人进行现金资产管理情况</w:t>
      </w:r>
      <w:bookmarkEnd w:id="386"/>
      <w:bookmarkEnd w:id="387"/>
      <w:bookmarkEnd w:id="389"/>
    </w:p>
    <w:p>
      <w:pPr>
        <w:pStyle w:val="Style35"/>
        <w:keepNext/>
        <w:keepLines/>
        <w:widowControl w:val="0"/>
        <w:shd w:val="clear" w:color="auto" w:fill="auto"/>
        <w:bidi w:val="0"/>
        <w:spacing w:before="0" w:after="360" w:line="240" w:lineRule="auto"/>
        <w:ind w:left="0" w:right="0" w:firstLine="0"/>
        <w:jc w:val="both"/>
      </w:pPr>
      <w:bookmarkStart w:id="386" w:name="bookmark386"/>
      <w:bookmarkStart w:id="387" w:name="bookmark387"/>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6"/>
      <w:bookmarkEnd w:id="387"/>
      <w:bookmarkEnd w:id="39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835"/>
        <w:gridCol w:w="835"/>
        <w:gridCol w:w="878"/>
        <w:gridCol w:w="802"/>
        <w:gridCol w:w="806"/>
        <w:gridCol w:w="802"/>
        <w:gridCol w:w="802"/>
        <w:gridCol w:w="806"/>
        <w:gridCol w:w="802"/>
        <w:gridCol w:w="802"/>
        <w:gridCol w:w="605"/>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委托理</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报酬确 定方式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w:t>
            </w:r>
          </w:p>
          <w:p>
            <w:pPr>
              <w:pStyle w:val="Style24"/>
              <w:keepNext w:val="0"/>
              <w:keepLines w:val="0"/>
              <w:widowControl w:val="0"/>
              <w:shd w:val="clear" w:color="auto" w:fill="auto"/>
              <w:bidi w:val="0"/>
              <w:spacing w:before="0" w:after="0" w:line="310" w:lineRule="exact"/>
              <w:ind w:left="22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实际损 益金额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期损 益实 际收 回情 况</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杭州银 行保俶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杭州银 行保俶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 行保俶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w:t>
            </w:r>
          </w:p>
        </w:tc>
      </w:tr>
    </w:tbl>
    <w:p>
      <w:pPr>
        <w:spacing w:lineRule="exact" w:line="1"/>
        <w:rPr>
          <w:sz w:val="2"/>
          <w:szCs w:val="2"/>
        </w:rPr>
      </w:pPr>
      <w:r>
        <w:br w:type="page"/>
      </w:r>
    </w:p>
    <w:tbl>
      <w:tblPr>
        <w:tblOverlap w:val="never"/>
        <w:jc w:val="center"/>
        <w:tblLayout w:type="fixed"/>
      </w:tblPr>
      <w:tblGrid>
        <w:gridCol w:w="806"/>
        <w:gridCol w:w="835"/>
        <w:gridCol w:w="835"/>
        <w:gridCol w:w="878"/>
        <w:gridCol w:w="802"/>
        <w:gridCol w:w="806"/>
        <w:gridCol w:w="802"/>
        <w:gridCol w:w="802"/>
        <w:gridCol w:w="806"/>
        <w:gridCol w:w="802"/>
        <w:gridCol w:w="802"/>
        <w:gridCol w:w="605"/>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行保俶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杭州银 行保俶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 行保俶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招商银 行深蓝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中信银 行天水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中信银 行天水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35,300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127.33</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股东大会授权范围内的用于现金管理的闲置募集资金和闲置自有资金，同时购理财产品 使用的资金总额未超过授权范围。</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逾期未收回的本金和收益累 计金额</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委托理财审批董事会公告披 露日期（如有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委托理财审批股东会公告披 露日期（如有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71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公司未来在保障公司日常经营运作资金需求的情况下，将继续在股东大会的授权下，择 机选择稳健性、低风险、流动性搞的理财产品在授权额度内滚动进行投资。</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14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2"/>
      <w:bookmarkEnd w:id="393"/>
      <w:bookmarkEnd w:id="3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36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、其他重大合同</w:t>
      </w:r>
      <w:bookmarkEnd w:id="396"/>
      <w:bookmarkEnd w:id="397"/>
      <w:bookmarkEnd w:id="39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4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十七、社会责任情况</w:t>
      </w:r>
      <w:bookmarkEnd w:id="400"/>
      <w:bookmarkEnd w:id="401"/>
      <w:bookmarkEnd w:id="402"/>
    </w:p>
    <w:p>
      <w:pPr>
        <w:pStyle w:val="Style35"/>
        <w:keepNext/>
        <w:keepLines/>
        <w:widowControl w:val="0"/>
        <w:shd w:val="clear" w:color="auto" w:fill="auto"/>
        <w:tabs>
          <w:tab w:pos="368" w:val="left"/>
        </w:tabs>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履行精准扶贫社会责任情况</w:t>
      </w:r>
      <w:bookmarkEnd w:id="403"/>
      <w:bookmarkEnd w:id="404"/>
      <w:bookmarkEnd w:id="406"/>
    </w:p>
    <w:p>
      <w:pPr>
        <w:pStyle w:val="Style29"/>
        <w:keepNext w:val="0"/>
        <w:keepLines w:val="0"/>
        <w:widowControl w:val="0"/>
        <w:shd w:val="clear" w:color="auto" w:fill="auto"/>
        <w:bidi w:val="0"/>
        <w:spacing w:before="0" w:after="24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履行其他社会责任的情况</w:t>
      </w:r>
      <w:bookmarkEnd w:id="407"/>
      <w:bookmarkEnd w:id="408"/>
      <w:bookmarkEnd w:id="410"/>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上市公司及其子公司是否属于环境保护部门公布的重点排污单位 不适用</w:t>
      </w:r>
    </w:p>
    <w:p>
      <w:pPr>
        <w:pStyle w:val="Style29"/>
        <w:keepNext w:val="0"/>
        <w:keepLines w:val="0"/>
        <w:widowControl w:val="0"/>
        <w:shd w:val="clear" w:color="auto" w:fill="auto"/>
        <w:bidi w:val="0"/>
        <w:spacing w:before="0" w:after="120" w:line="336"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4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十八、其他重大事项的说明</w:t>
      </w:r>
      <w:bookmarkEnd w:id="411"/>
      <w:bookmarkEnd w:id="412"/>
      <w:bookmarkEnd w:id="413"/>
    </w:p>
    <w:p>
      <w:pPr>
        <w:pStyle w:val="Style29"/>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36" w:lineRule="exact"/>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4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十九、公司子公司重大事项</w:t>
      </w:r>
      <w:bookmarkEnd w:id="414"/>
      <w:bookmarkEnd w:id="415"/>
      <w:bookmarkEnd w:id="416"/>
    </w:p>
    <w:p>
      <w:pPr>
        <w:pStyle w:val="Style29"/>
        <w:keepNext w:val="0"/>
        <w:keepLines w:val="0"/>
        <w:widowControl w:val="0"/>
        <w:shd w:val="clear" w:color="auto" w:fill="auto"/>
        <w:bidi w:val="0"/>
        <w:spacing w:before="0" w:after="30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540" w:line="240" w:lineRule="auto"/>
        <w:ind w:left="0" w:right="0" w:firstLine="0"/>
        <w:jc w:val="center"/>
      </w:pPr>
      <w:bookmarkStart w:id="417" w:name="bookmark417"/>
      <w:bookmarkStart w:id="418" w:name="bookmark418"/>
      <w:bookmarkStart w:id="419" w:name="bookmark419"/>
      <w:r>
        <w:rPr>
          <w:color w:val="000000"/>
          <w:spacing w:val="0"/>
          <w:w w:val="100"/>
          <w:position w:val="0"/>
        </w:rPr>
        <w:t>第六节股份变动及股东情况</w:t>
      </w:r>
      <w:bookmarkEnd w:id="417"/>
      <w:bookmarkEnd w:id="418"/>
      <w:bookmarkEnd w:id="419"/>
    </w:p>
    <w:p>
      <w:pPr>
        <w:pStyle w:val="Style27"/>
        <w:keepNext/>
        <w:keepLines/>
        <w:widowControl w:val="0"/>
        <w:shd w:val="clear" w:color="auto" w:fill="auto"/>
        <w:bidi w:val="0"/>
        <w:spacing w:before="0" w:after="34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sz w:val="24"/>
          <w:szCs w:val="24"/>
        </w:rPr>
        <w:t>一</w:t>
      </w:r>
      <w:bookmarkEnd w:id="422"/>
      <w:r>
        <w:rPr>
          <w:color w:val="000000"/>
          <w:spacing w:val="0"/>
          <w:w w:val="100"/>
          <w:position w:val="0"/>
          <w:sz w:val="24"/>
          <w:szCs w:val="24"/>
        </w:rPr>
        <w:t>、股份变动情况</w:t>
      </w:r>
      <w:bookmarkEnd w:id="420"/>
      <w:bookmarkEnd w:id="421"/>
      <w:bookmarkEnd w:id="423"/>
    </w:p>
    <w:p>
      <w:pPr>
        <w:pStyle w:val="Style35"/>
        <w:keepNext/>
        <w:keepLines/>
        <w:widowControl w:val="0"/>
        <w:shd w:val="clear" w:color="auto" w:fill="auto"/>
        <w:bidi w:val="0"/>
        <w:spacing w:before="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、股份变动情况</w:t>
      </w:r>
      <w:bookmarkEnd w:id="424"/>
      <w:bookmarkEnd w:id="425"/>
      <w:bookmarkEnd w:id="4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53,067,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62,342,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-23,446,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92,763,</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75.74%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53,067,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75.74%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92,763,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25,500,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39.29%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45,342,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-4,420,3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67,263,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77,792,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101,232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118,23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77,792,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101,232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118,23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2,007</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70,067,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r>
      <w:tr>
        <w:trPr>
          <w:trHeight w:val="26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331" w:val="left"/>
        </w:tabs>
        <w:bidi w:val="0"/>
        <w:spacing w:before="0" w:after="0" w:line="311" w:lineRule="exact"/>
        <w:ind w:left="0" w:right="0" w:firstLine="0"/>
        <w:jc w:val="both"/>
      </w:pPr>
      <w:bookmarkStart w:id="428" w:name="bookmark428"/>
      <w:r>
        <w:rPr>
          <w:rFonts w:ascii="Times New Roman" w:eastAsia="Times New Roman" w:hAnsi="Times New Roman" w:cs="Times New Roman"/>
          <w:color w:val="000000"/>
          <w:spacing w:val="0"/>
          <w:w w:val="100"/>
          <w:position w:val="0"/>
        </w:rPr>
        <w:t>1</w:t>
      </w:r>
      <w:bookmarkEnd w:id="42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 本</w:t>
      </w:r>
      <w:r>
        <w:rPr>
          <w:rFonts w:ascii="Times New Roman" w:eastAsia="Times New Roman" w:hAnsi="Times New Roman" w:cs="Times New Roman"/>
          <w:color w:val="000000"/>
          <w:spacing w:val="0"/>
          <w:w w:val="100"/>
          <w:position w:val="0"/>
        </w:rPr>
        <w:t>70,067,500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1.5</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20 </w:t>
      </w:r>
      <w:r>
        <w:rPr>
          <w:color w:val="000000"/>
          <w:spacing w:val="0"/>
          <w:w w:val="100"/>
          <w:position w:val="0"/>
        </w:rPr>
        <w:t>股，合计转增</w:t>
      </w:r>
      <w:r>
        <w:rPr>
          <w:rFonts w:ascii="Times New Roman" w:eastAsia="Times New Roman" w:hAnsi="Times New Roman" w:cs="Times New Roman"/>
          <w:color w:val="000000"/>
          <w:spacing w:val="0"/>
          <w:w w:val="100"/>
          <w:position w:val="0"/>
        </w:rPr>
        <w:t>140,135,000</w:t>
      </w:r>
      <w:r>
        <w:rPr>
          <w:color w:val="000000"/>
          <w:spacing w:val="0"/>
          <w:w w:val="100"/>
          <w:position w:val="0"/>
        </w:rPr>
        <w:t>股。上述利润分配方案已于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日实施完毕。</w:t>
      </w:r>
    </w:p>
    <w:p>
      <w:pPr>
        <w:pStyle w:val="Style29"/>
        <w:keepNext w:val="0"/>
        <w:keepLines w:val="0"/>
        <w:widowControl w:val="0"/>
        <w:shd w:val="clear" w:color="auto" w:fill="auto"/>
        <w:tabs>
          <w:tab w:pos="341" w:val="left"/>
        </w:tabs>
        <w:bidi w:val="0"/>
        <w:spacing w:before="0" w:after="0" w:line="311" w:lineRule="exact"/>
        <w:ind w:left="0" w:right="0" w:firstLine="0"/>
        <w:jc w:val="both"/>
      </w:pPr>
      <w:bookmarkStart w:id="429" w:name="bookmark429"/>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根据《股票期权与限制性股票激励计划（草案修订稿）》规定及公司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年第三次临时股东大会的授权，第五届董事会 第十八次会议决定将</w:t>
      </w:r>
      <w:r>
        <w:rPr>
          <w:rFonts w:ascii="Times New Roman" w:eastAsia="Times New Roman" w:hAnsi="Times New Roman" w:cs="Times New Roman"/>
          <w:color w:val="000000"/>
          <w:spacing w:val="0"/>
          <w:w w:val="100"/>
          <w:position w:val="0"/>
        </w:rPr>
        <w:t>2015</w:t>
      </w:r>
      <w:r>
        <w:rPr>
          <w:color w:val="000000"/>
          <w:spacing w:val="0"/>
          <w:w w:val="100"/>
          <w:position w:val="0"/>
        </w:rPr>
        <w:t>年《股票期权与限制性股票激励计划（草案修订稿）》预留的</w:t>
      </w:r>
      <w:r>
        <w:rPr>
          <w:rFonts w:ascii="Times New Roman" w:eastAsia="Times New Roman" w:hAnsi="Times New Roman" w:cs="Times New Roman"/>
          <w:color w:val="000000"/>
          <w:spacing w:val="0"/>
          <w:w w:val="100"/>
          <w:position w:val="0"/>
        </w:rPr>
        <w:t>29.10</w:t>
      </w:r>
      <w:r>
        <w:rPr>
          <w:color w:val="000000"/>
          <w:spacing w:val="0"/>
          <w:w w:val="100"/>
          <w:position w:val="0"/>
        </w:rPr>
        <w:t>万股限制性股票授予</w:t>
      </w:r>
      <w:r>
        <w:rPr>
          <w:rFonts w:ascii="Times New Roman" w:eastAsia="Times New Roman" w:hAnsi="Times New Roman" w:cs="Times New Roman"/>
          <w:color w:val="000000"/>
          <w:spacing w:val="0"/>
          <w:w w:val="100"/>
          <w:position w:val="0"/>
        </w:rPr>
        <w:t>35</w:t>
      </w:r>
      <w:r>
        <w:rPr>
          <w:color w:val="000000"/>
          <w:spacing w:val="0"/>
          <w:w w:val="100"/>
          <w:position w:val="0"/>
        </w:rPr>
        <w:t>名激励 对象，授予日为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日，由于原激励对象中</w:t>
      </w:r>
      <w:r>
        <w:rPr>
          <w:rFonts w:ascii="Times New Roman" w:eastAsia="Times New Roman" w:hAnsi="Times New Roman" w:cs="Times New Roman"/>
          <w:color w:val="000000"/>
          <w:spacing w:val="0"/>
          <w:w w:val="100"/>
          <w:position w:val="0"/>
        </w:rPr>
        <w:t>7</w:t>
      </w:r>
      <w:r>
        <w:rPr>
          <w:color w:val="000000"/>
          <w:spacing w:val="0"/>
          <w:w w:val="100"/>
          <w:position w:val="0"/>
        </w:rPr>
        <w:t>人因离职等个人原因主动放弃拟向其授予 的预留部分限制性股票共计</w:t>
      </w:r>
      <w:r>
        <w:rPr>
          <w:rFonts w:ascii="Times New Roman" w:eastAsia="Times New Roman" w:hAnsi="Times New Roman" w:cs="Times New Roman"/>
          <w:color w:val="000000"/>
          <w:spacing w:val="0"/>
          <w:w w:val="100"/>
          <w:position w:val="0"/>
        </w:rPr>
        <w:t>24,000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年年度权益分派后数量调整为</w:t>
      </w:r>
      <w:r>
        <w:rPr>
          <w:rFonts w:ascii="Times New Roman" w:eastAsia="Times New Roman" w:hAnsi="Times New Roman" w:cs="Times New Roman"/>
          <w:color w:val="000000"/>
          <w:spacing w:val="0"/>
          <w:w w:val="100"/>
          <w:position w:val="0"/>
        </w:rPr>
        <w:t>72,000</w:t>
      </w:r>
      <w:r>
        <w:rPr>
          <w:color w:val="000000"/>
          <w:spacing w:val="0"/>
          <w:w w:val="100"/>
          <w:position w:val="0"/>
        </w:rPr>
        <w:t>股），故依据公司激励计划，公司对激励 对象名单和授予数量进行调整。根据第五届董事会第十九次会议最终决定向</w:t>
      </w:r>
      <w:r>
        <w:rPr>
          <w:rFonts w:ascii="Times New Roman" w:eastAsia="Times New Roman" w:hAnsi="Times New Roman" w:cs="Times New Roman"/>
          <w:color w:val="000000"/>
          <w:spacing w:val="0"/>
          <w:w w:val="100"/>
          <w:position w:val="0"/>
        </w:rPr>
        <w:t>28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80.1</w:t>
      </w:r>
      <w:r>
        <w:rPr>
          <w:color w:val="000000"/>
          <w:spacing w:val="0"/>
          <w:w w:val="100"/>
          <w:position w:val="0"/>
        </w:rPr>
        <w:t>万股限制性股票。预留 部分限制性股票已于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日完成登记。</w:t>
      </w:r>
    </w:p>
    <w:p>
      <w:pPr>
        <w:pStyle w:val="Style29"/>
        <w:keepNext w:val="0"/>
        <w:keepLines w:val="0"/>
        <w:widowControl w:val="0"/>
        <w:shd w:val="clear" w:color="auto" w:fill="auto"/>
        <w:tabs>
          <w:tab w:pos="341" w:val="left"/>
        </w:tabs>
        <w:bidi w:val="0"/>
        <w:spacing w:before="0" w:after="100" w:line="311" w:lineRule="exact"/>
        <w:ind w:left="0" w:right="0" w:firstLine="0"/>
        <w:jc w:val="both"/>
      </w:pPr>
      <w:bookmarkStart w:id="430" w:name="bookmark430"/>
      <w:r>
        <w:rPr>
          <w:rFonts w:ascii="Times New Roman" w:eastAsia="Times New Roman" w:hAnsi="Times New Roman" w:cs="Times New Roman"/>
          <w:color w:val="000000"/>
          <w:spacing w:val="0"/>
          <w:w w:val="100"/>
          <w:position w:val="0"/>
        </w:rPr>
        <w:t>3</w:t>
      </w:r>
      <w:bookmarkEnd w:id="43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日，公司召开第五届董事会第十九次会议，根据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年第三次临时股东大会的授权，审议通过了《关于注销 部分股票期权和回购注销部分限制性股票的议案》。公司监事会、独立董事对本议案发表了同意意见，律师等中介机构出具 相应报告。同意取消离职人员赵峰、郜冬冬</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人的激励对象资格并回购注销其尚未解锁的全部限制性股票，共计</w:t>
      </w:r>
      <w:r>
        <w:rPr>
          <w:rFonts w:ascii="Times New Roman" w:eastAsia="Times New Roman" w:hAnsi="Times New Roman" w:cs="Times New Roman"/>
          <w:color w:val="000000"/>
          <w:spacing w:val="0"/>
          <w:w w:val="100"/>
          <w:position w:val="0"/>
        </w:rPr>
        <w:t>7,500</w:t>
      </w:r>
      <w:r>
        <w:rPr>
          <w:color w:val="000000"/>
          <w:spacing w:val="0"/>
          <w:w w:val="100"/>
          <w:position w:val="0"/>
        </w:rPr>
        <w:t>股。</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日，上述限制性股票已在中国证券登记结算有限责任公司深圳分公司完成注销回购手续。</w:t>
      </w:r>
    </w:p>
    <w:p>
      <w:pPr>
        <w:pStyle w:val="Style29"/>
        <w:keepNext w:val="0"/>
        <w:keepLines w:val="0"/>
        <w:widowControl w:val="0"/>
        <w:shd w:val="clear" w:color="auto" w:fill="auto"/>
        <w:bidi w:val="0"/>
        <w:spacing w:before="0" w:after="120" w:line="311"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 w:line="311" w:lineRule="exact"/>
        <w:ind w:left="0" w:right="0" w:firstLine="0"/>
        <w:jc w:val="both"/>
      </w:pPr>
      <w:bookmarkStart w:id="431" w:name="bookmark431"/>
      <w:r>
        <w:rPr>
          <w:rFonts w:ascii="Times New Roman" w:eastAsia="Times New Roman" w:hAnsi="Times New Roman" w:cs="Times New Roman"/>
          <w:color w:val="000000"/>
          <w:spacing w:val="0"/>
          <w:w w:val="100"/>
          <w:position w:val="0"/>
        </w:rPr>
        <w:t>1</w:t>
      </w:r>
      <w:bookmarkEnd w:id="431"/>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w:t>
      </w:r>
    </w:p>
    <w:p>
      <w:pPr>
        <w:pStyle w:val="Style29"/>
        <w:keepNext w:val="0"/>
        <w:keepLines w:val="0"/>
        <w:widowControl w:val="0"/>
        <w:shd w:val="clear" w:color="auto" w:fill="auto"/>
        <w:tabs>
          <w:tab w:pos="704" w:val="left"/>
        </w:tabs>
        <w:bidi w:val="0"/>
        <w:spacing w:before="0" w:after="40" w:line="311" w:lineRule="exact"/>
        <w:ind w:left="0" w:right="0" w:firstLine="460"/>
        <w:jc w:val="both"/>
      </w:pPr>
      <w:bookmarkStart w:id="432" w:name="bookmark432"/>
      <w:r>
        <w:rPr>
          <w:rFonts w:ascii="Times New Roman" w:eastAsia="Times New Roman" w:hAnsi="Times New Roman" w:cs="Times New Roman"/>
          <w:color w:val="000000"/>
          <w:spacing w:val="0"/>
          <w:w w:val="100"/>
          <w:position w:val="0"/>
        </w:rPr>
        <w:t>2</w:t>
      </w:r>
      <w:bookmarkEnd w:id="432"/>
      <w:r>
        <w:rPr>
          <w:color w:val="000000"/>
          <w:spacing w:val="0"/>
          <w:w w:val="100"/>
          <w:position w:val="0"/>
        </w:rPr>
        <w:t>、</w:t>
        <w:tab/>
        <w:t>根据《股票期权与限制性股票激励计划（草案修订稿）》规定及公司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日，第五届董事会第十八次会议决定将</w:t>
      </w:r>
      <w:r>
        <w:rPr>
          <w:rFonts w:ascii="Times New Roman" w:eastAsia="Times New Roman" w:hAnsi="Times New Roman" w:cs="Times New Roman"/>
          <w:color w:val="000000"/>
          <w:spacing w:val="0"/>
          <w:w w:val="100"/>
          <w:position w:val="0"/>
        </w:rPr>
        <w:t>2015</w:t>
      </w:r>
      <w:r>
        <w:rPr>
          <w:color w:val="000000"/>
          <w:spacing w:val="0"/>
          <w:w w:val="100"/>
          <w:position w:val="0"/>
        </w:rPr>
        <w:t>年《股票期权与限制性股票激励计划（草案修订稿）》预留的</w:t>
      </w:r>
      <w:r>
        <w:rPr>
          <w:rFonts w:ascii="Times New Roman" w:eastAsia="Times New Roman" w:hAnsi="Times New Roman" w:cs="Times New Roman"/>
          <w:color w:val="000000"/>
          <w:spacing w:val="0"/>
          <w:w w:val="100"/>
          <w:position w:val="0"/>
        </w:rPr>
        <w:t>29.10</w:t>
      </w:r>
      <w:r>
        <w:rPr>
          <w:color w:val="000000"/>
          <w:spacing w:val="0"/>
          <w:w w:val="100"/>
          <w:position w:val="0"/>
        </w:rPr>
        <w:t>万股 限制性股票授予</w:t>
      </w:r>
      <w:r>
        <w:rPr>
          <w:rFonts w:ascii="Times New Roman" w:eastAsia="Times New Roman" w:hAnsi="Times New Roman" w:cs="Times New Roman"/>
          <w:color w:val="000000"/>
          <w:spacing w:val="0"/>
          <w:w w:val="100"/>
          <w:position w:val="0"/>
        </w:rPr>
        <w:t>35</w:t>
      </w:r>
      <w:r>
        <w:rPr>
          <w:color w:val="000000"/>
          <w:spacing w:val="0"/>
          <w:w w:val="100"/>
          <w:position w:val="0"/>
        </w:rPr>
        <w:t>名激励对象，授予日为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日，由于原激励对象中</w:t>
      </w:r>
      <w:r>
        <w:rPr>
          <w:rFonts w:ascii="Times New Roman" w:eastAsia="Times New Roman" w:hAnsi="Times New Roman" w:cs="Times New Roman"/>
          <w:color w:val="000000"/>
          <w:spacing w:val="0"/>
          <w:w w:val="100"/>
          <w:position w:val="0"/>
        </w:rPr>
        <w:t>7</w:t>
      </w:r>
      <w:r>
        <w:rPr>
          <w:color w:val="000000"/>
          <w:spacing w:val="0"/>
          <w:w w:val="100"/>
          <w:position w:val="0"/>
        </w:rPr>
        <w:t>人因离职 等个人原因主动放弃拟向其授予的预留部分限制性股票共计</w:t>
      </w:r>
      <w:r>
        <w:rPr>
          <w:rFonts w:ascii="Times New Roman" w:eastAsia="Times New Roman" w:hAnsi="Times New Roman" w:cs="Times New Roman"/>
          <w:color w:val="000000"/>
          <w:spacing w:val="0"/>
          <w:w w:val="100"/>
          <w:position w:val="0"/>
        </w:rPr>
        <w:t>24,000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年年度权益分派后数量调整为</w:t>
      </w:r>
      <w:r>
        <w:rPr>
          <w:rFonts w:ascii="Times New Roman" w:eastAsia="Times New Roman" w:hAnsi="Times New Roman" w:cs="Times New Roman"/>
          <w:color w:val="000000"/>
          <w:spacing w:val="0"/>
          <w:w w:val="100"/>
          <w:position w:val="0"/>
        </w:rPr>
        <w:t>72,000</w:t>
      </w:r>
      <w:r>
        <w:rPr>
          <w:color w:val="000000"/>
          <w:spacing w:val="0"/>
          <w:w w:val="100"/>
          <w:position w:val="0"/>
        </w:rPr>
        <w:t>股），故 依据公司激励计划，公司对激励对象名单和授予数量进行调整。根据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日，第五届董事会第十九次会议最终 决定向</w:t>
      </w:r>
      <w:r>
        <w:rPr>
          <w:rFonts w:ascii="Times New Roman" w:eastAsia="Times New Roman" w:hAnsi="Times New Roman" w:cs="Times New Roman"/>
          <w:color w:val="000000"/>
          <w:spacing w:val="0"/>
          <w:w w:val="100"/>
          <w:position w:val="0"/>
        </w:rPr>
        <w:t>28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80.1</w:t>
      </w:r>
      <w:r>
        <w:rPr>
          <w:color w:val="000000"/>
          <w:spacing w:val="0"/>
          <w:w w:val="100"/>
          <w:position w:val="0"/>
        </w:rPr>
        <w:t>万股限制性股票。预留部分限制性股票已于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日完成登记。</w:t>
      </w:r>
    </w:p>
    <w:p>
      <w:pPr>
        <w:pStyle w:val="Style29"/>
        <w:keepNext w:val="0"/>
        <w:keepLines w:val="0"/>
        <w:widowControl w:val="0"/>
        <w:shd w:val="clear" w:color="auto" w:fill="auto"/>
        <w:tabs>
          <w:tab w:pos="714" w:val="left"/>
        </w:tabs>
        <w:bidi w:val="0"/>
        <w:spacing w:before="0" w:after="40" w:line="312" w:lineRule="exact"/>
        <w:ind w:left="0" w:right="0" w:firstLine="460"/>
        <w:jc w:val="both"/>
      </w:pPr>
      <w:bookmarkStart w:id="433" w:name="bookmark433"/>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日，公司召开第五届董事会第十九次会议，根据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年第三次临时股东大会的授权，审议通过了《关 于注销部分股票期权和回购注销部分限制性股票的议案》。公司监事会、独立董事对本议案发表了同意意见，律师等中介机 构出具相应报告。同意取消离职人员赵峰、郜冬冬</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人的激励对象资格并回购注销其尚未解锁的全部限制性股票，共计</w:t>
      </w:r>
      <w:r>
        <w:rPr>
          <w:rFonts w:ascii="Times New Roman" w:eastAsia="Times New Roman" w:hAnsi="Times New Roman" w:cs="Times New Roman"/>
          <w:color w:val="000000"/>
          <w:spacing w:val="0"/>
          <w:w w:val="100"/>
          <w:position w:val="0"/>
        </w:rPr>
        <w:t xml:space="preserve">7,500 </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日，上述限制性股票已在中国证券登记结算有限责任公司深圳分公司完成注销回购手续。</w:t>
      </w:r>
    </w:p>
    <w:p>
      <w:pPr>
        <w:pStyle w:val="Style29"/>
        <w:keepNext w:val="0"/>
        <w:keepLines w:val="0"/>
        <w:widowControl w:val="0"/>
        <w:shd w:val="clear" w:color="auto" w:fill="auto"/>
        <w:bidi w:val="0"/>
        <w:spacing w:before="0" w:after="120" w:line="311"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11"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73"/>
        <w:gridCol w:w="1258"/>
        <w:gridCol w:w="1560"/>
        <w:gridCol w:w="1560"/>
        <w:gridCol w:w="3514"/>
      </w:tblGrid>
      <w:tr>
        <w:trPr>
          <w:trHeight w:val="408" w:hRule="exact"/>
        </w:trPr>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righ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归属于公司普通股股东的每股净资产</w:t>
            </w:r>
          </w:p>
        </w:tc>
      </w:tr>
      <w:tr>
        <w:trPr>
          <w:trHeight w:val="403" w:hRule="exact"/>
        </w:trPr>
        <w:tc>
          <w:tcPr>
            <w:vMerge w:val="restart"/>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0.93 </w:t>
            </w: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10.66 </w:t>
            </w:r>
            <w:r>
              <w:rPr>
                <w:color w:val="000000"/>
                <w:spacing w:val="0"/>
                <w:w w:val="100"/>
                <w:position w:val="0"/>
              </w:rPr>
              <w:t>元</w:t>
            </w:r>
          </w:p>
        </w:tc>
      </w:tr>
      <w:tr>
        <w:trPr>
          <w:trHeight w:val="403" w:hRule="exact"/>
        </w:trPr>
        <w:tc>
          <w:tcPr>
            <w:vMerge/>
            <w:tcBorders>
              <w:left w:val="single" w:sz="4"/>
            </w:tcBorders>
            <w:shd w:val="clear" w:color="auto" w:fill="BEBEBE"/>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0.31 </w:t>
            </w: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0.31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3.55 </w:t>
            </w:r>
            <w:r>
              <w:rPr>
                <w:color w:val="000000"/>
                <w:spacing w:val="0"/>
                <w:w w:val="100"/>
                <w:position w:val="0"/>
              </w:rPr>
              <w:t>元</w:t>
            </w:r>
          </w:p>
        </w:tc>
      </w:tr>
      <w:tr>
        <w:trPr>
          <w:trHeight w:val="403" w:hRule="exact"/>
        </w:trPr>
        <w:tc>
          <w:tcPr>
            <w:vMerge/>
            <w:tcBorders>
              <w:left w:val="single" w:sz="4"/>
              <w:bottom w:val="single" w:sz="4"/>
            </w:tcBorders>
            <w:shd w:val="clear" w:color="auto" w:fill="BEBEBE"/>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、限售股份变动情况</w:t>
      </w:r>
      <w:bookmarkEnd w:id="434"/>
      <w:bookmarkEnd w:id="435"/>
      <w:bookmarkEnd w:id="437"/>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6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14,529,138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29,058,276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43,587,414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首发前锁定承 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杭州阜康投资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首发前锁定承 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雅戈尔集团股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8,014,286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8,014,286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洪邵平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3,161,217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6,322,434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首发前锁定承 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2,913,348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5,826,696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8,740,044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首发前锁定承 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薛小云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2,428,572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2,428,572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68"/>
        <w:gridCol w:w="1368"/>
        <w:gridCol w:w="1368"/>
        <w:gridCol w:w="1373"/>
        <w:gridCol w:w="1368"/>
        <w:gridCol w:w="1368"/>
        <w:gridCol w:w="136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安丰创业投资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英特尔产品</w:t>
            </w:r>
          </w:p>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（成都）有限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浙江安丰进取 创业投资有限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杭州杭软创业 投资合伙企业</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浙江天堂硅谷 资产管理集团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1,256,158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1,256,158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浙江省兴合集 集团有限责任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1,256,158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1,256,158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戎燕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股权激励计划 授予的限制性 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2,067,500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1,543,116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5,452,884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根据《创业软 件股份有限公 司股票期权与 限制性股票激 励计划（草案 修订稿）执行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40"/>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53,067,500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23,439,413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63,135,906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92,763,993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27"/>
        <w:keepNext/>
        <w:keepLines/>
        <w:widowControl w:val="0"/>
        <w:shd w:val="clear" w:color="auto" w:fill="auto"/>
        <w:bidi w:val="0"/>
        <w:spacing w:before="0" w:after="34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sz w:val="24"/>
          <w:szCs w:val="24"/>
        </w:rPr>
        <w:t>二</w:t>
      </w:r>
      <w:bookmarkEnd w:id="440"/>
      <w:r>
        <w:rPr>
          <w:color w:val="000000"/>
          <w:spacing w:val="0"/>
          <w:w w:val="100"/>
          <w:position w:val="0"/>
          <w:sz w:val="24"/>
          <w:szCs w:val="24"/>
        </w:rPr>
        <w:t>、证券发行与上市情况</w:t>
      </w:r>
      <w:bookmarkEnd w:id="438"/>
      <w:bookmarkEnd w:id="439"/>
      <w:bookmarkEnd w:id="441"/>
    </w:p>
    <w:p>
      <w:pPr>
        <w:pStyle w:val="Style35"/>
        <w:keepNext/>
        <w:keepLines/>
        <w:widowControl w:val="0"/>
        <w:shd w:val="clear" w:color="auto" w:fill="auto"/>
        <w:tabs>
          <w:tab w:pos="368" w:val="left"/>
        </w:tabs>
        <w:bidi w:val="0"/>
        <w:spacing w:before="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w:t>
        <w:tab/>
        <w:t>报告期内证券发行（不含优先股）情况</w:t>
      </w:r>
      <w:bookmarkEnd w:id="442"/>
      <w:bookmarkEnd w:id="443"/>
      <w:bookmarkEnd w:id="445"/>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公司股份总数及股东结构的变动、公司资产和负债结构的变动情况说明</w:t>
      </w:r>
      <w:bookmarkEnd w:id="446"/>
      <w:bookmarkEnd w:id="447"/>
      <w:bookmarkEnd w:id="449"/>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40" w:line="312" w:lineRule="exact"/>
        <w:ind w:left="0" w:right="0" w:firstLine="0"/>
        <w:jc w:val="both"/>
      </w:pPr>
      <w:bookmarkStart w:id="450" w:name="bookmark450"/>
      <w:r>
        <w:rPr>
          <w:rFonts w:ascii="Times New Roman" w:eastAsia="Times New Roman" w:hAnsi="Times New Roman" w:cs="Times New Roman"/>
          <w:color w:val="000000"/>
          <w:spacing w:val="0"/>
          <w:w w:val="100"/>
          <w:position w:val="0"/>
        </w:rPr>
        <w:t>1</w:t>
      </w:r>
      <w:bookmarkEnd w:id="450"/>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 股本</w:t>
      </w:r>
      <w:r>
        <w:rPr>
          <w:rFonts w:ascii="Times New Roman" w:eastAsia="Times New Roman" w:hAnsi="Times New Roman" w:cs="Times New Roman"/>
          <w:color w:val="000000"/>
          <w:spacing w:val="0"/>
          <w:w w:val="100"/>
          <w:position w:val="0"/>
        </w:rPr>
        <w:t>70,067,500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1.5</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20</w:t>
      </w:r>
      <w:r>
        <w:rPr>
          <w:color w:val="000000"/>
          <w:spacing w:val="0"/>
          <w:w w:val="100"/>
          <w:position w:val="0"/>
        </w:rPr>
        <w:t>股，合计转增</w:t>
      </w:r>
      <w:r>
        <w:rPr>
          <w:rFonts w:ascii="Times New Roman" w:eastAsia="Times New Roman" w:hAnsi="Times New Roman" w:cs="Times New Roman"/>
          <w:color w:val="000000"/>
          <w:spacing w:val="0"/>
          <w:w w:val="100"/>
          <w:position w:val="0"/>
        </w:rPr>
        <w:t>140,135,000</w:t>
      </w:r>
      <w:r>
        <w:rPr>
          <w:color w:val="000000"/>
          <w:spacing w:val="0"/>
          <w:w w:val="100"/>
          <w:position w:val="0"/>
        </w:rPr>
        <w:t>股。上述利润分配方案已于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日实施完毕，公司注册资本增加人民币</w:t>
      </w:r>
    </w:p>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140,135,000.00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210,202,500.00</w:t>
      </w:r>
      <w:r>
        <w:rPr>
          <w:color w:val="000000"/>
          <w:spacing w:val="0"/>
          <w:w w:val="100"/>
          <w:position w:val="0"/>
        </w:rPr>
        <w:t>。</w:t>
      </w:r>
    </w:p>
    <w:p>
      <w:pPr>
        <w:pStyle w:val="Style29"/>
        <w:keepNext w:val="0"/>
        <w:keepLines w:val="0"/>
        <w:widowControl w:val="0"/>
        <w:shd w:val="clear" w:color="auto" w:fill="auto"/>
        <w:tabs>
          <w:tab w:pos="672" w:val="left"/>
        </w:tabs>
        <w:bidi w:val="0"/>
        <w:spacing w:before="0" w:after="0" w:line="311" w:lineRule="exact"/>
        <w:ind w:left="0" w:right="0"/>
        <w:jc w:val="both"/>
      </w:pPr>
      <w:bookmarkStart w:id="451" w:name="bookmark451"/>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根据《股票期权与限制性股票激励计划（草案修订稿）》规定及公司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年第三次临时股东大会的授权，第五届董 事会第十八次会议决定将</w:t>
      </w:r>
      <w:r>
        <w:rPr>
          <w:rFonts w:ascii="Times New Roman" w:eastAsia="Times New Roman" w:hAnsi="Times New Roman" w:cs="Times New Roman"/>
          <w:color w:val="000000"/>
          <w:spacing w:val="0"/>
          <w:w w:val="100"/>
          <w:position w:val="0"/>
        </w:rPr>
        <w:t>2015</w:t>
      </w:r>
      <w:r>
        <w:rPr>
          <w:color w:val="000000"/>
          <w:spacing w:val="0"/>
          <w:w w:val="100"/>
          <w:position w:val="0"/>
        </w:rPr>
        <w:t>年《股票期权与限制性股票激励计划（草案修订稿）》预留的</w:t>
      </w:r>
      <w:r>
        <w:rPr>
          <w:rFonts w:ascii="Times New Roman" w:eastAsia="Times New Roman" w:hAnsi="Times New Roman" w:cs="Times New Roman"/>
          <w:color w:val="000000"/>
          <w:spacing w:val="0"/>
          <w:w w:val="100"/>
          <w:position w:val="0"/>
        </w:rPr>
        <w:t>29.10</w:t>
      </w:r>
      <w:r>
        <w:rPr>
          <w:color w:val="000000"/>
          <w:spacing w:val="0"/>
          <w:w w:val="100"/>
          <w:position w:val="0"/>
        </w:rPr>
        <w:t>万股限制性股票授予</w:t>
      </w:r>
      <w:r>
        <w:rPr>
          <w:rFonts w:ascii="Times New Roman" w:eastAsia="Times New Roman" w:hAnsi="Times New Roman" w:cs="Times New Roman"/>
          <w:color w:val="000000"/>
          <w:spacing w:val="0"/>
          <w:w w:val="100"/>
          <w:position w:val="0"/>
        </w:rPr>
        <w:t>35</w:t>
      </w:r>
      <w:r>
        <w:rPr>
          <w:color w:val="000000"/>
          <w:spacing w:val="0"/>
          <w:w w:val="100"/>
          <w:position w:val="0"/>
        </w:rPr>
        <w:t>名 激励对象，授予日为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日，由于原激励对象中</w:t>
      </w:r>
      <w:r>
        <w:rPr>
          <w:rFonts w:ascii="Times New Roman" w:eastAsia="Times New Roman" w:hAnsi="Times New Roman" w:cs="Times New Roman"/>
          <w:color w:val="000000"/>
          <w:spacing w:val="0"/>
          <w:w w:val="100"/>
          <w:position w:val="0"/>
        </w:rPr>
        <w:t>7</w:t>
      </w:r>
      <w:r>
        <w:rPr>
          <w:color w:val="000000"/>
          <w:spacing w:val="0"/>
          <w:w w:val="100"/>
          <w:position w:val="0"/>
        </w:rPr>
        <w:t>人因离职等个人原因主动放弃拟向其 授予的预留部分限制性股票共计</w:t>
      </w:r>
      <w:r>
        <w:rPr>
          <w:rFonts w:ascii="Times New Roman" w:eastAsia="Times New Roman" w:hAnsi="Times New Roman" w:cs="Times New Roman"/>
          <w:color w:val="000000"/>
          <w:spacing w:val="0"/>
          <w:w w:val="100"/>
          <w:position w:val="0"/>
        </w:rPr>
        <w:t>24,000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年年度权益分派后数量调整为</w:t>
      </w:r>
      <w:r>
        <w:rPr>
          <w:rFonts w:ascii="Times New Roman" w:eastAsia="Times New Roman" w:hAnsi="Times New Roman" w:cs="Times New Roman"/>
          <w:color w:val="000000"/>
          <w:spacing w:val="0"/>
          <w:w w:val="100"/>
          <w:position w:val="0"/>
        </w:rPr>
        <w:t>72,000</w:t>
      </w:r>
      <w:r>
        <w:rPr>
          <w:color w:val="000000"/>
          <w:spacing w:val="0"/>
          <w:w w:val="100"/>
          <w:position w:val="0"/>
        </w:rPr>
        <w:t>股），故依据公司激励计划，公司对 激励对象名单和授予数量进行调整。根据第五届董事会第十九次会议最终决定向</w:t>
      </w:r>
      <w:r>
        <w:rPr>
          <w:rFonts w:ascii="Times New Roman" w:eastAsia="Times New Roman" w:hAnsi="Times New Roman" w:cs="Times New Roman"/>
          <w:color w:val="000000"/>
          <w:spacing w:val="0"/>
          <w:w w:val="100"/>
          <w:position w:val="0"/>
        </w:rPr>
        <w:t>28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80.1</w:t>
      </w:r>
      <w:r>
        <w:rPr>
          <w:color w:val="000000"/>
          <w:spacing w:val="0"/>
          <w:w w:val="100"/>
          <w:position w:val="0"/>
        </w:rPr>
        <w:t>万股限制性股票。 预留部分限制性股票已于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日完成登记，本次定向发行预留部分限制性股票后，公司实收资本增加人民币</w:t>
      </w:r>
      <w:r>
        <w:rPr>
          <w:rFonts w:ascii="Times New Roman" w:eastAsia="Times New Roman" w:hAnsi="Times New Roman" w:cs="Times New Roman"/>
          <w:color w:val="000000"/>
          <w:spacing w:val="0"/>
          <w:w w:val="100"/>
          <w:position w:val="0"/>
        </w:rPr>
        <w:t xml:space="preserve">801,000.00, </w:t>
      </w:r>
      <w:r>
        <w:rPr>
          <w:color w:val="000000"/>
          <w:spacing w:val="0"/>
          <w:w w:val="100"/>
          <w:position w:val="0"/>
        </w:rPr>
        <w:t>累积实收资本为</w:t>
      </w:r>
      <w:r>
        <w:rPr>
          <w:rFonts w:ascii="Times New Roman" w:eastAsia="Times New Roman" w:hAnsi="Times New Roman" w:cs="Times New Roman"/>
          <w:color w:val="000000"/>
          <w:spacing w:val="0"/>
          <w:w w:val="100"/>
          <w:position w:val="0"/>
        </w:rPr>
        <w:t>211,003,500.00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其中，有限售条件的流通股</w:t>
      </w:r>
      <w:r>
        <w:rPr>
          <w:rFonts w:ascii="Times New Roman" w:eastAsia="Times New Roman" w:hAnsi="Times New Roman" w:cs="Times New Roman"/>
          <w:color w:val="000000"/>
          <w:spacing w:val="0"/>
          <w:w w:val="100"/>
          <w:position w:val="0"/>
        </w:rPr>
        <w:t>94,314,609.00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占注册资本的</w:t>
      </w:r>
      <w:r>
        <w:rPr>
          <w:rFonts w:ascii="Times New Roman" w:eastAsia="Times New Roman" w:hAnsi="Times New Roman" w:cs="Times New Roman"/>
          <w:color w:val="000000"/>
          <w:spacing w:val="0"/>
          <w:w w:val="100"/>
          <w:position w:val="0"/>
        </w:rPr>
        <w:t>44.7%</w:t>
      </w:r>
      <w:r>
        <w:rPr>
          <w:color w:val="000000"/>
          <w:spacing w:val="0"/>
          <w:w w:val="100"/>
          <w:position w:val="0"/>
        </w:rPr>
        <w:t xml:space="preserve">；无限售条件的流通股 </w:t>
      </w:r>
      <w:r>
        <w:rPr>
          <w:rFonts w:ascii="Times New Roman" w:eastAsia="Times New Roman" w:hAnsi="Times New Roman" w:cs="Times New Roman"/>
          <w:color w:val="000000"/>
          <w:spacing w:val="0"/>
          <w:w w:val="100"/>
          <w:position w:val="0"/>
        </w:rPr>
        <w:t>116,688,891.00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55.30%</w:t>
      </w:r>
      <w:r>
        <w:rPr>
          <w:color w:val="000000"/>
          <w:spacing w:val="0"/>
          <w:w w:val="100"/>
          <w:position w:val="0"/>
        </w:rPr>
        <w:t>。</w:t>
      </w:r>
    </w:p>
    <w:p>
      <w:pPr>
        <w:pStyle w:val="Style29"/>
        <w:keepNext w:val="0"/>
        <w:keepLines w:val="0"/>
        <w:widowControl w:val="0"/>
        <w:shd w:val="clear" w:color="auto" w:fill="auto"/>
        <w:tabs>
          <w:tab w:pos="691" w:val="left"/>
        </w:tabs>
        <w:bidi w:val="0"/>
        <w:spacing w:before="0" w:after="360" w:line="311" w:lineRule="exact"/>
        <w:ind w:left="0" w:right="0"/>
        <w:jc w:val="both"/>
      </w:pPr>
      <w:bookmarkStart w:id="452" w:name="bookmark452"/>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日，公司召开第五届董事会第十九次会议，根据</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年第三次临时股东大会的授权，审议通过了《关于 注销部分股票期权和回购注销部分限制性股票的议案》。公司监事会、独立董事对本议案发表了同意意见，律师等中介机构 出具相应报告。同意取消离职人员赵峰、郜冬冬</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人的激励对象资格并回购注销其尚未解锁的全部限制性股票，共计</w:t>
      </w:r>
      <w:r>
        <w:rPr>
          <w:rFonts w:ascii="Times New Roman" w:eastAsia="Times New Roman" w:hAnsi="Times New Roman" w:cs="Times New Roman"/>
          <w:color w:val="000000"/>
          <w:spacing w:val="0"/>
          <w:w w:val="100"/>
          <w:position w:val="0"/>
        </w:rPr>
        <w:t>7500</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日，上述限制性股票已在中国证券登记结算有限责任公司深圳分公司完成注销回购手续，变更后公司注册资本 为人民币</w:t>
      </w:r>
      <w:r>
        <w:rPr>
          <w:rFonts w:ascii="Times New Roman" w:eastAsia="Times New Roman" w:hAnsi="Times New Roman" w:cs="Times New Roman"/>
          <w:color w:val="000000"/>
          <w:spacing w:val="0"/>
          <w:w w:val="100"/>
          <w:position w:val="0"/>
        </w:rPr>
        <w:t>210,996,000.00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、现存的内部职工股情况</w:t>
      </w:r>
      <w:bookmarkEnd w:id="453"/>
      <w:bookmarkEnd w:id="454"/>
      <w:bookmarkEnd w:id="456"/>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三</w:t>
      </w:r>
      <w:bookmarkEnd w:id="459"/>
      <w:r>
        <w:rPr>
          <w:color w:val="000000"/>
          <w:spacing w:val="0"/>
          <w:w w:val="100"/>
          <w:position w:val="0"/>
          <w:sz w:val="24"/>
          <w:szCs w:val="24"/>
        </w:rPr>
        <w:t>、股东和实际控制人情况</w:t>
      </w:r>
      <w:bookmarkEnd w:id="457"/>
      <w:bookmarkEnd w:id="458"/>
      <w:bookmarkEnd w:id="460"/>
    </w:p>
    <w:p>
      <w:pPr>
        <w:pStyle w:val="Style35"/>
        <w:keepNext/>
        <w:keepLines/>
        <w:widowControl w:val="0"/>
        <w:shd w:val="clear" w:color="auto" w:fill="auto"/>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、公司股东数量及持股情况</w:t>
      </w:r>
      <w:bookmarkEnd w:id="461"/>
      <w:bookmarkEnd w:id="462"/>
      <w:bookmarkEnd w:id="46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58"/>
        <w:gridCol w:w="816"/>
        <w:gridCol w:w="336"/>
        <w:gridCol w:w="456"/>
        <w:gridCol w:w="811"/>
        <w:gridCol w:w="811"/>
        <w:gridCol w:w="312"/>
        <w:gridCol w:w="1037"/>
        <w:gridCol w:w="293"/>
        <w:gridCol w:w="1061"/>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16,706</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15,361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报告期末表决 权恢复的优先 股股东总数</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43,587,</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43,587,</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33,000,000</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杭州阜康投资 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25,500,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25,500,</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雅戈尔集团股 份有限公司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24,042,</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24,042,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洪邵平</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9,483,6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9,483,6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9,483,651</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8,740,0</w:t>
            </w:r>
          </w:p>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8,740,0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8,740,000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薛小云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7,285,7</w:t>
            </w:r>
          </w:p>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7,285,7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7,285,716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安丰创业投资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5,745,7</w:t>
            </w:r>
          </w:p>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5,745,7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4,500,000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杭州杭软创业 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5,464,2</w:t>
            </w:r>
          </w:p>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5,464,2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兴业银行股份 有限公司一中 邮战略新兴产 业混合型证券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4,925,5</w:t>
            </w:r>
          </w:p>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4,925,5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浙江安丰进取 创业投资有限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4,146,3</w:t>
            </w:r>
          </w:p>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4,146,3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公司控股股东、实际控制人为葛航；杭州阜康投资有限公司为实际控制人控制的公 司。安丰创业投资有限公司和浙江安丰进取创业投资有限公司公司为一致行动人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雅戈尔集团股份有限公司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24,042,858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24,042,858</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薛小云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7,285,716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7,285,716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安丰创业投资有限公司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5,745,716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5,745,716</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杭州杭软创业投资合伙企业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r>
              <w:rPr>
                <w:color w:val="000000"/>
                <w:spacing w:val="0"/>
                <w:w w:val="100"/>
                <w:position w:val="0"/>
              </w:rPr>
              <w:t>）</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5,464,287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5,464,287</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兴业银行股份有限公司一中邮战 略新兴产业混合型证券投资基金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4,925,565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4,925,565</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浙江安丰进取创业投资有限公司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4,146,312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4,146,312</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浙江天堂硅谷资产管理集团有限 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3,768,474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3,768,474</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浙江省兴合集团有限责任公司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3,768,474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3,768,474</w:t>
            </w:r>
          </w:p>
        </w:tc>
      </w:tr>
      <w:tr>
        <w:trPr>
          <w:trHeight w:val="40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2,879,100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2,879,100</w:t>
            </w:r>
          </w:p>
        </w:tc>
      </w:tr>
    </w:tbl>
    <w:p>
      <w:pPr>
        <w:spacing w:lineRule="exact" w:line="1"/>
        <w:rPr>
          <w:sz w:val="2"/>
          <w:szCs w:val="2"/>
        </w:rPr>
      </w:pPr>
      <w:r>
        <w:br w:type="page"/>
      </w:r>
    </w:p>
    <w:tbl>
      <w:tblPr>
        <w:tblOverlap w:val="never"/>
        <w:jc w:val="center"/>
        <w:tblLayout w:type="fixed"/>
      </w:tblPr>
      <w:tblGrid>
        <w:gridCol w:w="2885"/>
        <w:gridCol w:w="3989"/>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中国农业银行股份有限公司一中 邮信息产业灵活配置混合型证券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2,528,508</w:t>
            </w:r>
          </w:p>
        </w:tc>
      </w:tr>
      <w:tr>
        <w:trPr>
          <w:trHeight w:val="134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安丰创业投资有限公司和浙江安丰进取创业投资有限公司为一致行动人。其余无限 售流通股股东，公司未知其之间是否存在关联关系或一致行动的情况</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、公司控股股东情况</w:t>
      </w:r>
      <w:bookmarkEnd w:id="465"/>
      <w:bookmarkEnd w:id="466"/>
      <w:bookmarkEnd w:id="46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3</w:t>
      </w:r>
      <w:bookmarkEnd w:id="471"/>
      <w:r>
        <w:rPr>
          <w:color w:val="000000"/>
          <w:spacing w:val="0"/>
          <w:w w:val="100"/>
          <w:position w:val="0"/>
        </w:rPr>
        <w:t>、公司实际控制人情况</w:t>
      </w:r>
      <w:bookmarkEnd w:id="469"/>
      <w:bookmarkEnd w:id="470"/>
      <w:bookmarkEnd w:id="47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88" w:right="1041" w:bottom="1455" w:left="995"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24"/>
        <w:keepNext w:val="0"/>
        <w:keepLines w:val="0"/>
        <w:widowControl w:val="0"/>
        <w:shd w:val="clear" w:color="auto" w:fill="auto"/>
        <w:bidi w:val="0"/>
        <w:spacing w:before="0" w:after="0" w:line="240" w:lineRule="auto"/>
        <w:ind w:left="2020" w:right="0" w:firstLine="0"/>
        <w:jc w:val="left"/>
        <w:rPr>
          <w:sz w:val="20"/>
          <w:szCs w:val="20"/>
        </w:rPr>
      </w:pPr>
      <w:r>
        <w:rPr>
          <w:rFonts w:ascii="SimHei" w:eastAsia="SimHei" w:hAnsi="SimHei" w:cs="SimHei"/>
          <w:color w:val="626165"/>
          <w:spacing w:val="0"/>
          <w:w w:val="100"/>
          <w:position w:val="0"/>
          <w:sz w:val="20"/>
          <w:szCs w:val="20"/>
        </w:rPr>
        <w:t>报告期内公司与实际捽制人之间控制关系图如下:</w:t>
      </w:r>
    </w:p>
    <w:p>
      <w:pPr>
        <w:widowControl w:val="0"/>
        <w:spacing w:line="1" w:lineRule="exact"/>
        <w:sectPr>
          <w:footnotePr>
            <w:pos w:val="pageBottom"/>
            <w:numFmt w:val="decimal"/>
            <w:numRestart w:val="continuous"/>
          </w:footnotePr>
          <w:pgSz w:w="11900" w:h="16840"/>
          <w:pgMar w:top="1940" w:right="1193" w:bottom="1638" w:left="1126" w:header="0" w:footer="3" w:gutter="0"/>
          <w:cols w:space="720"/>
          <w:noEndnote/>
          <w:rtlGutter w:val="0"/>
          <w:docGrid w:linePitch="360"/>
        </w:sectPr>
      </w:pPr>
      <w:r>
        <mc:AlternateContent>
          <mc:Choice Requires="wps">
            <w:drawing>
              <wp:anchor distT="355600" distB="0" distL="0" distR="0" simplePos="0" relativeHeight="125829378" behindDoc="0" locked="0" layoutInCell="1" allowOverlap="1">
                <wp:simplePos x="0" y="0"/>
                <wp:positionH relativeFrom="page">
                  <wp:posOffset>3175000</wp:posOffset>
                </wp:positionH>
                <wp:positionV relativeFrom="paragraph">
                  <wp:posOffset>355600</wp:posOffset>
                </wp:positionV>
                <wp:extent cx="179705" cy="646430"/>
                <wp:wrapTopAndBottom/>
                <wp:docPr id="11" name="Shape 11"/>
                <a:graphic xmlns:a="http://schemas.openxmlformats.org/drawingml/2006/main">
                  <a:graphicData uri="http://schemas.microsoft.com/office/word/2010/wordprocessingShape">
                    <wps:wsp>
                      <wps:cNvSpPr txBox="1"/>
                      <wps:spPr>
                        <a:xfrm>
                          <a:ext cx="179705" cy="64643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中宇科技</w:t>
                            </w:r>
                          </w:p>
                        </w:txbxContent>
                      </wps:txbx>
                      <wps:bodyPr upright="1" vert="eaVert" lIns="0" tIns="0" rIns="0" bIns="0">
                        <a:noAutoFit/>
                      </wps:bodyPr>
                    </wps:wsp>
                  </a:graphicData>
                </a:graphic>
              </wp:anchor>
            </w:drawing>
          </mc:Choice>
          <mc:Fallback>
            <w:pict>
              <v:shape id="_x0000_s1037" type="#_x0000_t202" style="position:absolute;margin-left:250.pt;margin-top:28.pt;width:14.15pt;height:50.899999999999999pt;z-index:-125829375;mso-wrap-distance-left:0;mso-wrap-distance-top:28.pt;mso-wrap-distance-right:0;mso-position-horizontal-relative:page" filled="f" stroked="f">
                <v:textbox style="layout-flow:vertical-ideographic" inset="0,0,0,0">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中宇科技</w:t>
                      </w:r>
                    </w:p>
                  </w:txbxContent>
                </v:textbox>
                <w10:wrap type="topAndBottom" anchorx="page"/>
              </v:shape>
            </w:pict>
          </mc:Fallback>
        </mc:AlternateContent>
      </w:r>
      <w:r>
        <mc:AlternateContent>
          <mc:Choice Requires="wps">
            <w:drawing>
              <wp:anchor distT="394970" distB="55245" distL="0" distR="0" simplePos="0" relativeHeight="125829380" behindDoc="0" locked="0" layoutInCell="1" allowOverlap="1">
                <wp:simplePos x="0" y="0"/>
                <wp:positionH relativeFrom="page">
                  <wp:posOffset>4187190</wp:posOffset>
                </wp:positionH>
                <wp:positionV relativeFrom="paragraph">
                  <wp:posOffset>394970</wp:posOffset>
                </wp:positionV>
                <wp:extent cx="167640" cy="551815"/>
                <wp:wrapTopAndBottom/>
                <wp:docPr id="13" name="Shape 13"/>
                <a:graphic xmlns:a="http://schemas.openxmlformats.org/drawingml/2006/main">
                  <a:graphicData uri="http://schemas.microsoft.com/office/word/2010/wordprocessingShape">
                    <wps:wsp>
                      <wps:cNvSpPr txBox="1"/>
                      <wps:spPr>
                        <a:xfrm>
                          <a:ext cx="167640" cy="55181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both"/>
                            </w:pPr>
                            <w:r>
                              <w:rPr>
                                <w:spacing w:val="0"/>
                                <w:w w:val="100"/>
                                <w:position w:val="0"/>
                              </w:rPr>
                              <w:t>葛毓</w:t>
                            </w:r>
                          </w:p>
                        </w:txbxContent>
                      </wps:txbx>
                      <wps:bodyPr upright="1" vert="eaVert" lIns="0" tIns="0" rIns="0" bIns="0">
                        <a:noAutoFit/>
                      </wps:bodyPr>
                    </wps:wsp>
                  </a:graphicData>
                </a:graphic>
              </wp:anchor>
            </w:drawing>
          </mc:Choice>
          <mc:Fallback>
            <w:pict>
              <v:shape id="_x0000_s1039" type="#_x0000_t202" style="position:absolute;margin-left:329.69999999999999pt;margin-top:31.100000000000001pt;width:13.200000000000001pt;height:43.450000000000003pt;z-index:-125829373;mso-wrap-distance-left:0;mso-wrap-distance-top:31.100000000000001pt;mso-wrap-distance-right:0;mso-wrap-distance-bottom:4.3500000000000005pt;mso-position-horizontal-relative:page" filled="f" stroked="f">
                <v:textbox style="layout-flow:vertical-ideographic" inset="0,0,0,0">
                  <w:txbxContent>
                    <w:p>
                      <w:pPr>
                        <w:pStyle w:val="Style54"/>
                        <w:keepNext w:val="0"/>
                        <w:keepLines w:val="0"/>
                        <w:widowControl w:val="0"/>
                        <w:shd w:val="clear" w:color="auto" w:fill="auto"/>
                        <w:bidi w:val="0"/>
                        <w:spacing w:before="0" w:after="0" w:line="240" w:lineRule="auto"/>
                        <w:ind w:left="0" w:right="0" w:firstLine="0"/>
                        <w:jc w:val="both"/>
                      </w:pPr>
                      <w:r>
                        <w:rPr>
                          <w:spacing w:val="0"/>
                          <w:w w:val="100"/>
                          <w:position w:val="0"/>
                        </w:rPr>
                        <w:t>葛毓</w:t>
                      </w:r>
                    </w:p>
                  </w:txbxContent>
                </v:textbox>
                <w10:wrap type="topAndBottom" anchorx="page"/>
              </v:shape>
            </w:pict>
          </mc:Fallback>
        </mc:AlternateConten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40" w:right="0" w:bottom="1638"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454347"/>
          <w:spacing w:val="0"/>
          <w:w w:val="100"/>
          <w:position w:val="0"/>
        </w:rPr>
        <w:t>66.17%</w:t>
      </w:r>
    </w:p>
    <w:p>
      <w:pPr>
        <w:widowControl w:val="0"/>
        <w:spacing w:line="1" w:lineRule="exact"/>
        <w:sectPr>
          <w:footnotePr>
            <w:pos w:val="pageBottom"/>
            <w:numFmt w:val="decimal"/>
            <w:numRestart w:val="continuous"/>
          </w:footnotePr>
          <w:type w:val="continuous"/>
          <w:pgSz w:w="11900" w:h="16840"/>
          <w:pgMar w:top="1940" w:right="1193" w:bottom="1638" w:left="1126" w:header="0" w:footer="3" w:gutter="0"/>
          <w:cols w:space="720"/>
          <w:noEndnote/>
          <w:rtlGutter w:val="0"/>
          <w:docGrid w:linePitch="360"/>
        </w:sectPr>
      </w:pPr>
      <w:r>
        <w:drawing>
          <wp:anchor distT="647700" distB="0" distL="0" distR="0" simplePos="0" relativeHeight="125829382" behindDoc="0" locked="0" layoutInCell="1" allowOverlap="1">
            <wp:simplePos x="0" y="0"/>
            <wp:positionH relativeFrom="page">
              <wp:posOffset>4269105</wp:posOffset>
            </wp:positionH>
            <wp:positionV relativeFrom="paragraph">
              <wp:posOffset>647700</wp:posOffset>
            </wp:positionV>
            <wp:extent cx="389890" cy="12827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389890" cy="12827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1489" w:left="0" w:header="0" w:footer="3" w:gutter="0"/>
          <w:cols w:space="720"/>
          <w:noEndnote/>
          <w:rtlGutter w:val="0"/>
          <w:docGrid w:linePitch="360"/>
        </w:sectPr>
      </w:pPr>
    </w:p>
    <w:p>
      <w:pPr>
        <w:pStyle w:val="Style24"/>
        <w:keepNext w:val="0"/>
        <w:keepLines w:val="0"/>
        <w:widowControl w:val="0"/>
        <w:shd w:val="clear" w:color="auto" w:fill="auto"/>
        <w:bidi w:val="0"/>
        <w:spacing w:before="0" w:after="279" w:line="240" w:lineRule="auto"/>
        <w:ind w:left="0" w:right="0" w:firstLine="0"/>
        <w:jc w:val="center"/>
      </w:pPr>
      <w:r>
        <w:rPr>
          <w:rFonts w:ascii="Times New Roman" w:eastAsia="Times New Roman" w:hAnsi="Times New Roman" w:cs="Times New Roman"/>
          <w:b/>
          <w:bCs/>
          <w:color w:val="454347"/>
          <w:spacing w:val="0"/>
          <w:w w:val="100"/>
          <w:position w:val="0"/>
        </w:rPr>
        <w:t>12.09%</w:t>
      </w:r>
    </w:p>
    <w:p>
      <w:pPr>
        <w:pStyle w:val="Style27"/>
        <w:keepNext/>
        <w:keepLines/>
        <w:widowControl w:val="0"/>
        <w:pBdr>
          <w:top w:val="single" w:sz="4" w:space="11" w:color="FB514E"/>
          <w:left w:val="single" w:sz="4" w:space="0" w:color="FB514E"/>
          <w:bottom w:val="single" w:sz="4" w:space="12" w:color="FB514E"/>
          <w:right w:val="single" w:sz="4" w:space="0" w:color="FB514E"/>
        </w:pBdr>
        <w:shd w:val="clear" w:color="auto" w:fill="FB514E"/>
        <w:bidi w:val="0"/>
        <w:spacing w:before="0" w:after="620" w:line="240" w:lineRule="auto"/>
        <w:ind w:left="0" w:right="0" w:firstLine="0"/>
        <w:jc w:val="center"/>
      </w:pPr>
      <w:bookmarkStart w:id="476" w:name="bookmark476"/>
      <w:bookmarkStart w:id="477" w:name="bookmark477"/>
      <w:bookmarkStart w:id="478" w:name="bookmark478"/>
      <w:r>
        <w:rPr>
          <w:color w:val="881312"/>
          <w:spacing w:val="0"/>
          <w:w w:val="100"/>
          <w:position w:val="0"/>
          <w:sz w:val="24"/>
          <w:szCs w:val="24"/>
        </w:rPr>
        <w:t>创业软件股份有限公司</w:t>
      </w:r>
      <w:bookmarkEnd w:id="476"/>
      <w:bookmarkEnd w:id="477"/>
      <w:bookmarkEnd w:id="47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9"/>
      <w:bookmarkEnd w:id="480"/>
      <w:bookmarkEnd w:id="482"/>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1"/>
        <w:gridCol w:w="1637"/>
        <w:gridCol w:w="213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主要经营业务或管理活 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杭州阜康投资有限公司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洪邵平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实业投资、投资咨询（除 证券、期货）、企业管理 咨询</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雅戈尔集团股份有限公司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李如成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1993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2,558,176,681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服装服饰产品及服装辅 料的设计、制造、销售、 进出口贸易和房地产</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、控股股东、实际控制人、重组方及其他承诺主体股份限制减持情况</w:t>
      </w:r>
      <w:bookmarkEnd w:id="483"/>
      <w:bookmarkEnd w:id="484"/>
      <w:bookmarkEnd w:id="48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3" behindDoc="0" locked="0" layoutInCell="1" allowOverlap="1">
                <wp:simplePos x="0" y="0"/>
                <wp:positionH relativeFrom="page">
                  <wp:posOffset>2719070</wp:posOffset>
                </wp:positionH>
                <wp:positionV relativeFrom="paragraph">
                  <wp:posOffset>0</wp:posOffset>
                </wp:positionV>
                <wp:extent cx="2164080" cy="243840"/>
                <wp:wrapTopAndBottom/>
                <wp:docPr id="17" name="Shape 17"/>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73" w:name="bookmark473"/>
                            <w:bookmarkStart w:id="474" w:name="bookmark474"/>
                            <w:bookmarkStart w:id="475" w:name="bookmark475"/>
                            <w:r>
                              <w:rPr>
                                <w:color w:val="000000"/>
                                <w:spacing w:val="0"/>
                                <w:w w:val="100"/>
                                <w:position w:val="0"/>
                              </w:rPr>
                              <w:t>第七节优先股相关情况</w:t>
                            </w:r>
                            <w:bookmarkEnd w:id="473"/>
                            <w:bookmarkEnd w:id="474"/>
                            <w:bookmarkEnd w:id="475"/>
                          </w:p>
                        </w:txbxContent>
                      </wps:txbx>
                      <wps:bodyPr wrap="none" lIns="0" tIns="0" rIns="0" bIns="0">
                        <a:noAutoFit/>
                      </wps:bodyPr>
                    </wps:wsp>
                  </a:graphicData>
                </a:graphic>
              </wp:anchor>
            </w:drawing>
          </mc:Choice>
          <mc:Fallback>
            <w:pict>
              <v:shape id="_x0000_s1043" type="#_x0000_t202" style="position:absolute;margin-left:214.09999999999999pt;margin-top:0;width:170.40000000000001pt;height:19.199999999999999pt;z-index:-125829370;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73" w:name="bookmark473"/>
                      <w:bookmarkStart w:id="474" w:name="bookmark474"/>
                      <w:bookmarkStart w:id="475" w:name="bookmark475"/>
                      <w:r>
                        <w:rPr>
                          <w:color w:val="000000"/>
                          <w:spacing w:val="0"/>
                          <w:w w:val="100"/>
                          <w:position w:val="0"/>
                        </w:rPr>
                        <w:t>第七节优先股相关情况</w:t>
                      </w:r>
                      <w:bookmarkEnd w:id="473"/>
                      <w:bookmarkEnd w:id="474"/>
                      <w:bookmarkEnd w:id="475"/>
                    </w:p>
                  </w:txbxContent>
                </v:textbox>
                <w10:wrap type="topAndBottom" anchorx="page"/>
              </v:shape>
            </w:pict>
          </mc:Fallback>
        </mc:AlternateConten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560" w:line="240" w:lineRule="auto"/>
        <w:ind w:left="0" w:right="0" w:firstLine="0"/>
        <w:jc w:val="center"/>
      </w:pPr>
      <w:bookmarkStart w:id="487" w:name="bookmark487"/>
      <w:bookmarkStart w:id="488" w:name="bookmark488"/>
      <w:bookmarkStart w:id="489" w:name="bookmark489"/>
      <w:r>
        <w:rPr>
          <w:color w:val="000000"/>
          <w:spacing w:val="0"/>
          <w:w w:val="100"/>
          <w:position w:val="0"/>
        </w:rPr>
        <w:t>第八节董事、监事、高级管理人员和员工情况</w:t>
      </w:r>
      <w:bookmarkEnd w:id="487"/>
      <w:bookmarkEnd w:id="488"/>
      <w:bookmarkEnd w:id="489"/>
    </w:p>
    <w:p>
      <w:pPr>
        <w:pStyle w:val="Style27"/>
        <w:keepNext/>
        <w:keepLines/>
        <w:widowControl w:val="0"/>
        <w:shd w:val="clear" w:color="auto" w:fill="auto"/>
        <w:bidi w:val="0"/>
        <w:spacing w:before="0" w:line="240" w:lineRule="auto"/>
        <w:ind w:left="0" w:right="0" w:firstLine="240"/>
        <w:jc w:val="left"/>
      </w:pPr>
      <w:bookmarkStart w:id="490" w:name="bookmark490"/>
      <w:bookmarkStart w:id="491" w:name="bookmark491"/>
      <w:bookmarkStart w:id="492" w:name="bookmark492"/>
      <w:r>
        <w:rPr>
          <w:color w:val="000000"/>
          <w:spacing w:val="0"/>
          <w:w w:val="100"/>
          <w:position w:val="0"/>
          <w:sz w:val="24"/>
          <w:szCs w:val="24"/>
        </w:rPr>
        <w:t>、董事、监事和高级管理人员持股变动</w:t>
      </w:r>
      <w:bookmarkEnd w:id="490"/>
      <w:bookmarkEnd w:id="491"/>
      <w:bookmarkEnd w:id="492"/>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140"/>
              <w:jc w:val="left"/>
            </w:pPr>
            <w:r>
              <w:rPr>
                <w:color w:val="000000"/>
                <w:spacing w:val="0"/>
                <w:w w:val="100"/>
                <w:position w:val="0"/>
              </w:rPr>
              <w:t>其他增 减变动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29,058,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董祖琰</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理、董</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 董秘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李寒穷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江乾坤</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高春蓉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1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郁燕萍</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80,000</w:t>
            </w:r>
          </w:p>
        </w:tc>
        <w:tc>
          <w:tcPr>
            <w:vMerge/>
            <w:tcBorders>
              <w:left w:val="single" w:sz="4"/>
              <w:right w:val="single" w:sz="4"/>
            </w:tcBorders>
            <w:shd w:val="clear" w:color="auto" w:fill="FFFFFF"/>
            <w:vAlign w:val="center"/>
          </w:tcPr>
          <w:p>
            <w:pP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7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7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方宝林</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44,082,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二</w:t>
      </w:r>
      <w:bookmarkEnd w:id="495"/>
      <w:r>
        <w:rPr>
          <w:color w:val="000000"/>
          <w:spacing w:val="0"/>
          <w:w w:val="100"/>
          <w:position w:val="0"/>
          <w:sz w:val="24"/>
          <w:szCs w:val="24"/>
        </w:rPr>
        <w:t>、公司董事、监事、高级管理人员变动情况</w:t>
      </w:r>
      <w:bookmarkEnd w:id="493"/>
      <w:bookmarkEnd w:id="494"/>
      <w:bookmarkEnd w:id="496"/>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董祖琰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董事、董秘、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公司与浙江大学计算机软件研究院组建科研联合 体，因应晶先生为浙江大学在职教授，为保证独立 性，故主动辞去独立董事职务。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董事会选举</w:t>
            </w:r>
          </w:p>
        </w:tc>
      </w:tr>
    </w:tbl>
    <w:p>
      <w:pPr>
        <w:pStyle w:val="Style27"/>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三</w:t>
      </w:r>
      <w:bookmarkEnd w:id="499"/>
      <w:r>
        <w:rPr>
          <w:color w:val="000000"/>
          <w:spacing w:val="0"/>
          <w:w w:val="100"/>
          <w:position w:val="0"/>
          <w:sz w:val="24"/>
          <w:szCs w:val="24"/>
        </w:rPr>
        <w:t>、任职情况</w:t>
      </w:r>
      <w:bookmarkEnd w:id="497"/>
      <w:bookmarkEnd w:id="498"/>
      <w:bookmarkEnd w:id="500"/>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791" w:val="left"/>
        </w:tabs>
        <w:bidi w:val="0"/>
        <w:spacing w:before="0" w:after="0" w:line="315" w:lineRule="exact"/>
        <w:ind w:left="0" w:right="0" w:firstLine="320"/>
        <w:jc w:val="both"/>
      </w:pPr>
      <w:bookmarkStart w:id="501" w:name="bookmark501"/>
      <w:r>
        <w:rPr>
          <w:color w:val="000000"/>
          <w:spacing w:val="0"/>
          <w:w w:val="100"/>
          <w:position w:val="0"/>
        </w:rPr>
        <w:t>（</w:t>
      </w:r>
      <w:bookmarkEnd w:id="501"/>
      <w:r>
        <w:rPr>
          <w:color w:val="000000"/>
          <w:spacing w:val="0"/>
          <w:w w:val="100"/>
          <w:position w:val="0"/>
        </w:rPr>
        <w:t>一）</w:t>
        <w:tab/>
        <w:t>董事会成员</w:t>
      </w:r>
    </w:p>
    <w:p>
      <w:pPr>
        <w:pStyle w:val="Style29"/>
        <w:keepNext w:val="0"/>
        <w:keepLines w:val="0"/>
        <w:widowControl w:val="0"/>
        <w:shd w:val="clear" w:color="auto" w:fill="auto"/>
        <w:tabs>
          <w:tab w:pos="673" w:val="left"/>
        </w:tabs>
        <w:bidi w:val="0"/>
        <w:spacing w:before="0" w:after="0" w:line="315" w:lineRule="exact"/>
        <w:ind w:left="0" w:right="0" w:firstLine="400"/>
        <w:jc w:val="both"/>
      </w:pPr>
      <w:bookmarkStart w:id="502" w:name="bookmark502"/>
      <w:r>
        <w:rPr>
          <w:rFonts w:ascii="Times New Roman" w:eastAsia="Times New Roman" w:hAnsi="Times New Roman" w:cs="Times New Roman"/>
          <w:color w:val="000000"/>
          <w:spacing w:val="0"/>
          <w:w w:val="100"/>
          <w:position w:val="0"/>
        </w:rPr>
        <w:t>1</w:t>
      </w:r>
      <w:bookmarkEnd w:id="502"/>
      <w:r>
        <w:rPr>
          <w:color w:val="000000"/>
          <w:spacing w:val="0"/>
          <w:w w:val="100"/>
          <w:position w:val="0"/>
        </w:rPr>
        <w:t>、</w:t>
        <w:tab/>
        <w:t>葛航先生，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年出生，中国国籍，浙江大学机电专业，本科学历，工程师、高级经济师，杭州市政协委员、杭州 市科协委员。</w:t>
      </w:r>
      <w:r>
        <w:rPr>
          <w:rFonts w:ascii="Times New Roman" w:eastAsia="Times New Roman" w:hAnsi="Times New Roman" w:cs="Times New Roman"/>
          <w:color w:val="000000"/>
          <w:spacing w:val="0"/>
          <w:w w:val="100"/>
          <w:position w:val="0"/>
        </w:rPr>
        <w:t>1998</w:t>
      </w:r>
      <w:r>
        <w:rPr>
          <w:color w:val="000000"/>
          <w:spacing w:val="0"/>
          <w:w w:val="100"/>
          <w:position w:val="0"/>
        </w:rPr>
        <w:t>年至今担任公司董事长，曾任中华医学会计算机应用分会常务理事、浙江省软件行业协会副理事长、杭州 长城计算机系统工程公司负责人、浙江浙大网新软件产业集团有限公司董事长、浙大网新科技股份有限公司董事兼副总裁等 职务。曾荣获浙江省科技进步奖、杭州市科技进步奖、杭州市新产品新技术奖、杭州市管理创新奖以及浙江省科技创新先进 个人、浙江省软件行业杰出企业家、杭州市成绩突出科技工作者、杭州市第五届优秀社会主义事业建设者称号。现任公司董 事长、中宇科技董事、苏州网新创业副董事长、创源环境董事长。</w:t>
      </w:r>
    </w:p>
    <w:p>
      <w:pPr>
        <w:pStyle w:val="Style29"/>
        <w:keepNext w:val="0"/>
        <w:keepLines w:val="0"/>
        <w:widowControl w:val="0"/>
        <w:shd w:val="clear" w:color="auto" w:fill="auto"/>
        <w:tabs>
          <w:tab w:pos="673" w:val="left"/>
        </w:tabs>
        <w:bidi w:val="0"/>
        <w:spacing w:before="0" w:after="0" w:line="315" w:lineRule="exact"/>
        <w:ind w:left="0" w:right="0" w:firstLine="400"/>
        <w:jc w:val="both"/>
      </w:pPr>
      <w:bookmarkStart w:id="503" w:name="bookmark503"/>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张吕峥先生，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年出生，中国国籍，浙江大学工商管理研究生结业，高级经济师。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i/>
          <w:iCs/>
          <w:color w:val="000000"/>
          <w:spacing w:val="0"/>
          <w:w w:val="100"/>
          <w:position w:val="0"/>
        </w:rPr>
        <w:t>1998</w:t>
      </w:r>
      <w:r>
        <w:rPr>
          <w:color w:val="000000"/>
          <w:spacing w:val="0"/>
          <w:w w:val="100"/>
          <w:position w:val="0"/>
        </w:rPr>
        <w:t>年任杭州长城计 算机系统工程公司副总经理；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年任创业软件董事、副总经理；</w:t>
      </w:r>
      <w:r>
        <w:rPr>
          <w:rFonts w:ascii="Times New Roman" w:eastAsia="Times New Roman" w:hAnsi="Times New Roman" w:cs="Times New Roman"/>
          <w:color w:val="000000"/>
          <w:spacing w:val="0"/>
          <w:w w:val="100"/>
          <w:position w:val="0"/>
        </w:rPr>
        <w:t>2011</w:t>
      </w:r>
      <w:r>
        <w:rPr>
          <w:color w:val="000000"/>
          <w:spacing w:val="0"/>
          <w:w w:val="100"/>
          <w:position w:val="0"/>
        </w:rPr>
        <w:t>年至今任创业软件董事、总经理，曾荣获杭 州市新产品新技术一等奖，现任公司董事、总经理、阜康投资董事、中宇科技监事、苏州创业亿康董事、创业南京总经理、 广东中拓信息董事长、中山市蓝天电脑董事长。</w:t>
      </w:r>
    </w:p>
    <w:p>
      <w:pPr>
        <w:pStyle w:val="Style29"/>
        <w:keepNext w:val="0"/>
        <w:keepLines w:val="0"/>
        <w:widowControl w:val="0"/>
        <w:shd w:val="clear" w:color="auto" w:fill="auto"/>
        <w:tabs>
          <w:tab w:pos="671" w:val="left"/>
        </w:tabs>
        <w:bidi w:val="0"/>
        <w:spacing w:before="0" w:after="0" w:line="315" w:lineRule="exact"/>
        <w:ind w:left="0" w:right="0" w:firstLine="400"/>
        <w:jc w:val="both"/>
      </w:pPr>
      <w:bookmarkStart w:id="504" w:name="bookmark504"/>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胡燕女士，</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年出生，中国国籍，法学、会计学专业。</w:t>
      </w:r>
      <w:r>
        <w:rPr>
          <w:rFonts w:ascii="Times New Roman" w:eastAsia="Times New Roman" w:hAnsi="Times New Roman" w:cs="Times New Roman"/>
          <w:color w:val="000000"/>
          <w:spacing w:val="0"/>
          <w:w w:val="100"/>
          <w:position w:val="0"/>
        </w:rPr>
        <w:t>1998</w:t>
      </w:r>
      <w:r>
        <w:rPr>
          <w:color w:val="000000"/>
          <w:spacing w:val="0"/>
          <w:w w:val="100"/>
          <w:position w:val="0"/>
        </w:rPr>
        <w:t>年至今在创业软件工作，历任公司财务部副经理、证 券法务部经理、公司总经理助理。现任公司董事、董事会秘书、阜康投资监事长、创业南京监事、卫生技术公司监事、宁海 杭创监事、创源环境监事、中拓信息监事、蓝天电脑监事。</w:t>
      </w:r>
    </w:p>
    <w:p>
      <w:pPr>
        <w:pStyle w:val="Style29"/>
        <w:keepNext w:val="0"/>
        <w:keepLines w:val="0"/>
        <w:widowControl w:val="0"/>
        <w:shd w:val="clear" w:color="auto" w:fill="auto"/>
        <w:tabs>
          <w:tab w:pos="678" w:val="left"/>
        </w:tabs>
        <w:bidi w:val="0"/>
        <w:spacing w:before="0" w:after="0" w:line="315" w:lineRule="exact"/>
        <w:ind w:left="0" w:right="0" w:firstLine="400"/>
        <w:jc w:val="both"/>
      </w:pPr>
      <w:bookmarkStart w:id="505" w:name="bookmark505"/>
      <w:r>
        <w:rPr>
          <w:rFonts w:ascii="Times New Roman" w:eastAsia="Times New Roman" w:hAnsi="Times New Roman" w:cs="Times New Roman"/>
          <w:color w:val="000000"/>
          <w:spacing w:val="0"/>
          <w:w w:val="100"/>
          <w:position w:val="0"/>
        </w:rPr>
        <w:t>4</w:t>
      </w:r>
      <w:bookmarkEnd w:id="505"/>
      <w:r>
        <w:rPr>
          <w:color w:val="000000"/>
          <w:spacing w:val="0"/>
          <w:w w:val="100"/>
          <w:position w:val="0"/>
        </w:rPr>
        <w:t>、</w:t>
        <w:tab/>
        <w:t>应晶先生，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年出生，中国国籍，计算机专业，博士学历，浙江大学计算机学院教授，博士生导师。</w:t>
      </w:r>
      <w:r>
        <w:rPr>
          <w:rFonts w:ascii="Times New Roman" w:eastAsia="Times New Roman" w:hAnsi="Times New Roman" w:cs="Times New Roman"/>
          <w:color w:val="000000"/>
          <w:spacing w:val="0"/>
          <w:w w:val="100"/>
          <w:position w:val="0"/>
        </w:rPr>
        <w:t>1995</w:t>
      </w:r>
      <w:r>
        <w:rPr>
          <w:color w:val="000000"/>
          <w:spacing w:val="0"/>
          <w:w w:val="100"/>
          <w:position w:val="0"/>
        </w:rPr>
        <w:t>年至今 在浙江大学计算机学院任教。</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月担任公司监事，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日任公司独立董事，</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日至今任公司董事。</w:t>
      </w:r>
    </w:p>
    <w:p>
      <w:pPr>
        <w:pStyle w:val="Style29"/>
        <w:keepNext w:val="0"/>
        <w:keepLines w:val="0"/>
        <w:widowControl w:val="0"/>
        <w:shd w:val="clear" w:color="auto" w:fill="auto"/>
        <w:tabs>
          <w:tab w:pos="692" w:val="left"/>
        </w:tabs>
        <w:bidi w:val="0"/>
        <w:spacing w:before="0" w:after="0" w:line="315" w:lineRule="exact"/>
        <w:ind w:left="0" w:right="0" w:firstLine="400"/>
        <w:jc w:val="both"/>
      </w:pPr>
      <w:bookmarkStart w:id="506" w:name="bookmark506"/>
      <w:r>
        <w:rPr>
          <w:rFonts w:ascii="Times New Roman" w:eastAsia="Times New Roman" w:hAnsi="Times New Roman" w:cs="Times New Roman"/>
          <w:color w:val="000000"/>
          <w:spacing w:val="0"/>
          <w:w w:val="100"/>
          <w:position w:val="0"/>
        </w:rPr>
        <w:t>5</w:t>
      </w:r>
      <w:bookmarkEnd w:id="506"/>
      <w:r>
        <w:rPr>
          <w:color w:val="000000"/>
          <w:spacing w:val="0"/>
          <w:w w:val="100"/>
          <w:position w:val="0"/>
        </w:rPr>
        <w:t>、</w:t>
        <w:tab/>
        <w:t>李寒穷女士，</w:t>
      </w:r>
      <w:r>
        <w:rPr>
          <w:rFonts w:ascii="Times New Roman" w:eastAsia="Times New Roman" w:hAnsi="Times New Roman" w:cs="Times New Roman"/>
          <w:color w:val="000000"/>
          <w:spacing w:val="0"/>
          <w:w w:val="100"/>
          <w:position w:val="0"/>
        </w:rPr>
        <w:t>1977</w:t>
      </w:r>
      <w:r>
        <w:rPr>
          <w:color w:val="000000"/>
          <w:spacing w:val="0"/>
          <w:w w:val="100"/>
          <w:position w:val="0"/>
        </w:rPr>
        <w:t>年出生，中国香港籍，硕士学历、中欧国际工商学院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 xml:space="preserve">美国加州州立大学工商管理学士。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月任中基宁波对外贸易股份有限公司单证员、业务员，</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月任伊藤忠纤维（上海）有 限公司欧洲部业务担当，</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月任上海实业（集团）有限公司投资部经理助理，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月至今任雅戈尔集 团股份有限公司董事、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月至今任雅戈尔投资有限公司董事兼总经理。现任公司董事、宁波银行股份有限公司董事。</w:t>
      </w:r>
    </w:p>
    <w:p>
      <w:pPr>
        <w:pStyle w:val="Style29"/>
        <w:keepNext w:val="0"/>
        <w:keepLines w:val="0"/>
        <w:widowControl w:val="0"/>
        <w:shd w:val="clear" w:color="auto" w:fill="auto"/>
        <w:tabs>
          <w:tab w:pos="671" w:val="left"/>
        </w:tabs>
        <w:bidi w:val="0"/>
        <w:spacing w:before="0" w:after="0" w:line="315" w:lineRule="exact"/>
        <w:ind w:left="0" w:right="0" w:firstLine="400"/>
        <w:jc w:val="both"/>
      </w:pPr>
      <w:bookmarkStart w:id="507" w:name="bookmark507"/>
      <w:r>
        <w:rPr>
          <w:rFonts w:ascii="Times New Roman" w:eastAsia="Times New Roman" w:hAnsi="Times New Roman" w:cs="Times New Roman"/>
          <w:color w:val="000000"/>
          <w:spacing w:val="0"/>
          <w:w w:val="100"/>
          <w:position w:val="0"/>
        </w:rPr>
        <w:t>6</w:t>
      </w:r>
      <w:bookmarkEnd w:id="507"/>
      <w:r>
        <w:rPr>
          <w:color w:val="000000"/>
          <w:spacing w:val="0"/>
          <w:w w:val="100"/>
          <w:position w:val="0"/>
        </w:rPr>
        <w:t>、</w:t>
        <w:tab/>
        <w:t>蔡家楣先生，</w:t>
      </w:r>
      <w:r>
        <w:rPr>
          <w:rFonts w:ascii="Times New Roman" w:eastAsia="Times New Roman" w:hAnsi="Times New Roman" w:cs="Times New Roman"/>
          <w:color w:val="000000"/>
          <w:spacing w:val="0"/>
          <w:w w:val="100"/>
          <w:position w:val="0"/>
        </w:rPr>
        <w:t>1946</w:t>
      </w:r>
      <w:r>
        <w:rPr>
          <w:color w:val="000000"/>
          <w:spacing w:val="0"/>
          <w:w w:val="100"/>
          <w:position w:val="0"/>
        </w:rPr>
        <w:t>年出生，中国国籍、半导体专业、本科学历。</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1993</w:t>
      </w:r>
      <w:r>
        <w:rPr>
          <w:color w:val="000000"/>
          <w:spacing w:val="0"/>
          <w:w w:val="100"/>
          <w:position w:val="0"/>
        </w:rPr>
        <w:t xml:space="preserve">年在德国萨尔大学计算机系访问学者； </w:t>
      </w:r>
      <w:r>
        <w:rPr>
          <w:rFonts w:ascii="Times New Roman" w:eastAsia="Times New Roman" w:hAnsi="Times New Roman" w:cs="Times New Roman"/>
          <w:color w:val="000000"/>
          <w:spacing w:val="0"/>
          <w:w w:val="100"/>
          <w:position w:val="0"/>
        </w:rPr>
        <w:t>2000</w:t>
      </w:r>
      <w:r>
        <w:rPr>
          <w:color w:val="000000"/>
          <w:spacing w:val="0"/>
          <w:w w:val="100"/>
          <w:position w:val="0"/>
        </w:rPr>
        <w:t>年起历任浙江工业大学信息工程学院院长、软件学院院长、杭州市信息化专家咨询委员会副主任、杭州市计算机学会理 事长、浙江省计算机学会副理事长、浙江省计算机教育与应用学会副理事长等，</w:t>
      </w:r>
      <w:r>
        <w:rPr>
          <w:rFonts w:ascii="Times New Roman" w:eastAsia="Times New Roman" w:hAnsi="Times New Roman" w:cs="Times New Roman"/>
          <w:color w:val="000000"/>
          <w:spacing w:val="0"/>
          <w:w w:val="100"/>
          <w:position w:val="0"/>
        </w:rPr>
        <w:t>2008</w:t>
      </w:r>
      <w:r>
        <w:rPr>
          <w:color w:val="000000"/>
          <w:spacing w:val="0"/>
          <w:w w:val="100"/>
          <w:position w:val="0"/>
        </w:rPr>
        <w:t>年起至</w:t>
      </w:r>
      <w:r>
        <w:rPr>
          <w:rFonts w:ascii="Times New Roman" w:eastAsia="Times New Roman" w:hAnsi="Times New Roman" w:cs="Times New Roman"/>
          <w:color w:val="000000"/>
          <w:spacing w:val="0"/>
          <w:w w:val="100"/>
          <w:position w:val="0"/>
        </w:rPr>
        <w:t>2016</w:t>
      </w:r>
      <w:r>
        <w:rPr>
          <w:color w:val="000000"/>
          <w:spacing w:val="0"/>
          <w:w w:val="100"/>
          <w:position w:val="0"/>
        </w:rPr>
        <w:t>年任浙江省软件行业协会理 事长、中国软件行业协会常务理事。现任公司独立董事、三维通信股份有限公司独立董事、杭州先临三维科技股份有限公司 独立董事。</w:t>
      </w:r>
    </w:p>
    <w:p>
      <w:pPr>
        <w:pStyle w:val="Style29"/>
        <w:keepNext w:val="0"/>
        <w:keepLines w:val="0"/>
        <w:widowControl w:val="0"/>
        <w:shd w:val="clear" w:color="auto" w:fill="auto"/>
        <w:tabs>
          <w:tab w:pos="682" w:val="left"/>
        </w:tabs>
        <w:bidi w:val="0"/>
        <w:spacing w:before="0" w:after="0" w:line="315" w:lineRule="exact"/>
        <w:ind w:left="0" w:right="0" w:firstLine="400"/>
        <w:jc w:val="both"/>
      </w:pPr>
      <w:bookmarkStart w:id="508" w:name="bookmark508"/>
      <w:r>
        <w:rPr>
          <w:rFonts w:ascii="Times New Roman" w:eastAsia="Times New Roman" w:hAnsi="Times New Roman" w:cs="Times New Roman"/>
          <w:color w:val="000000"/>
          <w:spacing w:val="0"/>
          <w:w w:val="100"/>
          <w:position w:val="0"/>
        </w:rPr>
        <w:t>7</w:t>
      </w:r>
      <w:bookmarkEnd w:id="508"/>
      <w:r>
        <w:rPr>
          <w:color w:val="000000"/>
          <w:spacing w:val="0"/>
          <w:w w:val="100"/>
          <w:position w:val="0"/>
        </w:rPr>
        <w:t>、</w:t>
        <w:tab/>
        <w:t>江乾坤先生，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年出生，中国国籍，浙江大学经济学（公司金融）博士，理论经济学博士后，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 杭州电子科技大学会计学院教授，财务与财税研究所副所长。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月在美国东南密苏里大学和马里兰大学商 学院高级访问学者，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月兼任温州市平阳县金融办副主任（温州金改百人计划）。现任公司独立董事、杭 州和顺科技股份有限公司独立董事、宁波天龙电子股份有限公司独立董事。</w:t>
      </w:r>
    </w:p>
    <w:p>
      <w:pPr>
        <w:pStyle w:val="Style29"/>
        <w:keepNext w:val="0"/>
        <w:keepLines w:val="0"/>
        <w:widowControl w:val="0"/>
        <w:shd w:val="clear" w:color="auto" w:fill="auto"/>
        <w:bidi w:val="0"/>
        <w:spacing w:before="0" w:after="80" w:line="315" w:lineRule="exact"/>
        <w:ind w:left="0" w:right="0" w:firstLine="400"/>
        <w:jc w:val="both"/>
      </w:pPr>
      <w:bookmarkStart w:id="509" w:name="bookmark509"/>
      <w:r>
        <w:rPr>
          <w:rFonts w:ascii="Times New Roman" w:eastAsia="Times New Roman" w:hAnsi="Times New Roman" w:cs="Times New Roman"/>
          <w:color w:val="000000"/>
          <w:spacing w:val="0"/>
          <w:w w:val="100"/>
          <w:position w:val="0"/>
        </w:rPr>
        <w:t>8</w:t>
      </w:r>
      <w:bookmarkEnd w:id="509"/>
      <w:r>
        <w:rPr>
          <w:color w:val="000000"/>
          <w:spacing w:val="0"/>
          <w:w w:val="100"/>
          <w:position w:val="0"/>
        </w:rPr>
        <w:t>、 凌云先生，</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年出生，中国国籍，计算机科学与技术专业，硕士学历，浙江工商大学教授，多次获得浙江省科学 技术奖。</w:t>
      </w:r>
      <w:r>
        <w:rPr>
          <w:rFonts w:ascii="Times New Roman" w:eastAsia="Times New Roman" w:hAnsi="Times New Roman" w:cs="Times New Roman"/>
          <w:color w:val="000000"/>
          <w:spacing w:val="0"/>
          <w:w w:val="100"/>
          <w:position w:val="0"/>
        </w:rPr>
        <w:t>1983</w:t>
      </w:r>
      <w:r>
        <w:rPr>
          <w:color w:val="000000"/>
          <w:spacing w:val="0"/>
          <w:w w:val="100"/>
          <w:position w:val="0"/>
        </w:rPr>
        <w:t>年至今在浙江工商大学任教，历任浙江工商大学计算机与信息工程学院副院长、院长、学校科研处处长。现任 浙江工商大学教授，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月起任公司独立董事。</w:t>
      </w:r>
    </w:p>
    <w:p>
      <w:pPr>
        <w:pStyle w:val="Style29"/>
        <w:keepNext w:val="0"/>
        <w:keepLines w:val="0"/>
        <w:widowControl w:val="0"/>
        <w:shd w:val="clear" w:color="auto" w:fill="auto"/>
        <w:tabs>
          <w:tab w:pos="791" w:val="left"/>
        </w:tabs>
        <w:bidi w:val="0"/>
        <w:spacing w:before="0" w:after="80" w:line="315" w:lineRule="exact"/>
        <w:ind w:left="0" w:right="0" w:firstLine="320"/>
        <w:jc w:val="both"/>
      </w:pPr>
      <w:bookmarkStart w:id="510" w:name="bookmark510"/>
      <w:r>
        <w:rPr>
          <w:color w:val="000000"/>
          <w:spacing w:val="0"/>
          <w:w w:val="100"/>
          <w:position w:val="0"/>
        </w:rPr>
        <w:t>（</w:t>
      </w:r>
      <w:bookmarkEnd w:id="510"/>
      <w:r>
        <w:rPr>
          <w:color w:val="000000"/>
          <w:spacing w:val="0"/>
          <w:w w:val="100"/>
          <w:position w:val="0"/>
        </w:rPr>
        <w:t>二）</w:t>
        <w:tab/>
        <w:t>监事会成员</w:t>
      </w:r>
    </w:p>
    <w:p>
      <w:pPr>
        <w:pStyle w:val="Style29"/>
        <w:keepNext w:val="0"/>
        <w:keepLines w:val="0"/>
        <w:widowControl w:val="0"/>
        <w:shd w:val="clear" w:color="auto" w:fill="auto"/>
        <w:bidi w:val="0"/>
        <w:spacing w:before="0" w:after="0" w:line="316" w:lineRule="exact"/>
        <w:ind w:left="0" w:right="0" w:firstLine="400"/>
        <w:jc w:val="both"/>
      </w:pPr>
      <w:bookmarkStart w:id="511" w:name="bookmark511"/>
      <w:r>
        <w:rPr>
          <w:rFonts w:ascii="Times New Roman" w:eastAsia="Times New Roman" w:hAnsi="Times New Roman" w:cs="Times New Roman"/>
          <w:color w:val="000000"/>
          <w:spacing w:val="0"/>
          <w:w w:val="100"/>
          <w:position w:val="0"/>
        </w:rPr>
        <w:t>1</w:t>
      </w:r>
      <w:bookmarkEnd w:id="511"/>
      <w:r>
        <w:rPr>
          <w:color w:val="000000"/>
          <w:spacing w:val="0"/>
          <w:w w:val="100"/>
          <w:position w:val="0"/>
        </w:rPr>
        <w:t>、 叶建先生，出生于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年，中国国籍，无境外永久居留权，浙江大学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1990</w:t>
      </w:r>
      <w:r>
        <w:rPr>
          <w:color w:val="000000"/>
          <w:spacing w:val="0"/>
          <w:w w:val="100"/>
          <w:position w:val="0"/>
        </w:rPr>
        <w:t>年参加工作，曾就职于杭州应用工 程技术学院计算中心、保隆</w:t>
      </w:r>
      <w:r>
        <w:rPr>
          <w:rFonts w:ascii="Times New Roman" w:eastAsia="Times New Roman" w:hAnsi="Times New Roman" w:cs="Times New Roman"/>
          <w:color w:val="000000"/>
          <w:spacing w:val="0"/>
          <w:w w:val="100"/>
          <w:position w:val="0"/>
        </w:rPr>
        <w:t>（</w:t>
      </w:r>
      <w:r>
        <w:rPr>
          <w:color w:val="000000"/>
          <w:spacing w:val="0"/>
          <w:w w:val="100"/>
          <w:position w:val="0"/>
        </w:rPr>
        <w:t>天津</w:t>
      </w:r>
      <w:r>
        <w:rPr>
          <w:rFonts w:ascii="Times New Roman" w:eastAsia="Times New Roman" w:hAnsi="Times New Roman" w:cs="Times New Roman"/>
          <w:color w:val="000000"/>
          <w:spacing w:val="0"/>
          <w:w w:val="100"/>
          <w:position w:val="0"/>
        </w:rPr>
        <w:t>）</w:t>
      </w:r>
      <w:r>
        <w:rPr>
          <w:color w:val="000000"/>
          <w:spacing w:val="0"/>
          <w:w w:val="100"/>
          <w:position w:val="0"/>
        </w:rPr>
        <w:t>国际贸易有限公司、浙租方博计算机有限公司，</w:t>
      </w:r>
      <w:r>
        <w:rPr>
          <w:rFonts w:ascii="Times New Roman" w:eastAsia="Times New Roman" w:hAnsi="Times New Roman" w:cs="Times New Roman"/>
          <w:color w:val="000000"/>
          <w:spacing w:val="0"/>
          <w:w w:val="100"/>
          <w:position w:val="0"/>
        </w:rPr>
        <w:t>2000</w:t>
      </w:r>
      <w:r>
        <w:rPr>
          <w:color w:val="000000"/>
          <w:spacing w:val="0"/>
          <w:w w:val="100"/>
          <w:position w:val="0"/>
        </w:rPr>
        <w:t>至</w:t>
      </w:r>
      <w:r>
        <w:rPr>
          <w:rFonts w:ascii="Times New Roman" w:eastAsia="Times New Roman" w:hAnsi="Times New Roman" w:cs="Times New Roman"/>
          <w:color w:val="000000"/>
          <w:spacing w:val="0"/>
          <w:w w:val="100"/>
          <w:position w:val="0"/>
        </w:rPr>
        <w:t>2011</w:t>
      </w:r>
      <w:r>
        <w:rPr>
          <w:color w:val="000000"/>
          <w:spacing w:val="0"/>
          <w:w w:val="100"/>
          <w:position w:val="0"/>
        </w:rPr>
        <w:t>年任杭州创业计算机工程有限 公司执行董事、总经理职务，</w:t>
      </w:r>
      <w:r>
        <w:rPr>
          <w:rFonts w:ascii="Times New Roman" w:eastAsia="Times New Roman" w:hAnsi="Times New Roman" w:cs="Times New Roman"/>
          <w:color w:val="000000"/>
          <w:spacing w:val="0"/>
          <w:w w:val="100"/>
          <w:position w:val="0"/>
        </w:rPr>
        <w:t>2011</w:t>
      </w:r>
      <w:r>
        <w:rPr>
          <w:color w:val="000000"/>
          <w:spacing w:val="0"/>
          <w:w w:val="100"/>
          <w:position w:val="0"/>
        </w:rPr>
        <w:t>年至今任杭州联旗科技有限公司执行董事。</w:t>
      </w:r>
    </w:p>
    <w:p>
      <w:pPr>
        <w:pStyle w:val="Style29"/>
        <w:keepNext w:val="0"/>
        <w:keepLines w:val="0"/>
        <w:widowControl w:val="0"/>
        <w:shd w:val="clear" w:color="auto" w:fill="auto"/>
        <w:tabs>
          <w:tab w:pos="673" w:val="left"/>
        </w:tabs>
        <w:bidi w:val="0"/>
        <w:spacing w:before="0" w:after="0" w:line="316" w:lineRule="exact"/>
        <w:ind w:left="0" w:right="0" w:firstLine="400"/>
        <w:jc w:val="both"/>
      </w:pPr>
      <w:bookmarkStart w:id="512" w:name="bookmark512"/>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丁田女士，</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年出生，中国国籍，工商管理专业，本科学历，高级人力资源管理师。</w:t>
      </w:r>
      <w:r>
        <w:rPr>
          <w:rFonts w:ascii="Times New Roman" w:eastAsia="Times New Roman" w:hAnsi="Times New Roman" w:cs="Times New Roman"/>
          <w:color w:val="000000"/>
          <w:spacing w:val="0"/>
          <w:w w:val="100"/>
          <w:position w:val="0"/>
        </w:rPr>
        <w:t>1999</w:t>
      </w:r>
      <w:r>
        <w:rPr>
          <w:color w:val="000000"/>
          <w:spacing w:val="0"/>
          <w:w w:val="100"/>
          <w:position w:val="0"/>
        </w:rPr>
        <w:t>年至今在创业软件股份 有限公司工作，历任人力资源部经理助理、副经理等职，现任公司监事、总经理助理、人力资源部经理，上海创航董事。</w:t>
      </w:r>
    </w:p>
    <w:p>
      <w:pPr>
        <w:pStyle w:val="Style29"/>
        <w:keepNext w:val="0"/>
        <w:keepLines w:val="0"/>
        <w:widowControl w:val="0"/>
        <w:shd w:val="clear" w:color="auto" w:fill="auto"/>
        <w:tabs>
          <w:tab w:pos="671" w:val="left"/>
        </w:tabs>
        <w:bidi w:val="0"/>
        <w:spacing w:before="0" w:after="0" w:line="316" w:lineRule="exact"/>
        <w:ind w:left="0" w:right="0" w:firstLine="400"/>
        <w:jc w:val="both"/>
      </w:pPr>
      <w:bookmarkStart w:id="513" w:name="bookmark513"/>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贾驰女士，出生于</w:t>
      </w:r>
      <w:r>
        <w:rPr>
          <w:rFonts w:ascii="Times New Roman" w:eastAsia="Times New Roman" w:hAnsi="Times New Roman" w:cs="Times New Roman"/>
          <w:color w:val="000000"/>
          <w:spacing w:val="0"/>
          <w:w w:val="100"/>
          <w:position w:val="0"/>
        </w:rPr>
        <w:t>1977</w:t>
      </w:r>
      <w:r>
        <w:rPr>
          <w:color w:val="000000"/>
          <w:spacing w:val="0"/>
          <w:w w:val="100"/>
          <w:position w:val="0"/>
        </w:rPr>
        <w:t>年，中国国籍，无境外永久居留权，博士研究生学历，副教授。</w:t>
      </w:r>
      <w:r>
        <w:rPr>
          <w:rFonts w:ascii="Times New Roman" w:eastAsia="Times New Roman" w:hAnsi="Times New Roman" w:cs="Times New Roman"/>
          <w:color w:val="000000"/>
          <w:spacing w:val="0"/>
          <w:w w:val="100"/>
          <w:position w:val="0"/>
        </w:rPr>
        <w:t>1999</w:t>
      </w:r>
      <w:r>
        <w:rPr>
          <w:color w:val="000000"/>
          <w:spacing w:val="0"/>
          <w:w w:val="100"/>
          <w:position w:val="0"/>
        </w:rPr>
        <w:t>至</w:t>
      </w:r>
      <w:r>
        <w:rPr>
          <w:rFonts w:ascii="Times New Roman" w:eastAsia="Times New Roman" w:hAnsi="Times New Roman" w:cs="Times New Roman"/>
          <w:color w:val="000000"/>
          <w:spacing w:val="0"/>
          <w:w w:val="100"/>
          <w:position w:val="0"/>
        </w:rPr>
        <w:t>2000</w:t>
      </w:r>
      <w:r>
        <w:rPr>
          <w:color w:val="000000"/>
          <w:spacing w:val="0"/>
          <w:w w:val="100"/>
          <w:position w:val="0"/>
        </w:rPr>
        <w:t>年在浙江东方集 团股份有限公司任职员，</w:t>
      </w:r>
      <w:r>
        <w:rPr>
          <w:rFonts w:ascii="Times New Roman" w:eastAsia="Times New Roman" w:hAnsi="Times New Roman" w:cs="Times New Roman"/>
          <w:color w:val="000000"/>
          <w:spacing w:val="0"/>
          <w:w w:val="100"/>
          <w:position w:val="0"/>
        </w:rPr>
        <w:t>2003</w:t>
      </w:r>
      <w:r>
        <w:rPr>
          <w:color w:val="000000"/>
          <w:spacing w:val="0"/>
          <w:w w:val="100"/>
          <w:position w:val="0"/>
        </w:rPr>
        <w:t>至今在浙江工商大学任教，任副教授，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月起至今任公司监事。</w:t>
      </w:r>
    </w:p>
    <w:p>
      <w:pPr>
        <w:pStyle w:val="Style29"/>
        <w:keepNext w:val="0"/>
        <w:keepLines w:val="0"/>
        <w:widowControl w:val="0"/>
        <w:shd w:val="clear" w:color="auto" w:fill="auto"/>
        <w:bidi w:val="0"/>
        <w:spacing w:before="0" w:after="80" w:line="314" w:lineRule="exact"/>
        <w:ind w:left="0" w:right="0" w:firstLine="400"/>
        <w:jc w:val="both"/>
      </w:pPr>
      <w:bookmarkStart w:id="514" w:name="bookmark514"/>
      <w:r>
        <w:rPr>
          <w:color w:val="000000"/>
          <w:spacing w:val="0"/>
          <w:w w:val="100"/>
          <w:position w:val="0"/>
        </w:rPr>
        <w:t>（</w:t>
      </w:r>
      <w:bookmarkEnd w:id="514"/>
      <w:r>
        <w:rPr>
          <w:color w:val="000000"/>
          <w:spacing w:val="0"/>
          <w:w w:val="100"/>
          <w:position w:val="0"/>
        </w:rPr>
        <w:t>三）高级管理人员</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公司高级管理人员共</w:t>
      </w:r>
      <w:r>
        <w:rPr>
          <w:rFonts w:ascii="Times New Roman" w:eastAsia="Times New Roman" w:hAnsi="Times New Roman" w:cs="Times New Roman"/>
          <w:color w:val="000000"/>
          <w:spacing w:val="0"/>
          <w:w w:val="100"/>
          <w:position w:val="0"/>
        </w:rPr>
        <w:t>7</w:t>
      </w:r>
      <w:r>
        <w:rPr>
          <w:color w:val="000000"/>
          <w:spacing w:val="0"/>
          <w:w w:val="100"/>
          <w:position w:val="0"/>
        </w:rPr>
        <w:t>名，全部专职在公司领取薪水。上述高级管理人员简历如下：</w:t>
      </w:r>
    </w:p>
    <w:p>
      <w:pPr>
        <w:pStyle w:val="Style29"/>
        <w:keepNext w:val="0"/>
        <w:keepLines w:val="0"/>
        <w:widowControl w:val="0"/>
        <w:shd w:val="clear" w:color="auto" w:fill="auto"/>
        <w:tabs>
          <w:tab w:pos="783" w:val="left"/>
        </w:tabs>
        <w:bidi w:val="0"/>
        <w:spacing w:before="0" w:after="0" w:line="314" w:lineRule="exact"/>
        <w:ind w:left="0" w:right="0" w:firstLine="480"/>
        <w:jc w:val="both"/>
      </w:pPr>
      <w:bookmarkStart w:id="515" w:name="bookmark515"/>
      <w:r>
        <w:rPr>
          <w:rFonts w:ascii="Times New Roman" w:eastAsia="Times New Roman" w:hAnsi="Times New Roman" w:cs="Times New Roman"/>
          <w:color w:val="000000"/>
          <w:spacing w:val="0"/>
          <w:w w:val="100"/>
          <w:position w:val="0"/>
        </w:rPr>
        <w:t>1</w:t>
      </w:r>
      <w:bookmarkEnd w:id="515"/>
      <w:r>
        <w:rPr>
          <w:color w:val="000000"/>
          <w:spacing w:val="0"/>
          <w:w w:val="100"/>
          <w:position w:val="0"/>
        </w:rPr>
        <w:t>、</w:t>
        <w:tab/>
        <w:t>张吕峥先生，总经理，简历见</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tabs>
          <w:tab w:pos="802" w:val="left"/>
        </w:tabs>
        <w:bidi w:val="0"/>
        <w:spacing w:before="0" w:after="0" w:line="314" w:lineRule="exact"/>
        <w:ind w:left="0" w:right="0" w:firstLine="480"/>
        <w:jc w:val="both"/>
      </w:pPr>
      <w:bookmarkStart w:id="516" w:name="bookmark516"/>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胡燕女士，董事会秘书，简历见</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tabs>
          <w:tab w:pos="711" w:val="left"/>
        </w:tabs>
        <w:bidi w:val="0"/>
        <w:spacing w:before="0" w:after="0" w:line="314" w:lineRule="exact"/>
        <w:ind w:left="0" w:right="0" w:firstLine="480"/>
        <w:jc w:val="both"/>
      </w:pPr>
      <w:bookmarkStart w:id="517" w:name="bookmark517"/>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高春蓉女士，</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年生，中国国籍，计算机通信工程专业，博士。自</w:t>
      </w:r>
      <w:r>
        <w:rPr>
          <w:rFonts w:ascii="Times New Roman" w:eastAsia="Times New Roman" w:hAnsi="Times New Roman" w:cs="Times New Roman"/>
          <w:color w:val="000000"/>
          <w:spacing w:val="0"/>
          <w:w w:val="100"/>
          <w:position w:val="0"/>
        </w:rPr>
        <w:t>1992</w:t>
      </w:r>
      <w:r>
        <w:rPr>
          <w:color w:val="000000"/>
          <w:spacing w:val="0"/>
          <w:w w:val="100"/>
          <w:position w:val="0"/>
        </w:rPr>
        <w:t>年起在</w:t>
      </w:r>
      <w:r>
        <w:rPr>
          <w:rFonts w:ascii="Times New Roman" w:eastAsia="Times New Roman" w:hAnsi="Times New Roman" w:cs="Times New Roman"/>
          <w:color w:val="000000"/>
          <w:spacing w:val="0"/>
          <w:w w:val="100"/>
          <w:position w:val="0"/>
        </w:rPr>
        <w:t>CESEC</w:t>
      </w:r>
      <w:r>
        <w:rPr>
          <w:color w:val="000000"/>
          <w:spacing w:val="0"/>
          <w:w w:val="100"/>
          <w:position w:val="0"/>
        </w:rPr>
        <w:t>研究所工作，先后承担过</w:t>
      </w:r>
      <w:r>
        <w:rPr>
          <w:rFonts w:ascii="Times New Roman" w:eastAsia="Times New Roman" w:hAnsi="Times New Roman" w:cs="Times New Roman"/>
          <w:color w:val="000000"/>
          <w:spacing w:val="0"/>
          <w:w w:val="100"/>
          <w:position w:val="0"/>
        </w:rPr>
        <w:t>“</w:t>
      </w:r>
      <w:r>
        <w:rPr>
          <w:color w:val="000000"/>
          <w:spacing w:val="0"/>
          <w:w w:val="100"/>
          <w:position w:val="0"/>
        </w:rPr>
        <w:t>七 五</w:t>
      </w:r>
      <w:r>
        <w:rPr>
          <w:rFonts w:ascii="Times New Roman" w:eastAsia="Times New Roman" w:hAnsi="Times New Roman" w:cs="Times New Roman"/>
          <w:color w:val="000000"/>
          <w:spacing w:val="0"/>
          <w:w w:val="100"/>
          <w:position w:val="0"/>
        </w:rPr>
        <w:t>”</w:t>
      </w:r>
      <w:r>
        <w:rPr>
          <w:color w:val="000000"/>
          <w:spacing w:val="0"/>
          <w:w w:val="100"/>
          <w:position w:val="0"/>
        </w:rPr>
        <w:t>以来多项重点项目的体制论证、总体设计以及关键技术的研究工作，历任该研究所助理工程师、工程师、高级工程师。 曾获得国家科技进步一等奖</w:t>
      </w:r>
      <w:r>
        <w:rPr>
          <w:rFonts w:ascii="Times New Roman" w:eastAsia="Times New Roman" w:hAnsi="Times New Roman" w:cs="Times New Roman"/>
          <w:color w:val="000000"/>
          <w:spacing w:val="0"/>
          <w:w w:val="100"/>
          <w:position w:val="0"/>
        </w:rPr>
        <w:t>1</w:t>
      </w:r>
      <w:r>
        <w:rPr>
          <w:color w:val="000000"/>
          <w:spacing w:val="0"/>
          <w:w w:val="100"/>
          <w:position w:val="0"/>
        </w:rPr>
        <w:t>次，国家科技进步三等奖</w:t>
      </w:r>
      <w:r>
        <w:rPr>
          <w:rFonts w:ascii="Times New Roman" w:eastAsia="Times New Roman" w:hAnsi="Times New Roman" w:cs="Times New Roman"/>
          <w:color w:val="000000"/>
          <w:spacing w:val="0"/>
          <w:w w:val="100"/>
          <w:position w:val="0"/>
        </w:rPr>
        <w:t>1</w:t>
      </w:r>
      <w:r>
        <w:rPr>
          <w:color w:val="000000"/>
          <w:spacing w:val="0"/>
          <w:w w:val="100"/>
          <w:position w:val="0"/>
        </w:rPr>
        <w:t>次，军队科技进步一等奖</w:t>
      </w:r>
      <w:r>
        <w:rPr>
          <w:rFonts w:ascii="Times New Roman" w:eastAsia="Times New Roman" w:hAnsi="Times New Roman" w:cs="Times New Roman"/>
          <w:color w:val="000000"/>
          <w:spacing w:val="0"/>
          <w:w w:val="100"/>
          <w:position w:val="0"/>
        </w:rPr>
        <w:t>2</w:t>
      </w:r>
      <w:r>
        <w:rPr>
          <w:color w:val="000000"/>
          <w:spacing w:val="0"/>
          <w:w w:val="100"/>
          <w:position w:val="0"/>
        </w:rPr>
        <w:t>次，军队科技进步三等奖</w:t>
      </w:r>
      <w:r>
        <w:rPr>
          <w:rFonts w:ascii="Times New Roman" w:eastAsia="Times New Roman" w:hAnsi="Times New Roman" w:cs="Times New Roman"/>
          <w:color w:val="000000"/>
          <w:spacing w:val="0"/>
          <w:w w:val="100"/>
          <w:position w:val="0"/>
        </w:rPr>
        <w:t>1</w:t>
      </w:r>
      <w:r>
        <w:rPr>
          <w:color w:val="000000"/>
          <w:spacing w:val="0"/>
          <w:w w:val="100"/>
          <w:position w:val="0"/>
        </w:rPr>
        <w:t>次。翻译出版了 多本专业技术书籍。多次在国际学术会议、全国性学术会议、全军学术会议上发表并宣讲论文。</w:t>
      </w:r>
      <w:r>
        <w:rPr>
          <w:rFonts w:ascii="Times New Roman" w:eastAsia="Times New Roman" w:hAnsi="Times New Roman" w:cs="Times New Roman"/>
          <w:color w:val="000000"/>
          <w:spacing w:val="0"/>
          <w:w w:val="100"/>
          <w:position w:val="0"/>
        </w:rPr>
        <w:t>2013</w:t>
      </w:r>
      <w:r>
        <w:rPr>
          <w:color w:val="000000"/>
          <w:spacing w:val="0"/>
          <w:w w:val="100"/>
          <w:position w:val="0"/>
        </w:rPr>
        <w:t>年起在创业软件工作， 现任公司副总经理、总工程师。</w:t>
      </w:r>
    </w:p>
    <w:p>
      <w:pPr>
        <w:pStyle w:val="Style29"/>
        <w:keepNext w:val="0"/>
        <w:keepLines w:val="0"/>
        <w:widowControl w:val="0"/>
        <w:shd w:val="clear" w:color="auto" w:fill="auto"/>
        <w:tabs>
          <w:tab w:pos="706" w:val="left"/>
        </w:tabs>
        <w:bidi w:val="0"/>
        <w:spacing w:before="0" w:after="0" w:line="314" w:lineRule="exact"/>
        <w:ind w:left="0" w:right="0" w:firstLine="480"/>
        <w:jc w:val="both"/>
      </w:pPr>
      <w:bookmarkStart w:id="518" w:name="bookmark518"/>
      <w:r>
        <w:rPr>
          <w:rFonts w:ascii="Times New Roman" w:eastAsia="Times New Roman" w:hAnsi="Times New Roman" w:cs="Times New Roman"/>
          <w:color w:val="000000"/>
          <w:spacing w:val="0"/>
          <w:w w:val="100"/>
          <w:position w:val="0"/>
        </w:rPr>
        <w:t>4</w:t>
      </w:r>
      <w:bookmarkEnd w:id="518"/>
      <w:r>
        <w:rPr>
          <w:color w:val="000000"/>
          <w:spacing w:val="0"/>
          <w:w w:val="100"/>
          <w:position w:val="0"/>
        </w:rPr>
        <w:t>、</w:t>
        <w:tab/>
        <w:t>方宝林先生，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年出生，中国国籍，机械设计及制造专业，本科学历，高级项目管理师。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年任杭州 正恒软件有限公司总经理；</w:t>
      </w:r>
      <w:r>
        <w:rPr>
          <w:rFonts w:ascii="Times New Roman" w:eastAsia="Times New Roman" w:hAnsi="Times New Roman" w:cs="Times New Roman"/>
          <w:color w:val="000000"/>
          <w:spacing w:val="0"/>
          <w:w w:val="100"/>
          <w:position w:val="0"/>
        </w:rPr>
        <w:t>2004</w:t>
      </w:r>
      <w:r>
        <w:rPr>
          <w:color w:val="000000"/>
          <w:spacing w:val="0"/>
          <w:w w:val="100"/>
          <w:position w:val="0"/>
        </w:rPr>
        <w:t>年起在创业软件工作，</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w:t>
      </w:r>
      <w:r>
        <w:rPr>
          <w:rFonts w:ascii="Times New Roman" w:eastAsia="Times New Roman" w:hAnsi="Times New Roman" w:cs="Times New Roman"/>
          <w:color w:val="000000"/>
          <w:spacing w:val="0"/>
          <w:w w:val="100"/>
          <w:position w:val="0"/>
        </w:rPr>
        <w:t>LIS</w:t>
      </w:r>
      <w:r>
        <w:rPr>
          <w:color w:val="000000"/>
          <w:spacing w:val="0"/>
          <w:w w:val="100"/>
          <w:position w:val="0"/>
        </w:rPr>
        <w:t>事业部总经理，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年任研发中心主 任，</w:t>
      </w:r>
      <w:r>
        <w:rPr>
          <w:rFonts w:ascii="Times New Roman" w:eastAsia="Times New Roman" w:hAnsi="Times New Roman" w:cs="Times New Roman"/>
          <w:color w:val="000000"/>
          <w:spacing w:val="0"/>
          <w:w w:val="100"/>
          <w:position w:val="0"/>
        </w:rPr>
        <w:t>2011</w:t>
      </w:r>
      <w:r>
        <w:rPr>
          <w:color w:val="000000"/>
          <w:spacing w:val="0"/>
          <w:w w:val="100"/>
          <w:position w:val="0"/>
        </w:rPr>
        <w:t>年至今任公司副总经理。曾主持和参与了多项国家、省、市级重点项目的技术开发和工程实施工作，多次荣获省、 市科技奖励，</w:t>
      </w:r>
      <w:r>
        <w:rPr>
          <w:rFonts w:ascii="Times New Roman" w:eastAsia="Times New Roman" w:hAnsi="Times New Roman" w:cs="Times New Roman"/>
          <w:color w:val="000000"/>
          <w:spacing w:val="0"/>
          <w:w w:val="100"/>
          <w:position w:val="0"/>
        </w:rPr>
        <w:t>2010</w:t>
      </w:r>
      <w:r>
        <w:rPr>
          <w:color w:val="000000"/>
          <w:spacing w:val="0"/>
          <w:w w:val="100"/>
          <w:position w:val="0"/>
        </w:rPr>
        <w:t>年被评为杭州高新区优秀科技工作者。现任公司副总经理。</w:t>
      </w:r>
    </w:p>
    <w:p>
      <w:pPr>
        <w:pStyle w:val="Style29"/>
        <w:keepNext w:val="0"/>
        <w:keepLines w:val="0"/>
        <w:widowControl w:val="0"/>
        <w:shd w:val="clear" w:color="auto" w:fill="auto"/>
        <w:tabs>
          <w:tab w:pos="711" w:val="left"/>
        </w:tabs>
        <w:bidi w:val="0"/>
        <w:spacing w:before="0" w:after="0" w:line="314" w:lineRule="exact"/>
        <w:ind w:left="0" w:right="0" w:firstLine="480"/>
        <w:jc w:val="both"/>
      </w:pPr>
      <w:bookmarkStart w:id="519" w:name="bookmark519"/>
      <w:r>
        <w:rPr>
          <w:rFonts w:ascii="Times New Roman" w:eastAsia="Times New Roman" w:hAnsi="Times New Roman" w:cs="Times New Roman"/>
          <w:color w:val="000000"/>
          <w:spacing w:val="0"/>
          <w:w w:val="100"/>
          <w:position w:val="0"/>
        </w:rPr>
        <w:t>5</w:t>
      </w:r>
      <w:bookmarkEnd w:id="519"/>
      <w:r>
        <w:rPr>
          <w:color w:val="000000"/>
          <w:spacing w:val="0"/>
          <w:w w:val="100"/>
          <w:position w:val="0"/>
        </w:rPr>
        <w:t>、</w:t>
        <w:tab/>
        <w:t>周俊先生，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年出生，中国国籍，计算机科学与技术专业，大专学历。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年在嘉兴市邮政局工作。</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年起在创业软件工作，</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月任总经理助理，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月至今任副总经理，主持和参与了公司华东地区、华南地 区、华中地区营销网络建设和市场开拓工作，主持了广州市、珠海市卫生信息化建设等大型项目的商务洽谈和合同签约，具 有较强的市场开拓能力。现任公司副总经理。</w:t>
      </w:r>
    </w:p>
    <w:p>
      <w:pPr>
        <w:pStyle w:val="Style29"/>
        <w:keepNext w:val="0"/>
        <w:keepLines w:val="0"/>
        <w:widowControl w:val="0"/>
        <w:shd w:val="clear" w:color="auto" w:fill="auto"/>
        <w:tabs>
          <w:tab w:pos="706" w:val="left"/>
        </w:tabs>
        <w:bidi w:val="0"/>
        <w:spacing w:before="0" w:after="0" w:line="314" w:lineRule="exact"/>
        <w:ind w:left="0" w:right="0" w:firstLine="480"/>
        <w:jc w:val="both"/>
      </w:pPr>
      <w:bookmarkStart w:id="520" w:name="bookmark520"/>
      <w:r>
        <w:rPr>
          <w:rFonts w:ascii="Times New Roman" w:eastAsia="Times New Roman" w:hAnsi="Times New Roman" w:cs="Times New Roman"/>
          <w:color w:val="000000"/>
          <w:spacing w:val="0"/>
          <w:w w:val="100"/>
          <w:position w:val="0"/>
        </w:rPr>
        <w:t>6</w:t>
      </w:r>
      <w:bookmarkEnd w:id="520"/>
      <w:r>
        <w:rPr>
          <w:color w:val="000000"/>
          <w:spacing w:val="0"/>
          <w:w w:val="100"/>
          <w:position w:val="0"/>
        </w:rPr>
        <w:t>、</w:t>
        <w:tab/>
        <w:t>赵建新先生，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年出生，中国国籍，计算机应用专业，本科学历。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年任杭州森特信息技术有限公司 总经理，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年任浙江联众卫生信息科技有限公司副总经理，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年任浙江网新恩普软件有限公司副总经 理，</w:t>
      </w:r>
      <w:r>
        <w:rPr>
          <w:rFonts w:ascii="Times New Roman" w:eastAsia="Times New Roman" w:hAnsi="Times New Roman" w:cs="Times New Roman"/>
          <w:color w:val="000000"/>
          <w:spacing w:val="0"/>
          <w:w w:val="100"/>
          <w:position w:val="0"/>
        </w:rPr>
        <w:t>2008</w:t>
      </w:r>
      <w:r>
        <w:rPr>
          <w:color w:val="000000"/>
          <w:spacing w:val="0"/>
          <w:w w:val="100"/>
          <w:position w:val="0"/>
        </w:rPr>
        <w:t>年起在创业软件工作，</w:t>
      </w:r>
      <w:r>
        <w:rPr>
          <w:rFonts w:ascii="Times New Roman" w:eastAsia="Times New Roman" w:hAnsi="Times New Roman" w:cs="Times New Roman"/>
          <w:color w:val="000000"/>
          <w:spacing w:val="0"/>
          <w:w w:val="100"/>
          <w:position w:val="0"/>
        </w:rPr>
        <w:t>2011</w:t>
      </w:r>
      <w:r>
        <w:rPr>
          <w:color w:val="000000"/>
          <w:spacing w:val="0"/>
          <w:w w:val="100"/>
          <w:position w:val="0"/>
        </w:rPr>
        <w:t>年至今任公司副总经理。</w:t>
      </w:r>
    </w:p>
    <w:p>
      <w:pPr>
        <w:pStyle w:val="Style29"/>
        <w:keepNext w:val="0"/>
        <w:keepLines w:val="0"/>
        <w:widowControl w:val="0"/>
        <w:shd w:val="clear" w:color="auto" w:fill="auto"/>
        <w:tabs>
          <w:tab w:pos="687" w:val="left"/>
        </w:tabs>
        <w:bidi w:val="0"/>
        <w:spacing w:before="0" w:after="460" w:line="314" w:lineRule="exact"/>
        <w:ind w:left="0" w:right="0" w:firstLine="480"/>
        <w:jc w:val="both"/>
      </w:pPr>
      <w:bookmarkStart w:id="521" w:name="bookmark521"/>
      <w:r>
        <w:rPr>
          <w:rFonts w:ascii="Times New Roman" w:eastAsia="Times New Roman" w:hAnsi="Times New Roman" w:cs="Times New Roman"/>
          <w:color w:val="000000"/>
          <w:spacing w:val="0"/>
          <w:w w:val="100"/>
          <w:position w:val="0"/>
        </w:rPr>
        <w:t>7</w:t>
      </w:r>
      <w:bookmarkEnd w:id="521"/>
      <w:r>
        <w:rPr>
          <w:color w:val="000000"/>
          <w:spacing w:val="0"/>
          <w:w w:val="100"/>
          <w:position w:val="0"/>
        </w:rPr>
        <w:t>、</w:t>
        <w:tab/>
        <w:t>郁燕萍女士，</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年出生，中国国籍，经济管理专业，本科学历，高级经济师、注册会计师。</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年任浙 江省饲料公司会计，</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年任浙江中饲粮油饲料有限公司主办会计</w:t>
      </w:r>
      <w:r>
        <w:rPr>
          <w:color w:val="000000"/>
          <w:spacing w:val="0"/>
          <w:w w:val="100"/>
          <w:position w:val="0"/>
        </w:rPr>
        <w:t>，</w:t>
      </w:r>
      <w:r>
        <w:rPr>
          <w:color w:val="000000"/>
          <w:spacing w:val="0"/>
          <w:w w:val="100"/>
          <w:position w:val="0"/>
        </w:rPr>
        <w:t>浙江兴威工程技术有限公司财务经理。</w:t>
      </w:r>
      <w:r>
        <w:rPr>
          <w:rFonts w:ascii="Times New Roman" w:eastAsia="Times New Roman" w:hAnsi="Times New Roman" w:cs="Times New Roman"/>
          <w:color w:val="000000"/>
          <w:spacing w:val="0"/>
          <w:w w:val="100"/>
          <w:position w:val="0"/>
        </w:rPr>
        <w:t>2005</w:t>
      </w:r>
      <w:r>
        <w:rPr>
          <w:color w:val="000000"/>
          <w:spacing w:val="0"/>
          <w:w w:val="100"/>
          <w:position w:val="0"/>
        </w:rPr>
        <w:t>年 起在创业软件工作，曾任公司审计部经理，</w:t>
      </w:r>
      <w:r>
        <w:rPr>
          <w:rFonts w:ascii="Times New Roman" w:eastAsia="Times New Roman" w:hAnsi="Times New Roman" w:cs="Times New Roman"/>
          <w:color w:val="000000"/>
          <w:spacing w:val="0"/>
          <w:w w:val="100"/>
          <w:position w:val="0"/>
        </w:rPr>
        <w:t>2006</w:t>
      </w:r>
      <w:r>
        <w:rPr>
          <w:color w:val="000000"/>
          <w:spacing w:val="0"/>
          <w:w w:val="100"/>
          <w:position w:val="0"/>
        </w:rPr>
        <w:t>年起任创业软件财务负责人。现任公司财务负责人、苏州创业亿康监事、创 源环境监事、中山杭创监事。</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85"/>
        <w:gridCol w:w="4464"/>
        <w:gridCol w:w="1488"/>
        <w:gridCol w:w="222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在股东单位是否领取报酬 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李寒穷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雅戈尔集团股份有限公司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杭州阜康投资有限公司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杭州阜康投资有限公司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85"/>
        <w:gridCol w:w="4459"/>
        <w:gridCol w:w="1483"/>
        <w:gridCol w:w="223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在其他单位是否领取报酬 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三维通信股份有限公司、杭州先临三维科技股份有限公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浙江大学计算机学院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教授、博士生导 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浙江工商大学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685"/>
        <w:gridCol w:w="4459"/>
        <w:gridCol w:w="1483"/>
        <w:gridCol w:w="223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浙江工商大学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教研处处长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江乾坤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杭州和顺科技股份有限公司、宁波天龙电子股份有限公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江乾坤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杭州电子科技大学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中宇科技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广东中拓信息、蓝天电脑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中宇科技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苏州创业亿康、创源环境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创业南京、卫生技术公司、中拓信息、蓝天电脑、中山 杭创、宁海杭创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李寒穷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李寒穷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雅戈尔投资有限公司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郁燕萍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苏州创业亿康、创源环境、中山杭创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四</w:t>
      </w:r>
      <w:bookmarkEnd w:id="524"/>
      <w:r>
        <w:rPr>
          <w:color w:val="000000"/>
          <w:spacing w:val="0"/>
          <w:w w:val="100"/>
          <w:position w:val="0"/>
          <w:sz w:val="24"/>
          <w:szCs w:val="24"/>
        </w:rPr>
        <w:t>、董事、监事、高级管理人员报酬情况</w:t>
      </w:r>
      <w:bookmarkEnd w:id="522"/>
      <w:bookmarkEnd w:id="523"/>
      <w:bookmarkEnd w:id="525"/>
    </w:p>
    <w:p>
      <w:pPr>
        <w:pStyle w:val="Style33"/>
        <w:keepNext w:val="0"/>
        <w:keepLines w:val="0"/>
        <w:widowControl w:val="0"/>
        <w:shd w:val="clear" w:color="auto" w:fill="auto"/>
        <w:bidi w:val="0"/>
        <w:spacing w:before="0" w:after="0" w:line="240" w:lineRule="auto"/>
        <w:ind w:left="91"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930"/>
        <w:gridCol w:w="4934"/>
      </w:tblGrid>
      <w:tr>
        <w:trPr>
          <w:trHeight w:val="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董事、监事及高级管理人员的薪酬方案由董事会薪酬与考核 委员会拟定，经董事会、监事会、股东大会审议通过后实施。</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董事、监事和高级管理人员的报酬按照公司规定，结合其经 营绩效、工作能力能考核确定并发放。</w:t>
            </w:r>
          </w:p>
        </w:tc>
      </w:tr>
      <w:tr>
        <w:trPr>
          <w:trHeight w:val="71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公司现有独立董事、监事、高级管理人员的基本薪酬已按月 支付，其中一定比例考核后发放。</w:t>
            </w:r>
          </w:p>
        </w:tc>
      </w:tr>
    </w:tbl>
    <w:p>
      <w:pPr>
        <w:widowControl w:val="0"/>
        <w:spacing w:after="43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郁燕萍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董祖琰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方宝林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高春蓉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副总经理、总 工程师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江乾坤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李寒穷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40"/>
              <w:jc w:val="left"/>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末市价</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本期已</w:t>
            </w:r>
          </w:p>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解锁股</w:t>
            </w:r>
          </w:p>
          <w:p>
            <w:pPr>
              <w:pStyle w:val="Style2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新授予 限制性 股票数</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6"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李寒穷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董事、董 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60,000</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江乾坤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高春蓉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总工程 师、副总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郁燕萍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方宝林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495,000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期末持有限制性股票数量的增加是由于公司</w:t>
            </w:r>
            <w:r>
              <w:rPr>
                <w:rFonts w:ascii="Times New Roman" w:eastAsia="Times New Roman" w:hAnsi="Times New Roman" w:cs="Times New Roman"/>
                <w:color w:val="000000"/>
                <w:spacing w:val="0"/>
                <w:w w:val="100"/>
                <w:position w:val="0"/>
              </w:rPr>
              <w:t>2016</w:t>
            </w:r>
            <w:r>
              <w:rPr>
                <w:color w:val="000000"/>
                <w:spacing w:val="0"/>
                <w:w w:val="100"/>
                <w:position w:val="0"/>
              </w:rPr>
              <w:t>年度以资本公积向全体股东每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五</w:t>
      </w:r>
      <w:bookmarkEnd w:id="528"/>
      <w:r>
        <w:rPr>
          <w:color w:val="000000"/>
          <w:spacing w:val="0"/>
          <w:w w:val="100"/>
          <w:position w:val="0"/>
          <w:sz w:val="24"/>
          <w:szCs w:val="24"/>
        </w:rPr>
        <w:t>、公司员工情况</w:t>
      </w:r>
      <w:bookmarkEnd w:id="526"/>
      <w:bookmarkEnd w:id="527"/>
      <w:bookmarkEnd w:id="529"/>
    </w:p>
    <w:p>
      <w:pPr>
        <w:pStyle w:val="Style35"/>
        <w:keepNext/>
        <w:keepLines/>
        <w:widowControl w:val="0"/>
        <w:shd w:val="clear" w:color="auto" w:fill="auto"/>
        <w:bidi w:val="0"/>
        <w:spacing w:before="0" w:after="32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1,630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443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1,184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161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609</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2,073</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1,234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2,073</w:t>
            </w:r>
          </w:p>
        </w:tc>
      </w:tr>
    </w:tbl>
    <w:p>
      <w:pPr>
        <w:widowControl w:val="0"/>
        <w:spacing w:after="279" w:line="1" w:lineRule="exact"/>
      </w:pPr>
    </w:p>
    <w:p>
      <w:pPr>
        <w:pStyle w:val="Style35"/>
        <w:keepNext/>
        <w:keepLines/>
        <w:widowControl w:val="0"/>
        <w:shd w:val="clear" w:color="auto" w:fill="auto"/>
        <w:tabs>
          <w:tab w:pos="378"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薪酬政策</w:t>
      </w:r>
      <w:bookmarkEnd w:id="534"/>
      <w:bookmarkEnd w:id="535"/>
      <w:bookmarkEnd w:id="537"/>
    </w:p>
    <w:p>
      <w:pPr>
        <w:pStyle w:val="Style29"/>
        <w:keepNext w:val="0"/>
        <w:keepLines w:val="0"/>
        <w:widowControl w:val="0"/>
        <w:shd w:val="clear" w:color="auto" w:fill="auto"/>
        <w:bidi w:val="0"/>
        <w:spacing w:before="0" w:after="680" w:line="307" w:lineRule="exact"/>
        <w:ind w:left="0" w:right="0" w:firstLine="440"/>
        <w:jc w:val="left"/>
      </w:pPr>
      <w:r>
        <w:rPr>
          <w:color w:val="000000"/>
          <w:spacing w:val="0"/>
          <w:w w:val="100"/>
          <w:position w:val="0"/>
        </w:rPr>
        <w:t>公司薪酬政策坚持与岗位价值相匹配的基本原则，同时兼顾技术与专业化能力的差别化对待，根据不同类别岗位职级 制定相应的薪酬等级体系，在每个岗位职级内根据其技术能力、专业化能力水平确定对应的薪酬。</w:t>
      </w:r>
    </w:p>
    <w:p>
      <w:pPr>
        <w:pStyle w:val="Style35"/>
        <w:keepNext/>
        <w:keepLines/>
        <w:widowControl w:val="0"/>
        <w:shd w:val="clear" w:color="auto" w:fill="auto"/>
        <w:tabs>
          <w:tab w:pos="378"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29"/>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公司各部门根据自身情况，经过需求调查以及往年的培训结果反馈，编制各部门年度培训计划，并报人力资源部备案。 公司人力资源部每年根据需求制定对相关岗位人员的年度培训计划，报公司批准后执行。</w:t>
      </w:r>
    </w:p>
    <w:p>
      <w:pPr>
        <w:pStyle w:val="Style35"/>
        <w:keepNext/>
        <w:keepLines/>
        <w:widowControl w:val="0"/>
        <w:shd w:val="clear" w:color="auto" w:fill="auto"/>
        <w:tabs>
          <w:tab w:pos="378" w:val="left"/>
        </w:tabs>
        <w:bidi w:val="0"/>
        <w:spacing w:before="0" w:after="2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劳务外包情况</w:t>
      </w:r>
      <w:bookmarkEnd w:id="542"/>
      <w:bookmarkEnd w:id="543"/>
      <w:bookmarkEnd w:id="545"/>
    </w:p>
    <w:p>
      <w:pPr>
        <w:pStyle w:val="Style29"/>
        <w:keepNext w:val="0"/>
        <w:keepLines w:val="0"/>
        <w:widowControl w:val="0"/>
        <w:shd w:val="clear" w:color="auto" w:fill="auto"/>
        <w:bidi w:val="0"/>
        <w:spacing w:before="0" w:after="280" w:line="307" w:lineRule="exact"/>
        <w:ind w:left="0" w:right="0" w:firstLine="0"/>
        <w:jc w:val="left"/>
        <w:sectPr>
          <w:footnotePr>
            <w:pos w:val="pageBottom"/>
            <w:numFmt w:val="decimal"/>
            <w:numRestart w:val="continuous"/>
          </w:footnotePr>
          <w:type w:val="continuous"/>
          <w:pgSz w:w="11900" w:h="16840"/>
          <w:pgMar w:top="1383" w:right="1031" w:bottom="1489" w:left="100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540" w:after="520" w:line="240" w:lineRule="auto"/>
        <w:ind w:left="0" w:right="0" w:firstLine="0"/>
        <w:jc w:val="center"/>
      </w:pPr>
      <w:bookmarkStart w:id="546" w:name="bookmark546"/>
      <w:bookmarkStart w:id="547" w:name="bookmark547"/>
      <w:bookmarkStart w:id="548" w:name="bookmark548"/>
      <w:r>
        <w:rPr>
          <w:color w:val="000000"/>
          <w:spacing w:val="0"/>
          <w:w w:val="100"/>
          <w:position w:val="0"/>
        </w:rPr>
        <w:t>第九节公司治理</w:t>
      </w:r>
      <w:bookmarkEnd w:id="546"/>
      <w:bookmarkEnd w:id="547"/>
      <w:bookmarkEnd w:id="548"/>
    </w:p>
    <w:p>
      <w:pPr>
        <w:pStyle w:val="Style27"/>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、公司治理的基本状况</w:t>
      </w:r>
      <w:bookmarkEnd w:id="549"/>
      <w:bookmarkEnd w:id="550"/>
      <w:bookmarkEnd w:id="552"/>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公司严格按照《公司法》、《证券法》、《深圳证券交易所创业板股票上市规则》、《深圳证券交易所创业板上市公司规范运 作指引》等相关法律、法规和规范性文件的要求，不断完善公司的法人治理结构，建立健全公司内部管理和控制制度，持续 深入开展公司治理活动，促进公司规范运作，提高公司治理水平。报告期内，公司股东大会、董事会、监事会依法运作， 公司治理的实际情况符合中国证监会、深圳证券交易所等发布的法律法规和规范性文件的要求。</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截止目前，公司依据监管部门和公司实际情况在治理方面制定了各项规章制度，主要有《公司章程》、《股东大会议事规 则》、《董事会议事规则》、《监事会议事规则》、《独立董事工作制度》、《战略委员会工作规则》、《审计委员会工作规则》、《提 名委员会工作规则》、《薪酬与考核委员会工作规则》、《总经理工作细则》、《董事会秘书工作细则》、《对外投资管理制度》、</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《对外担保管理制度》《关联交易决策制度》、《募集资金管理制度》、《内部审计制度》、《内部控制制度》等规章制度。通过 一系列制度的制定，搭建了较为完善的公司法人治理结构的制度平台，从制度上明确了股东大会、董事会、监事会及管理层 各自应履行的职责和议事规程，从而为公司的规范运作提供了制度保障。</w:t>
      </w:r>
    </w:p>
    <w:p>
      <w:pPr>
        <w:pStyle w:val="Style29"/>
        <w:keepNext w:val="0"/>
        <w:keepLines w:val="0"/>
        <w:widowControl w:val="0"/>
        <w:shd w:val="clear" w:color="auto" w:fill="auto"/>
        <w:tabs>
          <w:tab w:pos="753" w:val="left"/>
        </w:tabs>
        <w:bidi w:val="0"/>
        <w:spacing w:before="0" w:after="0" w:line="313" w:lineRule="exact"/>
        <w:ind w:left="0" w:right="0" w:firstLine="280"/>
        <w:jc w:val="both"/>
      </w:pPr>
      <w:bookmarkStart w:id="553" w:name="bookmark553"/>
      <w:r>
        <w:rPr>
          <w:color w:val="000000"/>
          <w:spacing w:val="0"/>
          <w:w w:val="100"/>
          <w:position w:val="0"/>
        </w:rPr>
        <w:t>（</w:t>
      </w:r>
      <w:bookmarkEnd w:id="553"/>
      <w:r>
        <w:rPr>
          <w:color w:val="000000"/>
          <w:spacing w:val="0"/>
          <w:w w:val="100"/>
          <w:position w:val="0"/>
        </w:rPr>
        <w:t>一）</w:t>
        <w:tab/>
        <w:t>关于股东和股东大会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公司严格按照《公司法》、《上市公司股东大会规则》、《公司章程》、《股东大会议事规则》等相关法律、法规和规范性文 件的要求召开股东大会，规范股东大会的召集、召开及表决程序。报告期内，公司召开的股东大会均有公司董事会召集召开, 董事长主持，公司聘请的法律顾问对股东大会现场会议进行了见证并出具了法律意见书。在股东大会上能够保证各位股东有 充分的发言权，确保全体股东特别是中小股东享有平等地位，充分行使自己的权利。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报告期内，本公司召开的股东大会不存在违反《上市公司股东大会规则》的情形，公司未发生独立或合计持有本公司有 表决权股份总额</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以上的股东请求召开临时股东大会的情形，也不存在监事会提议召开的股东大会。按照《公司法》、《公 司章程》的规定应由股东大会审议的重大事项，本公司均通过股东大会审议，不存在绕过股东大会的情况，也不存在先实施 后审议的情况。</w:t>
      </w:r>
    </w:p>
    <w:p>
      <w:pPr>
        <w:pStyle w:val="Style29"/>
        <w:keepNext w:val="0"/>
        <w:keepLines w:val="0"/>
        <w:widowControl w:val="0"/>
        <w:shd w:val="clear" w:color="auto" w:fill="auto"/>
        <w:tabs>
          <w:tab w:pos="753" w:val="left"/>
        </w:tabs>
        <w:bidi w:val="0"/>
        <w:spacing w:before="0" w:after="0" w:line="313" w:lineRule="exact"/>
        <w:ind w:left="0" w:right="0" w:firstLine="280"/>
        <w:jc w:val="both"/>
      </w:pPr>
      <w:bookmarkStart w:id="554" w:name="bookmark554"/>
      <w:r>
        <w:rPr>
          <w:color w:val="000000"/>
          <w:spacing w:val="0"/>
          <w:w w:val="100"/>
          <w:position w:val="0"/>
        </w:rPr>
        <w:t>（</w:t>
      </w:r>
      <w:bookmarkEnd w:id="554"/>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公司控股股东、实际控制人葛航先生严格按照《上市公司治理准则》、《深圳证券交易所创业板上市规则》、《深证证券交 易所创业板规范运作指引》、《公司章程》等的规定和要求，不存在超越公司股东大会直接或间接干预公司的决策和经营活动 的行为，未损害公司及其他股东的利益，不存在控股股东占用公司资金的现象，公司不存在为控股股东提供担保的情况。</w:t>
      </w:r>
    </w:p>
    <w:p>
      <w:pPr>
        <w:pStyle w:val="Style29"/>
        <w:keepNext w:val="0"/>
        <w:keepLines w:val="0"/>
        <w:widowControl w:val="0"/>
        <w:shd w:val="clear" w:color="auto" w:fill="auto"/>
        <w:tabs>
          <w:tab w:pos="753" w:val="left"/>
        </w:tabs>
        <w:bidi w:val="0"/>
        <w:spacing w:before="0" w:after="0" w:line="313" w:lineRule="exact"/>
        <w:ind w:left="0" w:right="0" w:firstLine="280"/>
        <w:jc w:val="left"/>
      </w:pPr>
      <w:bookmarkStart w:id="555" w:name="bookmark555"/>
      <w:r>
        <w:rPr>
          <w:color w:val="000000"/>
          <w:spacing w:val="0"/>
          <w:w w:val="100"/>
          <w:position w:val="0"/>
        </w:rPr>
        <w:t>（</w:t>
      </w:r>
      <w:bookmarkEnd w:id="555"/>
      <w:r>
        <w:rPr>
          <w:color w:val="000000"/>
          <w:spacing w:val="0"/>
          <w:w w:val="100"/>
          <w:position w:val="0"/>
        </w:rPr>
        <w:t>三）</w:t>
        <w:tab/>
        <w:t>关于董事和董事会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董事会的人数及人员构成符合法律、法规和《公司章程》的规定。各位董事能够依照《董事会议事规则》、《独立董事工 作制度》、《深圳证券交易所创业板上市公司规范运作指引》等相关规定开展工作，出席董事会、董事会专门委员会和股东大 会，勤勉尽责地履行职责和义务，同时各位董事均积极参加相关培训，熟悉相关法律法规，切实提高了履行董事职责的能力。 公司按照《深圳证券交易所创业板上市公司规范运作指引》的规定，下设有审计委员会、战略委员会、薪酬与考核委员会和 提名委员会四个专门委员会。专门委员会成员全部由董事组成，除战略委员会由董事长担任召集人以外，其他专门委员会均 有独立董事担任召集人，为董事会的决策提供了科学和专业的意见。各委员会依据《公司章程》和董事会专门委员会工作规 则的规定履行职责，不受公司任何其他部门和个人干预。</w:t>
      </w:r>
    </w:p>
    <w:p>
      <w:pPr>
        <w:pStyle w:val="Style29"/>
        <w:keepNext w:val="0"/>
        <w:keepLines w:val="0"/>
        <w:widowControl w:val="0"/>
        <w:shd w:val="clear" w:color="auto" w:fill="auto"/>
        <w:tabs>
          <w:tab w:pos="753" w:val="left"/>
        </w:tabs>
        <w:bidi w:val="0"/>
        <w:spacing w:before="0" w:after="0" w:line="313" w:lineRule="exact"/>
        <w:ind w:left="0" w:right="0" w:firstLine="280"/>
        <w:jc w:val="left"/>
      </w:pPr>
      <w:bookmarkStart w:id="556" w:name="bookmark556"/>
      <w:r>
        <w:rPr>
          <w:color w:val="000000"/>
          <w:spacing w:val="0"/>
          <w:w w:val="100"/>
          <w:position w:val="0"/>
        </w:rPr>
        <w:t>（</w:t>
      </w:r>
      <w:bookmarkEnd w:id="556"/>
      <w:r>
        <w:rPr>
          <w:color w:val="000000"/>
          <w:spacing w:val="0"/>
          <w:w w:val="100"/>
          <w:position w:val="0"/>
        </w:rPr>
        <w:t>四）</w:t>
        <w:tab/>
        <w:t>关于监事与监事会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公司监事会设监事三名，其中职工监事一名，监事会的人数和人员构成符合相关规定。报告期内所有监事均能够按照《公 司章程》、《监事会议事规则》以及相关法律、法规和规范性文件的要求，认真履行自己的职责，对公司重大事项、财务状况 以及董事、高级管理人员履行职责的合法合规性进行监督。同时，公司监事积极参加相关培训，通过进一步的学习，熟悉有 关法律法规，切实提高了履行监事职责的能力。</w:t>
      </w:r>
    </w:p>
    <w:p>
      <w:pPr>
        <w:pStyle w:val="Style29"/>
        <w:keepNext w:val="0"/>
        <w:keepLines w:val="0"/>
        <w:widowControl w:val="0"/>
        <w:shd w:val="clear" w:color="auto" w:fill="auto"/>
        <w:tabs>
          <w:tab w:pos="753" w:val="left"/>
        </w:tabs>
        <w:bidi w:val="0"/>
        <w:spacing w:before="0" w:after="0" w:line="313" w:lineRule="exact"/>
        <w:ind w:left="0" w:right="0" w:firstLine="280"/>
        <w:jc w:val="both"/>
      </w:pPr>
      <w:bookmarkStart w:id="557" w:name="bookmark557"/>
      <w:r>
        <w:rPr>
          <w:color w:val="000000"/>
          <w:spacing w:val="0"/>
          <w:w w:val="100"/>
          <w:position w:val="0"/>
        </w:rPr>
        <w:t>（</w:t>
      </w:r>
      <w:bookmarkEnd w:id="557"/>
      <w:r>
        <w:rPr>
          <w:color w:val="000000"/>
          <w:spacing w:val="0"/>
          <w:w w:val="100"/>
          <w:position w:val="0"/>
        </w:rPr>
        <w:t>五）</w:t>
        <w:tab/>
        <w:t>关于信息披露与透明度</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公司高度重视信息披露与投资者关系管理工作，严格按照《上市公司信息披露管理办法》、深圳证券交易所创业板上市 </w:t>
      </w:r>
      <w:r>
        <w:rPr>
          <w:color w:val="000000"/>
          <w:spacing w:val="0"/>
          <w:w w:val="100"/>
          <w:position w:val="0"/>
        </w:rPr>
        <w:t>公司的信息披露格式指引等规定以及公司制定的《信息披露制度》等操作性文件的要求，真实准确、完整及时的披露信息。 同时，明确董事长为公司信息披露第一责任人，董事会秘书为信息披露负责人，证券部负责信息披露的日常事务。公司指定 《证券时报》、《证券日报》、《中国证券报》、《上海证券报》为公司信息披露报纸，巨潮资讯网为公司信息披露网站。公司上 市以来，不断尝试更加有效的方式开展投资者关系管理工作，设立了电话专线、专用邮箱等多种渠道与投资者进行沟通和交 流。</w:t>
      </w:r>
    </w:p>
    <w:p>
      <w:pPr>
        <w:pStyle w:val="Style29"/>
        <w:keepNext w:val="0"/>
        <w:keepLines w:val="0"/>
        <w:widowControl w:val="0"/>
        <w:shd w:val="clear" w:color="auto" w:fill="auto"/>
        <w:bidi w:val="0"/>
        <w:spacing w:before="0" w:after="0" w:line="311" w:lineRule="exact"/>
        <w:ind w:left="0" w:right="0" w:firstLine="300"/>
        <w:jc w:val="left"/>
      </w:pPr>
      <w:bookmarkStart w:id="558" w:name="bookmark558"/>
      <w:r>
        <w:rPr>
          <w:color w:val="000000"/>
          <w:spacing w:val="0"/>
          <w:w w:val="100"/>
          <w:position w:val="0"/>
        </w:rPr>
        <w:t>（</w:t>
      </w:r>
      <w:bookmarkEnd w:id="558"/>
      <w:r>
        <w:rPr>
          <w:color w:val="000000"/>
          <w:spacing w:val="0"/>
          <w:w w:val="100"/>
          <w:position w:val="0"/>
        </w:rPr>
        <w:t>六）关于相关利益者</w:t>
      </w:r>
    </w:p>
    <w:p>
      <w:pPr>
        <w:pStyle w:val="Style29"/>
        <w:keepNext w:val="0"/>
        <w:keepLines w:val="0"/>
        <w:widowControl w:val="0"/>
        <w:shd w:val="clear" w:color="auto" w:fill="auto"/>
        <w:bidi w:val="0"/>
        <w:spacing w:before="0" w:after="360" w:line="311" w:lineRule="exact"/>
        <w:ind w:left="0" w:right="0"/>
        <w:jc w:val="left"/>
      </w:pPr>
      <w:r>
        <w:rPr>
          <w:color w:val="000000"/>
          <w:spacing w:val="0"/>
          <w:w w:val="100"/>
          <w:position w:val="0"/>
        </w:rPr>
        <w:t>公司充分尊重和维护相关利益者的合法权益，重视公司的社会责任，积极与相关利益者合作，加强与各方的沟通和交流, 实现股东、员工、社会等各方利益的协调平衡，共同推动公司持续、健康的发展。</w:t>
      </w:r>
    </w:p>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360" w:line="240" w:lineRule="auto"/>
        <w:ind w:left="0" w:right="0" w:firstLine="0"/>
        <w:jc w:val="both"/>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、公司相对于控股股东在业务、人员、资产、机构、财务等方面的独立情况</w:t>
      </w:r>
      <w:bookmarkEnd w:id="559"/>
      <w:bookmarkEnd w:id="560"/>
      <w:bookmarkEnd w:id="562"/>
    </w:p>
    <w:p>
      <w:pPr>
        <w:pStyle w:val="Style29"/>
        <w:keepNext w:val="0"/>
        <w:keepLines w:val="0"/>
        <w:widowControl w:val="0"/>
        <w:shd w:val="clear" w:color="auto" w:fill="auto"/>
        <w:tabs>
          <w:tab w:pos="324" w:val="left"/>
        </w:tabs>
        <w:bidi w:val="0"/>
        <w:spacing w:before="0" w:after="0"/>
        <w:ind w:left="0" w:right="0" w:firstLine="0"/>
        <w:jc w:val="both"/>
      </w:pPr>
      <w:bookmarkStart w:id="563" w:name="bookmark563"/>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业务独立情况</w:t>
      </w:r>
    </w:p>
    <w:p>
      <w:pPr>
        <w:pStyle w:val="Style29"/>
        <w:keepNext w:val="0"/>
        <w:keepLines w:val="0"/>
        <w:widowControl w:val="0"/>
        <w:shd w:val="clear" w:color="auto" w:fill="auto"/>
        <w:bidi w:val="0"/>
        <w:spacing w:before="0" w:after="80" w:line="314" w:lineRule="exact"/>
        <w:ind w:left="0" w:right="0" w:firstLine="300"/>
        <w:jc w:val="both"/>
      </w:pPr>
      <w:r>
        <w:rPr>
          <w:color w:val="000000"/>
          <w:spacing w:val="0"/>
          <w:w w:val="100"/>
          <w:position w:val="0"/>
        </w:rPr>
        <w:t>公司拥有独立完整的业务体系和面向市场的独立经营能力。公司实际控制人及持有公司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以上股份的股东已向本公司出 具了《关于避免同业竞争的承诺函》，承诺不从事与本公司形成竞争关系的相关业务。公司严格按照《公司法》、《证券法》 等有关法律、法规和《公司章程》的要求规范运作，建立健全了公司法人治理结构，在业务、资产、人员、机构、财务等方 面均独立于实际控制人及其控制的其他企业，公司具有独立、完整的资产和业务体系，具备面向市场独立经营的能力。</w:t>
      </w:r>
    </w:p>
    <w:p>
      <w:pPr>
        <w:pStyle w:val="Style29"/>
        <w:keepNext w:val="0"/>
        <w:keepLines w:val="0"/>
        <w:widowControl w:val="0"/>
        <w:shd w:val="clear" w:color="auto" w:fill="auto"/>
        <w:tabs>
          <w:tab w:pos="343" w:val="left"/>
        </w:tabs>
        <w:bidi w:val="0"/>
        <w:spacing w:before="0" w:after="0"/>
        <w:ind w:left="0" w:right="0" w:firstLine="0"/>
        <w:jc w:val="both"/>
      </w:pPr>
      <w:bookmarkStart w:id="564" w:name="bookmark564"/>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人员独立情况</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公司董事、监事及高级管理人员严格按照《公司法》、《公司章程》的有关规定产生；公司总经理、副总经理、财务负责 人、董事会秘书等高级管理人员均专职在公司工作并领取薪酬；公司的人事及工资管理完全独立，在地方社保部门办理了独 立的社保登记，并根据《劳动法》和公司劳动管理制度等有关规定与公司员工签订劳动合同。</w:t>
      </w:r>
    </w:p>
    <w:p>
      <w:pPr>
        <w:pStyle w:val="Style29"/>
        <w:keepNext w:val="0"/>
        <w:keepLines w:val="0"/>
        <w:widowControl w:val="0"/>
        <w:shd w:val="clear" w:color="auto" w:fill="auto"/>
        <w:tabs>
          <w:tab w:pos="343" w:val="left"/>
        </w:tabs>
        <w:bidi w:val="0"/>
        <w:spacing w:before="0" w:after="0"/>
        <w:ind w:left="0" w:right="0" w:firstLine="0"/>
        <w:jc w:val="both"/>
      </w:pPr>
      <w:bookmarkStart w:id="565" w:name="bookmark565"/>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资产完整情况</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公司合法拥有与生产经营有关的资产，拥有独立完整的生产系统、辅助生产系统和配套设施，具有独立的原料采购和产 品销售系统。公司拥有与经营有关的研发、生产、销售和技术服务体系及房屋所有权、土地使用权、商标、专利权及专利申 请权、车辆、办公设施等相关资产，上述资产不存在与他人共有的情形。报告期内，公司不存在以其资产、权益或信用为关 联方提供担保的情形，也不存在公司的资产或资源被公司股东、实际控制人及其控制的其他企业使用或占用的情形，公司对 所有资产均拥有完整的控制和支配权。</w:t>
      </w:r>
    </w:p>
    <w:p>
      <w:pPr>
        <w:pStyle w:val="Style29"/>
        <w:keepNext w:val="0"/>
        <w:keepLines w:val="0"/>
        <w:widowControl w:val="0"/>
        <w:shd w:val="clear" w:color="auto" w:fill="auto"/>
        <w:tabs>
          <w:tab w:pos="343" w:val="left"/>
        </w:tabs>
        <w:bidi w:val="0"/>
        <w:spacing w:before="0" w:after="0"/>
        <w:ind w:left="0" w:right="0" w:firstLine="0"/>
        <w:jc w:val="both"/>
      </w:pPr>
      <w:bookmarkStart w:id="566" w:name="bookmark566"/>
      <w:r>
        <w:rPr>
          <w:rFonts w:ascii="Times New Roman" w:eastAsia="Times New Roman" w:hAnsi="Times New Roman" w:cs="Times New Roman"/>
          <w:color w:val="000000"/>
          <w:spacing w:val="0"/>
          <w:w w:val="100"/>
          <w:position w:val="0"/>
        </w:rPr>
        <w:t>4</w:t>
      </w:r>
      <w:bookmarkEnd w:id="566"/>
      <w:r>
        <w:rPr>
          <w:color w:val="000000"/>
          <w:spacing w:val="0"/>
          <w:w w:val="100"/>
          <w:position w:val="0"/>
        </w:rPr>
        <w:t>、</w:t>
        <w:tab/>
        <w:t>机构独立情况</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公司按《公司法》与《公司章程》的要求建立健全了股东大会、董事会、监事会和经营管理层的组织结构体系，独立行 使经营管理职权。公司设有职能部门和分支机构，不存在与实际控制人及其控制的其他企业间机构混同的情形。</w:t>
      </w:r>
    </w:p>
    <w:p>
      <w:pPr>
        <w:pStyle w:val="Style29"/>
        <w:keepNext w:val="0"/>
        <w:keepLines w:val="0"/>
        <w:widowControl w:val="0"/>
        <w:shd w:val="clear" w:color="auto" w:fill="auto"/>
        <w:tabs>
          <w:tab w:pos="343" w:val="left"/>
        </w:tabs>
        <w:bidi w:val="0"/>
        <w:spacing w:before="0" w:after="0"/>
        <w:ind w:left="0" w:right="0" w:firstLine="0"/>
        <w:jc w:val="both"/>
      </w:pPr>
      <w:bookmarkStart w:id="567" w:name="bookmark567"/>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财务独立情况</w:t>
      </w:r>
    </w:p>
    <w:p>
      <w:pPr>
        <w:pStyle w:val="Style29"/>
        <w:keepNext w:val="0"/>
        <w:keepLines w:val="0"/>
        <w:widowControl w:val="0"/>
        <w:shd w:val="clear" w:color="auto" w:fill="auto"/>
        <w:bidi w:val="0"/>
        <w:spacing w:before="0" w:after="680" w:line="314" w:lineRule="exact"/>
        <w:ind w:left="0" w:right="0"/>
        <w:jc w:val="left"/>
      </w:pPr>
      <w:r>
        <w:rPr>
          <w:color w:val="000000"/>
          <w:spacing w:val="0"/>
          <w:w w:val="100"/>
          <w:position w:val="0"/>
        </w:rPr>
        <w:t>公司设有独立的财务部门，建立了独立的会计核算体系、规范的财务管理制度和对子公司、分支机构的财务管理制度， 能够独立进行财务决策；财务负责人和财务人员均专职在本公司工作；在银行独立开立账户，并依法独立进行纳税申报和履 行纳税义务；独立对外签订合同，不存在与股东共用银行账户或混合纳税现象。</w:t>
      </w:r>
    </w:p>
    <w:p>
      <w:pPr>
        <w:pStyle w:val="Style27"/>
        <w:keepNext/>
        <w:keepLines/>
        <w:widowControl w:val="0"/>
        <w:shd w:val="clear" w:color="auto" w:fill="auto"/>
        <w:bidi w:val="0"/>
        <w:spacing w:before="0" w:after="36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sz w:val="24"/>
          <w:szCs w:val="24"/>
        </w:rPr>
        <w:t>三</w:t>
      </w:r>
      <w:bookmarkEnd w:id="570"/>
      <w:r>
        <w:rPr>
          <w:color w:val="000000"/>
          <w:spacing w:val="0"/>
          <w:w w:val="100"/>
          <w:position w:val="0"/>
          <w:sz w:val="24"/>
          <w:szCs w:val="24"/>
        </w:rPr>
        <w:t>、同业竞争情况</w:t>
      </w:r>
      <w:bookmarkEnd w:id="568"/>
      <w:bookmarkEnd w:id="569"/>
      <w:bookmarkEnd w:id="571"/>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、报告期内召开的年度股东大会和临时股东大会的有关情况</w:t>
      </w:r>
      <w:bookmarkEnd w:id="572"/>
      <w:bookmarkEnd w:id="573"/>
      <w:bookmarkEnd w:id="575"/>
    </w:p>
    <w:p>
      <w:pPr>
        <w:pStyle w:val="Style35"/>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、本报告期股东大会情况</w:t>
      </w:r>
      <w:bookmarkEnd w:id="576"/>
      <w:bookmarkEnd w:id="577"/>
      <w:bookmarkEnd w:id="579"/>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http://www. cninfo.</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com.cn</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com.cn</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、表决权恢复的优先股股东请求召开临时股东大会</w:t>
      </w:r>
      <w:bookmarkEnd w:id="580"/>
      <w:bookmarkEnd w:id="581"/>
      <w:bookmarkEnd w:id="58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五</w:t>
      </w:r>
      <w:bookmarkEnd w:id="586"/>
      <w:r>
        <w:rPr>
          <w:color w:val="000000"/>
          <w:spacing w:val="0"/>
          <w:w w:val="100"/>
          <w:position w:val="0"/>
          <w:sz w:val="24"/>
          <w:szCs w:val="24"/>
        </w:rPr>
        <w:t>、报告期内独立董事履行职责的情况</w:t>
      </w:r>
      <w:bookmarkEnd w:id="584"/>
      <w:bookmarkEnd w:id="585"/>
      <w:bookmarkEnd w:id="587"/>
    </w:p>
    <w:p>
      <w:pPr>
        <w:pStyle w:val="Style35"/>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、独立董事出席董事会及股东大会的情况</w:t>
      </w:r>
      <w:bookmarkEnd w:id="588"/>
      <w:bookmarkEnd w:id="589"/>
      <w:bookmarkEnd w:id="591"/>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江乾坤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、独立董事对公司有关事项提出异议的情况</w:t>
      </w:r>
      <w:bookmarkEnd w:id="592"/>
      <w:bookmarkEnd w:id="593"/>
      <w:bookmarkEnd w:id="59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60" w:line="240"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、独立董事履行职责的其他说明</w:t>
      </w:r>
      <w:bookmarkEnd w:id="596"/>
      <w:bookmarkEnd w:id="597"/>
      <w:bookmarkEnd w:id="599"/>
    </w:p>
    <w:p>
      <w:pPr>
        <w:pStyle w:val="Style29"/>
        <w:keepNext w:val="0"/>
        <w:keepLines w:val="0"/>
        <w:widowControl w:val="0"/>
        <w:shd w:val="clear" w:color="auto" w:fill="auto"/>
        <w:bidi w:val="0"/>
        <w:spacing w:before="0" w:after="120" w:line="315" w:lineRule="exact"/>
        <w:ind w:left="0" w:right="0" w:firstLine="0"/>
        <w:jc w:val="both"/>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报告期内，独立董事对公司提出的各项合理建议均被采纳</w:t>
      </w:r>
    </w:p>
    <w:p>
      <w:pPr>
        <w:pStyle w:val="Style27"/>
        <w:keepNext/>
        <w:keepLines/>
        <w:widowControl w:val="0"/>
        <w:shd w:val="clear" w:color="auto" w:fill="auto"/>
        <w:bidi w:val="0"/>
        <w:spacing w:before="0" w:after="26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六</w:t>
      </w:r>
      <w:bookmarkEnd w:id="602"/>
      <w:r>
        <w:rPr>
          <w:color w:val="000000"/>
          <w:spacing w:val="0"/>
          <w:w w:val="100"/>
          <w:position w:val="0"/>
          <w:sz w:val="24"/>
          <w:szCs w:val="24"/>
        </w:rPr>
        <w:t>、董事会下设专门委员会在报告期内履行职责情况</w:t>
      </w:r>
      <w:bookmarkEnd w:id="600"/>
      <w:bookmarkEnd w:id="601"/>
      <w:bookmarkEnd w:id="603"/>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根据《公司法》、《公司章程》等相关法律法规的规定，公司董事会下设审计委员会、战略委员会、提名委员会和薪酬与考核 委员会四个专门委员会。</w:t>
      </w:r>
    </w:p>
    <w:p>
      <w:pPr>
        <w:pStyle w:val="Style29"/>
        <w:keepNext w:val="0"/>
        <w:keepLines w:val="0"/>
        <w:widowControl w:val="0"/>
        <w:shd w:val="clear" w:color="auto" w:fill="auto"/>
        <w:tabs>
          <w:tab w:pos="1074" w:val="left"/>
        </w:tabs>
        <w:bidi w:val="0"/>
        <w:spacing w:before="0" w:after="0" w:line="315" w:lineRule="exact"/>
        <w:ind w:left="0" w:right="0" w:firstLine="74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审计委员会委员：江乾坤、凌云、应晶</w:t>
      </w:r>
    </w:p>
    <w:p>
      <w:pPr>
        <w:pStyle w:val="Style29"/>
        <w:keepNext w:val="0"/>
        <w:keepLines w:val="0"/>
        <w:widowControl w:val="0"/>
        <w:shd w:val="clear" w:color="auto" w:fill="auto"/>
        <w:tabs>
          <w:tab w:pos="1094" w:val="left"/>
        </w:tabs>
        <w:bidi w:val="0"/>
        <w:spacing w:before="0" w:after="0" w:line="315" w:lineRule="exact"/>
        <w:ind w:left="0" w:right="0" w:firstLine="74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战略委员会委员：葛航、张吕峥、应晶</w:t>
      </w:r>
    </w:p>
    <w:p>
      <w:pPr>
        <w:pStyle w:val="Style29"/>
        <w:keepNext w:val="0"/>
        <w:keepLines w:val="0"/>
        <w:widowControl w:val="0"/>
        <w:shd w:val="clear" w:color="auto" w:fill="auto"/>
        <w:tabs>
          <w:tab w:pos="1094" w:val="left"/>
        </w:tabs>
        <w:bidi w:val="0"/>
        <w:spacing w:before="0" w:after="0" w:line="315" w:lineRule="exact"/>
        <w:ind w:left="0" w:right="0" w:firstLine="740"/>
        <w:jc w:val="both"/>
      </w:pPr>
      <w:bookmarkStart w:id="606" w:name="bookmark606"/>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提名委员会委员：凌云、蔡家楣、葛航</w:t>
      </w:r>
    </w:p>
    <w:p>
      <w:pPr>
        <w:pStyle w:val="Style29"/>
        <w:keepNext w:val="0"/>
        <w:keepLines w:val="0"/>
        <w:widowControl w:val="0"/>
        <w:shd w:val="clear" w:color="auto" w:fill="auto"/>
        <w:tabs>
          <w:tab w:pos="1094" w:val="left"/>
        </w:tabs>
        <w:bidi w:val="0"/>
        <w:spacing w:before="0" w:after="0" w:line="315" w:lineRule="exact"/>
        <w:ind w:left="0" w:right="0" w:firstLine="740"/>
        <w:jc w:val="both"/>
      </w:pPr>
      <w:bookmarkStart w:id="607" w:name="bookmark607"/>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薪酬与考核委员会委员：蔡家楣、江乾坤、李寒穷</w:t>
      </w:r>
    </w:p>
    <w:p>
      <w:pPr>
        <w:pStyle w:val="Style29"/>
        <w:keepNext w:val="0"/>
        <w:keepLines w:val="0"/>
        <w:widowControl w:val="0"/>
        <w:shd w:val="clear" w:color="auto" w:fill="auto"/>
        <w:bidi w:val="0"/>
        <w:spacing w:before="0" w:after="0" w:line="315" w:lineRule="exact"/>
        <w:ind w:left="0" w:right="0" w:firstLine="280"/>
        <w:jc w:val="both"/>
      </w:pPr>
      <w:bookmarkStart w:id="608" w:name="bookmark608"/>
      <w:r>
        <w:rPr>
          <w:color w:val="000000"/>
          <w:spacing w:val="0"/>
          <w:w w:val="100"/>
          <w:position w:val="0"/>
        </w:rPr>
        <w:t>（</w:t>
      </w:r>
      <w:bookmarkEnd w:id="608"/>
      <w:r>
        <w:rPr>
          <w:color w:val="000000"/>
          <w:spacing w:val="0"/>
          <w:w w:val="100"/>
          <w:position w:val="0"/>
        </w:rPr>
        <w:t>一）审计委员会在报告期内的履行职责情况</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本公司的审计委员会是董事会按照股东大会决议设立的专门工作机构，对董事会负责，其主要职责是根据《公司章程》 的规定对公司内部控制、财务信息和内部审计等进行监督、检查和评价等。</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本公司审计委员会的委员中，江乾坤、凌云为本公司独立董事，江乾坤为会计专业人士。本公司审计委员会的设立，为 强化董事会决策作用，确保董事会对高级管理人员的有效监督，完善了公司治理结构。</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本报告期内，审计委员会共计召开</w:t>
      </w:r>
      <w:r>
        <w:rPr>
          <w:rFonts w:ascii="Times New Roman" w:eastAsia="Times New Roman" w:hAnsi="Times New Roman" w:cs="Times New Roman"/>
          <w:color w:val="000000"/>
          <w:spacing w:val="0"/>
          <w:w w:val="100"/>
          <w:position w:val="0"/>
        </w:rPr>
        <w:t>2</w:t>
      </w:r>
      <w:r>
        <w:rPr>
          <w:color w:val="000000"/>
          <w:spacing w:val="0"/>
          <w:w w:val="100"/>
          <w:position w:val="0"/>
        </w:rPr>
        <w:t>次会议，对公司年度审计报告、财务决算报告、半年度报告、半年度利润分配、续 聘外部审计机构等方面的议案进行了审议。</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审计委员会自设立以来按照《公司章程》及《审计委员会工作规则》规范运作，运行情况良好，保证了公司内部审计制 度的有效实施以及与外部审计机构的有效沟通。</w:t>
      </w:r>
    </w:p>
    <w:p>
      <w:pPr>
        <w:pStyle w:val="Style29"/>
        <w:keepNext w:val="0"/>
        <w:keepLines w:val="0"/>
        <w:widowControl w:val="0"/>
        <w:shd w:val="clear" w:color="auto" w:fill="auto"/>
        <w:tabs>
          <w:tab w:pos="932" w:val="left"/>
        </w:tabs>
        <w:bidi w:val="0"/>
        <w:spacing w:before="0" w:after="0" w:line="315" w:lineRule="exact"/>
        <w:ind w:left="0" w:right="0"/>
        <w:jc w:val="both"/>
      </w:pPr>
      <w:bookmarkStart w:id="609" w:name="bookmark609"/>
      <w:r>
        <w:rPr>
          <w:color w:val="000000"/>
          <w:spacing w:val="0"/>
          <w:w w:val="100"/>
          <w:position w:val="0"/>
        </w:rPr>
        <w:t>（</w:t>
      </w:r>
      <w:bookmarkEnd w:id="609"/>
      <w:r>
        <w:rPr>
          <w:color w:val="000000"/>
          <w:spacing w:val="0"/>
          <w:w w:val="100"/>
          <w:position w:val="0"/>
        </w:rPr>
        <w:t>二）</w:t>
        <w:tab/>
        <w:t>战略委员会在报告期内的履行职责情况</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公司战略委员会是董事会按照股东大会决议设立的董事会专门工作机构，对董事会负责，主要职责是对公司中长期发展 战略和重大投资决策进行研究并提出建议，在其职责权限范围内协助董事会开展相关工作。</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本报告期内，公司战略委员会共计召开</w:t>
      </w:r>
      <w:r>
        <w:rPr>
          <w:rFonts w:ascii="Times New Roman" w:eastAsia="Times New Roman" w:hAnsi="Times New Roman" w:cs="Times New Roman"/>
          <w:color w:val="000000"/>
          <w:spacing w:val="0"/>
          <w:w w:val="100"/>
          <w:position w:val="0"/>
        </w:rPr>
        <w:t>5</w:t>
      </w:r>
      <w:r>
        <w:rPr>
          <w:color w:val="000000"/>
          <w:spacing w:val="0"/>
          <w:w w:val="100"/>
          <w:position w:val="0"/>
        </w:rPr>
        <w:t>次会议，研究公司的发展战略并提出建议。本报告期内审议了对外投资、重大 资产重组、参与设立浙江大健康产业基金等公司重要决策。</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公司战略委员会严格按照其既定议事规则履行职责，自设立以来有效运作。</w:t>
      </w:r>
    </w:p>
    <w:p>
      <w:pPr>
        <w:pStyle w:val="Style29"/>
        <w:keepNext w:val="0"/>
        <w:keepLines w:val="0"/>
        <w:widowControl w:val="0"/>
        <w:shd w:val="clear" w:color="auto" w:fill="auto"/>
        <w:tabs>
          <w:tab w:pos="932" w:val="left"/>
        </w:tabs>
        <w:bidi w:val="0"/>
        <w:spacing w:before="0" w:after="0" w:line="315" w:lineRule="exact"/>
        <w:ind w:left="0" w:right="0"/>
        <w:jc w:val="both"/>
      </w:pPr>
      <w:bookmarkStart w:id="610" w:name="bookmark610"/>
      <w:r>
        <w:rPr>
          <w:color w:val="000000"/>
          <w:spacing w:val="0"/>
          <w:w w:val="100"/>
          <w:position w:val="0"/>
        </w:rPr>
        <w:t>（</w:t>
      </w:r>
      <w:bookmarkEnd w:id="610"/>
      <w:r>
        <w:rPr>
          <w:color w:val="000000"/>
          <w:spacing w:val="0"/>
          <w:w w:val="100"/>
          <w:position w:val="0"/>
        </w:rPr>
        <w:t>三）</w:t>
        <w:tab/>
        <w:t>提名委员会在报告期内的履行职责情况</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公司提名委员会是董事会按照股东大会决议设立的专门工作机构，对董事会负责，其主要职责是对公司董事和经理人员 的选拔标准和程序搜寻人选，进行选择并提出建议。</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本报告期内，公司提名委员会设立以来共召开了</w:t>
      </w:r>
      <w:r>
        <w:rPr>
          <w:rFonts w:ascii="Times New Roman" w:eastAsia="Times New Roman" w:hAnsi="Times New Roman" w:cs="Times New Roman"/>
          <w:color w:val="000000"/>
          <w:spacing w:val="0"/>
          <w:w w:val="100"/>
          <w:position w:val="0"/>
        </w:rPr>
        <w:t>3</w:t>
      </w:r>
      <w:r>
        <w:rPr>
          <w:color w:val="000000"/>
          <w:spacing w:val="0"/>
          <w:w w:val="100"/>
          <w:position w:val="0"/>
        </w:rPr>
        <w:t>次提名委员会，会议就公司高级管理人员的选择与提拔、对聘任公司 高级管理人员、选举凌云先生为第五届董事会独立董事、选举应晶先生为第五届董事会非独立董事、聘任董事会秘书等事项 进行了调查、研究，发表了相关审查意见。</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公司提名委员会严格按照其既定议事规则履行职责，自设立以来有效运作。</w:t>
      </w:r>
    </w:p>
    <w:p>
      <w:pPr>
        <w:pStyle w:val="Style29"/>
        <w:keepNext w:val="0"/>
        <w:keepLines w:val="0"/>
        <w:widowControl w:val="0"/>
        <w:shd w:val="clear" w:color="auto" w:fill="auto"/>
        <w:tabs>
          <w:tab w:pos="932" w:val="left"/>
        </w:tabs>
        <w:bidi w:val="0"/>
        <w:spacing w:before="0" w:after="0" w:line="315" w:lineRule="exact"/>
        <w:ind w:left="0" w:right="0"/>
        <w:jc w:val="both"/>
      </w:pPr>
      <w:bookmarkStart w:id="611" w:name="bookmark611"/>
      <w:r>
        <w:rPr>
          <w:color w:val="000000"/>
          <w:spacing w:val="0"/>
          <w:w w:val="100"/>
          <w:position w:val="0"/>
        </w:rPr>
        <w:t>（</w:t>
      </w:r>
      <w:bookmarkEnd w:id="611"/>
      <w:r>
        <w:rPr>
          <w:color w:val="000000"/>
          <w:spacing w:val="0"/>
          <w:w w:val="100"/>
          <w:position w:val="0"/>
        </w:rPr>
        <w:t>四）</w:t>
        <w:tab/>
        <w:t>薪酬与考核委员会在报告期内的履行职责情况</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薪酬与考核委员会是董事会按照股东大会决议设立的专门工作机构，对董事会负责，其主要职责是审议并监督执行具有 有效激励与约束作用的薪酬制度和绩效考核制度，就本公司董事、监事、高级管理人员的薪酬制度、绩效考核制度以及激励 方案向董事会建议，并对董事和高级管理人员的业绩和行为进行评估。</w:t>
      </w:r>
    </w:p>
    <w:p>
      <w:pPr>
        <w:pStyle w:val="Style29"/>
        <w:keepNext w:val="0"/>
        <w:keepLines w:val="0"/>
        <w:widowControl w:val="0"/>
        <w:shd w:val="clear" w:color="auto" w:fill="auto"/>
        <w:bidi w:val="0"/>
        <w:spacing w:before="0" w:after="60" w:line="315" w:lineRule="exact"/>
        <w:ind w:left="0" w:right="0"/>
        <w:jc w:val="both"/>
      </w:pPr>
      <w:r>
        <w:rPr>
          <w:color w:val="000000"/>
          <w:spacing w:val="0"/>
          <w:w w:val="100"/>
          <w:position w:val="0"/>
        </w:rPr>
        <w:t>本报告期内，公司薪酬与考核委员会共计召开</w:t>
      </w:r>
      <w:r>
        <w:rPr>
          <w:rFonts w:ascii="Times New Roman" w:eastAsia="Times New Roman" w:hAnsi="Times New Roman" w:cs="Times New Roman"/>
          <w:color w:val="000000"/>
          <w:spacing w:val="0"/>
          <w:w w:val="100"/>
          <w:position w:val="0"/>
        </w:rPr>
        <w:t>5</w:t>
      </w:r>
      <w:r>
        <w:rPr>
          <w:color w:val="000000"/>
          <w:spacing w:val="0"/>
          <w:w w:val="100"/>
          <w:position w:val="0"/>
        </w:rPr>
        <w:t>次薪酬与考核委员会会议，会议就董事、监事及高级管理人员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年度 绩效薪酬和</w:t>
      </w:r>
      <w:r>
        <w:rPr>
          <w:rFonts w:ascii="Times New Roman" w:eastAsia="Times New Roman" w:hAnsi="Times New Roman" w:cs="Times New Roman"/>
          <w:color w:val="000000"/>
          <w:spacing w:val="0"/>
          <w:w w:val="100"/>
          <w:position w:val="0"/>
        </w:rPr>
        <w:t>2016</w:t>
      </w:r>
      <w:r>
        <w:rPr>
          <w:color w:val="000000"/>
          <w:spacing w:val="0"/>
          <w:w w:val="100"/>
          <w:position w:val="0"/>
        </w:rPr>
        <w:t>年度绩效薪酬、调整独立董事津贴、公司《股票期权与限制性股票激励计划》授予、注销、解锁等事项进行 了沟通、讨论，发表了相关意见。</w:t>
      </w:r>
    </w:p>
    <w:p>
      <w:pPr>
        <w:pStyle w:val="Style29"/>
        <w:keepNext w:val="0"/>
        <w:keepLines w:val="0"/>
        <w:widowControl w:val="0"/>
        <w:shd w:val="clear" w:color="auto" w:fill="auto"/>
        <w:bidi w:val="0"/>
        <w:spacing w:before="0" w:after="720" w:line="338" w:lineRule="exact"/>
        <w:ind w:left="0" w:right="0"/>
        <w:jc w:val="left"/>
      </w:pPr>
      <w:r>
        <w:rPr>
          <w:color w:val="000000"/>
          <w:spacing w:val="0"/>
          <w:w w:val="100"/>
          <w:position w:val="0"/>
        </w:rPr>
        <w:t>公司薪酬与考核委员会严格按照其既定议事规则履行职责，自设立以来有效运作。</w:t>
      </w:r>
    </w:p>
    <w:p>
      <w:pPr>
        <w:pStyle w:val="Style27"/>
        <w:keepNext/>
        <w:keepLines/>
        <w:widowControl w:val="0"/>
        <w:shd w:val="clear" w:color="auto" w:fill="auto"/>
        <w:tabs>
          <w:tab w:pos="522" w:val="left"/>
        </w:tabs>
        <w:bidi w:val="0"/>
        <w:spacing w:before="0" w:after="2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七</w:t>
      </w:r>
      <w:bookmarkEnd w:id="614"/>
      <w:r>
        <w:rPr>
          <w:color w:val="000000"/>
          <w:spacing w:val="0"/>
          <w:w w:val="100"/>
          <w:position w:val="0"/>
          <w:sz w:val="24"/>
          <w:szCs w:val="24"/>
        </w:rPr>
        <w:t>、</w:t>
        <w:tab/>
        <w:t>监事会工作情况</w:t>
      </w:r>
      <w:bookmarkEnd w:id="612"/>
      <w:bookmarkEnd w:id="613"/>
      <w:bookmarkEnd w:id="615"/>
    </w:p>
    <w:p>
      <w:pPr>
        <w:pStyle w:val="Style29"/>
        <w:keepNext w:val="0"/>
        <w:keepLines w:val="0"/>
        <w:widowControl w:val="0"/>
        <w:shd w:val="clear" w:color="auto" w:fill="auto"/>
        <w:bidi w:val="0"/>
        <w:spacing w:before="0" w:after="0" w:line="338"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34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公司监事会对报告期内的监督事项无异议。</w:t>
      </w:r>
    </w:p>
    <w:p>
      <w:pPr>
        <w:pStyle w:val="Style27"/>
        <w:keepNext/>
        <w:keepLines/>
        <w:widowControl w:val="0"/>
        <w:shd w:val="clear" w:color="auto" w:fill="auto"/>
        <w:tabs>
          <w:tab w:pos="522" w:val="left"/>
        </w:tabs>
        <w:bidi w:val="0"/>
        <w:spacing w:before="0" w:after="24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八</w:t>
      </w:r>
      <w:bookmarkEnd w:id="618"/>
      <w:r>
        <w:rPr>
          <w:color w:val="000000"/>
          <w:spacing w:val="0"/>
          <w:w w:val="100"/>
          <w:position w:val="0"/>
          <w:sz w:val="24"/>
          <w:szCs w:val="24"/>
        </w:rPr>
        <w:t>、</w:t>
        <w:tab/>
        <w:t>高级管理人员的考评及激励情况</w:t>
      </w:r>
      <w:bookmarkEnd w:id="616"/>
      <w:bookmarkEnd w:id="617"/>
      <w:bookmarkEnd w:id="619"/>
    </w:p>
    <w:p>
      <w:pPr>
        <w:pStyle w:val="Style29"/>
        <w:keepNext w:val="0"/>
        <w:keepLines w:val="0"/>
        <w:widowControl w:val="0"/>
        <w:shd w:val="clear" w:color="auto" w:fill="auto"/>
        <w:bidi w:val="0"/>
        <w:spacing w:before="0" w:after="340" w:line="312" w:lineRule="exact"/>
        <w:ind w:left="0" w:right="0"/>
        <w:jc w:val="left"/>
      </w:pPr>
      <w:r>
        <w:rPr>
          <w:color w:val="000000"/>
          <w:spacing w:val="0"/>
          <w:w w:val="100"/>
          <w:position w:val="0"/>
        </w:rPr>
        <w:t>公司建立了完善的高级管理人员绩效考评体系和薪酬制度，高级管理人员的工作绩效与其收入直接挂钩。高级管理人员 的聘任公开、透明，符合法律、法规的规定。公司董事会下设薪酬和考核委员会协同公司人力资源部负责对公司董事、监事 及高级管理人员进行绩效考核的实施。</w:t>
      </w:r>
    </w:p>
    <w:p>
      <w:pPr>
        <w:pStyle w:val="Style27"/>
        <w:keepNext/>
        <w:keepLines/>
        <w:widowControl w:val="0"/>
        <w:shd w:val="clear" w:color="auto" w:fill="auto"/>
        <w:tabs>
          <w:tab w:pos="522" w:val="left"/>
        </w:tabs>
        <w:bidi w:val="0"/>
        <w:spacing w:before="0" w:after="34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九</w:t>
      </w:r>
      <w:bookmarkEnd w:id="622"/>
      <w:r>
        <w:rPr>
          <w:color w:val="000000"/>
          <w:spacing w:val="0"/>
          <w:w w:val="100"/>
          <w:position w:val="0"/>
          <w:sz w:val="24"/>
          <w:szCs w:val="24"/>
        </w:rPr>
        <w:t>、</w:t>
        <w:tab/>
        <w:t>内部控制评价报告</w:t>
      </w:r>
      <w:bookmarkEnd w:id="620"/>
      <w:bookmarkEnd w:id="621"/>
      <w:bookmarkEnd w:id="623"/>
    </w:p>
    <w:p>
      <w:pPr>
        <w:pStyle w:val="Style35"/>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、报告期内发现的内部控制重大缺陷的具体情况</w:t>
      </w:r>
      <w:bookmarkEnd w:id="624"/>
      <w:bookmarkEnd w:id="625"/>
      <w:bookmarkEnd w:id="627"/>
    </w:p>
    <w:p>
      <w:pPr>
        <w:pStyle w:val="Style29"/>
        <w:keepNext w:val="0"/>
        <w:keepLines w:val="0"/>
        <w:widowControl w:val="0"/>
        <w:shd w:val="clear" w:color="auto" w:fill="auto"/>
        <w:bidi w:val="0"/>
        <w:spacing w:before="0" w:after="240" w:line="39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、内控自我评价报告</w:t>
      </w:r>
      <w:bookmarkEnd w:id="628"/>
      <w:bookmarkEnd w:id="629"/>
      <w:bookmarkEnd w:id="631"/>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年度内部控制自我评价报告》详见刊登于中国证监会指定的创业板信息 披露网站（巨潮网）</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纳入评价范围单位资产总额占公司合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重要缺陷：资产总额的</w:t>
            </w:r>
            <w:r>
              <w:rPr>
                <w:rFonts w:ascii="Times New Roman" w:eastAsia="Times New Roman" w:hAnsi="Times New Roman" w:cs="Times New Roman"/>
                <w:color w:val="000000"/>
                <w:spacing w:val="0"/>
                <w:w w:val="100"/>
                <w:position w:val="0"/>
              </w:rPr>
              <w:t>0.5%＜</w:t>
            </w:r>
            <w:r>
              <w:rPr>
                <w:color w:val="000000"/>
                <w:spacing w:val="0"/>
                <w:w w:val="100"/>
                <w:position w:val="0"/>
              </w:rPr>
              <w:t>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一般缺陷：错报金额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公司根据缺陷造成直接财产损失占 公司资产总额的比率确定非财务报 告内部控制缺陷评价的定量标准，标 准参照财务报告内控缺陷定量标准。</w:t>
            </w:r>
          </w:p>
        </w:tc>
      </w:tr>
      <w:tr>
        <w:trPr>
          <w:trHeight w:val="16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numPr>
                <w:ilvl w:val="0"/>
                <w:numId w:val="9"/>
              </w:numPr>
              <w:shd w:val="clear" w:color="auto" w:fill="auto"/>
              <w:tabs>
                <w:tab w:pos="187" w:val="left"/>
              </w:tabs>
              <w:bidi w:val="0"/>
              <w:spacing w:before="0" w:after="0" w:line="314" w:lineRule="exact"/>
              <w:ind w:left="0" w:right="0" w:firstLine="0"/>
              <w:jc w:val="both"/>
            </w:pPr>
            <w:r>
              <w:rPr>
                <w:color w:val="000000"/>
                <w:spacing w:val="0"/>
                <w:w w:val="100"/>
                <w:position w:val="0"/>
              </w:rPr>
              <w:t>公司董事、监事和高级管理人员舞弊；</w:t>
            </w:r>
          </w:p>
          <w:p>
            <w:pPr>
              <w:pStyle w:val="Style24"/>
              <w:keepNext w:val="0"/>
              <w:keepLines w:val="0"/>
              <w:widowControl w:val="0"/>
              <w:numPr>
                <w:ilvl w:val="0"/>
                <w:numId w:val="9"/>
              </w:numPr>
              <w:shd w:val="clear" w:color="auto" w:fill="auto"/>
              <w:tabs>
                <w:tab w:pos="187" w:val="left"/>
              </w:tabs>
              <w:bidi w:val="0"/>
              <w:spacing w:before="0" w:after="0" w:line="314" w:lineRule="exact"/>
              <w:ind w:left="0" w:right="0" w:firstLine="0"/>
              <w:jc w:val="both"/>
            </w:pPr>
            <w:r>
              <w:rPr>
                <w:color w:val="000000"/>
                <w:spacing w:val="0"/>
                <w:w w:val="100"/>
                <w:position w:val="0"/>
              </w:rPr>
              <w:t>公司更正已公布的财务报告；③注册 会计师发现当期财务报告存在重大错 报，而内部控制在运行过程中未能发现 该错报；④董事会及相关机构对内部控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定性标准即涉及业务性质的严重程 度，公司根据其直接或潜在负面影响 的性质、影响的范围等因素确定的非 财务报告内部控制缺陷评价的定性 标准如下：下列迹象表明非财务报告</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bookmarkStart w:id="632" w:name="bookmark632"/>
            <w:r>
              <w:rPr>
                <w:color w:val="000000"/>
                <w:spacing w:val="0"/>
                <w:w w:val="100"/>
                <w:position w:val="0"/>
              </w:rPr>
              <w:t>制的监督无效。</w:t>
            </w:r>
            <w:bookmarkEnd w:id="632"/>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内部控制可能存在重大缺陷：①公司 重大决策缺乏决策程序或程序严重 不合理且造成重大损失；②公司人员 因内部控制原因违犯国家法律、法 规，并给公司造成重大损失和严重不 利影响；③公司经营活动严重违反国 家法律法规</w:t>
            </w:r>
            <w:r>
              <w:rPr>
                <w:rFonts w:ascii="Times New Roman" w:eastAsia="Times New Roman" w:hAnsi="Times New Roman" w:cs="Times New Roman"/>
                <w:color w:val="000000"/>
                <w:spacing w:val="0"/>
                <w:w w:val="100"/>
                <w:position w:val="0"/>
              </w:rPr>
              <w:t>;</w:t>
            </w:r>
            <w:r>
              <w:rPr>
                <w:color w:val="000000"/>
                <w:spacing w:val="0"/>
                <w:w w:val="100"/>
                <w:position w:val="0"/>
              </w:rPr>
              <w:t>④重要业务长期缺乏制 度控制或制度系统性失效；⑤内部控 制评价的结果是重大缺陷但未得到 整改。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r>
        <w:rPr>
          <w:color w:val="000000"/>
          <w:spacing w:val="0"/>
          <w:w w:val="100"/>
          <w:position w:val="0"/>
          <w:sz w:val="24"/>
          <w:szCs w:val="24"/>
        </w:rPr>
        <w:t>十、内部控制审计报告或鉴证报告</w:t>
      </w:r>
      <w:bookmarkEnd w:id="633"/>
      <w:bookmarkEnd w:id="634"/>
      <w:bookmarkEnd w:id="635"/>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55" w:bottom="1546" w:left="1067"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580" w:line="240" w:lineRule="auto"/>
        <w:ind w:left="0" w:right="0" w:firstLine="0"/>
        <w:jc w:val="center"/>
      </w:pPr>
      <w:bookmarkStart w:id="636" w:name="bookmark636"/>
      <w:bookmarkStart w:id="637" w:name="bookmark637"/>
      <w:bookmarkStart w:id="638" w:name="bookmark638"/>
      <w:r>
        <w:rPr>
          <w:color w:val="000000"/>
          <w:spacing w:val="0"/>
          <w:w w:val="100"/>
          <w:position w:val="0"/>
        </w:rPr>
        <w:t>第十节公司债券相关情况</w:t>
      </w:r>
      <w:bookmarkEnd w:id="636"/>
      <w:bookmarkEnd w:id="637"/>
      <w:bookmarkEnd w:id="63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720" w:after="520" w:line="240" w:lineRule="auto"/>
        <w:ind w:left="0" w:right="0" w:firstLine="0"/>
        <w:jc w:val="center"/>
      </w:pPr>
      <w:bookmarkStart w:id="639" w:name="bookmark639"/>
      <w:bookmarkStart w:id="640" w:name="bookmark640"/>
      <w:bookmarkStart w:id="641" w:name="bookmark641"/>
      <w:r>
        <w:rPr>
          <w:color w:val="000000"/>
          <w:spacing w:val="0"/>
          <w:w w:val="100"/>
          <w:position w:val="0"/>
        </w:rPr>
        <w:t>第十一节财务报告</w:t>
      </w:r>
      <w:bookmarkEnd w:id="639"/>
      <w:bookmarkEnd w:id="640"/>
      <w:bookmarkEnd w:id="641"/>
    </w:p>
    <w:p>
      <w:pPr>
        <w:pStyle w:val="Style27"/>
        <w:keepNext/>
        <w:keepLines/>
        <w:widowControl w:val="0"/>
        <w:shd w:val="clear" w:color="auto" w:fill="auto"/>
        <w:bidi w:val="0"/>
        <w:spacing w:before="0" w:after="300" w:line="240" w:lineRule="auto"/>
        <w:ind w:left="0" w:right="0" w:firstLine="260"/>
        <w:jc w:val="left"/>
      </w:pPr>
      <w:bookmarkStart w:id="642" w:name="bookmark642"/>
      <w:bookmarkStart w:id="643" w:name="bookmark643"/>
      <w:bookmarkStart w:id="644" w:name="bookmark644"/>
      <w:r>
        <w:rPr>
          <w:color w:val="000000"/>
          <w:spacing w:val="0"/>
          <w:w w:val="100"/>
          <w:position w:val="0"/>
          <w:sz w:val="24"/>
          <w:szCs w:val="24"/>
        </w:rPr>
        <w:t>、审计报告</w:t>
      </w:r>
      <w:bookmarkEnd w:id="642"/>
      <w:bookmarkEnd w:id="643"/>
      <w:bookmarkEnd w:id="64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[2017]1798</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王强、张晓平</w:t>
            </w:r>
          </w:p>
        </w:tc>
      </w:tr>
    </w:tbl>
    <w:p>
      <w:pPr>
        <w:pStyle w:val="Style33"/>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创业软件股份有限公司全体股东：</w:t>
      </w:r>
    </w:p>
    <w:p>
      <w:pPr>
        <w:pStyle w:val="Style29"/>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我们审计了后附的创业软件股份有限公司（以下简称创业软件公司）财务报表，包括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年度的合并及母公司利润表、合并及母公司现金流量表、合并及母公司所有者权益变动表，以及财务报表 附注。</w:t>
      </w:r>
    </w:p>
    <w:p>
      <w:pPr>
        <w:pStyle w:val="Style29"/>
        <w:keepNext w:val="0"/>
        <w:keepLines w:val="0"/>
        <w:widowControl w:val="0"/>
        <w:shd w:val="clear" w:color="auto" w:fill="auto"/>
        <w:tabs>
          <w:tab w:pos="940" w:val="left"/>
        </w:tabs>
        <w:bidi w:val="0"/>
        <w:spacing w:before="0" w:after="0" w:line="307" w:lineRule="exact"/>
        <w:ind w:left="0" w:right="0" w:firstLine="500"/>
        <w:jc w:val="both"/>
      </w:pPr>
      <w:bookmarkStart w:id="645" w:name="bookmark645"/>
      <w:r>
        <w:rPr>
          <w:b/>
          <w:bCs/>
          <w:color w:val="000000"/>
          <w:spacing w:val="0"/>
          <w:w w:val="100"/>
          <w:position w:val="0"/>
        </w:rPr>
        <w:t>一</w:t>
      </w:r>
      <w:bookmarkEnd w:id="645"/>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编制和公允列报财务报表是创业软件公司管理层的责任，这种责任包括：（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940" w:val="left"/>
        </w:tabs>
        <w:bidi w:val="0"/>
        <w:spacing w:before="0" w:after="0" w:line="312" w:lineRule="exact"/>
        <w:ind w:left="0" w:right="0" w:firstLine="500"/>
        <w:jc w:val="left"/>
      </w:pPr>
      <w:bookmarkStart w:id="646" w:name="bookmark646"/>
      <w:r>
        <w:rPr>
          <w:b/>
          <w:bCs/>
          <w:color w:val="000000"/>
          <w:spacing w:val="0"/>
          <w:w w:val="100"/>
          <w:position w:val="0"/>
        </w:rPr>
        <w:t>二</w:t>
      </w:r>
      <w:bookmarkEnd w:id="646"/>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w:t>
      </w:r>
      <w:r>
        <w:rPr>
          <w:i/>
          <w:iCs/>
          <w:color w:val="000000"/>
          <w:spacing w:val="0"/>
          <w:w w:val="100"/>
          <w:position w:val="0"/>
        </w:rPr>
        <w:t>，</w:t>
      </w:r>
      <w:r>
        <w:rPr>
          <w:color w:val="000000"/>
          <w:spacing w:val="0"/>
          <w:w w:val="100"/>
          <w:position w:val="0"/>
        </w:rPr>
        <w:t>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945" w:val="left"/>
        </w:tabs>
        <w:bidi w:val="0"/>
        <w:spacing w:before="0" w:after="0" w:line="302" w:lineRule="exact"/>
        <w:ind w:left="0" w:right="0" w:firstLine="500"/>
        <w:jc w:val="both"/>
      </w:pPr>
      <w:bookmarkStart w:id="647" w:name="bookmark647"/>
      <w:r>
        <w:rPr>
          <w:b/>
          <w:bCs/>
          <w:color w:val="000000"/>
          <w:spacing w:val="0"/>
          <w:w w:val="100"/>
          <w:position w:val="0"/>
        </w:rPr>
        <w:t>三</w:t>
      </w:r>
      <w:bookmarkEnd w:id="647"/>
      <w:r>
        <w:rPr>
          <w:b/>
          <w:bCs/>
          <w:color w:val="000000"/>
          <w:spacing w:val="0"/>
          <w:w w:val="100"/>
          <w:position w:val="0"/>
        </w:rPr>
        <w:t>、</w:t>
        <w:tab/>
        <w:t>审计意见</w:t>
      </w:r>
    </w:p>
    <w:p>
      <w:pPr>
        <w:pStyle w:val="Style29"/>
        <w:keepNext w:val="0"/>
        <w:keepLines w:val="0"/>
        <w:widowControl w:val="0"/>
        <w:shd w:val="clear" w:color="auto" w:fill="auto"/>
        <w:bidi w:val="0"/>
        <w:spacing w:before="0" w:after="700" w:line="302" w:lineRule="exact"/>
        <w:ind w:left="0" w:right="0"/>
        <w:jc w:val="both"/>
      </w:pPr>
      <w:r>
        <w:rPr>
          <w:color w:val="000000"/>
          <w:spacing w:val="0"/>
          <w:w w:val="100"/>
          <w:position w:val="0"/>
        </w:rPr>
        <w:t>我们认为，创业软件公司财务报表在所有重大方面按照企业会计准则的规定编制，公允反映了创业软件公司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7"/>
        <w:keepNext/>
        <w:keepLines/>
        <w:widowControl w:val="0"/>
        <w:shd w:val="clear" w:color="auto" w:fill="auto"/>
        <w:bidi w:val="0"/>
        <w:spacing w:before="0" w:after="360" w:line="240" w:lineRule="auto"/>
        <w:ind w:left="0" w:right="0" w:firstLine="0"/>
        <w:jc w:val="left"/>
      </w:pPr>
      <w:bookmarkStart w:id="648" w:name="bookmark648"/>
      <w:bookmarkStart w:id="649" w:name="bookmark649"/>
      <w:bookmarkStart w:id="650" w:name="bookmark650"/>
      <w:r>
        <w:rPr>
          <w:color w:val="000000"/>
          <w:spacing w:val="0"/>
          <w:w w:val="100"/>
          <w:position w:val="0"/>
          <w:sz w:val="24"/>
          <w:szCs w:val="24"/>
        </w:rPr>
        <w:t>二、财务报表</w:t>
      </w:r>
      <w:bookmarkEnd w:id="648"/>
      <w:bookmarkEnd w:id="649"/>
      <w:bookmarkEnd w:id="650"/>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财务附注中报表的单位为：人民币元</w:t>
      </w:r>
      <w:r>
        <w:br w:type="page"/>
      </w:r>
    </w:p>
    <w:p>
      <w:pPr>
        <w:pStyle w:val="Style35"/>
        <w:keepNext/>
        <w:keepLines/>
        <w:widowControl w:val="0"/>
        <w:shd w:val="clear" w:color="auto" w:fill="auto"/>
        <w:bidi w:val="0"/>
        <w:spacing w:before="0" w:after="36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、合并资产负债表</w:t>
      </w:r>
      <w:bookmarkEnd w:id="651"/>
      <w:bookmarkEnd w:id="652"/>
      <w:bookmarkEnd w:id="65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编制单位：创业软件股份有限公司</w:t>
      </w:r>
    </w:p>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317,942,646.44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334,811,457.75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3,501,984.51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1,597,384.05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312,970,867.07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223,301,821.34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11,538,181.27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2,866,743.86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45,338,222.43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35,012,375.70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44,266,417.58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32,556,973.23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50,151,386.54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103,005,196.24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785,709,705.84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733,151,952.17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7,014,395.36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1,629,806.14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3,913,759.88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4,135,685.12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245,370,858.16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75,586,185.34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9,030,903.39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56,928,230.66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6,536,749.02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5,017,942.45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31,248,971.58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17,125.70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5,071,272.08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4,984,414.83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10,728,519.00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347,415,428.47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155,299,390.24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1,133,125,134.31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888,451,342.41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3,794,835.50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107,473,365.89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72,912,676.05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97,392,653.30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54,432,052.16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15,903,816.90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9,355,169.64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20,097,172.23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16,613,089.26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309,750.01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107,940,198.22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110,833,135.35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355,426,002.17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267,940,957.96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21,359,800.00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21,199,800.00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21,359,800.00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21,199,800.00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376,785,802.17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289,140,757.96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210,996,000.00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70,067,500.00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273,735,706.94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346,872,170.09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97,747,403.04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103,747,150.00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35,711,283.22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30,247,225.89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302,173,025.37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255,143,379.55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724,868,612.49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598,583,125.53</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31,470,719.65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727,458.92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756,339,332.14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599,310,584.45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1,133,125,134.31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888,451,342.41</w:t>
            </w:r>
          </w:p>
        </w:tc>
      </w:tr>
    </w:tbl>
    <w:p>
      <w:pPr>
        <w:pStyle w:val="Style35"/>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9705" simplePos="0" relativeHeight="125829385" behindDoc="0" locked="0" layoutInCell="1" allowOverlap="1">
                <wp:simplePos x="0" y="0"/>
                <wp:positionH relativeFrom="page">
                  <wp:posOffset>708660</wp:posOffset>
                </wp:positionH>
                <wp:positionV relativeFrom="margin">
                  <wp:posOffset>883920</wp:posOffset>
                </wp:positionV>
                <wp:extent cx="938530" cy="149225"/>
                <wp:wrapTopAndBottom/>
                <wp:docPr id="19" name="Shape 1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法定代表人：葛航</w:t>
                            </w:r>
                          </w:p>
                        </w:txbxContent>
                      </wps:txbx>
                      <wps:bodyPr wrap="none" lIns="0" tIns="0" rIns="0" bIns="0">
                        <a:noAutoFit/>
                      </wps:bodyPr>
                    </wps:wsp>
                  </a:graphicData>
                </a:graphic>
              </wp:anchor>
            </w:drawing>
          </mc:Choice>
          <mc:Fallback>
            <w:pict>
              <v:shape id="_x0000_s1045" type="#_x0000_t202" style="position:absolute;margin-left:55.800000000000004pt;margin-top:69.600000000000009pt;width:73.900000000000006pt;height:11.75pt;z-index:-125829368;mso-wrap-distance-left:9.pt;mso-wrap-distance-top:12.pt;mso-wrap-distance-right:414.1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法定代表人：葛航</w:t>
                      </w:r>
                    </w:p>
                  </w:txbxContent>
                </v:textbox>
                <w10:wrap type="topAndBottom" anchorx="page" anchory="margin"/>
              </v:shape>
            </w:pict>
          </mc:Fallback>
        </mc:AlternateContent>
      </w:r>
      <w:r>
        <mc:AlternateContent>
          <mc:Choice Requires="wps">
            <w:drawing>
              <wp:anchor distT="152400" distB="3175" distL="2287270" distR="2513330" simplePos="0" relativeHeight="125829387" behindDoc="0" locked="0" layoutInCell="1" allowOverlap="1">
                <wp:simplePos x="0" y="0"/>
                <wp:positionH relativeFrom="page">
                  <wp:posOffset>2881630</wp:posOffset>
                </wp:positionH>
                <wp:positionV relativeFrom="margin">
                  <wp:posOffset>883920</wp:posOffset>
                </wp:positionV>
                <wp:extent cx="1511935" cy="146050"/>
                <wp:wrapTopAndBottom/>
                <wp:docPr id="21" name="Shape 2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主管会计工作负责人：郁燕萍</w:t>
                            </w:r>
                          </w:p>
                        </w:txbxContent>
                      </wps:txbx>
                      <wps:bodyPr wrap="none" lIns="0" tIns="0" rIns="0" bIns="0">
                        <a:noAutoFit/>
                      </wps:bodyPr>
                    </wps:wsp>
                  </a:graphicData>
                </a:graphic>
              </wp:anchor>
            </w:drawing>
          </mc:Choice>
          <mc:Fallback>
            <w:pict>
              <v:shape id="_x0000_s1047" type="#_x0000_t202" style="position:absolute;margin-left:226.90000000000001pt;margin-top:69.600000000000009pt;width:119.05pt;height:11.5pt;z-index:-125829366;mso-wrap-distance-left:180.09999999999999pt;mso-wrap-distance-top:12.pt;mso-wrap-distance-right:197.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主管会计工作负责人：郁燕萍</w:t>
                      </w:r>
                    </w:p>
                  </w:txbxContent>
                </v:textbox>
                <w10:wrap type="topAndBottom" anchorx="page" anchory="margin"/>
              </v:shape>
            </w:pict>
          </mc:Fallback>
        </mc:AlternateContent>
      </w:r>
      <w:r>
        <mc:AlternateContent>
          <mc:Choice Requires="wps">
            <w:drawing>
              <wp:anchor distT="152400" distB="0" distL="5024755" distR="114300" simplePos="0" relativeHeight="125829389" behindDoc="0" locked="0" layoutInCell="1" allowOverlap="1">
                <wp:simplePos x="0" y="0"/>
                <wp:positionH relativeFrom="page">
                  <wp:posOffset>5619115</wp:posOffset>
                </wp:positionH>
                <wp:positionV relativeFrom="margin">
                  <wp:posOffset>883920</wp:posOffset>
                </wp:positionV>
                <wp:extent cx="1173480" cy="149225"/>
                <wp:wrapTopAndBottom/>
                <wp:docPr id="23" name="Shape 2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会计机构负责人：李军</w:t>
                            </w:r>
                          </w:p>
                        </w:txbxContent>
                      </wps:txbx>
                      <wps:bodyPr wrap="none" lIns="0" tIns="0" rIns="0" bIns="0">
                        <a:noAutoFit/>
                      </wps:bodyPr>
                    </wps:wsp>
                  </a:graphicData>
                </a:graphic>
              </wp:anchor>
            </w:drawing>
          </mc:Choice>
          <mc:Fallback>
            <w:pict>
              <v:shape id="_x0000_s1049" type="#_x0000_t202" style="position:absolute;margin-left:442.44999999999999pt;margin-top:69.600000000000009pt;width:92.400000000000006pt;height:11.75pt;z-index:-125829364;mso-wrap-distance-left:395.65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会计机构负责人：李军</w:t>
                      </w:r>
                    </w:p>
                  </w:txbxContent>
                </v:textbox>
                <w10:wrap type="topAndBottom" anchorx="page" anchory="margin"/>
              </v:shape>
            </w:pict>
          </mc:Fallback>
        </mc:AlternateContent>
      </w: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、母公司资产负债表</w:t>
      </w:r>
      <w:bookmarkEnd w:id="655"/>
      <w:bookmarkEnd w:id="656"/>
      <w:bookmarkEnd w:id="6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264,432,807.92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327,916,813.04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1,650,984.51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1,597,384.05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258,690,125.65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213,417,583.54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8,047,044.88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2,866,743.86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43,325,434.32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35,361,844.95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30,596,911.22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32,556,973.23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656,743,308.50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716,717,342.67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160,281,346.49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71,895,857.27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198,404,725.35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29,713,124.66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6,876,738.40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55,078,230.66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6,536,749.02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5,017,942.45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17,125.70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4,450,365.68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4,984,414.83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10,728,519.00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415,778,443.94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173,706,695.57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1,072,521,752.44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890,424,038.24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3,794,835.50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104,325,495.20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70,749,827.06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86,422,711.08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54,392,052.16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12,536,778.36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9,191,838.57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17,579,320.62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15,901,401.79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309,750.01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107,199,311.24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110,628,304.29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328,673,366.51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264,658,259.37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20,461,000.00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20,301,000.00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20,461,000.00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20,301,000.00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349,134,366.51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284,959,259.37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210,996,000.00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70,067,500.00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273,735,706.94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346,872,170.09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97,747,403.04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103,747,150.00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35,711,283.22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30,247,225.89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300,691,798.81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262,025,032.89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723,387,385.93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605,464,778.87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1,072,521,752.44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890,424,038.24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、合并利润表</w:t>
      </w:r>
      <w:bookmarkEnd w:id="659"/>
      <w:bookmarkEnd w:id="660"/>
      <w:bookmarkEnd w:id="66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548,645,307.54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425,971,560.82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548,645,307.54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425,971,560.82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511,122,205.38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390,161,507.21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280,093,625.97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215,180,027.18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5,595,837.23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5,650,107.31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67,148,558.74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46,984,476.15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157,712,695.57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113,952,452.19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-7,577,225.90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-3,550,203.02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8,148,713.77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11,944,647.40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1,111,939.65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-2,370,193.86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1,111,939.65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-2,370,193.86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38,635,041.81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33,439,859.75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35,500,050.94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25,520,498.80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278,780.66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663,397.69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121,489.00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73,856,312.09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58,296,960.86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6,750,189.61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8,612,450.62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67,106,122.48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49,684,510.24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63,003,453.15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49,681,720.73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4,102,669.33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67,106,122.48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49,684,510.24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63,003,453.15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49,681,720.73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4,102,669.33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9"/>
        <w:keepNext w:val="0"/>
        <w:keepLines w:val="0"/>
        <w:widowControl w:val="0"/>
        <w:shd w:val="clear" w:color="auto" w:fill="auto"/>
        <w:tabs>
          <w:tab w:pos="3418" w:val="left"/>
          <w:tab w:pos="7694" w:val="left"/>
        </w:tabs>
        <w:bidi w:val="0"/>
        <w:spacing w:before="0" w:after="380" w:line="240" w:lineRule="auto"/>
        <w:ind w:left="0" w:right="0" w:firstLine="0"/>
        <w:jc w:val="left"/>
      </w:pPr>
      <w:r>
        <w:rPr>
          <w:color w:val="000000"/>
          <w:spacing w:val="0"/>
          <w:w w:val="100"/>
          <w:position w:val="0"/>
        </w:rPr>
        <w:t>法定代表人：葛航</w:t>
        <w:tab/>
        <w:t>主管会计工作负责人：郁燕萍</w:t>
        <w:tab/>
        <w:t>会计机构负责人：李军</w:t>
      </w:r>
    </w:p>
    <w:p>
      <w:pPr>
        <w:pStyle w:val="Style35"/>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、母公司利润表</w:t>
      </w:r>
      <w:bookmarkEnd w:id="663"/>
      <w:bookmarkEnd w:id="664"/>
      <w:bookmarkEnd w:id="6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504,180,589.18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421,508,761.36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257,744,299.60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214,000,835.05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5,314,905.53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5,618,561.94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65,915,122.54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46,928,127.51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143,878,089.94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107,893,688.61</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-7,652,247.37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-3,539,139.45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13,862,832.42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11,432,100.29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9" w:lineRule="exact"/>
              <w:ind w:left="0" w:right="0" w:firstLine="460"/>
              <w:jc w:val="left"/>
            </w:pPr>
            <w:r>
              <w:rPr>
                <w:color w:val="000000"/>
                <w:spacing w:val="0"/>
                <w:w w:val="100"/>
                <w:position w:val="0"/>
              </w:rPr>
              <w:t>加：公允价值变动收益（损失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384,589.22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-2,370,193.86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384,589.22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-2,370,193.86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25,502,175.74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36,804,393.55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34,539,803.18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25,520,498.80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267,902.85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654,464.05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121,489.00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59,774,076.07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61,670,428.30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5,133,502.82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8,592,848.61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54,640,573.25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53,077,579.69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54,640,573.25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53,077,579.69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、合并现金流量表</w:t>
      </w:r>
      <w:bookmarkEnd w:id="667"/>
      <w:bookmarkEnd w:id="668"/>
      <w:bookmarkEnd w:id="6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594,657,006.08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435,784,863.04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24,900,275.58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21,967,974.72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21,656,281.82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28,322,420.31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641,213,563.48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486,075,258.07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183,899,574.16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156,325,144.32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存放中央银行和同业款项净增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208,340,799.08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166,087,710.34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54,640,731.02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49,003,053.13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75,344,924.85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96,186,222.12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522,226,029.11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467,602,129.91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118,987,534.37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18,473,128.16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6,032.00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141,559,724.49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3,167,243.93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141,610,151.84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3,173,275.93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114,434,945.77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56,922,038.15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54,757,612.12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245,692,557.89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194,922,038.15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-104,082,406.05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-191,748,762.22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19,936,890.00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320,087,150.00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22,936,890.00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320,087,150.00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10,299,633.12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2,736,446.51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19,036,079.63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15,800,000.00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3,900,810.37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304,287,150.00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18,805,938.69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131,011,515.94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298,476,707.75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167,465,191.81</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317,282,646.44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298,476,707.75</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6</w:t>
      </w:r>
      <w:bookmarkEnd w:id="673"/>
      <w:r>
        <w:rPr>
          <w:color w:val="000000"/>
          <w:spacing w:val="0"/>
          <w:w w:val="100"/>
          <w:position w:val="0"/>
        </w:rPr>
        <w:t>、母公司现金流量表</w:t>
      </w:r>
      <w:bookmarkEnd w:id="671"/>
      <w:bookmarkEnd w:id="672"/>
      <w:bookmarkEnd w:id="6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537,417,615.17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426,848,578.68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24,581,224.04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21,967,974.72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18,624,569.71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27,021,919.24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580,623,408.92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475,838,472.64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165,300,479.16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153,331,864.71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196,227,559.08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161,837,034.87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50,052,813.83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47,814,235.37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71,637,582.24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94,889,858.66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483,218,434.31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457,872,993.61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97,404,974.61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17,965,479.03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6,032.00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141,117,739.16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3,167,243.93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141,168,166.51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3,173,275.93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113,881,939.74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54,105,191.43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5,065,000.00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83,000,900.00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133,000,000.00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273,382,839.74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192,170,191.43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-132,214,673.23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-188,996,915.50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19,936,890.00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320,087,150.00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19,936,890.00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320,087,150.00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10,199,999.99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2,736,446.51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15,800,000.00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12,936,446.50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7,000,443.50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304,287,150.00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-27,809,255.12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133,255,713.53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291,582,063.04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158,326,349.51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263,772,807.92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291,582,063.04</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7</w:t>
      </w:r>
      <w:bookmarkEnd w:id="677"/>
      <w:r>
        <w:rPr>
          <w:color w:val="000000"/>
          <w:spacing w:val="0"/>
          <w:w w:val="100"/>
          <w:position w:val="0"/>
        </w:rPr>
        <w:t>、合并所有者权益变动表</w:t>
      </w:r>
      <w:bookmarkEnd w:id="675"/>
      <w:bookmarkEnd w:id="676"/>
      <w:bookmarkEnd w:id="67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14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14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5" w:lineRule="exact"/>
              <w:ind w:left="16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346,8</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72,17</w:t>
            </w:r>
          </w:p>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103,7</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47,15</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30,24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7,225</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255,1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43,37</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727,4</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599,3</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10,58</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4.45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346,8</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72,17</w:t>
            </w:r>
          </w:p>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103,7</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47,15</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30,24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7,225</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255,1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43,37</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727,4</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599,3</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10,58</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4.45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928,</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36,46</w:t>
            </w:r>
          </w:p>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-5,99</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9,746</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5,464</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47,02</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9,645</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30,74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3,260</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157,0</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28,74</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7.69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67,10</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6,122</w:t>
            </w:r>
          </w:p>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66,99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8,536</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9,746</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26,64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0,591</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100,4</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32,37</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5.21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19,01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7,940</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9,746</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25,81</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1,186</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.96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47,98</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0,596</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47,98</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0,596</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.85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26,64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0,591</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26,64</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0,591</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.40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5,464</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73,80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09,75</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5,464</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-5,46</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-10,5</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09,75</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09,75</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-140,</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135,0</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-140,</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135,0</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996,</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273,7</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35,70</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97,74</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7,403</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35,71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1,283</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302,1</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73,02</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31,47</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0,719</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756,3</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39,33</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2.14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both"/>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 库存</w:t>
            </w:r>
          </w:p>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5" w:lineRule="exact"/>
              <w:ind w:left="16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57,41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4,420</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24,93</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9,467</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210,7</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69,41</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724,6</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47,97</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4.21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57,41</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4,420</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24,93</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9,467</w:t>
            </w:r>
          </w:p>
          <w:p>
            <w:pPr>
              <w:pStyle w:val="Style2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210,7</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69,41</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47,97</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4.21</w:t>
            </w:r>
          </w:p>
        </w:tc>
      </w:tr>
      <w:tr>
        <w:trPr>
          <w:trHeight w:val="133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289,4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57,75</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103,7</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47,15</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5,307 ,757.</w:t>
            </w:r>
          </w:p>
          <w:p>
            <w:pPr>
              <w:pStyle w:val="Style24"/>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44,37</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3,962.</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254,4</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62,61</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0.24</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49,68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49,68</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289,4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57,75</w:t>
            </w:r>
          </w:p>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103,7</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47,15</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204,7</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78,10</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285,2</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19,65</w:t>
            </w:r>
          </w:p>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103,7</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47,15</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w:t>
            </w:r>
          </w:p>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4,238</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w:t>
            </w:r>
          </w:p>
          <w:p>
            <w:pPr>
              <w:pStyle w:val="Style24"/>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4,238</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5,307 ,757.</w:t>
            </w:r>
          </w:p>
          <w:p>
            <w:pPr>
              <w:pStyle w:val="Style24"/>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5,307 ,757.</w:t>
            </w:r>
          </w:p>
          <w:p>
            <w:pPr>
              <w:pStyle w:val="Style24"/>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346,8</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72,17</w:t>
            </w:r>
          </w:p>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103,7</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47,15</w:t>
            </w:r>
          </w:p>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30,24</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7,225</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255,1</w:t>
            </w:r>
          </w:p>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43,37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727,4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599,3</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10,58</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w:t>
            </w:r>
          </w:p>
        </w:tc>
      </w:tr>
    </w:tbl>
    <w:p>
      <w:pPr>
        <w:widowControl w:val="0"/>
        <w:spacing w:after="659" w:line="1" w:lineRule="exact"/>
      </w:pPr>
    </w:p>
    <w:p>
      <w:pPr>
        <w:pStyle w:val="Style35"/>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8</w:t>
      </w:r>
      <w:bookmarkEnd w:id="681"/>
      <w:r>
        <w:rPr>
          <w:color w:val="000000"/>
          <w:spacing w:val="0"/>
          <w:w w:val="100"/>
          <w:position w:val="0"/>
        </w:rPr>
        <w:t>、母公司所有者权益变动表</w:t>
      </w:r>
      <w:bookmarkEnd w:id="679"/>
      <w:bookmarkEnd w:id="680"/>
      <w:bookmarkEnd w:id="68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605,46</w:t>
            </w:r>
          </w:p>
        </w:tc>
      </w:tr>
      <w:tr>
        <w:trPr>
          <w:trHeight w:val="163"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4,778.8</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605,46</w:t>
            </w:r>
          </w:p>
        </w:tc>
      </w:tr>
      <w:tr>
        <w:trPr>
          <w:trHeight w:val="163"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4,778.8</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-73,136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117,92</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2,607.0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746.96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59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54,64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54,640,</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573.25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66,998,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73,791,</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536.85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746.96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783.81</w:t>
            </w:r>
          </w:p>
        </w:tc>
      </w:tr>
      <w:tr>
        <w:trPr>
          <w:trHeight w:val="37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25,811,</w:t>
            </w:r>
          </w:p>
        </w:tc>
      </w:tr>
      <w:tr>
        <w:trPr>
          <w:trHeight w:val="350"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940.00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746.96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186.96</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47,980,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47,980,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5,464,0</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-15,9</w:t>
            </w:r>
          </w:p>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73,80</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5,464,0</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-5,46</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4,057.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-10,5</w:t>
            </w:r>
          </w:p>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09,75</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140,1</w:t>
            </w:r>
          </w:p>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35,00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-140,13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140,1</w:t>
            </w:r>
          </w:p>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35,00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-140,13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210,9</w:t>
            </w:r>
          </w:p>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96,00</w:t>
            </w:r>
          </w:p>
          <w:p>
            <w:pPr>
              <w:pStyle w:val="Style2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273,73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5,706.9</w:t>
            </w:r>
          </w:p>
          <w:p>
            <w:pPr>
              <w:pStyle w:val="Style24"/>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97,747,</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35,711,</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300,6</w:t>
            </w:r>
          </w:p>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91,79</w:t>
            </w:r>
          </w:p>
          <w:p>
            <w:pPr>
              <w:pStyle w:val="Style24"/>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8.81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723,38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7,385.9</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line="1" w:lineRule="exact"/>
      </w:pPr>
    </w:p>
    <w:tbl>
      <w:tblPr>
        <w:tblOverlap w:val="never"/>
        <w:jc w:val="center"/>
        <w:tblLayout w:type="fixed"/>
      </w:tblPr>
      <w:tblGrid>
        <w:gridCol w:w="1445"/>
        <w:gridCol w:w="8189"/>
      </w:tblGrid>
      <w:tr>
        <w:trPr>
          <w:trHeight w:val="758"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214,2</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347,60</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24,939,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467.92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55,21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9,099.1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6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214,2</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347,60</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24,939,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467.92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55,21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9,099.1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7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5,307,7</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257,85</w:t>
            </w:r>
          </w:p>
        </w:tc>
      </w:tr>
      <w:tr>
        <w:trPr>
          <w:trHeight w:val="307"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7,750.0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5,679.6</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72</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59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53,07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53,077,</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579.69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69</w:t>
            </w: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19,06</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289,45</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103,74</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204,77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200,54</w:t>
            </w:r>
          </w:p>
        </w:tc>
      </w:tr>
      <w:tr>
        <w:trPr>
          <w:trHeight w:val="240"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4,238,1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28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5,307,7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57.97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w:t>
            </w: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5,307,7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57.97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70,06</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7,500.</w:t>
            </w:r>
          </w:p>
          <w:p>
            <w:pPr>
              <w:pStyle w:val="Style24"/>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346,87</w:t>
            </w:r>
          </w:p>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2,170.0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103,74</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7,150.0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262,0</w:t>
            </w:r>
          </w:p>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25,03</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605,46</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4,778.8</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659" w:line="1" w:lineRule="exact"/>
      </w:pPr>
    </w:p>
    <w:p>
      <w:pPr>
        <w:pStyle w:val="Style27"/>
        <w:keepNext/>
        <w:keepLines/>
        <w:widowControl w:val="0"/>
        <w:shd w:val="clear" w:color="auto" w:fill="auto"/>
        <w:bidi w:val="0"/>
        <w:spacing w:before="0" w:after="260" w:line="240" w:lineRule="auto"/>
        <w:ind w:left="0" w:right="0" w:firstLine="0"/>
        <w:jc w:val="left"/>
      </w:pPr>
      <w:bookmarkStart w:id="683" w:name="bookmark683"/>
      <w:bookmarkStart w:id="684" w:name="bookmark684"/>
      <w:bookmarkStart w:id="685" w:name="bookmark685"/>
      <w:r>
        <w:rPr>
          <w:color w:val="000000"/>
          <w:spacing w:val="0"/>
          <w:w w:val="100"/>
          <w:position w:val="0"/>
          <w:sz w:val="24"/>
          <w:szCs w:val="24"/>
        </w:rPr>
        <w:t>三、公司基本情况</w:t>
      </w:r>
      <w:bookmarkEnd w:id="683"/>
      <w:bookmarkEnd w:id="684"/>
      <w:bookmarkEnd w:id="685"/>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创业软件股份有限公司（以下简称公司或本公司）系经浙江省人民政府企业上市工作领导小组《关于同意变更设立杭 州创业软件股份有限公司的批复》（浙上市〔</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33</w:t>
      </w:r>
      <w:r>
        <w:rPr>
          <w:color w:val="000000"/>
          <w:spacing w:val="0"/>
          <w:w w:val="100"/>
          <w:position w:val="0"/>
        </w:rPr>
        <w:t>号）批准，由杭州创业软件集团有限公司以</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日的净资产为 基准整体变更设立，于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日在浙江省工商行政管理局登记注册，总部位于浙江省杭州市。公司现持有统一社会信 用代码为</w:t>
      </w:r>
      <w:r>
        <w:rPr>
          <w:rFonts w:ascii="Times New Roman" w:eastAsia="Times New Roman" w:hAnsi="Times New Roman" w:cs="Times New Roman"/>
          <w:color w:val="000000"/>
          <w:spacing w:val="0"/>
          <w:w w:val="100"/>
          <w:position w:val="0"/>
        </w:rPr>
        <w:t>9133000025393934X6</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242,949,263.00</w:t>
      </w:r>
      <w:r>
        <w:rPr>
          <w:color w:val="000000"/>
          <w:spacing w:val="0"/>
          <w:w w:val="100"/>
          <w:position w:val="0"/>
        </w:rPr>
        <w:t>元，股份总数</w:t>
      </w:r>
      <w:r>
        <w:rPr>
          <w:rFonts w:ascii="Times New Roman" w:eastAsia="Times New Roman" w:hAnsi="Times New Roman" w:cs="Times New Roman"/>
          <w:color w:val="000000"/>
          <w:spacing w:val="0"/>
          <w:w w:val="100"/>
          <w:position w:val="0"/>
        </w:rPr>
        <w:t>242,949,263</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 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124,233,605</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118,715,658</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 交易所挂牌交易。</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本公司属软件行业。公司主要业务是为医疗卫生行业提供信息化建设整体解决方案，包括医疗卫生信息化应用软件产 品的开发与销售、系统集成以及相应的硬件销售。主要产品为医疗卫生信息化应用软件以及计算机信息设备系统集成业务和 智能化网络布线工程集成业务。</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日召开的五届三十一次董事会批准对外报出。</w:t>
      </w:r>
    </w:p>
    <w:p>
      <w:pPr>
        <w:pStyle w:val="Style29"/>
        <w:keepNext w:val="0"/>
        <w:keepLines w:val="0"/>
        <w:widowControl w:val="0"/>
        <w:shd w:val="clear" w:color="auto" w:fill="auto"/>
        <w:bidi w:val="0"/>
        <w:spacing w:before="0" w:after="120" w:line="310" w:lineRule="exact"/>
        <w:ind w:left="0" w:right="0"/>
        <w:jc w:val="left"/>
      </w:pPr>
      <w:r>
        <w:rPr>
          <w:color w:val="000000"/>
          <w:spacing w:val="0"/>
          <w:w w:val="100"/>
          <w:position w:val="0"/>
        </w:rPr>
        <w:t>本公司将杭州联旗科技有限公司、苏州创业亿康信息科技有限公司、上海创航软件有限公司、创业软件南京有限公司、 新疆创什信息科技有限公司、重庆创易康软件有限公司、天津创津科技有限公司、杭州惟勤科技有限公司、广东中拓信息技 术有限公司、中山市蓝天电脑有限公司、中山市杭创科技有限公司、浙江创源环境科技有限公司和宁海杭创网络科技有限公 司等</w:t>
      </w:r>
      <w:r>
        <w:rPr>
          <w:rFonts w:ascii="Times New Roman" w:eastAsia="Times New Roman" w:hAnsi="Times New Roman" w:cs="Times New Roman"/>
          <w:color w:val="000000"/>
          <w:spacing w:val="0"/>
          <w:w w:val="100"/>
          <w:position w:val="0"/>
        </w:rPr>
        <w:t>13</w:t>
      </w:r>
      <w:r>
        <w:rPr>
          <w:color w:val="000000"/>
          <w:spacing w:val="0"/>
          <w:w w:val="100"/>
          <w:position w:val="0"/>
        </w:rPr>
        <w:t>家子公司纳入本期合并财务报表范围，情况详见本财务报表附注合并范围的变更和在其他主体中的权益之说明。</w:t>
      </w:r>
    </w:p>
    <w:p>
      <w:pPr>
        <w:pStyle w:val="Style27"/>
        <w:keepNext/>
        <w:keepLines/>
        <w:widowControl w:val="0"/>
        <w:shd w:val="clear" w:color="auto" w:fill="auto"/>
        <w:tabs>
          <w:tab w:pos="498" w:val="left"/>
        </w:tabs>
        <w:bidi w:val="0"/>
        <w:spacing w:before="0" w:after="36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四</w:t>
      </w:r>
      <w:bookmarkEnd w:id="688"/>
      <w:r>
        <w:rPr>
          <w:color w:val="000000"/>
          <w:spacing w:val="0"/>
          <w:w w:val="100"/>
          <w:position w:val="0"/>
          <w:sz w:val="24"/>
          <w:szCs w:val="24"/>
        </w:rPr>
        <w:t>、</w:t>
        <w:tab/>
        <w:t>财务报表的编制基础</w:t>
      </w:r>
      <w:bookmarkEnd w:id="686"/>
      <w:bookmarkEnd w:id="687"/>
      <w:bookmarkEnd w:id="689"/>
    </w:p>
    <w:p>
      <w:pPr>
        <w:pStyle w:val="Style35"/>
        <w:keepNext/>
        <w:keepLines/>
        <w:widowControl w:val="0"/>
        <w:shd w:val="clear" w:color="auto" w:fill="auto"/>
        <w:tabs>
          <w:tab w:pos="36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w:t>
        <w:tab/>
        <w:t>编制基础</w:t>
      </w:r>
      <w:bookmarkEnd w:id="690"/>
      <w:bookmarkEnd w:id="691"/>
      <w:bookmarkEnd w:id="693"/>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本公司财务报表以持续经营为编制基础。</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w:t>
        <w:tab/>
        <w:t>持续经营</w:t>
      </w:r>
      <w:bookmarkEnd w:id="694"/>
      <w:bookmarkEnd w:id="695"/>
      <w:bookmarkEnd w:id="697"/>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7"/>
        <w:keepNext/>
        <w:keepLines/>
        <w:widowControl w:val="0"/>
        <w:shd w:val="clear" w:color="auto" w:fill="auto"/>
        <w:tabs>
          <w:tab w:pos="517"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五</w:t>
      </w:r>
      <w:bookmarkEnd w:id="700"/>
      <w:r>
        <w:rPr>
          <w:color w:val="000000"/>
          <w:spacing w:val="0"/>
          <w:w w:val="100"/>
          <w:position w:val="0"/>
          <w:sz w:val="24"/>
          <w:szCs w:val="24"/>
        </w:rPr>
        <w:t>、</w:t>
        <w:tab/>
        <w:t>重要会计政策及会计估计</w:t>
      </w:r>
      <w:bookmarkEnd w:id="698"/>
      <w:bookmarkEnd w:id="699"/>
      <w:bookmarkEnd w:id="701"/>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重要提示：本公司根据实际生产经营特点针对应收款项坏账准备计提、固定资产折旧、无形资产摊销、收入确认等交易或事 项制定了具体会计政策和会计估计。</w:t>
      </w:r>
    </w:p>
    <w:p>
      <w:pPr>
        <w:pStyle w:val="Style35"/>
        <w:keepNext/>
        <w:keepLines/>
        <w:widowControl w:val="0"/>
        <w:shd w:val="clear" w:color="auto" w:fill="auto"/>
        <w:tabs>
          <w:tab w:pos="368" w:val="left"/>
        </w:tabs>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w:t>
        <w:tab/>
        <w:t>遵循企业会计准则的声明</w:t>
      </w:r>
      <w:bookmarkEnd w:id="702"/>
      <w:bookmarkEnd w:id="703"/>
      <w:bookmarkEnd w:id="705"/>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本公司所编制的财务报表符合企业会计准则的要求，真实、完整地反映了公司的财务状况、经营成果和现金流量等有关信息。</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w:t>
        <w:tab/>
        <w:t>会计期间</w:t>
      </w:r>
      <w:bookmarkEnd w:id="706"/>
      <w:bookmarkEnd w:id="707"/>
      <w:bookmarkEnd w:id="709"/>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3</w:t>
      </w:r>
      <w:bookmarkEnd w:id="712"/>
      <w:r>
        <w:rPr>
          <w:color w:val="000000"/>
          <w:spacing w:val="0"/>
          <w:w w:val="100"/>
          <w:position w:val="0"/>
        </w:rPr>
        <w:t>、</w:t>
        <w:tab/>
        <w:t>营业周期</w:t>
      </w:r>
      <w:bookmarkEnd w:id="710"/>
      <w:bookmarkEnd w:id="711"/>
      <w:bookmarkEnd w:id="713"/>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4</w:t>
      </w:r>
      <w:bookmarkEnd w:id="716"/>
      <w:r>
        <w:rPr>
          <w:color w:val="000000"/>
          <w:spacing w:val="0"/>
          <w:w w:val="100"/>
          <w:position w:val="0"/>
        </w:rPr>
        <w:t>、</w:t>
        <w:tab/>
        <w:t>记账本位币</w:t>
      </w:r>
      <w:bookmarkEnd w:id="714"/>
      <w:bookmarkEnd w:id="715"/>
      <w:bookmarkEnd w:id="717"/>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采用人民币为记账本位币。</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5</w:t>
      </w:r>
      <w:bookmarkEnd w:id="720"/>
      <w:r>
        <w:rPr>
          <w:color w:val="000000"/>
          <w:spacing w:val="0"/>
          <w:w w:val="100"/>
          <w:position w:val="0"/>
        </w:rPr>
        <w:t>、</w:t>
        <w:tab/>
        <w:t>同一控制下和非同一控制下企业合并的会计处理方法</w:t>
      </w:r>
      <w:bookmarkEnd w:id="718"/>
      <w:bookmarkEnd w:id="719"/>
      <w:bookmarkEnd w:id="721"/>
    </w:p>
    <w:p>
      <w:pPr>
        <w:pStyle w:val="Style29"/>
        <w:keepNext w:val="0"/>
        <w:keepLines w:val="0"/>
        <w:widowControl w:val="0"/>
        <w:numPr>
          <w:ilvl w:val="0"/>
          <w:numId w:val="11"/>
        </w:numPr>
        <w:shd w:val="clear" w:color="auto" w:fill="auto"/>
        <w:tabs>
          <w:tab w:pos="332" w:val="left"/>
        </w:tabs>
        <w:bidi w:val="0"/>
        <w:spacing w:before="0" w:after="0" w:line="314" w:lineRule="exact"/>
        <w:ind w:left="0" w:right="0" w:firstLine="0"/>
        <w:jc w:val="both"/>
      </w:pPr>
      <w:bookmarkStart w:id="722" w:name="bookmark722"/>
      <w:bookmarkEnd w:id="722"/>
      <w:r>
        <w:rPr>
          <w:color w:val="000000"/>
          <w:spacing w:val="0"/>
          <w:w w:val="100"/>
          <w:position w:val="0"/>
        </w:rPr>
        <w:t>同一控制下企业合并的会计处理方法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公司在企业合并中取得的资产和负债，按照合并日被合并方在最终控制方合并财务报表中的账面价值计量。公司按照被合并 方所有者权益在最终控制方合并财务报表中的账面价值份额与支付的合并对价账面价值或发行股份面值总额的差额,调整资 本公积；资本公积不足冲减的，调整留存收益。</w:t>
      </w:r>
    </w:p>
    <w:p>
      <w:pPr>
        <w:pStyle w:val="Style29"/>
        <w:keepNext w:val="0"/>
        <w:keepLines w:val="0"/>
        <w:widowControl w:val="0"/>
        <w:numPr>
          <w:ilvl w:val="0"/>
          <w:numId w:val="11"/>
        </w:numPr>
        <w:shd w:val="clear" w:color="auto" w:fill="auto"/>
        <w:tabs>
          <w:tab w:pos="332" w:val="left"/>
        </w:tabs>
        <w:bidi w:val="0"/>
        <w:spacing w:before="0" w:after="0" w:line="314" w:lineRule="exact"/>
        <w:ind w:left="0" w:right="0" w:firstLine="0"/>
        <w:jc w:val="both"/>
      </w:pPr>
      <w:bookmarkStart w:id="723" w:name="bookmark723"/>
      <w:bookmarkEnd w:id="723"/>
      <w:r>
        <w:rPr>
          <w:color w:val="000000"/>
          <w:spacing w:val="0"/>
          <w:w w:val="100"/>
          <w:position w:val="0"/>
        </w:rPr>
        <w:t>非同一控制下企业合并的会计处理方法</w:t>
      </w:r>
    </w:p>
    <w:p>
      <w:pPr>
        <w:pStyle w:val="Style29"/>
        <w:keepNext w:val="0"/>
        <w:keepLines w:val="0"/>
        <w:widowControl w:val="0"/>
        <w:shd w:val="clear" w:color="auto" w:fill="auto"/>
        <w:bidi w:val="0"/>
        <w:spacing w:before="0" w:after="260" w:line="314" w:lineRule="exact"/>
        <w:ind w:left="0" w:right="0" w:firstLine="0"/>
        <w:jc w:val="both"/>
      </w:pPr>
      <w:r>
        <w:rPr>
          <w:color w:val="000000"/>
          <w:spacing w:val="0"/>
          <w:w w:val="100"/>
          <w:position w:val="0"/>
        </w:rPr>
        <w:t>公司在购买日对合并成本大于合并中取得的被购买方可辨认净资产公允价值份额的差额，确认为商誉；如果合并成本小于合 并中取得的被购买方可辨认净资产公允价值份额，首先对取得的被购买方各项可辨认资产、负债及或有负债的公允价值以及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35"/>
        <w:keepNext/>
        <w:keepLines/>
        <w:widowControl w:val="0"/>
        <w:shd w:val="clear" w:color="auto" w:fill="auto"/>
        <w:tabs>
          <w:tab w:pos="329" w:val="left"/>
        </w:tabs>
        <w:bidi w:val="0"/>
        <w:spacing w:before="0" w:after="28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6</w:t>
      </w:r>
      <w:bookmarkEnd w:id="726"/>
      <w:r>
        <w:rPr>
          <w:color w:val="000000"/>
          <w:spacing w:val="0"/>
          <w:w w:val="100"/>
          <w:position w:val="0"/>
        </w:rPr>
        <w:t>、</w:t>
        <w:tab/>
        <w:t>合并财务报表的编制方法</w:t>
      </w:r>
      <w:bookmarkEnd w:id="724"/>
      <w:bookmarkEnd w:id="725"/>
      <w:bookmarkEnd w:id="727"/>
    </w:p>
    <w:p>
      <w:pPr>
        <w:pStyle w:val="Style2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母公司将其控制的所有子公司纳入合并财务报表的合并范围。合并财务报表以母公司及其子公司的财务报表为基础，根据其 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5"/>
        <w:keepNext/>
        <w:keepLines/>
        <w:widowControl w:val="0"/>
        <w:shd w:val="clear" w:color="auto" w:fill="auto"/>
        <w:tabs>
          <w:tab w:pos="329" w:val="left"/>
        </w:tabs>
        <w:bidi w:val="0"/>
        <w:spacing w:before="0" w:after="28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7</w:t>
      </w:r>
      <w:bookmarkEnd w:id="730"/>
      <w:r>
        <w:rPr>
          <w:color w:val="000000"/>
          <w:spacing w:val="0"/>
          <w:w w:val="100"/>
          <w:position w:val="0"/>
        </w:rPr>
        <w:t>、</w:t>
        <w:tab/>
        <w:t>现金及现金等价物的确定标准</w:t>
      </w:r>
      <w:bookmarkEnd w:id="728"/>
      <w:bookmarkEnd w:id="729"/>
      <w:bookmarkEnd w:id="731"/>
    </w:p>
    <w:p>
      <w:pPr>
        <w:pStyle w:val="Style2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列示于现金流量表中的现金是指库存现金以及可以随时用于支付的存款。现金等价物是指企业持有的期限短、流动性强、易 于转换为已知金额现金、价值变动风险很小的投资。</w:t>
      </w:r>
    </w:p>
    <w:p>
      <w:pPr>
        <w:pStyle w:val="Style35"/>
        <w:keepNext/>
        <w:keepLines/>
        <w:widowControl w:val="0"/>
        <w:shd w:val="clear" w:color="auto" w:fill="auto"/>
        <w:tabs>
          <w:tab w:pos="329" w:val="left"/>
        </w:tabs>
        <w:bidi w:val="0"/>
        <w:spacing w:before="0" w:after="28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8</w:t>
      </w:r>
      <w:bookmarkEnd w:id="734"/>
      <w:r>
        <w:rPr>
          <w:color w:val="000000"/>
          <w:spacing w:val="0"/>
          <w:w w:val="100"/>
          <w:position w:val="0"/>
        </w:rPr>
        <w:t>、</w:t>
        <w:tab/>
        <w:t>外币业务和外币报表折算</w:t>
      </w:r>
      <w:bookmarkEnd w:id="732"/>
      <w:bookmarkEnd w:id="733"/>
      <w:bookmarkEnd w:id="735"/>
    </w:p>
    <w:p>
      <w:pPr>
        <w:pStyle w:val="Style2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外币交易在初始确认时，采用交易发生日的即期汇率的近似汇率折算为人民币金额。资产负债表日，外币货币性项目 采用资产负债表日即期汇率折算，因汇率不同而产生的汇兑差额，除与购建符合资本化条件资产有关的外币专门借款本金及 利息的汇兑差额外，计入当期损益；以历史成本计量的外币非货币性项目仍采用交易发生日的即期汇率，不改变其人民币金 额；以公允价值计量的外币非货币性项目，采用公允价值确定日的即期汇率折算，差额计入当期损益或其他综合收益。</w:t>
      </w:r>
    </w:p>
    <w:p>
      <w:pPr>
        <w:pStyle w:val="Style35"/>
        <w:keepNext/>
        <w:keepLines/>
        <w:widowControl w:val="0"/>
        <w:shd w:val="clear" w:color="auto" w:fill="auto"/>
        <w:tabs>
          <w:tab w:pos="329" w:val="left"/>
        </w:tabs>
        <w:bidi w:val="0"/>
        <w:spacing w:before="0" w:after="28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9</w:t>
      </w:r>
      <w:bookmarkEnd w:id="738"/>
      <w:r>
        <w:rPr>
          <w:color w:val="000000"/>
          <w:spacing w:val="0"/>
          <w:w w:val="100"/>
          <w:position w:val="0"/>
        </w:rPr>
        <w:t>、</w:t>
        <w:tab/>
        <w:t>金融工具</w:t>
      </w:r>
      <w:bookmarkEnd w:id="736"/>
      <w:bookmarkEnd w:id="737"/>
      <w:bookmarkEnd w:id="739"/>
    </w:p>
    <w:p>
      <w:pPr>
        <w:pStyle w:val="Style29"/>
        <w:keepNext w:val="0"/>
        <w:keepLines w:val="0"/>
        <w:widowControl w:val="0"/>
        <w:numPr>
          <w:ilvl w:val="0"/>
          <w:numId w:val="13"/>
        </w:numPr>
        <w:shd w:val="clear" w:color="auto" w:fill="auto"/>
        <w:tabs>
          <w:tab w:pos="288" w:val="left"/>
        </w:tabs>
        <w:bidi w:val="0"/>
        <w:spacing w:before="0" w:after="0" w:line="312" w:lineRule="exact"/>
        <w:ind w:left="0" w:right="0" w:firstLine="0"/>
        <w:jc w:val="both"/>
      </w:pPr>
      <w:bookmarkStart w:id="740" w:name="bookmark740"/>
      <w:bookmarkEnd w:id="740"/>
      <w:r>
        <w:rPr>
          <w:color w:val="000000"/>
          <w:spacing w:val="0"/>
          <w:w w:val="100"/>
          <w:position w:val="0"/>
        </w:rPr>
        <w:t>金融资产和金融负债的分类</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金融资产在初始确认时划分为以下四类：以公允价值计量且其变动计入当期损益的金融资产（包括交易性金融资产和在初始 确认时指定为以公允价值计量且其变动计入当期损益的金融资产）、持有至到期投资、贷款和应收款项、可供出售金融资产。 金融负债在初始确认时划分为以下两类：以公允价值计量且其变动计入当期损益的金融负债（包括交易性金融负债和在初始 确认时指定为以公允价值计量且其变动计入当期损益的金融负债）、其他金融负债。</w:t>
      </w:r>
    </w:p>
    <w:p>
      <w:pPr>
        <w:pStyle w:val="Style29"/>
        <w:keepNext w:val="0"/>
        <w:keepLines w:val="0"/>
        <w:widowControl w:val="0"/>
        <w:numPr>
          <w:ilvl w:val="0"/>
          <w:numId w:val="13"/>
        </w:numPr>
        <w:shd w:val="clear" w:color="auto" w:fill="auto"/>
        <w:tabs>
          <w:tab w:pos="288" w:val="left"/>
        </w:tabs>
        <w:bidi w:val="0"/>
        <w:spacing w:before="0" w:after="0" w:line="312" w:lineRule="exact"/>
        <w:ind w:left="0" w:right="0" w:firstLine="0"/>
        <w:jc w:val="both"/>
      </w:pPr>
      <w:bookmarkStart w:id="741" w:name="bookmark741"/>
      <w:bookmarkEnd w:id="741"/>
      <w:r>
        <w:rPr>
          <w:color w:val="000000"/>
          <w:spacing w:val="0"/>
          <w:w w:val="100"/>
          <w:position w:val="0"/>
        </w:rPr>
        <w:t>金融资产和金融负债的确认依据、计量方法和终止确认条件</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公司成为金融工具合同的一方时，确认一项金融资产或金融负债。初始确认金融资产或金融负债时，按照公允价值计量；对 于以公允价值计量且其变动计入当期损益的金融资产和金融负债，相关交易费用直接计入当期损益；对于其他类别的金融资 产或金融负债，相关交易费用计入初始确认金额。</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公司按照公允价值对金融资产进行后续计量，且不扣除将来处置该金融资产时可能发生的交易费用，但下列情况除外：</w:t>
      </w:r>
      <w:r>
        <w:rPr>
          <w:rFonts w:ascii="Times New Roman" w:eastAsia="Times New Roman" w:hAnsi="Times New Roman" w:cs="Times New Roman"/>
          <w:color w:val="000000"/>
          <w:spacing w:val="0"/>
          <w:w w:val="100"/>
          <w:position w:val="0"/>
        </w:rPr>
        <w:t>（1）</w:t>
      </w:r>
      <w:r>
        <w:rPr>
          <w:color w:val="000000"/>
          <w:spacing w:val="0"/>
          <w:w w:val="100"/>
          <w:position w:val="0"/>
        </w:rPr>
        <w:t>持 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 量的权益工具投资，以及与该权益工具挂钩并须通过交付该权益工具结算的衍生金融资产，按照成本计量。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 的金融负债，按照公允价值计量，且不扣除将来结清金融负债时可能发生的交易费用；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 价值不能可靠计量的权益工具挂钩并须通过交付该权益工具结算的衍生金融负债，按照成本计量；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 价值计量且其变动计入当期损益的金融负债的财务担保合同,或没有指定为以公允价值计量且其变动计入当期损益并将以低 于市场利率贷款的贷款承诺，在初始确认后按照下列两项金额之中的较高者进行后续计量：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 xml:space="preserve">号 </w:t>
      </w:r>
      <w:r>
        <w:rPr>
          <w:color w:val="000000"/>
          <w:spacing w:val="0"/>
          <w:w w:val="100"/>
          <w:position w:val="0"/>
        </w:rPr>
        <w:t>—</w:t>
      </w:r>
      <w:r>
        <w:rPr>
          <w:color w:val="000000"/>
          <w:spacing w:val="0"/>
          <w:w w:val="100"/>
          <w:position w:val="0"/>
        </w:rPr>
        <w:t>或有事项》确定的金额；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号——收入》的原则确定的累积摊销额后的余 额。</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 变动计入当期损益的金融资产或金融负债公允价值变动形成的利得或损失，计入公允价值变动收益；在资产持有期间所取得 的利息或现金股利，确认为投资收益；处置时，将实际收到的金额与初始入账金额之间的差额确认为投资收益，同时调整公 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可供出售金融资产的公允价值变动计入其他综合收益；持有期间按实际利率法计算的利息，计入投资 收益；可供出售权益工具投资的现金股利，于被投资单位宣告发放股利时计入投资收益；处置时，将实际收到的金额与账面 价值扣除原直接计入其他综合收益的公允价值变动累计额之后的差额确认为投资收益。</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 xml:space="preserve">当收取某项金融资产现金流量的合同权利已终止或该金融资产所有权上几乎所有的风险和报酬已转移时，终止确认该金融资 </w:t>
      </w:r>
      <w:r>
        <w:rPr>
          <w:color w:val="000000"/>
          <w:spacing w:val="0"/>
          <w:w w:val="100"/>
          <w:position w:val="0"/>
        </w:rPr>
        <w:t>产；当金融负债的现时义务全部或部分解除时，相应终止确认该金融负债或其一部分。</w:t>
      </w:r>
    </w:p>
    <w:p>
      <w:pPr>
        <w:pStyle w:val="Style29"/>
        <w:keepNext w:val="0"/>
        <w:keepLines w:val="0"/>
        <w:widowControl w:val="0"/>
        <w:numPr>
          <w:ilvl w:val="0"/>
          <w:numId w:val="13"/>
        </w:numPr>
        <w:shd w:val="clear" w:color="auto" w:fill="auto"/>
        <w:tabs>
          <w:tab w:pos="295" w:val="left"/>
        </w:tabs>
        <w:bidi w:val="0"/>
        <w:spacing w:before="0" w:after="0"/>
        <w:ind w:left="0" w:right="0" w:firstLine="0"/>
        <w:jc w:val="both"/>
      </w:pPr>
      <w:bookmarkStart w:id="742" w:name="bookmark742"/>
      <w:bookmarkEnd w:id="742"/>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公司已将金融资产所有权上几乎所有的风险和报酬转移给了转入方的，终止确认该金融资产；保留了金融资产所有权上几乎 所有的风险和报酬的，继续确认所转移的金融资产，并将收到的对价确认为一项金融负债。公司既没有转移也没有保留金融 资产所有权上几乎所有的风险和报酬的，分别下列情况处理:</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 放弃对该金融资产控制的，按照继续涉入所转移金融资产的程度确认有关金融资产，并相应确认有关负债。</w:t>
      </w:r>
    </w:p>
    <w:p>
      <w:pPr>
        <w:pStyle w:val="Style29"/>
        <w:keepNext w:val="0"/>
        <w:keepLines w:val="0"/>
        <w:widowControl w:val="0"/>
        <w:shd w:val="clear" w:color="auto" w:fill="auto"/>
        <w:bidi w:val="0"/>
        <w:spacing w:before="0" w:after="80" w:line="314" w:lineRule="exact"/>
        <w:ind w:left="0" w:right="0" w:firstLine="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 移而收到的对价，与原直接计入所有者权益的公允价值变动累计额之和。金融资产部分转移满足终止确认条件的，将所转移 金融资产整体的账面价值，在终止确认部分和未终止确认部分之间，按照各自的相对公允价值进行分摊，并将下列两项金额 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 累计额中对应终止确认部分的金额之和。</w:t>
      </w:r>
    </w:p>
    <w:p>
      <w:pPr>
        <w:pStyle w:val="Style29"/>
        <w:keepNext w:val="0"/>
        <w:keepLines w:val="0"/>
        <w:widowControl w:val="0"/>
        <w:numPr>
          <w:ilvl w:val="0"/>
          <w:numId w:val="13"/>
        </w:numPr>
        <w:shd w:val="clear" w:color="auto" w:fill="auto"/>
        <w:tabs>
          <w:tab w:pos="305" w:val="left"/>
        </w:tabs>
        <w:bidi w:val="0"/>
        <w:spacing w:before="0" w:after="0"/>
        <w:ind w:left="0" w:right="0" w:firstLine="0"/>
        <w:jc w:val="both"/>
      </w:pPr>
      <w:bookmarkStart w:id="743" w:name="bookmark743"/>
      <w:bookmarkEnd w:id="743"/>
      <w:r>
        <w:rPr>
          <w:color w:val="000000"/>
          <w:spacing w:val="0"/>
          <w:w w:val="100"/>
          <w:position w:val="0"/>
        </w:rPr>
        <w:t>金融资产和金融负债的公允价值确定方法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公司采用在当前情况下适用并且有足够可利用数据和其他信息支持的估值技术确定相关金融资产和金融负债的公允价值。公 司将估值技术使用的输入值分以下层级，并依次使用：</w:t>
      </w:r>
    </w:p>
    <w:p>
      <w:pPr>
        <w:pStyle w:val="Style29"/>
        <w:keepNext w:val="0"/>
        <w:keepLines w:val="0"/>
        <w:widowControl w:val="0"/>
        <w:shd w:val="clear" w:color="auto" w:fill="auto"/>
        <w:tabs>
          <w:tab w:pos="387" w:val="left"/>
        </w:tabs>
        <w:bidi w:val="0"/>
        <w:spacing w:before="0" w:after="0" w:line="314" w:lineRule="exact"/>
        <w:ind w:left="0" w:right="0" w:firstLine="0"/>
        <w:jc w:val="both"/>
      </w:pPr>
      <w:bookmarkStart w:id="744" w:name="bookmark744"/>
      <w:r>
        <w:rPr>
          <w:rFonts w:ascii="Times New Roman" w:eastAsia="Times New Roman" w:hAnsi="Times New Roman" w:cs="Times New Roman"/>
          <w:color w:val="000000"/>
          <w:spacing w:val="0"/>
          <w:w w:val="100"/>
          <w:position w:val="0"/>
        </w:rPr>
        <w:t>（</w:t>
      </w:r>
      <w:bookmarkEnd w:id="744"/>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29"/>
        <w:keepNext w:val="0"/>
        <w:keepLines w:val="0"/>
        <w:widowControl w:val="0"/>
        <w:shd w:val="clear" w:color="auto" w:fill="auto"/>
        <w:tabs>
          <w:tab w:pos="387" w:val="left"/>
        </w:tabs>
        <w:bidi w:val="0"/>
        <w:spacing w:before="0" w:after="0" w:line="314" w:lineRule="exact"/>
        <w:ind w:left="0" w:right="0" w:firstLine="0"/>
        <w:jc w:val="both"/>
      </w:pPr>
      <w:bookmarkStart w:id="745" w:name="bookmark745"/>
      <w:r>
        <w:rPr>
          <w:rFonts w:ascii="Times New Roman" w:eastAsia="Times New Roman" w:hAnsi="Times New Roman" w:cs="Times New Roman"/>
          <w:color w:val="000000"/>
          <w:spacing w:val="0"/>
          <w:w w:val="100"/>
          <w:position w:val="0"/>
        </w:rPr>
        <w:t>（</w:t>
      </w:r>
      <w:bookmarkEnd w:id="745"/>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第二层次输入值是除第一层次输入值外相关资产或负债直接或间接可观察的输入值，包括：活跃市场中类似资产或负债 的报价；非活跃市场中相同或类似资产或负债的报价；除报价以外的其他可观察输入值，如在正常报价间隔期间可观察的利 率和收益率曲线等；市场验证的输入值等；</w:t>
      </w:r>
    </w:p>
    <w:p>
      <w:pPr>
        <w:pStyle w:val="Style29"/>
        <w:keepNext w:val="0"/>
        <w:keepLines w:val="0"/>
        <w:widowControl w:val="0"/>
        <w:shd w:val="clear" w:color="auto" w:fill="auto"/>
        <w:tabs>
          <w:tab w:pos="387" w:val="left"/>
        </w:tabs>
        <w:bidi w:val="0"/>
        <w:spacing w:before="0" w:after="80" w:line="314" w:lineRule="exact"/>
        <w:ind w:left="0" w:right="0" w:firstLine="0"/>
        <w:jc w:val="both"/>
      </w:pPr>
      <w:bookmarkStart w:id="746" w:name="bookmark746"/>
      <w:r>
        <w:rPr>
          <w:rFonts w:ascii="Times New Roman" w:eastAsia="Times New Roman" w:hAnsi="Times New Roman" w:cs="Times New Roman"/>
          <w:color w:val="000000"/>
          <w:spacing w:val="0"/>
          <w:w w:val="100"/>
          <w:position w:val="0"/>
        </w:rPr>
        <w:t>（</w:t>
      </w:r>
      <w:bookmarkEnd w:id="746"/>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第三层次输入值是相关资产或负债的不可观察输入值，包括不能直接观察或无法由可观察市场数据验证的利率、股票波 动率、企业合并中承担的弃置义务的未来现金流量、使用自身数据作出的财务预测等。</w:t>
      </w:r>
    </w:p>
    <w:p>
      <w:pPr>
        <w:pStyle w:val="Style29"/>
        <w:keepNext w:val="0"/>
        <w:keepLines w:val="0"/>
        <w:widowControl w:val="0"/>
        <w:numPr>
          <w:ilvl w:val="0"/>
          <w:numId w:val="13"/>
        </w:numPr>
        <w:shd w:val="clear" w:color="auto" w:fill="auto"/>
        <w:tabs>
          <w:tab w:pos="305" w:val="left"/>
        </w:tabs>
        <w:bidi w:val="0"/>
        <w:spacing w:before="0" w:after="0"/>
        <w:ind w:left="0" w:right="0" w:firstLine="0"/>
        <w:jc w:val="both"/>
      </w:pPr>
      <w:bookmarkStart w:id="747" w:name="bookmark747"/>
      <w:bookmarkEnd w:id="747"/>
      <w:r>
        <w:rPr>
          <w:color w:val="000000"/>
          <w:spacing w:val="0"/>
          <w:w w:val="100"/>
          <w:position w:val="0"/>
        </w:rPr>
        <w:t>金融资产的减值测试和减值准备计提方法</w:t>
      </w:r>
    </w:p>
    <w:p>
      <w:pPr>
        <w:pStyle w:val="Style29"/>
        <w:keepNext w:val="0"/>
        <w:keepLines w:val="0"/>
        <w:widowControl w:val="0"/>
        <w:shd w:val="clear" w:color="auto" w:fill="auto"/>
        <w:tabs>
          <w:tab w:pos="387" w:val="left"/>
        </w:tabs>
        <w:bidi w:val="0"/>
        <w:spacing w:before="0" w:after="0" w:line="314" w:lineRule="exact"/>
        <w:ind w:left="0" w:right="0" w:firstLine="0"/>
        <w:jc w:val="both"/>
      </w:pPr>
      <w:bookmarkStart w:id="748" w:name="bookmark748"/>
      <w:r>
        <w:rPr>
          <w:rFonts w:ascii="Times New Roman" w:eastAsia="Times New Roman" w:hAnsi="Times New Roman" w:cs="Times New Roman"/>
          <w:color w:val="000000"/>
          <w:spacing w:val="0"/>
          <w:w w:val="100"/>
          <w:position w:val="0"/>
        </w:rPr>
        <w:t>（</w:t>
      </w:r>
      <w:bookmarkEnd w:id="748"/>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资产负债表日对以公允价值计量且其变动计入当期损益的金融资产以外的金融资产的账面价值进行检查，如有客观证据 表明该金融资产发生减值的，计提减值准备。</w:t>
      </w:r>
    </w:p>
    <w:p>
      <w:pPr>
        <w:pStyle w:val="Style29"/>
        <w:keepNext w:val="0"/>
        <w:keepLines w:val="0"/>
        <w:widowControl w:val="0"/>
        <w:shd w:val="clear" w:color="auto" w:fill="auto"/>
        <w:tabs>
          <w:tab w:pos="387" w:val="left"/>
        </w:tabs>
        <w:bidi w:val="0"/>
        <w:spacing w:before="0" w:after="80" w:line="314" w:lineRule="exact"/>
        <w:ind w:left="0" w:right="0" w:firstLine="0"/>
        <w:jc w:val="both"/>
      </w:pPr>
      <w:bookmarkStart w:id="749" w:name="bookmark749"/>
      <w:r>
        <w:rPr>
          <w:rFonts w:ascii="Times New Roman" w:eastAsia="Times New Roman" w:hAnsi="Times New Roman" w:cs="Times New Roman"/>
          <w:color w:val="000000"/>
          <w:spacing w:val="0"/>
          <w:w w:val="100"/>
          <w:position w:val="0"/>
        </w:rPr>
        <w:t>（</w:t>
      </w:r>
      <w:bookmarkEnd w:id="749"/>
      <w:r>
        <w:rPr>
          <w:rFonts w:ascii="Times New Roman" w:eastAsia="Times New Roman" w:hAnsi="Times New Roman" w:cs="Times New Roman"/>
          <w:color w:val="000000"/>
          <w:spacing w:val="0"/>
          <w:w w:val="100"/>
          <w:position w:val="0"/>
        </w:rPr>
        <w:t>2）</w:t>
        <w:tab/>
      </w:r>
      <w:r>
        <w:rPr>
          <w:color w:val="000000"/>
          <w:spacing w:val="0"/>
          <w:w w:val="100"/>
          <w:position w:val="0"/>
        </w:rPr>
        <w:t>对于持有至到期投资、贷款和应收款，先将单项金额重大的金融资产区分开来，单独进行减值测试；对单项金额不重大 的金融资产，可以单独进行减值测试，或包括在具有类似信用风险特征的金融资产组合中进行减值测试；单独测试未发生减 值的金融资产（包括单项金额重大和不重大的金融资产），包括在具有类似信用风险特征的金融资产组合中再进行减值测试。 测试结果表明其发生了减值的，根据其账面价值高于预计未来现金流量现值的差额确认减值损失。</w:t>
      </w:r>
    </w:p>
    <w:p>
      <w:pPr>
        <w:pStyle w:val="Style29"/>
        <w:keepNext w:val="0"/>
        <w:keepLines w:val="0"/>
        <w:widowControl w:val="0"/>
        <w:shd w:val="clear" w:color="auto" w:fill="auto"/>
        <w:tabs>
          <w:tab w:pos="387" w:val="left"/>
        </w:tabs>
        <w:bidi w:val="0"/>
        <w:spacing w:before="0" w:after="0"/>
        <w:ind w:left="0" w:right="0" w:firstLine="0"/>
        <w:jc w:val="both"/>
      </w:pPr>
      <w:bookmarkStart w:id="750" w:name="bookmark750"/>
      <w:r>
        <w:rPr>
          <w:rFonts w:ascii="Times New Roman" w:eastAsia="Times New Roman" w:hAnsi="Times New Roman" w:cs="Times New Roman"/>
          <w:color w:val="000000"/>
          <w:spacing w:val="0"/>
          <w:w w:val="100"/>
          <w:position w:val="0"/>
        </w:rPr>
        <w:t>（</w:t>
      </w:r>
      <w:bookmarkEnd w:id="750"/>
      <w:r>
        <w:rPr>
          <w:rFonts w:ascii="Times New Roman" w:eastAsia="Times New Roman" w:hAnsi="Times New Roman" w:cs="Times New Roman"/>
          <w:color w:val="000000"/>
          <w:spacing w:val="0"/>
          <w:w w:val="100"/>
          <w:position w:val="0"/>
        </w:rPr>
        <w:t>3）</w:t>
        <w:tab/>
      </w:r>
      <w:r>
        <w:rPr>
          <w:color w:val="000000"/>
          <w:spacing w:val="0"/>
          <w:w w:val="100"/>
          <w:position w:val="0"/>
        </w:rPr>
        <w:t>可供出售金融资产</w:t>
      </w:r>
    </w:p>
    <w:p>
      <w:pPr>
        <w:pStyle w:val="Style29"/>
        <w:keepNext w:val="0"/>
        <w:keepLines w:val="0"/>
        <w:widowControl w:val="0"/>
        <w:shd w:val="clear" w:color="auto" w:fill="auto"/>
        <w:tabs>
          <w:tab w:pos="315" w:val="left"/>
        </w:tabs>
        <w:bidi w:val="0"/>
        <w:spacing w:before="0" w:after="0"/>
        <w:ind w:left="0" w:right="0" w:firstLine="0"/>
        <w:jc w:val="both"/>
      </w:pPr>
      <w:bookmarkStart w:id="751" w:name="bookmark751"/>
      <w:r>
        <w:rPr>
          <w:rFonts w:ascii="Times New Roman" w:eastAsia="Times New Roman" w:hAnsi="Times New Roman" w:cs="Times New Roman"/>
          <w:color w:val="000000"/>
          <w:spacing w:val="0"/>
          <w:w w:val="100"/>
          <w:position w:val="0"/>
        </w:rPr>
        <w:t>1</w:t>
      </w:r>
      <w:bookmarkEnd w:id="751"/>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29"/>
        <w:keepNext w:val="0"/>
        <w:keepLines w:val="0"/>
        <w:widowControl w:val="0"/>
        <w:numPr>
          <w:ilvl w:val="0"/>
          <w:numId w:val="15"/>
        </w:numPr>
        <w:shd w:val="clear" w:color="auto" w:fill="auto"/>
        <w:tabs>
          <w:tab w:pos="358" w:val="left"/>
        </w:tabs>
        <w:bidi w:val="0"/>
        <w:spacing w:before="0" w:after="0" w:line="314" w:lineRule="exact"/>
        <w:ind w:left="0" w:right="0" w:firstLine="0"/>
        <w:jc w:val="both"/>
      </w:pPr>
      <w:bookmarkStart w:id="752" w:name="bookmark752"/>
      <w:bookmarkEnd w:id="752"/>
      <w:r>
        <w:rPr>
          <w:color w:val="000000"/>
          <w:spacing w:val="0"/>
          <w:w w:val="100"/>
          <w:position w:val="0"/>
        </w:rPr>
        <w:t>债务人发生严重财务困难；</w:t>
      </w:r>
    </w:p>
    <w:p>
      <w:pPr>
        <w:pStyle w:val="Style29"/>
        <w:keepNext w:val="0"/>
        <w:keepLines w:val="0"/>
        <w:widowControl w:val="0"/>
        <w:numPr>
          <w:ilvl w:val="0"/>
          <w:numId w:val="15"/>
        </w:numPr>
        <w:shd w:val="clear" w:color="auto" w:fill="auto"/>
        <w:tabs>
          <w:tab w:pos="358" w:val="left"/>
        </w:tabs>
        <w:bidi w:val="0"/>
        <w:spacing w:before="0" w:after="0" w:line="314" w:lineRule="exact"/>
        <w:ind w:left="0" w:right="0" w:firstLine="0"/>
        <w:jc w:val="both"/>
      </w:pPr>
      <w:bookmarkStart w:id="753" w:name="bookmark753"/>
      <w:bookmarkEnd w:id="753"/>
      <w:r>
        <w:rPr>
          <w:color w:val="000000"/>
          <w:spacing w:val="0"/>
          <w:w w:val="100"/>
          <w:position w:val="0"/>
        </w:rPr>
        <w:t>债务人违反了合同条款，如偿付利息或本金发生违约或逾期；</w:t>
      </w:r>
    </w:p>
    <w:p>
      <w:pPr>
        <w:pStyle w:val="Style29"/>
        <w:keepNext w:val="0"/>
        <w:keepLines w:val="0"/>
        <w:widowControl w:val="0"/>
        <w:numPr>
          <w:ilvl w:val="0"/>
          <w:numId w:val="15"/>
        </w:numPr>
        <w:shd w:val="clear" w:color="auto" w:fill="auto"/>
        <w:tabs>
          <w:tab w:pos="358" w:val="left"/>
        </w:tabs>
        <w:bidi w:val="0"/>
        <w:spacing w:before="0" w:after="0" w:line="314" w:lineRule="exact"/>
        <w:ind w:left="0" w:right="0" w:firstLine="0"/>
        <w:jc w:val="both"/>
      </w:pPr>
      <w:bookmarkStart w:id="754" w:name="bookmark754"/>
      <w:bookmarkEnd w:id="754"/>
      <w:r>
        <w:rPr>
          <w:color w:val="000000"/>
          <w:spacing w:val="0"/>
          <w:w w:val="100"/>
          <w:position w:val="0"/>
        </w:rPr>
        <w:t>公司出于经济或法律等方面因素的考虑，对发生财务困难的债务人作出让步；</w:t>
      </w:r>
    </w:p>
    <w:p>
      <w:pPr>
        <w:pStyle w:val="Style29"/>
        <w:keepNext w:val="0"/>
        <w:keepLines w:val="0"/>
        <w:widowControl w:val="0"/>
        <w:numPr>
          <w:ilvl w:val="0"/>
          <w:numId w:val="15"/>
        </w:numPr>
        <w:shd w:val="clear" w:color="auto" w:fill="auto"/>
        <w:tabs>
          <w:tab w:pos="358" w:val="left"/>
        </w:tabs>
        <w:bidi w:val="0"/>
        <w:spacing w:before="0" w:after="0" w:line="314" w:lineRule="exact"/>
        <w:ind w:left="0" w:right="0" w:firstLine="0"/>
        <w:jc w:val="both"/>
      </w:pPr>
      <w:bookmarkStart w:id="755" w:name="bookmark755"/>
      <w:bookmarkEnd w:id="755"/>
      <w:r>
        <w:rPr>
          <w:color w:val="000000"/>
          <w:spacing w:val="0"/>
          <w:w w:val="100"/>
          <w:position w:val="0"/>
        </w:rPr>
        <w:t>债务人很可能倒闭或进行其他财务重组；</w:t>
      </w:r>
    </w:p>
    <w:p>
      <w:pPr>
        <w:pStyle w:val="Style29"/>
        <w:keepNext w:val="0"/>
        <w:keepLines w:val="0"/>
        <w:widowControl w:val="0"/>
        <w:numPr>
          <w:ilvl w:val="0"/>
          <w:numId w:val="15"/>
        </w:numPr>
        <w:shd w:val="clear" w:color="auto" w:fill="auto"/>
        <w:tabs>
          <w:tab w:pos="358" w:val="left"/>
        </w:tabs>
        <w:bidi w:val="0"/>
        <w:spacing w:before="0" w:after="0" w:line="314" w:lineRule="exact"/>
        <w:ind w:left="0" w:right="0" w:firstLine="0"/>
        <w:jc w:val="both"/>
      </w:pPr>
      <w:bookmarkStart w:id="756" w:name="bookmark756"/>
      <w:bookmarkEnd w:id="756"/>
      <w:r>
        <w:rPr>
          <w:color w:val="000000"/>
          <w:spacing w:val="0"/>
          <w:w w:val="100"/>
          <w:position w:val="0"/>
        </w:rPr>
        <w:t>因债务人发生重大财务困难，该债务工具无法在活跃市场继续交易；</w:t>
      </w:r>
    </w:p>
    <w:p>
      <w:pPr>
        <w:pStyle w:val="Style29"/>
        <w:keepNext w:val="0"/>
        <w:keepLines w:val="0"/>
        <w:widowControl w:val="0"/>
        <w:numPr>
          <w:ilvl w:val="0"/>
          <w:numId w:val="15"/>
        </w:numPr>
        <w:shd w:val="clear" w:color="auto" w:fill="auto"/>
        <w:tabs>
          <w:tab w:pos="358" w:val="left"/>
        </w:tabs>
        <w:bidi w:val="0"/>
        <w:spacing w:before="0" w:after="0" w:line="314" w:lineRule="exact"/>
        <w:ind w:left="0" w:right="0" w:firstLine="0"/>
        <w:jc w:val="both"/>
      </w:pPr>
      <w:bookmarkStart w:id="757" w:name="bookmark757"/>
      <w:bookmarkEnd w:id="757"/>
      <w:r>
        <w:rPr>
          <w:color w:val="000000"/>
          <w:spacing w:val="0"/>
          <w:w w:val="100"/>
          <w:position w:val="0"/>
        </w:rPr>
        <w:t>其他表明可供出售债务工具已经发生减值的情况。</w:t>
      </w:r>
    </w:p>
    <w:p>
      <w:pPr>
        <w:pStyle w:val="Style29"/>
        <w:keepNext w:val="0"/>
        <w:keepLines w:val="0"/>
        <w:widowControl w:val="0"/>
        <w:shd w:val="clear" w:color="auto" w:fill="auto"/>
        <w:tabs>
          <w:tab w:pos="334" w:val="left"/>
        </w:tabs>
        <w:bidi w:val="0"/>
        <w:spacing w:before="0" w:after="0" w:line="314" w:lineRule="exact"/>
        <w:ind w:left="0" w:right="0" w:firstLine="0"/>
        <w:jc w:val="both"/>
      </w:pPr>
      <w:bookmarkStart w:id="758" w:name="bookmark758"/>
      <w:r>
        <w:rPr>
          <w:rFonts w:ascii="Times New Roman" w:eastAsia="Times New Roman" w:hAnsi="Times New Roman" w:cs="Times New Roman"/>
          <w:color w:val="000000"/>
          <w:spacing w:val="0"/>
          <w:w w:val="100"/>
          <w:position w:val="0"/>
        </w:rPr>
        <w:t>2</w:t>
      </w:r>
      <w:bookmarkEnd w:id="758"/>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表明可供出售权益工具投资发生减值的客观证据包括权益工具投资的公允价值发生严重或非暂时性下跌，以及被投资单 位经营所处的技术、市场、经济或法律环境等发生重大不利变化使公司可能无法收回投资成本。</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本公司于资产负债表日对各项可供出售权益工具投资单独进行检查。对于以公允价值计量的权益工具投资，若其于资产负债 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 其于资产负债表日的公允价值低于其成本超过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 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个月的，本公司会综合考虑其他相关因素，诸如价格波动率等，判断该权益工具投资是否发生减值。对于以 成本计量的权益工具投资，公司综合考虑被投资单位经营所处的技术、市场、经济或法律环境等是否发生重大不利变化，判 断该权益工具是否发生减值。</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以公允价值计量的可供出售金融资产发生减值时，原直接计入其他综合收益的因公允价值下降形成的累计损失予以转出并计 </w:t>
      </w:r>
      <w:r>
        <w:rPr>
          <w:color w:val="000000"/>
          <w:spacing w:val="0"/>
          <w:w w:val="100"/>
          <w:position w:val="0"/>
        </w:rPr>
        <w:t>入减值损失。对已确认减值损失的可供出售债务工具投资，在期后公允价值回升且客观上与确认原减值损失后发生的事项有 关的，原确认的减值损失予以转回并计入当期损益。对已确认减值损失的可供出售权益工具投资，期后公允价值回升直接计 入其他综合收益。</w:t>
      </w:r>
    </w:p>
    <w:p>
      <w:pPr>
        <w:pStyle w:val="Style29"/>
        <w:keepNext w:val="0"/>
        <w:keepLines w:val="0"/>
        <w:widowControl w:val="0"/>
        <w:shd w:val="clear" w:color="auto" w:fill="auto"/>
        <w:bidi w:val="0"/>
        <w:spacing w:before="0" w:after="340" w:line="310" w:lineRule="exact"/>
        <w:ind w:left="0" w:right="0" w:firstLine="0"/>
        <w:jc w:val="both"/>
      </w:pPr>
      <w:r>
        <w:rPr>
          <w:color w:val="000000"/>
          <w:spacing w:val="0"/>
          <w:w w:val="100"/>
          <w:position w:val="0"/>
        </w:rPr>
        <w:t>以成本计量的可供出售权益工具发生减值时，将该权益工具投资的账面价值，与按照类似金融资产当时市场收益率对未来现 金流量折现确定的现值之间的差额，确认为减值损失，计入当期损益，发生的减值损失一经确认，不予转回。</w:t>
      </w:r>
    </w:p>
    <w:p>
      <w:pPr>
        <w:pStyle w:val="Style35"/>
        <w:keepNext/>
        <w:keepLines/>
        <w:widowControl w:val="0"/>
        <w:shd w:val="clear" w:color="auto" w:fill="auto"/>
        <w:bidi w:val="0"/>
        <w:spacing w:before="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59"/>
      <w:bookmarkEnd w:id="760"/>
      <w:bookmarkEnd w:id="762"/>
    </w:p>
    <w:p>
      <w:pPr>
        <w:pStyle w:val="Style35"/>
        <w:keepNext/>
        <w:keepLines/>
        <w:widowControl w:val="0"/>
        <w:numPr>
          <w:ilvl w:val="0"/>
          <w:numId w:val="17"/>
        </w:numPr>
        <w:shd w:val="clear" w:color="auto" w:fill="auto"/>
        <w:bidi w:val="0"/>
        <w:spacing w:before="0" w:line="240" w:lineRule="auto"/>
        <w:ind w:left="0" w:right="0" w:firstLine="0"/>
        <w:jc w:val="both"/>
      </w:pPr>
      <w:bookmarkStart w:id="759" w:name="bookmark759"/>
      <w:bookmarkStart w:id="760" w:name="bookmark760"/>
      <w:bookmarkStart w:id="763" w:name="bookmark763"/>
      <w:bookmarkStart w:id="764" w:name="bookmark764"/>
      <w:bookmarkEnd w:id="763"/>
      <w:r>
        <w:rPr>
          <w:color w:val="000000"/>
          <w:spacing w:val="0"/>
          <w:w w:val="100"/>
          <w:position w:val="0"/>
        </w:rPr>
        <w:t>单项金额重大并单独计提坏账准备的应收款项</w:t>
      </w:r>
      <w:bookmarkEnd w:id="759"/>
      <w:bookmarkEnd w:id="760"/>
      <w:bookmarkEnd w:id="76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余额占应收款项账面余额</w:t>
            </w:r>
            <w:r>
              <w:rPr>
                <w:rFonts w:ascii="Times New Roman" w:eastAsia="Times New Roman" w:hAnsi="Times New Roman" w:cs="Times New Roman"/>
                <w:color w:val="000000"/>
                <w:spacing w:val="0"/>
                <w:w w:val="100"/>
                <w:position w:val="0"/>
              </w:rPr>
              <w:t>10%</w:t>
            </w:r>
            <w:r>
              <w:rPr>
                <w:color w:val="000000"/>
                <w:spacing w:val="0"/>
                <w:w w:val="100"/>
                <w:position w:val="0"/>
              </w:rPr>
              <w:t>以上的款项</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 价值的差额计提坏账准备</w:t>
            </w:r>
          </w:p>
        </w:tc>
      </w:tr>
    </w:tbl>
    <w:p>
      <w:pPr>
        <w:widowControl w:val="0"/>
        <w:spacing w:after="339" w:line="1" w:lineRule="exact"/>
      </w:pPr>
    </w:p>
    <w:p>
      <w:pPr>
        <w:pStyle w:val="Style35"/>
        <w:keepNext/>
        <w:keepLines/>
        <w:widowControl w:val="0"/>
        <w:numPr>
          <w:ilvl w:val="0"/>
          <w:numId w:val="17"/>
        </w:numPr>
        <w:shd w:val="clear" w:color="auto" w:fill="auto"/>
        <w:bidi w:val="0"/>
        <w:spacing w:before="0" w:line="240" w:lineRule="auto"/>
        <w:ind w:left="0" w:right="0" w:firstLine="0"/>
        <w:jc w:val="left"/>
      </w:pPr>
      <w:bookmarkStart w:id="765" w:name="bookmark765"/>
      <w:bookmarkStart w:id="766" w:name="bookmark766"/>
      <w:bookmarkStart w:id="767" w:name="bookmark767"/>
      <w:bookmarkStart w:id="768" w:name="bookmark768"/>
      <w:bookmarkEnd w:id="767"/>
      <w:r>
        <w:rPr>
          <w:color w:val="000000"/>
          <w:spacing w:val="0"/>
          <w:w w:val="100"/>
          <w:position w:val="0"/>
        </w:rPr>
        <w:t>按信用风险特征组合计提坏账准备的应收款项</w:t>
      </w:r>
      <w:bookmarkEnd w:id="765"/>
      <w:bookmarkEnd w:id="766"/>
      <w:bookmarkEnd w:id="76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numPr>
          <w:ilvl w:val="0"/>
          <w:numId w:val="17"/>
        </w:numPr>
        <w:shd w:val="clear" w:color="auto" w:fill="auto"/>
        <w:bidi w:val="0"/>
        <w:spacing w:before="0" w:line="240" w:lineRule="auto"/>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单项金额不重大但单独计提坏账准备的应收款项</w:t>
      </w:r>
      <w:bookmarkEnd w:id="769"/>
      <w:bookmarkEnd w:id="770"/>
      <w:bookmarkEnd w:id="772"/>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应收款项的未来现金流量现值与以账龄为信用风险特征的 应收款项组合的未来现金流量现值存在显著差异。</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 价值的差额计提坏账准备。</w:t>
            </w:r>
          </w:p>
        </w:tc>
      </w:tr>
    </w:tbl>
    <w:p>
      <w:pPr>
        <w:pStyle w:val="Style35"/>
        <w:keepNext/>
        <w:keepLines/>
        <w:widowControl w:val="0"/>
        <w:shd w:val="clear" w:color="auto" w:fill="auto"/>
        <w:tabs>
          <w:tab w:pos="474" w:val="left"/>
        </w:tabs>
        <w:bidi w:val="0"/>
        <w:spacing w:before="0" w:after="28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773"/>
      <w:bookmarkEnd w:id="774"/>
      <w:bookmarkEnd w:id="776"/>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存货包括在日常活动中持有以备出售的产成品或商品、处在生产过程中的在产品、在生产过程或提供劳务过程中耗用的材料 和物料等。</w:t>
      </w:r>
    </w:p>
    <w:p>
      <w:pPr>
        <w:pStyle w:val="Style29"/>
        <w:keepNext w:val="0"/>
        <w:keepLines w:val="0"/>
        <w:widowControl w:val="0"/>
        <w:numPr>
          <w:ilvl w:val="0"/>
          <w:numId w:val="19"/>
        </w:numPr>
        <w:shd w:val="clear" w:color="auto" w:fill="auto"/>
        <w:tabs>
          <w:tab w:pos="320" w:val="left"/>
        </w:tabs>
        <w:bidi w:val="0"/>
        <w:spacing w:before="0" w:after="0" w:line="311" w:lineRule="exact"/>
        <w:ind w:left="0" w:right="0" w:firstLine="0"/>
        <w:jc w:val="both"/>
      </w:pPr>
      <w:bookmarkStart w:id="777" w:name="bookmark777"/>
      <w:bookmarkEnd w:id="777"/>
      <w:r>
        <w:rPr>
          <w:color w:val="000000"/>
          <w:spacing w:val="0"/>
          <w:w w:val="100"/>
          <w:position w:val="0"/>
        </w:rPr>
        <w:t>发出存货的计价方法</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本公司发出存货采用个别计价法和月末一次加权平均法。</w:t>
      </w:r>
    </w:p>
    <w:p>
      <w:pPr>
        <w:pStyle w:val="Style29"/>
        <w:keepNext w:val="0"/>
        <w:keepLines w:val="0"/>
        <w:widowControl w:val="0"/>
        <w:numPr>
          <w:ilvl w:val="0"/>
          <w:numId w:val="19"/>
        </w:numPr>
        <w:shd w:val="clear" w:color="auto" w:fill="auto"/>
        <w:tabs>
          <w:tab w:pos="320" w:val="left"/>
        </w:tabs>
        <w:bidi w:val="0"/>
        <w:spacing w:before="0" w:after="0" w:line="311" w:lineRule="exact"/>
        <w:ind w:left="0" w:right="0" w:firstLine="0"/>
        <w:jc w:val="both"/>
      </w:pPr>
      <w:bookmarkStart w:id="778" w:name="bookmark778"/>
      <w:bookmarkEnd w:id="778"/>
      <w:r>
        <w:rPr>
          <w:color w:val="000000"/>
          <w:spacing w:val="0"/>
          <w:w w:val="100"/>
          <w:position w:val="0"/>
        </w:rPr>
        <w:t>存货可变现净值的确定依据</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资产负债表日，存货采用成本与可变现净值孰低计量，按照单个存货成本高于可变现净值的差额计提存货跌价准备。直接用 于出售的存货，在正常生产经营过程中以该存货的估计售价减去估计的销售费用和相关税费后的金额确定其可变现净值；需 要经过加工的存货，在正常生产经营过程中以所生产的产成品的估计售价减去至完工时估计将要发生的成本、估计的销售费 用和相关税费后的金额确定其可变现净值；资产负债表日，同一项存货中一部分有合同价格约定、其他部分不存在合同价格 的，分别确定其可变现净值，并与其对应的成本进行比较，分别确定存货跌价准备的计提或转回的金额。</w:t>
      </w:r>
    </w:p>
    <w:p>
      <w:pPr>
        <w:pStyle w:val="Style29"/>
        <w:keepNext w:val="0"/>
        <w:keepLines w:val="0"/>
        <w:widowControl w:val="0"/>
        <w:numPr>
          <w:ilvl w:val="0"/>
          <w:numId w:val="19"/>
        </w:numPr>
        <w:shd w:val="clear" w:color="auto" w:fill="auto"/>
        <w:tabs>
          <w:tab w:pos="320" w:val="left"/>
        </w:tabs>
        <w:bidi w:val="0"/>
        <w:spacing w:before="0" w:after="0" w:line="311" w:lineRule="exact"/>
        <w:ind w:left="0" w:right="0" w:firstLine="0"/>
        <w:jc w:val="both"/>
      </w:pPr>
      <w:bookmarkStart w:id="779" w:name="bookmark779"/>
      <w:bookmarkEnd w:id="779"/>
      <w:r>
        <w:rPr>
          <w:color w:val="000000"/>
          <w:spacing w:val="0"/>
          <w:w w:val="100"/>
          <w:position w:val="0"/>
        </w:rPr>
        <w:t>存货的盘存制度</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存货的盘存制度为永续盘存制。</w:t>
      </w:r>
    </w:p>
    <w:p>
      <w:pPr>
        <w:pStyle w:val="Style29"/>
        <w:keepNext w:val="0"/>
        <w:keepLines w:val="0"/>
        <w:widowControl w:val="0"/>
        <w:numPr>
          <w:ilvl w:val="0"/>
          <w:numId w:val="19"/>
        </w:numPr>
        <w:shd w:val="clear" w:color="auto" w:fill="auto"/>
        <w:tabs>
          <w:tab w:pos="320" w:val="left"/>
        </w:tabs>
        <w:bidi w:val="0"/>
        <w:spacing w:before="0" w:after="80" w:line="311" w:lineRule="exact"/>
        <w:ind w:left="0" w:right="0" w:firstLine="0"/>
        <w:jc w:val="both"/>
      </w:pPr>
      <w:bookmarkStart w:id="780" w:name="bookmark780"/>
      <w:bookmarkEnd w:id="780"/>
      <w:r>
        <w:rPr>
          <w:color w:val="000000"/>
          <w:spacing w:val="0"/>
          <w:w w:val="100"/>
          <w:position w:val="0"/>
        </w:rPr>
        <w:t>低值易耗品和包装物的摊销方法</w:t>
      </w:r>
    </w:p>
    <w:p>
      <w:pPr>
        <w:pStyle w:val="Style29"/>
        <w:keepNext w:val="0"/>
        <w:keepLines w:val="0"/>
        <w:widowControl w:val="0"/>
        <w:numPr>
          <w:ilvl w:val="0"/>
          <w:numId w:val="21"/>
        </w:numPr>
        <w:shd w:val="clear" w:color="auto" w:fill="auto"/>
        <w:tabs>
          <w:tab w:pos="402" w:val="left"/>
        </w:tabs>
        <w:bidi w:val="0"/>
        <w:spacing w:before="0" w:after="0"/>
        <w:ind w:left="0" w:right="0" w:firstLine="0"/>
        <w:jc w:val="both"/>
      </w:pPr>
      <w:bookmarkStart w:id="781" w:name="bookmark781"/>
      <w:bookmarkEnd w:id="781"/>
      <w:r>
        <w:rPr>
          <w:color w:val="000000"/>
          <w:spacing w:val="0"/>
          <w:w w:val="100"/>
          <w:position w:val="0"/>
        </w:rPr>
        <w:t>低值易耗品</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按照一次转销法进行摊销。</w:t>
      </w:r>
    </w:p>
    <w:p>
      <w:pPr>
        <w:pStyle w:val="Style29"/>
        <w:keepNext w:val="0"/>
        <w:keepLines w:val="0"/>
        <w:widowControl w:val="0"/>
        <w:numPr>
          <w:ilvl w:val="0"/>
          <w:numId w:val="21"/>
        </w:numPr>
        <w:shd w:val="clear" w:color="auto" w:fill="auto"/>
        <w:tabs>
          <w:tab w:pos="402" w:val="left"/>
        </w:tabs>
        <w:bidi w:val="0"/>
        <w:spacing w:before="0" w:after="0"/>
        <w:ind w:left="0" w:right="0" w:firstLine="0"/>
        <w:jc w:val="both"/>
      </w:pPr>
      <w:bookmarkStart w:id="782" w:name="bookmark782"/>
      <w:bookmarkEnd w:id="782"/>
      <w:r>
        <w:rPr>
          <w:color w:val="000000"/>
          <w:spacing w:val="0"/>
          <w:w w:val="100"/>
          <w:position w:val="0"/>
        </w:rPr>
        <w:t>包装物</w:t>
      </w:r>
    </w:p>
    <w:p>
      <w:pPr>
        <w:pStyle w:val="Style29"/>
        <w:keepNext w:val="0"/>
        <w:keepLines w:val="0"/>
        <w:widowControl w:val="0"/>
        <w:shd w:val="clear" w:color="auto" w:fill="auto"/>
        <w:bidi w:val="0"/>
        <w:spacing w:before="0" w:after="360" w:line="311" w:lineRule="exact"/>
        <w:ind w:left="0" w:right="0"/>
        <w:jc w:val="left"/>
      </w:pPr>
      <w:r>
        <w:rPr>
          <w:color w:val="000000"/>
          <w:spacing w:val="0"/>
          <w:w w:val="100"/>
          <w:position w:val="0"/>
        </w:rPr>
        <w:t>按照一次转销法进行摊销。</w:t>
      </w:r>
    </w:p>
    <w:p>
      <w:pPr>
        <w:pStyle w:val="Style35"/>
        <w:keepNext/>
        <w:keepLines/>
        <w:widowControl w:val="0"/>
        <w:shd w:val="clear" w:color="auto" w:fill="auto"/>
        <w:tabs>
          <w:tab w:pos="474"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83"/>
      <w:bookmarkEnd w:id="784"/>
      <w:bookmarkEnd w:id="786"/>
    </w:p>
    <w:p>
      <w:pPr>
        <w:pStyle w:val="Style29"/>
        <w:keepNext w:val="0"/>
        <w:keepLines w:val="0"/>
        <w:widowControl w:val="0"/>
        <w:numPr>
          <w:ilvl w:val="0"/>
          <w:numId w:val="23"/>
        </w:numPr>
        <w:shd w:val="clear" w:color="auto" w:fill="auto"/>
        <w:tabs>
          <w:tab w:pos="301" w:val="left"/>
        </w:tabs>
        <w:bidi w:val="0"/>
        <w:spacing w:before="0" w:after="0" w:line="312" w:lineRule="exact"/>
        <w:ind w:left="0" w:right="0" w:firstLine="0"/>
        <w:jc w:val="left"/>
      </w:pPr>
      <w:bookmarkStart w:id="787" w:name="bookmark787"/>
      <w:bookmarkEnd w:id="787"/>
      <w:r>
        <w:rPr>
          <w:color w:val="000000"/>
          <w:spacing w:val="0"/>
          <w:w w:val="100"/>
          <w:position w:val="0"/>
        </w:rPr>
        <w:t>共同控制、重要影响的判断</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按照相关约定对某项安排存在共有的控制，并且该安排的相关活动必须经过分享控制权的参与方一致同意后才能决策，认定 为共同控制。对被投资单位的财务和经营政策有参与决策的权力，但并不能够控制或者与其他方一起共同控制这些政策的制 定，认定为重大影响。</w:t>
      </w:r>
    </w:p>
    <w:p>
      <w:pPr>
        <w:pStyle w:val="Style29"/>
        <w:keepNext w:val="0"/>
        <w:keepLines w:val="0"/>
        <w:widowControl w:val="0"/>
        <w:numPr>
          <w:ilvl w:val="0"/>
          <w:numId w:val="23"/>
        </w:numPr>
        <w:shd w:val="clear" w:color="auto" w:fill="auto"/>
        <w:tabs>
          <w:tab w:pos="320" w:val="left"/>
        </w:tabs>
        <w:bidi w:val="0"/>
        <w:spacing w:before="0" w:after="0" w:line="312" w:lineRule="exact"/>
        <w:ind w:left="0" w:right="0" w:firstLine="0"/>
        <w:jc w:val="left"/>
      </w:pPr>
      <w:bookmarkStart w:id="788" w:name="bookmark788"/>
      <w:bookmarkEnd w:id="788"/>
      <w:r>
        <w:rPr>
          <w:color w:val="000000"/>
          <w:spacing w:val="0"/>
          <w:w w:val="100"/>
          <w:position w:val="0"/>
        </w:rPr>
        <w:t>投资成本的确定</w:t>
      </w:r>
    </w:p>
    <w:p>
      <w:pPr>
        <w:pStyle w:val="Style29"/>
        <w:keepNext w:val="0"/>
        <w:keepLines w:val="0"/>
        <w:widowControl w:val="0"/>
        <w:numPr>
          <w:ilvl w:val="0"/>
          <w:numId w:val="25"/>
        </w:numPr>
        <w:shd w:val="clear" w:color="auto" w:fill="auto"/>
        <w:tabs>
          <w:tab w:pos="402" w:val="left"/>
        </w:tabs>
        <w:bidi w:val="0"/>
        <w:spacing w:before="0" w:after="0" w:line="312" w:lineRule="exact"/>
        <w:ind w:left="0" w:right="0" w:firstLine="0"/>
        <w:jc w:val="left"/>
      </w:pPr>
      <w:bookmarkStart w:id="789" w:name="bookmark789"/>
      <w:bookmarkEnd w:id="789"/>
      <w:r>
        <w:rPr>
          <w:color w:val="000000"/>
          <w:spacing w:val="0"/>
          <w:w w:val="100"/>
          <w:position w:val="0"/>
        </w:rPr>
        <w:t>同一控制下的企业合并形成的，合并方以支付现金、转让非现金资产、承担债务或发行权益性证券作为合并对价的，在 合并日按照取得被合并方所有者权益在最终控制方合并财务报表中的账面价值的份额作为其初始投资成本。长期股权投资初 始投资成本与支付的合并对价的账面价值或发行股份的面值总额之间的差额调整资本公积；资本公积不足冲减的，调整留存 收益。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的，在合并日，根据合并后应享有被合并方净资 产在最终控制方合并财务报表中的账面价值的份额确定初始投资成本。合并日长期股权投资的初始投资成本，与达到合并前 的长期股权投资账面价值加上合并日进一步取得股份新支付对价的账面价值之和的差额，调整资本公积；资本公积不足冲减 的，调整留存收益。</w:t>
      </w:r>
    </w:p>
    <w:p>
      <w:pPr>
        <w:pStyle w:val="Style29"/>
        <w:keepNext w:val="0"/>
        <w:keepLines w:val="0"/>
        <w:widowControl w:val="0"/>
        <w:numPr>
          <w:ilvl w:val="0"/>
          <w:numId w:val="25"/>
        </w:numPr>
        <w:shd w:val="clear" w:color="auto" w:fill="auto"/>
        <w:tabs>
          <w:tab w:pos="402" w:val="left"/>
        </w:tabs>
        <w:bidi w:val="0"/>
        <w:spacing w:before="0" w:after="0" w:line="312" w:lineRule="exact"/>
        <w:ind w:left="0" w:right="0" w:firstLine="0"/>
        <w:jc w:val="left"/>
      </w:pPr>
      <w:bookmarkStart w:id="790" w:name="bookmark790"/>
      <w:bookmarkEnd w:id="790"/>
      <w:r>
        <w:rPr>
          <w:color w:val="000000"/>
          <w:spacing w:val="0"/>
          <w:w w:val="100"/>
          <w:position w:val="0"/>
        </w:rPr>
        <w:t>非同一控制下的企业合并形成的，在购买日按照支付的合并对价的公允价值作为其初始投资成本。</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公司通过多次交易分步实现非同一控制下企业合并形成的长期股权投资，区分个别财务报表和合并财务报表进行相关会计处 理：</w:t>
      </w:r>
    </w:p>
    <w:p>
      <w:pPr>
        <w:pStyle w:val="Style29"/>
        <w:keepNext w:val="0"/>
        <w:keepLines w:val="0"/>
        <w:widowControl w:val="0"/>
        <w:numPr>
          <w:ilvl w:val="0"/>
          <w:numId w:val="27"/>
        </w:numPr>
        <w:shd w:val="clear" w:color="auto" w:fill="auto"/>
        <w:tabs>
          <w:tab w:pos="330" w:val="left"/>
        </w:tabs>
        <w:bidi w:val="0"/>
        <w:spacing w:before="0" w:after="0" w:line="312" w:lineRule="exact"/>
        <w:ind w:left="0" w:right="0" w:firstLine="0"/>
        <w:jc w:val="left"/>
      </w:pPr>
      <w:bookmarkStart w:id="791" w:name="bookmark791"/>
      <w:bookmarkEnd w:id="791"/>
      <w:r>
        <w:rPr>
          <w:color w:val="000000"/>
          <w:spacing w:val="0"/>
          <w:w w:val="100"/>
          <w:position w:val="0"/>
        </w:rPr>
        <w:t>在个别财务报表中，按照原持有的股权投资的账面价值加上新增投资成本之和，作为改按成本法核算的初始投资成本。</w:t>
      </w:r>
    </w:p>
    <w:p>
      <w:pPr>
        <w:pStyle w:val="Style29"/>
        <w:keepNext w:val="0"/>
        <w:keepLines w:val="0"/>
        <w:widowControl w:val="0"/>
        <w:numPr>
          <w:ilvl w:val="0"/>
          <w:numId w:val="27"/>
        </w:numPr>
        <w:shd w:val="clear" w:color="auto" w:fill="auto"/>
        <w:tabs>
          <w:tab w:pos="349" w:val="left"/>
        </w:tabs>
        <w:bidi w:val="0"/>
        <w:spacing w:before="0" w:after="0" w:line="312" w:lineRule="exact"/>
        <w:ind w:left="0" w:right="0" w:firstLine="0"/>
        <w:jc w:val="left"/>
      </w:pPr>
      <w:bookmarkStart w:id="792" w:name="bookmark792"/>
      <w:bookmarkEnd w:id="792"/>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的，把各项交易作为一项取得控制权的交易进行会 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的，对于购买日之前持有的被购买方的股权，按照该股权在购买日的公允价值进行重新计量， </w:t>
      </w:r>
      <w:r>
        <w:rPr>
          <w:color w:val="000000"/>
          <w:spacing w:val="0"/>
          <w:w w:val="100"/>
          <w:position w:val="0"/>
        </w:rPr>
        <w:t>公允价值与其账面价值的差额计入当期投资收益；购买日之前持有的被购买方的股权涉及权益法核算下的其他综合收益等 的，与其相关的其他综合收益等转为购买日所属当期收益。但由于被投资方重新计量设定受益计划净负债或净资产变动而产 生的其他综合收益除外。</w:t>
      </w:r>
    </w:p>
    <w:p>
      <w:pPr>
        <w:pStyle w:val="Style29"/>
        <w:keepNext w:val="0"/>
        <w:keepLines w:val="0"/>
        <w:widowControl w:val="0"/>
        <w:numPr>
          <w:ilvl w:val="0"/>
          <w:numId w:val="25"/>
        </w:numPr>
        <w:shd w:val="clear" w:color="auto" w:fill="auto"/>
        <w:bidi w:val="0"/>
        <w:spacing w:before="0" w:after="80" w:line="310" w:lineRule="exact"/>
        <w:ind w:left="0" w:right="0" w:firstLine="0"/>
        <w:jc w:val="both"/>
      </w:pPr>
      <w:bookmarkStart w:id="793" w:name="bookmark793"/>
      <w:bookmarkEnd w:id="793"/>
      <w:r>
        <w:rPr>
          <w:color w:val="000000"/>
          <w:spacing w:val="0"/>
          <w:w w:val="100"/>
          <w:position w:val="0"/>
        </w:rPr>
        <w:t>除企业合并形成以外的：以支付现金取得的，按照实际支付的购买价款作为其初始投资成本；以发行权益性证券取得的, 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 定其初始投资成本；以非货币性资产交换取得的，按《企业会计准则第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29"/>
        <w:keepNext w:val="0"/>
        <w:keepLines w:val="0"/>
        <w:widowControl w:val="0"/>
        <w:numPr>
          <w:ilvl w:val="0"/>
          <w:numId w:val="23"/>
        </w:numPr>
        <w:shd w:val="clear" w:color="auto" w:fill="auto"/>
        <w:tabs>
          <w:tab w:pos="310" w:val="left"/>
        </w:tabs>
        <w:bidi w:val="0"/>
        <w:spacing w:before="0" w:after="0"/>
        <w:ind w:left="0" w:right="0" w:firstLine="0"/>
        <w:jc w:val="both"/>
      </w:pPr>
      <w:bookmarkStart w:id="794" w:name="bookmark794"/>
      <w:bookmarkEnd w:id="794"/>
      <w:r>
        <w:rPr>
          <w:color w:val="000000"/>
          <w:spacing w:val="0"/>
          <w:w w:val="100"/>
          <w:position w:val="0"/>
        </w:rPr>
        <w:t>后续计量及损益确认方法</w:t>
      </w:r>
    </w:p>
    <w:p>
      <w:pPr>
        <w:pStyle w:val="Style29"/>
        <w:keepNext w:val="0"/>
        <w:keepLines w:val="0"/>
        <w:widowControl w:val="0"/>
        <w:shd w:val="clear" w:color="auto" w:fill="auto"/>
        <w:bidi w:val="0"/>
        <w:spacing w:before="0" w:after="80" w:line="310" w:lineRule="exact"/>
        <w:ind w:left="0" w:right="0" w:firstLine="0"/>
        <w:jc w:val="both"/>
      </w:pPr>
      <w:r>
        <w:rPr>
          <w:color w:val="000000"/>
          <w:spacing w:val="0"/>
          <w:w w:val="100"/>
          <w:position w:val="0"/>
        </w:rPr>
        <w:t>对被投资单位实施控制的长期股权投资采用成本法核算；对联营企业和合营企业的长期股权投资，采用权益法核算。</w:t>
      </w:r>
    </w:p>
    <w:p>
      <w:pPr>
        <w:pStyle w:val="Style29"/>
        <w:keepNext w:val="0"/>
        <w:keepLines w:val="0"/>
        <w:widowControl w:val="0"/>
        <w:numPr>
          <w:ilvl w:val="0"/>
          <w:numId w:val="23"/>
        </w:numPr>
        <w:shd w:val="clear" w:color="auto" w:fill="auto"/>
        <w:tabs>
          <w:tab w:pos="320" w:val="left"/>
        </w:tabs>
        <w:bidi w:val="0"/>
        <w:spacing w:before="0" w:after="0"/>
        <w:ind w:left="0" w:right="0" w:firstLine="0"/>
        <w:jc w:val="both"/>
      </w:pPr>
      <w:bookmarkStart w:id="795" w:name="bookmark795"/>
      <w:bookmarkEnd w:id="795"/>
      <w:r>
        <w:rPr>
          <w:color w:val="000000"/>
          <w:spacing w:val="0"/>
          <w:w w:val="100"/>
          <w:position w:val="0"/>
        </w:rPr>
        <w:t>通过多次交易分步处置对子公司投资至丧失控制权的处理方法</w:t>
      </w:r>
    </w:p>
    <w:p>
      <w:pPr>
        <w:pStyle w:val="Style29"/>
        <w:keepNext w:val="0"/>
        <w:keepLines w:val="0"/>
        <w:widowControl w:val="0"/>
        <w:numPr>
          <w:ilvl w:val="0"/>
          <w:numId w:val="29"/>
        </w:numPr>
        <w:shd w:val="clear" w:color="auto" w:fill="auto"/>
        <w:tabs>
          <w:tab w:pos="402" w:val="left"/>
        </w:tabs>
        <w:bidi w:val="0"/>
        <w:spacing w:before="0" w:after="0"/>
        <w:ind w:left="0" w:right="0" w:firstLine="0"/>
        <w:jc w:val="both"/>
      </w:pPr>
      <w:bookmarkStart w:id="796" w:name="bookmark796"/>
      <w:bookmarkEnd w:id="796"/>
      <w:r>
        <w:rPr>
          <w:color w:val="000000"/>
          <w:spacing w:val="0"/>
          <w:w w:val="100"/>
          <w:position w:val="0"/>
        </w:rPr>
        <w:t>个别财务报表</w:t>
      </w:r>
    </w:p>
    <w:p>
      <w:pPr>
        <w:pStyle w:val="Style29"/>
        <w:keepNext w:val="0"/>
        <w:keepLines w:val="0"/>
        <w:widowControl w:val="0"/>
        <w:shd w:val="clear" w:color="auto" w:fill="auto"/>
        <w:bidi w:val="0"/>
        <w:spacing w:before="0" w:after="80" w:line="310" w:lineRule="exact"/>
        <w:ind w:left="0" w:right="0" w:firstLine="0"/>
        <w:jc w:val="both"/>
      </w:pPr>
      <w:r>
        <w:rPr>
          <w:color w:val="000000"/>
          <w:spacing w:val="0"/>
          <w:w w:val="100"/>
          <w:position w:val="0"/>
        </w:rPr>
        <w:t>对处置的股权，其账面价值与实际取得价款之间的差额，计入当期损益。对于剩余股权，对被投资单位仍具有重大影响或者 与其他方一起实施共同控制的，转为权益法核算；不能再对被投资单位实施控制、共同控制或重大影响的，确认为金融资产, 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号——金融工具确认和计量》的相关规定进行核算。</w:t>
      </w:r>
    </w:p>
    <w:p>
      <w:pPr>
        <w:pStyle w:val="Style29"/>
        <w:keepNext w:val="0"/>
        <w:keepLines w:val="0"/>
        <w:widowControl w:val="0"/>
        <w:numPr>
          <w:ilvl w:val="0"/>
          <w:numId w:val="29"/>
        </w:numPr>
        <w:shd w:val="clear" w:color="auto" w:fill="auto"/>
        <w:tabs>
          <w:tab w:pos="402" w:val="left"/>
        </w:tabs>
        <w:bidi w:val="0"/>
        <w:spacing w:before="0" w:after="0"/>
        <w:ind w:left="0" w:right="0" w:firstLine="0"/>
        <w:jc w:val="both"/>
      </w:pPr>
      <w:bookmarkStart w:id="797" w:name="bookmark797"/>
      <w:bookmarkEnd w:id="797"/>
      <w:r>
        <w:rPr>
          <w:color w:val="000000"/>
          <w:spacing w:val="0"/>
          <w:w w:val="100"/>
          <w:position w:val="0"/>
        </w:rPr>
        <w:t>合并财务报表</w:t>
      </w:r>
    </w:p>
    <w:p>
      <w:pPr>
        <w:pStyle w:val="Style29"/>
        <w:keepNext w:val="0"/>
        <w:keepLines w:val="0"/>
        <w:widowControl w:val="0"/>
        <w:numPr>
          <w:ilvl w:val="0"/>
          <w:numId w:val="31"/>
        </w:numPr>
        <w:shd w:val="clear" w:color="auto" w:fill="auto"/>
        <w:tabs>
          <w:tab w:pos="330" w:val="left"/>
        </w:tabs>
        <w:bidi w:val="0"/>
        <w:spacing w:before="0" w:after="0"/>
        <w:ind w:left="0" w:right="0" w:firstLine="0"/>
        <w:jc w:val="both"/>
      </w:pPr>
      <w:bookmarkStart w:id="798" w:name="bookmark798"/>
      <w:bookmarkEnd w:id="798"/>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在丧失控制权之前，处置价款与处置长期股权投资相对应享有子公司自购买日或合并日开始持续计算的净资产份额之间的差 额，调整资本公积(资本溢价)，资本溢价不足冲减的，冲减留存收益。</w:t>
      </w:r>
    </w:p>
    <w:p>
      <w:pPr>
        <w:pStyle w:val="Style29"/>
        <w:keepNext w:val="0"/>
        <w:keepLines w:val="0"/>
        <w:widowControl w:val="0"/>
        <w:shd w:val="clear" w:color="auto" w:fill="auto"/>
        <w:bidi w:val="0"/>
        <w:spacing w:before="0" w:after="80" w:line="310" w:lineRule="exact"/>
        <w:ind w:left="0" w:right="0" w:firstLine="0"/>
        <w:jc w:val="both"/>
      </w:pPr>
      <w:r>
        <w:rPr>
          <w:color w:val="000000"/>
          <w:spacing w:val="0"/>
          <w:w w:val="100"/>
          <w:position w:val="0"/>
        </w:rPr>
        <w:t>丧失对原子公司控制权时，对于剩余股权，按照其在丧失控制权日的公允价值进行重新计量。处置股权取得的对价与剩余股 权公允价值之和，减去按原持股比例计算应享有原有子公司自购买日或合并日开始持续计算的净资产的份额之间的差额，计 入丧失控制权当期的投资收益，同时冲减商誉。与原有子公司股权投资相关的其他综合收益等，应当在丧失控制权时转为当 期投资收益。</w:t>
      </w:r>
    </w:p>
    <w:p>
      <w:pPr>
        <w:pStyle w:val="Style29"/>
        <w:keepNext w:val="0"/>
        <w:keepLines w:val="0"/>
        <w:widowControl w:val="0"/>
        <w:numPr>
          <w:ilvl w:val="0"/>
          <w:numId w:val="31"/>
        </w:numPr>
        <w:shd w:val="clear" w:color="auto" w:fill="auto"/>
        <w:tabs>
          <w:tab w:pos="349" w:val="left"/>
        </w:tabs>
        <w:bidi w:val="0"/>
        <w:spacing w:before="0" w:after="0"/>
        <w:ind w:left="0" w:right="0" w:firstLine="0"/>
        <w:jc w:val="both"/>
      </w:pPr>
      <w:bookmarkStart w:id="799" w:name="bookmark799"/>
      <w:bookmarkEnd w:id="799"/>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2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5"/>
        <w:keepNext/>
        <w:keepLines/>
        <w:widowControl w:val="0"/>
        <w:shd w:val="clear" w:color="auto" w:fill="auto"/>
        <w:tabs>
          <w:tab w:pos="474" w:val="left"/>
        </w:tabs>
        <w:bidi w:val="0"/>
        <w:spacing w:before="0" w:after="28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00"/>
      <w:bookmarkEnd w:id="801"/>
      <w:bookmarkEnd w:id="803"/>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80" w:line="310"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折旧或摊销方法</w:t>
      </w:r>
    </w:p>
    <w:p>
      <w:pPr>
        <w:pStyle w:val="Style29"/>
        <w:keepNext w:val="0"/>
        <w:keepLines w:val="0"/>
        <w:widowControl w:val="0"/>
        <w:numPr>
          <w:ilvl w:val="0"/>
          <w:numId w:val="33"/>
        </w:numPr>
        <w:shd w:val="clear" w:color="auto" w:fill="auto"/>
        <w:tabs>
          <w:tab w:pos="301" w:val="left"/>
        </w:tabs>
        <w:bidi w:val="0"/>
        <w:spacing w:before="0" w:after="0" w:line="374" w:lineRule="auto"/>
        <w:ind w:left="0" w:right="0" w:firstLine="0"/>
        <w:jc w:val="both"/>
      </w:pPr>
      <w:bookmarkStart w:id="804" w:name="bookmark804"/>
      <w:bookmarkEnd w:id="804"/>
      <w:r>
        <w:rPr>
          <w:color w:val="000000"/>
          <w:spacing w:val="0"/>
          <w:w w:val="100"/>
          <w:position w:val="0"/>
        </w:rPr>
        <w:t>投资性房地产包括已出租的土地使用权、持有并准备增值后转让的土地使用权和已出租的建筑物。</w:t>
      </w:r>
    </w:p>
    <w:p>
      <w:pPr>
        <w:pStyle w:val="Style29"/>
        <w:keepNext w:val="0"/>
        <w:keepLines w:val="0"/>
        <w:widowControl w:val="0"/>
        <w:numPr>
          <w:ilvl w:val="0"/>
          <w:numId w:val="33"/>
        </w:numPr>
        <w:shd w:val="clear" w:color="auto" w:fill="auto"/>
        <w:tabs>
          <w:tab w:pos="320" w:val="left"/>
        </w:tabs>
        <w:bidi w:val="0"/>
        <w:spacing w:before="0" w:after="360" w:line="322" w:lineRule="exact"/>
        <w:ind w:left="0" w:right="0" w:firstLine="0"/>
        <w:jc w:val="both"/>
      </w:pPr>
      <w:bookmarkStart w:id="805" w:name="bookmark805"/>
      <w:bookmarkEnd w:id="805"/>
      <w:r>
        <w:rPr>
          <w:color w:val="000000"/>
          <w:spacing w:val="0"/>
          <w:w w:val="100"/>
          <w:position w:val="0"/>
        </w:rPr>
        <w:t>投资性房地产按照成本进行初始计量，采用成本模式进行后续计量，并采用与固定资产和无形资产相同的方法计提折旧 或进行摊销。</w:t>
      </w:r>
    </w:p>
    <w:p>
      <w:pPr>
        <w:pStyle w:val="Style35"/>
        <w:keepNext/>
        <w:keepLines/>
        <w:widowControl w:val="0"/>
        <w:shd w:val="clear" w:color="auto" w:fill="auto"/>
        <w:tabs>
          <w:tab w:pos="474" w:val="left"/>
        </w:tabs>
        <w:bidi w:val="0"/>
        <w:spacing w:before="0" w:after="36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06"/>
      <w:bookmarkEnd w:id="807"/>
      <w:bookmarkEnd w:id="809"/>
    </w:p>
    <w:p>
      <w:pPr>
        <w:pStyle w:val="Style35"/>
        <w:keepNext/>
        <w:keepLines/>
        <w:widowControl w:val="0"/>
        <w:numPr>
          <w:ilvl w:val="0"/>
          <w:numId w:val="35"/>
        </w:numPr>
        <w:shd w:val="clear" w:color="auto" w:fill="auto"/>
        <w:bidi w:val="0"/>
        <w:spacing w:before="0" w:after="280" w:line="240" w:lineRule="auto"/>
        <w:ind w:left="0" w:right="0" w:firstLine="0"/>
        <w:jc w:val="both"/>
      </w:pPr>
      <w:bookmarkStart w:id="806" w:name="bookmark806"/>
      <w:bookmarkStart w:id="807" w:name="bookmark807"/>
      <w:bookmarkStart w:id="810" w:name="bookmark810"/>
      <w:bookmarkStart w:id="811" w:name="bookmark811"/>
      <w:bookmarkEnd w:id="810"/>
      <w:r>
        <w:rPr>
          <w:color w:val="000000"/>
          <w:spacing w:val="0"/>
          <w:w w:val="100"/>
          <w:position w:val="0"/>
        </w:rPr>
        <w:t>确认条件</w:t>
      </w:r>
      <w:bookmarkEnd w:id="806"/>
      <w:bookmarkEnd w:id="807"/>
      <w:bookmarkEnd w:id="811"/>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35"/>
        <w:keepNext/>
        <w:keepLines/>
        <w:widowControl w:val="0"/>
        <w:shd w:val="clear" w:color="auto" w:fill="auto"/>
        <w:bidi w:val="0"/>
        <w:spacing w:before="0" w:line="240" w:lineRule="auto"/>
        <w:ind w:left="0" w:right="0" w:firstLine="14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w:t>
      </w:r>
      <w:bookmarkEnd w:id="81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2"/>
      <w:bookmarkEnd w:id="813"/>
      <w:bookmarkEnd w:id="815"/>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6"/>
      <w:bookmarkEnd w:id="817"/>
      <w:bookmarkEnd w:id="819"/>
    </w:p>
    <w:p>
      <w:pPr>
        <w:pStyle w:val="Style35"/>
        <w:keepNext/>
        <w:keepLines/>
        <w:widowControl w:val="0"/>
        <w:shd w:val="clear" w:color="auto" w:fill="auto"/>
        <w:tabs>
          <w:tab w:pos="474" w:val="left"/>
        </w:tabs>
        <w:bidi w:val="0"/>
        <w:spacing w:before="0" w:after="260" w:line="240" w:lineRule="auto"/>
        <w:ind w:left="0" w:right="0" w:firstLine="0"/>
        <w:jc w:val="both"/>
      </w:pPr>
      <w:bookmarkStart w:id="816" w:name="bookmark816"/>
      <w:bookmarkStart w:id="817" w:name="bookmark817"/>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16"/>
      <w:bookmarkEnd w:id="817"/>
      <w:bookmarkEnd w:id="821"/>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否</w:t>
      </w:r>
    </w:p>
    <w:p>
      <w:pPr>
        <w:pStyle w:val="Style29"/>
        <w:keepNext w:val="0"/>
        <w:keepLines w:val="0"/>
        <w:widowControl w:val="0"/>
        <w:numPr>
          <w:ilvl w:val="0"/>
          <w:numId w:val="37"/>
        </w:numPr>
        <w:shd w:val="clear" w:color="auto" w:fill="auto"/>
        <w:tabs>
          <w:tab w:pos="310" w:val="left"/>
        </w:tabs>
        <w:bidi w:val="0"/>
        <w:spacing w:before="0" w:after="0" w:line="319" w:lineRule="exact"/>
        <w:ind w:left="0" w:right="0" w:firstLine="0"/>
        <w:jc w:val="both"/>
      </w:pPr>
      <w:bookmarkStart w:id="822" w:name="bookmark822"/>
      <w:bookmarkEnd w:id="822"/>
      <w:r>
        <w:rPr>
          <w:color w:val="000000"/>
          <w:spacing w:val="0"/>
          <w:w w:val="100"/>
          <w:position w:val="0"/>
        </w:rPr>
        <w:t>在建工程同时满足经济利益很可能流入、成本能够可靠计量则予以确认。在建工程按建造该项资产达到预定可使用状态 前所发生的实际成本计量。</w:t>
      </w:r>
    </w:p>
    <w:p>
      <w:pPr>
        <w:pStyle w:val="Style29"/>
        <w:keepNext w:val="0"/>
        <w:keepLines w:val="0"/>
        <w:widowControl w:val="0"/>
        <w:numPr>
          <w:ilvl w:val="0"/>
          <w:numId w:val="37"/>
        </w:numPr>
        <w:shd w:val="clear" w:color="auto" w:fill="auto"/>
        <w:tabs>
          <w:tab w:pos="320" w:val="left"/>
        </w:tabs>
        <w:bidi w:val="0"/>
        <w:spacing w:before="0" w:after="340" w:line="319" w:lineRule="exact"/>
        <w:ind w:left="0" w:right="0" w:firstLine="0"/>
        <w:jc w:val="both"/>
      </w:pPr>
      <w:bookmarkStart w:id="823" w:name="bookmark823"/>
      <w:bookmarkEnd w:id="823"/>
      <w:r>
        <w:rPr>
          <w:color w:val="000000"/>
          <w:spacing w:val="0"/>
          <w:w w:val="100"/>
          <w:position w:val="0"/>
        </w:rPr>
        <w:t>在建工程达到预定可使用状态时，按工程实际成本转入固定资产。已达到预定可使用状态但尚未办理竣工决算的，先按 估计价值转入固定资产，待办理竣工决算后再按实际成本调整原暂估价值，但不再调整原已计提的折旧。</w:t>
      </w:r>
    </w:p>
    <w:p>
      <w:pPr>
        <w:pStyle w:val="Style35"/>
        <w:keepNext/>
        <w:keepLines/>
        <w:widowControl w:val="0"/>
        <w:shd w:val="clear" w:color="auto" w:fill="auto"/>
        <w:tabs>
          <w:tab w:pos="474" w:val="left"/>
        </w:tabs>
        <w:bidi w:val="0"/>
        <w:spacing w:before="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24"/>
      <w:bookmarkEnd w:id="825"/>
      <w:bookmarkEnd w:id="827"/>
    </w:p>
    <w:p>
      <w:pPr>
        <w:pStyle w:val="Style29"/>
        <w:keepNext w:val="0"/>
        <w:keepLines w:val="0"/>
        <w:widowControl w:val="0"/>
        <w:numPr>
          <w:ilvl w:val="0"/>
          <w:numId w:val="39"/>
        </w:numPr>
        <w:shd w:val="clear" w:color="auto" w:fill="auto"/>
        <w:tabs>
          <w:tab w:pos="301" w:val="left"/>
        </w:tabs>
        <w:bidi w:val="0"/>
        <w:spacing w:before="0" w:after="0"/>
        <w:ind w:left="0" w:right="0" w:firstLine="0"/>
        <w:jc w:val="both"/>
      </w:pPr>
      <w:bookmarkStart w:id="828" w:name="bookmark828"/>
      <w:bookmarkEnd w:id="828"/>
      <w:r>
        <w:rPr>
          <w:color w:val="000000"/>
          <w:spacing w:val="0"/>
          <w:w w:val="100"/>
          <w:position w:val="0"/>
        </w:rPr>
        <w:t>借款费用资本化的确认原则</w:t>
      </w:r>
    </w:p>
    <w:p>
      <w:pPr>
        <w:pStyle w:val="Style29"/>
        <w:keepNext w:val="0"/>
        <w:keepLines w:val="0"/>
        <w:widowControl w:val="0"/>
        <w:shd w:val="clear" w:color="auto" w:fill="auto"/>
        <w:bidi w:val="0"/>
        <w:spacing w:before="0" w:after="80" w:line="316"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费用，在发生时确认为费用，计入当期损益。</w:t>
      </w:r>
    </w:p>
    <w:p>
      <w:pPr>
        <w:pStyle w:val="Style29"/>
        <w:keepNext w:val="0"/>
        <w:keepLines w:val="0"/>
        <w:widowControl w:val="0"/>
        <w:numPr>
          <w:ilvl w:val="0"/>
          <w:numId w:val="39"/>
        </w:numPr>
        <w:shd w:val="clear" w:color="auto" w:fill="auto"/>
        <w:tabs>
          <w:tab w:pos="320" w:val="left"/>
        </w:tabs>
        <w:bidi w:val="0"/>
        <w:spacing w:before="0" w:after="0"/>
        <w:ind w:left="0" w:right="0" w:firstLine="0"/>
        <w:jc w:val="both"/>
      </w:pPr>
      <w:bookmarkStart w:id="829" w:name="bookmark829"/>
      <w:bookmarkEnd w:id="829"/>
      <w:r>
        <w:rPr>
          <w:color w:val="000000"/>
          <w:spacing w:val="0"/>
          <w:w w:val="100"/>
          <w:position w:val="0"/>
        </w:rPr>
        <w:t>借款费用资本化期间</w:t>
      </w:r>
    </w:p>
    <w:p>
      <w:pPr>
        <w:pStyle w:val="Style29"/>
        <w:keepNext w:val="0"/>
        <w:keepLines w:val="0"/>
        <w:widowControl w:val="0"/>
        <w:shd w:val="clear" w:color="auto" w:fill="auto"/>
        <w:tabs>
          <w:tab w:pos="402" w:val="left"/>
        </w:tabs>
        <w:bidi w:val="0"/>
        <w:spacing w:before="0" w:after="0" w:line="316" w:lineRule="exact"/>
        <w:ind w:left="0" w:right="0" w:firstLine="0"/>
        <w:jc w:val="both"/>
      </w:pPr>
      <w:bookmarkStart w:id="830" w:name="bookmark830"/>
      <w:r>
        <w:rPr>
          <w:rFonts w:ascii="Times New Roman" w:eastAsia="Times New Roman" w:hAnsi="Times New Roman" w:cs="Times New Roman"/>
          <w:color w:val="000000"/>
          <w:spacing w:val="0"/>
          <w:w w:val="100"/>
          <w:position w:val="0"/>
        </w:rPr>
        <w:t>（</w:t>
      </w:r>
      <w:bookmarkEnd w:id="830"/>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 使用或可销售状态所必要的购建或者生产活动已经开始。</w:t>
      </w:r>
    </w:p>
    <w:p>
      <w:pPr>
        <w:pStyle w:val="Style29"/>
        <w:keepNext w:val="0"/>
        <w:keepLines w:val="0"/>
        <w:widowControl w:val="0"/>
        <w:shd w:val="clear" w:color="auto" w:fill="auto"/>
        <w:tabs>
          <w:tab w:pos="402" w:val="left"/>
        </w:tabs>
        <w:bidi w:val="0"/>
        <w:spacing w:before="0" w:after="0" w:line="316" w:lineRule="exact"/>
        <w:ind w:left="0" w:right="0" w:firstLine="0"/>
        <w:jc w:val="both"/>
      </w:pPr>
      <w:bookmarkStart w:id="831" w:name="bookmark831"/>
      <w:r>
        <w:rPr>
          <w:rFonts w:ascii="Times New Roman" w:eastAsia="Times New Roman" w:hAnsi="Times New Roman" w:cs="Times New Roman"/>
          <w:color w:val="000000"/>
          <w:spacing w:val="0"/>
          <w:w w:val="100"/>
          <w:position w:val="0"/>
        </w:rPr>
        <w:t>（</w:t>
      </w:r>
      <w:bookmarkEnd w:id="831"/>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 化；中断期间发生的借款费用确认为当期费用，直至资产的购建或者生产活动重新开始。</w:t>
      </w:r>
    </w:p>
    <w:p>
      <w:pPr>
        <w:pStyle w:val="Style29"/>
        <w:keepNext w:val="0"/>
        <w:keepLines w:val="0"/>
        <w:widowControl w:val="0"/>
        <w:shd w:val="clear" w:color="auto" w:fill="auto"/>
        <w:tabs>
          <w:tab w:pos="402" w:val="left"/>
        </w:tabs>
        <w:bidi w:val="0"/>
        <w:spacing w:before="0" w:after="80" w:line="316" w:lineRule="exact"/>
        <w:ind w:left="0" w:right="0" w:firstLine="0"/>
        <w:jc w:val="both"/>
      </w:pPr>
      <w:bookmarkStart w:id="832" w:name="bookmark832"/>
      <w:r>
        <w:rPr>
          <w:rFonts w:ascii="Times New Roman" w:eastAsia="Times New Roman" w:hAnsi="Times New Roman" w:cs="Times New Roman"/>
          <w:color w:val="000000"/>
          <w:spacing w:val="0"/>
          <w:w w:val="100"/>
          <w:position w:val="0"/>
        </w:rPr>
        <w:t>（</w:t>
      </w:r>
      <w:bookmarkEnd w:id="832"/>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29"/>
        <w:keepNext w:val="0"/>
        <w:keepLines w:val="0"/>
        <w:widowControl w:val="0"/>
        <w:numPr>
          <w:ilvl w:val="0"/>
          <w:numId w:val="39"/>
        </w:numPr>
        <w:shd w:val="clear" w:color="auto" w:fill="auto"/>
        <w:tabs>
          <w:tab w:pos="320" w:val="left"/>
        </w:tabs>
        <w:bidi w:val="0"/>
        <w:spacing w:before="0" w:after="0"/>
        <w:ind w:left="0" w:right="0" w:firstLine="0"/>
        <w:jc w:val="both"/>
      </w:pPr>
      <w:bookmarkStart w:id="833" w:name="bookmark833"/>
      <w:bookmarkEnd w:id="833"/>
      <w:r>
        <w:rPr>
          <w:color w:val="000000"/>
          <w:spacing w:val="0"/>
          <w:w w:val="100"/>
          <w:position w:val="0"/>
        </w:rPr>
        <w:t>借款费用资本化率以及资本化金额</w:t>
      </w:r>
    </w:p>
    <w:p>
      <w:pPr>
        <w:pStyle w:val="Style29"/>
        <w:keepNext w:val="0"/>
        <w:keepLines w:val="0"/>
        <w:widowControl w:val="0"/>
        <w:shd w:val="clear" w:color="auto" w:fill="auto"/>
        <w:bidi w:val="0"/>
        <w:spacing w:before="0" w:after="340" w:line="316" w:lineRule="exact"/>
        <w:ind w:left="0" w:right="0" w:firstLine="0"/>
        <w:jc w:val="both"/>
      </w:pPr>
      <w:r>
        <w:rPr>
          <w:color w:val="000000"/>
          <w:spacing w:val="0"/>
          <w:w w:val="100"/>
          <w:position w:val="0"/>
        </w:rPr>
        <w:t>为购建或者生产符合资本化条件的资产而借入专门借款的，以专门借款当期实际发生的利息费用（包括按照实际利率法确定 的折价或溢价的摊销），减去将尚未动用的借款资金存入银行取得的利息收入或进行暂时性投资取得的投资收益后的金额，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资产支出加权平均数乘以占用一般借款的资本化率，计算确定一般借款应予资本化的利息金额。</w:t>
      </w:r>
    </w:p>
    <w:p>
      <w:pPr>
        <w:pStyle w:val="Style35"/>
        <w:keepNext/>
        <w:keepLines/>
        <w:widowControl w:val="0"/>
        <w:shd w:val="clear" w:color="auto" w:fill="auto"/>
        <w:tabs>
          <w:tab w:pos="474" w:val="left"/>
        </w:tabs>
        <w:bidi w:val="0"/>
        <w:spacing w:before="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834"/>
      <w:bookmarkEnd w:id="835"/>
      <w:bookmarkEnd w:id="837"/>
    </w:p>
    <w:p>
      <w:pPr>
        <w:pStyle w:val="Style35"/>
        <w:keepNext/>
        <w:keepLines/>
        <w:widowControl w:val="0"/>
        <w:shd w:val="clear" w:color="auto" w:fill="auto"/>
        <w:bidi w:val="0"/>
        <w:spacing w:before="0" w:after="260" w:line="240" w:lineRule="auto"/>
        <w:ind w:left="0" w:right="0" w:firstLine="0"/>
        <w:jc w:val="both"/>
      </w:pPr>
      <w:bookmarkStart w:id="834" w:name="bookmark834"/>
      <w:bookmarkStart w:id="835" w:name="bookmark835"/>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4"/>
      <w:bookmarkEnd w:id="835"/>
      <w:bookmarkEnd w:id="839"/>
    </w:p>
    <w:p>
      <w:pPr>
        <w:pStyle w:val="Style29"/>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公司是否需要遵守特殊行业的披露要求</w:t>
      </w:r>
    </w:p>
    <w:p>
      <w:pPr>
        <w:pStyle w:val="Style2"/>
        <w:keepNext w:val="0"/>
        <w:keepLines w:val="0"/>
        <w:widowControl w:val="0"/>
        <w:shd w:val="clear" w:color="auto" w:fill="auto"/>
        <w:bidi w:val="0"/>
        <w:spacing w:before="0" w:after="140" w:line="240" w:lineRule="auto"/>
        <w:ind w:left="0" w:right="0" w:firstLine="0"/>
        <w:jc w:val="both"/>
        <w:rPr>
          <w:sz w:val="30"/>
          <w:szCs w:val="30"/>
        </w:rPr>
      </w:pPr>
      <w:r>
        <w:rPr>
          <w:b w:val="0"/>
          <w:bCs w:val="0"/>
          <w:color w:val="000000"/>
          <w:spacing w:val="0"/>
          <w:w w:val="100"/>
          <w:position w:val="0"/>
          <w:sz w:val="30"/>
          <w:szCs w:val="30"/>
          <w:vertAlign w:val="subscript"/>
        </w:rPr>
        <w:t>否</w:t>
      </w:r>
    </w:p>
    <w:p>
      <w:pPr>
        <w:pStyle w:val="Style29"/>
        <w:keepNext w:val="0"/>
        <w:keepLines w:val="0"/>
        <w:widowControl w:val="0"/>
        <w:numPr>
          <w:ilvl w:val="0"/>
          <w:numId w:val="41"/>
        </w:numPr>
        <w:shd w:val="clear" w:color="auto" w:fill="auto"/>
        <w:tabs>
          <w:tab w:pos="301" w:val="left"/>
        </w:tabs>
        <w:bidi w:val="0"/>
        <w:spacing w:before="0" w:after="0" w:line="316" w:lineRule="exact"/>
        <w:ind w:left="0" w:right="0" w:firstLine="0"/>
        <w:jc w:val="both"/>
      </w:pPr>
      <w:bookmarkStart w:id="840" w:name="bookmark840"/>
      <w:bookmarkEnd w:id="840"/>
      <w:r>
        <w:rPr>
          <w:color w:val="000000"/>
          <w:spacing w:val="0"/>
          <w:w w:val="100"/>
          <w:position w:val="0"/>
        </w:rPr>
        <w:t>无形资产包括土地使用权、专利权及非专利技术等，按成本进行初始计量。</w:t>
      </w:r>
    </w:p>
    <w:p>
      <w:pPr>
        <w:pStyle w:val="Style29"/>
        <w:keepNext w:val="0"/>
        <w:keepLines w:val="0"/>
        <w:widowControl w:val="0"/>
        <w:numPr>
          <w:ilvl w:val="0"/>
          <w:numId w:val="41"/>
        </w:numPr>
        <w:shd w:val="clear" w:color="auto" w:fill="auto"/>
        <w:tabs>
          <w:tab w:pos="320" w:val="left"/>
        </w:tabs>
        <w:bidi w:val="0"/>
        <w:spacing w:before="0" w:after="300" w:line="316" w:lineRule="exact"/>
        <w:ind w:left="0" w:right="0" w:firstLine="0"/>
        <w:jc w:val="both"/>
      </w:pPr>
      <w:bookmarkStart w:id="841" w:name="bookmark841"/>
      <w:bookmarkEnd w:id="841"/>
      <w:r>
        <w:rPr>
          <w:color w:val="000000"/>
          <w:spacing w:val="0"/>
          <w:w w:val="100"/>
          <w:position w:val="0"/>
        </w:rPr>
        <w:t>使用寿命有限的无形资产，在使用寿命内按照与该项无形资产有关的经济利益的预期实现方式系统合理地摊销，无法可</w:t>
      </w:r>
    </w:p>
    <w:p>
      <w:pPr>
        <w:pStyle w:val="Style33"/>
        <w:keepNext w:val="0"/>
        <w:keepLines w:val="0"/>
        <w:widowControl w:val="0"/>
        <w:shd w:val="clear" w:color="auto" w:fill="auto"/>
        <w:bidi w:val="0"/>
        <w:spacing w:before="0" w:after="0" w:line="240" w:lineRule="auto"/>
        <w:ind w:left="91" w:right="0" w:firstLine="0"/>
        <w:jc w:val="left"/>
      </w:pPr>
      <w:r>
        <w:rPr>
          <w:color w:val="000000"/>
          <w:spacing w:val="0"/>
          <w:w w:val="100"/>
          <w:position w:val="0"/>
        </w:rPr>
        <w:t>靠确定预期实现方式的，采用直线法摊销。具体年限如下:</w:t>
      </w:r>
    </w:p>
    <w:tbl>
      <w:tblPr>
        <w:tblOverlap w:val="never"/>
        <w:jc w:val="center"/>
        <w:tblLayout w:type="fixed"/>
      </w:tblPr>
      <w:tblGrid>
        <w:gridCol w:w="4930"/>
        <w:gridCol w:w="4934"/>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摊销年限（年）</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r>
      <w:tr>
        <w:trPr>
          <w:trHeight w:val="32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项目管理软件</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bl>
    <w:p>
      <w:pPr>
        <w:pStyle w:val="Style35"/>
        <w:keepNext/>
        <w:keepLines/>
        <w:widowControl w:val="0"/>
        <w:shd w:val="clear" w:color="auto" w:fill="auto"/>
        <w:bidi w:val="0"/>
        <w:spacing w:before="0" w:after="0" w:line="240" w:lineRule="auto"/>
        <w:ind w:left="0" w:right="0" w:firstLine="22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2"/>
      <w:bookmarkEnd w:id="843"/>
      <w:bookmarkEnd w:id="845"/>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内部研究开发项目研究阶段的支出，于发生时计入当期损益。内部研究开发项目开发阶段的支出，同时满足下列条件的，确 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 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无形资产产生经济利益的方式，包括能够证明运用该无形资产生产的产品存在市场或无形资产自身存在市场，无 形资产将在内部使用的，能证明其有用性；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 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29"/>
        <w:keepNext w:val="0"/>
        <w:keepLines w:val="0"/>
        <w:widowControl w:val="0"/>
        <w:shd w:val="clear" w:color="auto" w:fill="auto"/>
        <w:tabs>
          <w:tab w:pos="430" w:val="left"/>
        </w:tabs>
        <w:bidi w:val="0"/>
        <w:spacing w:before="0" w:after="180"/>
        <w:ind w:left="0" w:right="0" w:firstLine="0"/>
        <w:jc w:val="both"/>
      </w:pPr>
      <w:bookmarkStart w:id="846" w:name="bookmark846"/>
      <w:r>
        <w:rPr>
          <w:rFonts w:ascii="Times New Roman" w:eastAsia="Times New Roman" w:hAnsi="Times New Roman" w:cs="Times New Roman"/>
          <w:b/>
          <w:bCs/>
          <w:color w:val="000000"/>
          <w:spacing w:val="0"/>
          <w:w w:val="100"/>
          <w:position w:val="0"/>
        </w:rPr>
        <w:t>1</w:t>
      </w:r>
      <w:bookmarkEnd w:id="84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长期资产减值</w:t>
      </w:r>
    </w:p>
    <w:p>
      <w:pPr>
        <w:pStyle w:val="Style2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对长期股权投资、采用成本模式计量的投资性房地产、固定资产、在建工程和使用寿命有限的无形资产等长期资产</w:t>
      </w:r>
      <w:r>
        <w:rPr>
          <w:color w:val="000000"/>
          <w:spacing w:val="0"/>
          <w:w w:val="100"/>
          <w:position w:val="0"/>
        </w:rPr>
        <w:t>，</w:t>
      </w:r>
      <w:r>
        <w:rPr>
          <w:color w:val="000000"/>
          <w:spacing w:val="0"/>
          <w:w w:val="100"/>
          <w:position w:val="0"/>
        </w:rPr>
        <w:t>在 资产负债表日有迹象表明发生减值的，估计其可收回金额。对因企业合并所形成的商誉和使用寿命不确定的无形资产，无论 是否存在减值迹象，每年都进行减值测试。商誉结合与其相关的资产组或者资产组组合进行减值测试。</w:t>
      </w:r>
    </w:p>
    <w:p>
      <w:pPr>
        <w:pStyle w:val="Style29"/>
        <w:keepNext w:val="0"/>
        <w:keepLines w:val="0"/>
        <w:widowControl w:val="0"/>
        <w:shd w:val="clear" w:color="auto" w:fill="auto"/>
        <w:bidi w:val="0"/>
        <w:spacing w:before="0" w:after="380" w:line="316" w:lineRule="exact"/>
        <w:ind w:left="0" w:right="0" w:firstLine="460"/>
        <w:jc w:val="both"/>
      </w:pPr>
      <w:r>
        <w:rPr>
          <w:color w:val="000000"/>
          <w:spacing w:val="0"/>
          <w:w w:val="100"/>
          <w:position w:val="0"/>
        </w:rPr>
        <w:t>若上述长期资产的可收回金额低于其账面价值的，按其差额确认资产减值准备并计入当期损益。</w:t>
      </w:r>
    </w:p>
    <w:p>
      <w:pPr>
        <w:pStyle w:val="Style29"/>
        <w:keepNext w:val="0"/>
        <w:keepLines w:val="0"/>
        <w:widowControl w:val="0"/>
        <w:shd w:val="clear" w:color="auto" w:fill="auto"/>
        <w:tabs>
          <w:tab w:pos="430" w:val="left"/>
        </w:tabs>
        <w:bidi w:val="0"/>
        <w:spacing w:before="0" w:after="180"/>
        <w:ind w:left="0" w:right="0" w:firstLine="0"/>
        <w:jc w:val="left"/>
      </w:pPr>
      <w:bookmarkStart w:id="847" w:name="bookmark847"/>
      <w:r>
        <w:rPr>
          <w:rFonts w:ascii="Times New Roman" w:eastAsia="Times New Roman" w:hAnsi="Times New Roman" w:cs="Times New Roman"/>
          <w:b/>
          <w:bCs/>
          <w:color w:val="000000"/>
          <w:spacing w:val="0"/>
          <w:w w:val="100"/>
          <w:position w:val="0"/>
        </w:rPr>
        <w:t>1</w:t>
      </w:r>
      <w:bookmarkEnd w:id="847"/>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长期待摊费用</w:t>
      </w:r>
    </w:p>
    <w:p>
      <w:pPr>
        <w:pStyle w:val="Style29"/>
        <w:keepNext w:val="0"/>
        <w:keepLines w:val="0"/>
        <w:widowControl w:val="0"/>
        <w:shd w:val="clear" w:color="auto" w:fill="auto"/>
        <w:bidi w:val="0"/>
        <w:spacing w:before="0" w:after="380" w:line="310" w:lineRule="exact"/>
        <w:ind w:left="0" w:right="0" w:firstLine="52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年）的各项费用。长期待摊费用按实际发生额入账，在受 益期或规定的期限内分期平均摊销。如果长期待摊的费用项目不能使以后会计期间受益则将尚未摊销的该项目的摊余价值全 部转入当期损益。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848"/>
      <w:bookmarkEnd w:id="849"/>
      <w:bookmarkEnd w:id="851"/>
    </w:p>
    <w:p>
      <w:pPr>
        <w:pStyle w:val="Style29"/>
        <w:keepNext w:val="0"/>
        <w:keepLines w:val="0"/>
        <w:widowControl w:val="0"/>
        <w:shd w:val="clear" w:color="auto" w:fill="auto"/>
        <w:tabs>
          <w:tab w:pos="450" w:val="left"/>
        </w:tabs>
        <w:bidi w:val="0"/>
        <w:spacing w:before="0" w:after="280" w:line="316" w:lineRule="exact"/>
        <w:ind w:left="0" w:right="0" w:firstLine="0"/>
        <w:jc w:val="both"/>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短期薪酬的会计处理方法</w:t>
      </w:r>
    </w:p>
    <w:p>
      <w:pPr>
        <w:pStyle w:val="Style29"/>
        <w:keepNext w:val="0"/>
        <w:keepLines w:val="0"/>
        <w:widowControl w:val="0"/>
        <w:shd w:val="clear" w:color="auto" w:fill="auto"/>
        <w:bidi w:val="0"/>
        <w:spacing w:before="0" w:after="280" w:line="316" w:lineRule="exact"/>
        <w:ind w:left="0" w:right="0" w:firstLine="0"/>
        <w:jc w:val="left"/>
      </w:pPr>
      <w:r>
        <w:rPr>
          <w:color w:val="000000"/>
          <w:spacing w:val="0"/>
          <w:w w:val="100"/>
          <w:position w:val="0"/>
        </w:rPr>
        <w:t>在职工为公司提供服务的会计期间，将实际发生的短期薪酬确认为负债，并计入当期损益或相关资产成本。</w:t>
      </w:r>
    </w:p>
    <w:p>
      <w:pPr>
        <w:pStyle w:val="Style29"/>
        <w:keepNext w:val="0"/>
        <w:keepLines w:val="0"/>
        <w:widowControl w:val="0"/>
        <w:shd w:val="clear" w:color="auto" w:fill="auto"/>
        <w:tabs>
          <w:tab w:pos="450" w:val="left"/>
        </w:tabs>
        <w:bidi w:val="0"/>
        <w:spacing w:before="0" w:after="280" w:line="316" w:lineRule="exact"/>
        <w:ind w:left="0" w:right="0" w:firstLine="0"/>
        <w:jc w:val="both"/>
      </w:pPr>
      <w:bookmarkStart w:id="853" w:name="bookmark853"/>
      <w:r>
        <w:rPr>
          <w:b/>
          <w:bCs/>
          <w:color w:val="000000"/>
          <w:spacing w:val="0"/>
          <w:w w:val="100"/>
          <w:position w:val="0"/>
        </w:rPr>
        <w:t>（</w:t>
      </w:r>
      <w:bookmarkEnd w:id="85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离职后福利的会计处理方法</w:t>
      </w:r>
    </w:p>
    <w:p>
      <w:pPr>
        <w:pStyle w:val="Style29"/>
        <w:keepNext w:val="0"/>
        <w:keepLines w:val="0"/>
        <w:widowControl w:val="0"/>
        <w:shd w:val="clear" w:color="auto" w:fill="auto"/>
        <w:bidi w:val="0"/>
        <w:spacing w:before="0" w:after="0" w:line="316" w:lineRule="exact"/>
        <w:ind w:left="0" w:right="0" w:firstLine="520"/>
        <w:jc w:val="both"/>
      </w:pPr>
      <w:r>
        <w:rPr>
          <w:color w:val="000000"/>
          <w:spacing w:val="0"/>
          <w:w w:val="100"/>
          <w:position w:val="0"/>
        </w:rPr>
        <w:t>离职后福利分为设定提存计划和设定受益计划。</w:t>
      </w:r>
    </w:p>
    <w:p>
      <w:pPr>
        <w:pStyle w:val="Style29"/>
        <w:keepNext w:val="0"/>
        <w:keepLines w:val="0"/>
        <w:widowControl w:val="0"/>
        <w:shd w:val="clear" w:color="auto" w:fill="auto"/>
        <w:tabs>
          <w:tab w:pos="819" w:val="left"/>
        </w:tabs>
        <w:bidi w:val="0"/>
        <w:spacing w:before="0" w:after="80" w:line="316" w:lineRule="exact"/>
        <w:ind w:left="0" w:right="0" w:firstLine="520"/>
        <w:jc w:val="both"/>
      </w:pPr>
      <w:bookmarkStart w:id="854" w:name="bookmark854"/>
      <w:r>
        <w:rPr>
          <w:rFonts w:ascii="Times New Roman" w:eastAsia="Times New Roman" w:hAnsi="Times New Roman" w:cs="Times New Roman"/>
          <w:color w:val="000000"/>
          <w:spacing w:val="0"/>
          <w:w w:val="100"/>
          <w:position w:val="0"/>
        </w:rPr>
        <w:t>（</w:t>
      </w:r>
      <w:bookmarkEnd w:id="854"/>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29"/>
        <w:keepNext w:val="0"/>
        <w:keepLines w:val="0"/>
        <w:widowControl w:val="0"/>
        <w:shd w:val="clear" w:color="auto" w:fill="auto"/>
        <w:tabs>
          <w:tab w:pos="926" w:val="left"/>
        </w:tabs>
        <w:bidi w:val="0"/>
        <w:spacing w:before="0" w:after="0"/>
        <w:ind w:left="0" w:right="0" w:firstLine="520"/>
        <w:jc w:val="both"/>
      </w:pPr>
      <w:bookmarkStart w:id="855" w:name="bookmark855"/>
      <w:r>
        <w:rPr>
          <w:rFonts w:ascii="Times New Roman" w:eastAsia="Times New Roman" w:hAnsi="Times New Roman" w:cs="Times New Roman"/>
          <w:color w:val="000000"/>
          <w:spacing w:val="0"/>
          <w:w w:val="100"/>
          <w:position w:val="0"/>
        </w:rPr>
        <w:t>（</w:t>
      </w:r>
      <w:bookmarkEnd w:id="855"/>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29"/>
        <w:keepNext w:val="0"/>
        <w:keepLines w:val="0"/>
        <w:widowControl w:val="0"/>
        <w:shd w:val="clear" w:color="auto" w:fill="auto"/>
        <w:tabs>
          <w:tab w:pos="757" w:val="left"/>
        </w:tabs>
        <w:bidi w:val="0"/>
        <w:spacing w:before="0" w:after="0" w:line="316" w:lineRule="exact"/>
        <w:ind w:left="0" w:right="0" w:firstLine="520"/>
        <w:jc w:val="both"/>
      </w:pPr>
      <w:bookmarkStart w:id="856" w:name="bookmark856"/>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9"/>
        <w:keepNext w:val="0"/>
        <w:keepLines w:val="0"/>
        <w:widowControl w:val="0"/>
        <w:shd w:val="clear" w:color="auto" w:fill="auto"/>
        <w:tabs>
          <w:tab w:pos="757" w:val="left"/>
        </w:tabs>
        <w:bidi w:val="0"/>
        <w:spacing w:before="0" w:after="0" w:line="316" w:lineRule="exact"/>
        <w:ind w:left="0" w:right="0" w:firstLine="520"/>
        <w:jc w:val="both"/>
      </w:pPr>
      <w:bookmarkStart w:id="857" w:name="bookmark857"/>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9"/>
        <w:keepNext w:val="0"/>
        <w:keepLines w:val="0"/>
        <w:widowControl w:val="0"/>
        <w:shd w:val="clear" w:color="auto" w:fill="auto"/>
        <w:bidi w:val="0"/>
        <w:spacing w:before="0" w:after="620" w:line="316" w:lineRule="exact"/>
        <w:ind w:left="0" w:right="0" w:firstLine="0"/>
        <w:jc w:val="both"/>
      </w:pPr>
      <w:bookmarkStart w:id="858" w:name="bookmark858"/>
      <w:r>
        <w:rPr>
          <w:rFonts w:ascii="Times New Roman" w:eastAsia="Times New Roman" w:hAnsi="Times New Roman" w:cs="Times New Roman"/>
          <w:color w:val="000000"/>
          <w:spacing w:val="0"/>
          <w:w w:val="100"/>
          <w:position w:val="0"/>
        </w:rPr>
        <w:t>3</w:t>
      </w:r>
      <w:bookmarkEnd w:id="858"/>
      <w:r>
        <w:rPr>
          <w:rFonts w:ascii="Times New Roman" w:eastAsia="Times New Roman" w:hAnsi="Times New Roman" w:cs="Times New Roman"/>
          <w:color w:val="000000"/>
          <w:spacing w:val="0"/>
          <w:w w:val="100"/>
          <w:position w:val="0"/>
        </w:rPr>
        <w:t>）</w:t>
      </w:r>
      <w:r>
        <w:rPr>
          <w:color w:val="000000"/>
          <w:spacing w:val="0"/>
          <w:w w:val="100"/>
          <w:position w:val="0"/>
        </w:rPr>
        <w:t xml:space="preserve">期末，将设定受益计划产生的职工薪酬成本确认为服务成本、设定受益计划净负债或净资产的利息净额以及重新计量设 定受益计划净负债或净资产所产生的变动等三部分，其中服务成本和设定受益计划净负债或净资产的利息净额计入当期损益 </w:t>
      </w:r>
      <w:r>
        <w:rPr>
          <w:color w:val="000000"/>
          <w:spacing w:val="0"/>
          <w:w w:val="100"/>
          <w:position w:val="0"/>
        </w:rPr>
        <w:t>或相关资产成本，重新计量设定受益计划净负债或净资产所产生的变动计入其他综合收益，并且在后续会计期间不允许转回 至损益，但可以在权益范围内转移这些在其他综合收益确认的金额。</w:t>
      </w:r>
    </w:p>
    <w:p>
      <w:pPr>
        <w:pStyle w:val="Style29"/>
        <w:keepNext w:val="0"/>
        <w:keepLines w:val="0"/>
        <w:widowControl w:val="0"/>
        <w:shd w:val="clear" w:color="auto" w:fill="auto"/>
        <w:tabs>
          <w:tab w:pos="431" w:val="left"/>
        </w:tabs>
        <w:bidi w:val="0"/>
        <w:spacing w:before="0" w:after="280" w:line="312" w:lineRule="exact"/>
        <w:ind w:left="0" w:right="0" w:firstLine="0"/>
        <w:jc w:val="left"/>
      </w:pPr>
      <w:bookmarkStart w:id="859" w:name="bookmark859"/>
      <w:r>
        <w:rPr>
          <w:b/>
          <w:bCs/>
          <w:color w:val="000000"/>
          <w:spacing w:val="0"/>
          <w:w w:val="100"/>
          <w:position w:val="0"/>
        </w:rPr>
        <w:t>（</w:t>
      </w:r>
      <w:bookmarkEnd w:id="8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29"/>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 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公司确认与涉及支付辞退福利的重组相关的成本或费用时。</w:t>
      </w:r>
    </w:p>
    <w:p>
      <w:pPr>
        <w:pStyle w:val="Style29"/>
        <w:keepNext w:val="0"/>
        <w:keepLines w:val="0"/>
        <w:widowControl w:val="0"/>
        <w:shd w:val="clear" w:color="auto" w:fill="auto"/>
        <w:tabs>
          <w:tab w:pos="431" w:val="left"/>
        </w:tabs>
        <w:bidi w:val="0"/>
        <w:spacing w:before="0" w:after="280" w:line="312" w:lineRule="exact"/>
        <w:ind w:left="0" w:right="0" w:firstLine="0"/>
        <w:jc w:val="left"/>
      </w:pPr>
      <w:bookmarkStart w:id="860" w:name="bookmark860"/>
      <w:r>
        <w:rPr>
          <w:b/>
          <w:bCs/>
          <w:color w:val="000000"/>
          <w:spacing w:val="0"/>
          <w:w w:val="100"/>
          <w:position w:val="0"/>
        </w:rPr>
        <w:t>（</w:t>
      </w:r>
      <w:bookmarkEnd w:id="8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其他长期职工福利的会计处理方法</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向职工提供的其他长期福利，符合设定提存计划条件的，按照设定提存计划的有关规定进行会计处理；除此之外的其他长期 福利，按照设定受益计划的有关规定进行会计处理，为简化相关会计处理，将其产生的职工薪酬成本确认为服务成本、其他 长期职工福利净负债或净资产的利息净额以及重新计量其他长期职工福利净负债或净资产所产生的变动等组成项目的总净 额计入当期损益或相关资产成本。</w:t>
      </w:r>
    </w:p>
    <w:p>
      <w:pPr>
        <w:pStyle w:val="Style35"/>
        <w:keepNext/>
        <w:keepLines/>
        <w:widowControl w:val="0"/>
        <w:shd w:val="clear" w:color="auto" w:fill="auto"/>
        <w:bidi w:val="0"/>
        <w:spacing w:before="0" w:after="3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1</w:t>
      </w:r>
      <w:r>
        <w:rPr>
          <w:color w:val="000000"/>
          <w:spacing w:val="0"/>
          <w:w w:val="100"/>
          <w:position w:val="0"/>
        </w:rPr>
        <w:t>、股份支付</w:t>
      </w:r>
      <w:bookmarkEnd w:id="861"/>
      <w:bookmarkEnd w:id="862"/>
      <w:bookmarkEnd w:id="864"/>
    </w:p>
    <w:p>
      <w:pPr>
        <w:pStyle w:val="Style29"/>
        <w:keepNext w:val="0"/>
        <w:keepLines w:val="0"/>
        <w:widowControl w:val="0"/>
        <w:numPr>
          <w:ilvl w:val="0"/>
          <w:numId w:val="43"/>
        </w:numPr>
        <w:shd w:val="clear" w:color="auto" w:fill="auto"/>
        <w:tabs>
          <w:tab w:pos="723" w:val="left"/>
        </w:tabs>
        <w:bidi w:val="0"/>
        <w:spacing w:before="0" w:after="0"/>
        <w:ind w:left="0" w:right="0" w:firstLine="440"/>
        <w:jc w:val="left"/>
      </w:pPr>
      <w:bookmarkStart w:id="865" w:name="bookmark865"/>
      <w:bookmarkEnd w:id="865"/>
      <w:r>
        <w:rPr>
          <w:color w:val="000000"/>
          <w:spacing w:val="0"/>
          <w:w w:val="100"/>
          <w:position w:val="0"/>
        </w:rPr>
        <w:t>股份支付的种类</w:t>
      </w:r>
    </w:p>
    <w:p>
      <w:pPr>
        <w:pStyle w:val="Style29"/>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包括以权益结算的股份支付和以现金结算的股份支付。</w:t>
      </w:r>
    </w:p>
    <w:p>
      <w:pPr>
        <w:pStyle w:val="Style29"/>
        <w:keepNext w:val="0"/>
        <w:keepLines w:val="0"/>
        <w:widowControl w:val="0"/>
        <w:numPr>
          <w:ilvl w:val="0"/>
          <w:numId w:val="43"/>
        </w:numPr>
        <w:shd w:val="clear" w:color="auto" w:fill="auto"/>
        <w:tabs>
          <w:tab w:pos="742" w:val="left"/>
        </w:tabs>
        <w:bidi w:val="0"/>
        <w:spacing w:before="0" w:after="120" w:line="312" w:lineRule="exact"/>
        <w:ind w:left="0" w:right="0" w:firstLine="440"/>
        <w:jc w:val="both"/>
      </w:pPr>
      <w:bookmarkStart w:id="866" w:name="bookmark866"/>
      <w:bookmarkEnd w:id="866"/>
      <w:r>
        <w:rPr>
          <w:color w:val="000000"/>
          <w:spacing w:val="0"/>
          <w:w w:val="100"/>
          <w:position w:val="0"/>
        </w:rPr>
        <w:t>实施、修改、终止股份支付计划的相关会计处理</w:t>
      </w:r>
    </w:p>
    <w:p>
      <w:pPr>
        <w:pStyle w:val="Style29"/>
        <w:keepNext w:val="0"/>
        <w:keepLines w:val="0"/>
        <w:widowControl w:val="0"/>
        <w:shd w:val="clear" w:color="auto" w:fill="auto"/>
        <w:tabs>
          <w:tab w:pos="828" w:val="left"/>
        </w:tabs>
        <w:bidi w:val="0"/>
        <w:spacing w:before="0" w:after="0"/>
        <w:ind w:left="0" w:right="0" w:firstLine="440"/>
        <w:jc w:val="both"/>
      </w:pPr>
      <w:bookmarkStart w:id="867" w:name="bookmark867"/>
      <w:r>
        <w:rPr>
          <w:rFonts w:ascii="Times New Roman" w:eastAsia="Times New Roman" w:hAnsi="Times New Roman" w:cs="Times New Roman"/>
          <w:color w:val="000000"/>
          <w:spacing w:val="0"/>
          <w:w w:val="100"/>
          <w:position w:val="0"/>
        </w:rPr>
        <w:t>（</w:t>
      </w:r>
      <w:bookmarkEnd w:id="867"/>
      <w:r>
        <w:rPr>
          <w:rFonts w:ascii="Times New Roman" w:eastAsia="Times New Roman" w:hAnsi="Times New Roman" w:cs="Times New Roman"/>
          <w:color w:val="000000"/>
          <w:spacing w:val="0"/>
          <w:w w:val="100"/>
          <w:position w:val="0"/>
        </w:rPr>
        <w:t>1）</w:t>
        <w:tab/>
      </w:r>
      <w:r>
        <w:rPr>
          <w:color w:val="000000"/>
          <w:spacing w:val="0"/>
          <w:w w:val="100"/>
          <w:position w:val="0"/>
        </w:rPr>
        <w:t>以权益结算的股份支付</w:t>
      </w:r>
    </w:p>
    <w:p>
      <w:pPr>
        <w:pStyle w:val="Style29"/>
        <w:keepNext w:val="0"/>
        <w:keepLines w:val="0"/>
        <w:widowControl w:val="0"/>
        <w:shd w:val="clear" w:color="auto" w:fill="auto"/>
        <w:bidi w:val="0"/>
        <w:spacing w:before="0" w:after="40" w:line="315"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9"/>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换取其他方服务的权益结算的股份支付，如果其他方服务的公允价值能够可靠计量的，按照其他方服务在取得日的公 允价值计量；如果其他方服务的公允价值不能可靠计量，但权益工具的公允价值能够可靠计量的，按照权益工具在服务取得 日的公允价值计量，计入相关成本或费用，相应增加所有者权益。</w:t>
      </w:r>
    </w:p>
    <w:p>
      <w:pPr>
        <w:pStyle w:val="Style29"/>
        <w:keepNext w:val="0"/>
        <w:keepLines w:val="0"/>
        <w:widowControl w:val="0"/>
        <w:shd w:val="clear" w:color="auto" w:fill="auto"/>
        <w:tabs>
          <w:tab w:pos="828" w:val="left"/>
        </w:tabs>
        <w:bidi w:val="0"/>
        <w:spacing w:before="0" w:after="0"/>
        <w:ind w:left="0" w:right="0" w:firstLine="440"/>
        <w:jc w:val="left"/>
      </w:pPr>
      <w:bookmarkStart w:id="868" w:name="bookmark868"/>
      <w:r>
        <w:rPr>
          <w:rFonts w:ascii="Times New Roman" w:eastAsia="Times New Roman" w:hAnsi="Times New Roman" w:cs="Times New Roman"/>
          <w:color w:val="000000"/>
          <w:spacing w:val="0"/>
          <w:w w:val="100"/>
          <w:position w:val="0"/>
        </w:rPr>
        <w:t>（</w:t>
      </w:r>
      <w:bookmarkEnd w:id="868"/>
      <w:r>
        <w:rPr>
          <w:rFonts w:ascii="Times New Roman" w:eastAsia="Times New Roman" w:hAnsi="Times New Roman" w:cs="Times New Roman"/>
          <w:color w:val="000000"/>
          <w:spacing w:val="0"/>
          <w:w w:val="100"/>
          <w:position w:val="0"/>
        </w:rPr>
        <w:t>2）</w:t>
        <w:tab/>
      </w:r>
      <w:r>
        <w:rPr>
          <w:color w:val="000000"/>
          <w:spacing w:val="0"/>
          <w:w w:val="100"/>
          <w:position w:val="0"/>
        </w:rPr>
        <w:t>以现金结算的股份支付</w:t>
      </w:r>
    </w:p>
    <w:p>
      <w:pPr>
        <w:pStyle w:val="Style29"/>
        <w:keepNext w:val="0"/>
        <w:keepLines w:val="0"/>
        <w:widowControl w:val="0"/>
        <w:shd w:val="clear" w:color="auto" w:fill="auto"/>
        <w:bidi w:val="0"/>
        <w:spacing w:before="0" w:after="120" w:line="315" w:lineRule="exact"/>
        <w:ind w:left="0" w:right="0" w:firstLine="44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9"/>
        <w:keepNext w:val="0"/>
        <w:keepLines w:val="0"/>
        <w:widowControl w:val="0"/>
        <w:shd w:val="clear" w:color="auto" w:fill="auto"/>
        <w:tabs>
          <w:tab w:pos="828" w:val="left"/>
        </w:tabs>
        <w:bidi w:val="0"/>
        <w:spacing w:before="0" w:after="0"/>
        <w:ind w:left="0" w:right="0" w:firstLine="440"/>
        <w:jc w:val="left"/>
      </w:pPr>
      <w:bookmarkStart w:id="869" w:name="bookmark869"/>
      <w:r>
        <w:rPr>
          <w:rFonts w:ascii="Times New Roman" w:eastAsia="Times New Roman" w:hAnsi="Times New Roman" w:cs="Times New Roman"/>
          <w:color w:val="000000"/>
          <w:spacing w:val="0"/>
          <w:w w:val="100"/>
          <w:position w:val="0"/>
        </w:rPr>
        <w:t>（</w:t>
      </w:r>
      <w:bookmarkEnd w:id="869"/>
      <w:r>
        <w:rPr>
          <w:rFonts w:ascii="Times New Roman" w:eastAsia="Times New Roman" w:hAnsi="Times New Roman" w:cs="Times New Roman"/>
          <w:color w:val="000000"/>
          <w:spacing w:val="0"/>
          <w:w w:val="100"/>
          <w:position w:val="0"/>
        </w:rPr>
        <w:t>3）</w:t>
        <w:tab/>
      </w:r>
      <w:r>
        <w:rPr>
          <w:color w:val="000000"/>
          <w:spacing w:val="0"/>
          <w:w w:val="100"/>
          <w:position w:val="0"/>
        </w:rPr>
        <w:t>修改、终止股份支付计划</w:t>
      </w:r>
    </w:p>
    <w:p>
      <w:pPr>
        <w:pStyle w:val="Style29"/>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如果修改增加了所授予的权益工具的公允价值，公司按照权益工具公允价值的增加相应地确认取得服务的增加；如果 修改增加了所授予的权益工具的数量，公司将增加的权益工具的公允价值相应地确认为取得服务的增加；如果公司按照有利 于职工的方式修改可行权条件，公司在处理可行权条件时，考虑修改后的可行权条件。</w:t>
      </w:r>
    </w:p>
    <w:p>
      <w:pPr>
        <w:pStyle w:val="Style29"/>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9"/>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如果公司在等待期内取消了所授予的权益工具或结算了所授予的权益工具（因未满足可行权条件而被取消的除外），则将取 消或结算作为加速可行权处理，立即确认原本在剩余等待期内确认的金额。</w:t>
      </w:r>
    </w:p>
    <w:p>
      <w:pPr>
        <w:pStyle w:val="Style35"/>
        <w:keepNext/>
        <w:keepLines/>
        <w:widowControl w:val="0"/>
        <w:shd w:val="clear" w:color="auto" w:fill="auto"/>
        <w:tabs>
          <w:tab w:pos="483" w:val="left"/>
        </w:tabs>
        <w:bidi w:val="0"/>
        <w:spacing w:before="0" w:after="3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870"/>
      <w:bookmarkEnd w:id="871"/>
      <w:bookmarkEnd w:id="873"/>
    </w:p>
    <w:p>
      <w:pPr>
        <w:pStyle w:val="Style29"/>
        <w:keepNext w:val="0"/>
        <w:keepLines w:val="0"/>
        <w:widowControl w:val="0"/>
        <w:numPr>
          <w:ilvl w:val="0"/>
          <w:numId w:val="45"/>
        </w:numPr>
        <w:shd w:val="clear" w:color="auto" w:fill="auto"/>
        <w:tabs>
          <w:tab w:pos="741" w:val="left"/>
        </w:tabs>
        <w:bidi w:val="0"/>
        <w:spacing w:before="0" w:after="40"/>
        <w:ind w:left="0" w:right="0" w:firstLine="440"/>
        <w:jc w:val="both"/>
      </w:pPr>
      <w:bookmarkStart w:id="874" w:name="bookmark874"/>
      <w:bookmarkEnd w:id="874"/>
      <w:r>
        <w:rPr>
          <w:color w:val="000000"/>
          <w:spacing w:val="0"/>
          <w:w w:val="100"/>
          <w:position w:val="0"/>
        </w:rPr>
        <w:t>收入确认原则</w:t>
      </w:r>
    </w:p>
    <w:p>
      <w:pPr>
        <w:pStyle w:val="Style29"/>
        <w:keepNext w:val="0"/>
        <w:keepLines w:val="0"/>
        <w:widowControl w:val="0"/>
        <w:numPr>
          <w:ilvl w:val="0"/>
          <w:numId w:val="47"/>
        </w:numPr>
        <w:shd w:val="clear" w:color="auto" w:fill="auto"/>
        <w:tabs>
          <w:tab w:pos="846" w:val="left"/>
        </w:tabs>
        <w:bidi w:val="0"/>
        <w:spacing w:before="0" w:after="0"/>
        <w:ind w:left="0" w:right="0" w:firstLine="440"/>
        <w:jc w:val="both"/>
      </w:pPr>
      <w:bookmarkStart w:id="875" w:name="bookmark875"/>
      <w:bookmarkEnd w:id="875"/>
      <w:r>
        <w:rPr>
          <w:color w:val="000000"/>
          <w:spacing w:val="0"/>
          <w:w w:val="100"/>
          <w:position w:val="0"/>
        </w:rPr>
        <w:t>销售商品</w:t>
      </w:r>
    </w:p>
    <w:p>
      <w:pPr>
        <w:pStyle w:val="Style2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将商品所有权上的主要风险和报酬转移给购货方；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 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 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29"/>
        <w:keepNext w:val="0"/>
        <w:keepLines w:val="0"/>
        <w:widowControl w:val="0"/>
        <w:numPr>
          <w:ilvl w:val="0"/>
          <w:numId w:val="47"/>
        </w:numPr>
        <w:shd w:val="clear" w:color="auto" w:fill="auto"/>
        <w:tabs>
          <w:tab w:pos="846" w:val="left"/>
        </w:tabs>
        <w:bidi w:val="0"/>
        <w:spacing w:before="0" w:after="0"/>
        <w:ind w:left="0" w:right="0" w:firstLine="440"/>
        <w:jc w:val="both"/>
      </w:pPr>
      <w:bookmarkStart w:id="876" w:name="bookmark876"/>
      <w:bookmarkEnd w:id="876"/>
      <w:r>
        <w:rPr>
          <w:color w:val="000000"/>
          <w:spacing w:val="0"/>
          <w:w w:val="100"/>
          <w:position w:val="0"/>
        </w:rPr>
        <w:t>提供劳务</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提供劳务交易的结果在资产负债表日能够可靠估计的(同时满足收入的金额能够可靠地计量、相关经济利益很可能流 入、交易的完工进度能够可靠地确定、交易中已发生和将发生的成本能够可靠地计量)，采用完工百分比法确认提供劳务的 收入，并按已经提供劳务占应提供劳务总量的比例确定提供劳务交易的完工进度。提供劳务交易的结果在资产负债表日不能 够可靠估计的，若已经发生的劳务成本预计能够得到补偿，按已经发生的劳务成本金额确认提供劳务收入，并按相同金额结 转劳务成本；若已经发生的劳务成本预计不能够得到补偿，将已经发生的劳务成本计入当期损益，不确认劳务收入。</w:t>
      </w:r>
    </w:p>
    <w:p>
      <w:pPr>
        <w:pStyle w:val="Style29"/>
        <w:keepNext w:val="0"/>
        <w:keepLines w:val="0"/>
        <w:widowControl w:val="0"/>
        <w:numPr>
          <w:ilvl w:val="0"/>
          <w:numId w:val="47"/>
        </w:numPr>
        <w:shd w:val="clear" w:color="auto" w:fill="auto"/>
        <w:tabs>
          <w:tab w:pos="846" w:val="left"/>
        </w:tabs>
        <w:bidi w:val="0"/>
        <w:spacing w:before="0" w:after="40" w:line="312" w:lineRule="exact"/>
        <w:ind w:left="0" w:right="0" w:firstLine="440"/>
        <w:jc w:val="both"/>
      </w:pPr>
      <w:bookmarkStart w:id="877" w:name="bookmark877"/>
      <w:bookmarkEnd w:id="877"/>
      <w:r>
        <w:rPr>
          <w:color w:val="000000"/>
          <w:spacing w:val="0"/>
          <w:w w:val="100"/>
          <w:position w:val="0"/>
        </w:rPr>
        <w:t>让渡资产使用权</w:t>
      </w:r>
    </w:p>
    <w:p>
      <w:pPr>
        <w:pStyle w:val="Style29"/>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让渡资产使用权在同时满足相关的经济利益很可能流入、收入金额能够可靠计量时，确认让渡资产使用权的收入。利 息收入按照他人使用本公司货币资金的时间和实际利率计算确定;使用费收入按有关合同或协议约定的收费时间和方法计算 确定。</w:t>
      </w:r>
    </w:p>
    <w:p>
      <w:pPr>
        <w:pStyle w:val="Style29"/>
        <w:keepNext w:val="0"/>
        <w:keepLines w:val="0"/>
        <w:widowControl w:val="0"/>
        <w:numPr>
          <w:ilvl w:val="0"/>
          <w:numId w:val="45"/>
        </w:numPr>
        <w:shd w:val="clear" w:color="auto" w:fill="auto"/>
        <w:tabs>
          <w:tab w:pos="760" w:val="left"/>
        </w:tabs>
        <w:bidi w:val="0"/>
        <w:spacing w:before="0" w:after="40" w:line="312" w:lineRule="exact"/>
        <w:ind w:left="0" w:right="0" w:firstLine="440"/>
        <w:jc w:val="both"/>
      </w:pPr>
      <w:bookmarkStart w:id="878" w:name="bookmark878"/>
      <w:bookmarkEnd w:id="878"/>
      <w:r>
        <w:rPr>
          <w:color w:val="000000"/>
          <w:spacing w:val="0"/>
          <w:w w:val="100"/>
          <w:position w:val="0"/>
        </w:rPr>
        <w:t>收入确认的具体方法</w:t>
      </w:r>
    </w:p>
    <w:p>
      <w:pPr>
        <w:pStyle w:val="Style29"/>
        <w:keepNext w:val="0"/>
        <w:keepLines w:val="0"/>
        <w:widowControl w:val="0"/>
        <w:numPr>
          <w:ilvl w:val="0"/>
          <w:numId w:val="49"/>
        </w:numPr>
        <w:shd w:val="clear" w:color="auto" w:fill="auto"/>
        <w:tabs>
          <w:tab w:pos="846" w:val="left"/>
        </w:tabs>
        <w:bidi w:val="0"/>
        <w:spacing w:before="0" w:after="40" w:line="312" w:lineRule="exact"/>
        <w:ind w:left="0" w:right="0" w:firstLine="440"/>
        <w:jc w:val="both"/>
      </w:pPr>
      <w:bookmarkStart w:id="879" w:name="bookmark879"/>
      <w:bookmarkEnd w:id="879"/>
      <w:r>
        <w:rPr>
          <w:color w:val="000000"/>
          <w:spacing w:val="0"/>
          <w:w w:val="100"/>
          <w:position w:val="0"/>
        </w:rPr>
        <w:t>医疗卫生信息化应用软件业务</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医疗卫生信息化应用软件业务主要包括医院信息化应用软件和公共卫生信息化应用软件产品的开发与销售，在同时满 足收入的金额能够可靠计量、相关经济利益很可能流入、交易的完工进度能够可靠确定、交易中已发生和将发生的成本能够 可靠计量的前提下，采用完工百分比法确认收入。</w:t>
      </w:r>
    </w:p>
    <w:p>
      <w:pPr>
        <w:pStyle w:val="Style29"/>
        <w:keepNext w:val="0"/>
        <w:keepLines w:val="0"/>
        <w:widowControl w:val="0"/>
        <w:numPr>
          <w:ilvl w:val="0"/>
          <w:numId w:val="49"/>
        </w:numPr>
        <w:shd w:val="clear" w:color="auto" w:fill="auto"/>
        <w:tabs>
          <w:tab w:pos="846" w:val="left"/>
        </w:tabs>
        <w:bidi w:val="0"/>
        <w:spacing w:before="0" w:after="40" w:line="312" w:lineRule="exact"/>
        <w:ind w:left="0" w:right="0" w:firstLine="440"/>
        <w:jc w:val="both"/>
      </w:pPr>
      <w:bookmarkStart w:id="880" w:name="bookmark880"/>
      <w:bookmarkEnd w:id="880"/>
      <w:r>
        <w:rPr>
          <w:color w:val="000000"/>
          <w:spacing w:val="0"/>
          <w:w w:val="100"/>
          <w:position w:val="0"/>
        </w:rPr>
        <w:t>系统集成业务</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系统集成业务主要包括计算机信息设备系统集成业务和智能化网络布线工程集成业务。</w:t>
      </w:r>
    </w:p>
    <w:p>
      <w:pPr>
        <w:pStyle w:val="Style29"/>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计算机信息设备系统集成业务在同时满足商品所有权上的主要风险和报酬转移给购货方、公司不再保留通常与所有权 相联系的继续管理权，也不再对已售出的商品实施有效控制、收入的金额能够可靠地计量、相关的经济利益很可能流入、相 关的已发生或将发生的成本能够可靠地计量时，于整个项目最终验收完成时一次性确认收入。</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智能化网络布线工程集成业务在同时满足收入金额能够可靠计量、相关经济利益很可能流入、交易的完工进度能够可 靠确定、交易中已发生和将发生的成本能够可靠计量的前提下，采用完工百分比法确认收入。</w:t>
      </w:r>
    </w:p>
    <w:p>
      <w:pPr>
        <w:pStyle w:val="Style29"/>
        <w:keepNext w:val="0"/>
        <w:keepLines w:val="0"/>
        <w:widowControl w:val="0"/>
        <w:numPr>
          <w:ilvl w:val="0"/>
          <w:numId w:val="49"/>
        </w:numPr>
        <w:shd w:val="clear" w:color="auto" w:fill="auto"/>
        <w:tabs>
          <w:tab w:pos="846" w:val="left"/>
        </w:tabs>
        <w:bidi w:val="0"/>
        <w:spacing w:before="0" w:after="40" w:line="312" w:lineRule="exact"/>
        <w:ind w:left="0" w:right="0" w:firstLine="440"/>
        <w:jc w:val="both"/>
      </w:pPr>
      <w:bookmarkStart w:id="881" w:name="bookmark881"/>
      <w:bookmarkEnd w:id="881"/>
      <w:r>
        <w:rPr>
          <w:color w:val="000000"/>
          <w:spacing w:val="0"/>
          <w:w w:val="100"/>
          <w:position w:val="0"/>
        </w:rPr>
        <w:t>外购销售收入</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外购商品包括外购软、硬件商品。在同时满足商品所有权上的主要风险和报酬转移给购货方、公司不再保留通常与所有 权相联系的继续管理权，也不再对已售出的商品实施有效控制、收入的金额能够可靠地计量、相关的经济利益很可能流入、 相关的已发生或将发生的成本能够可靠地计量时，确认商品销售收入的实现。</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882"/>
      <w:bookmarkEnd w:id="883"/>
      <w:bookmarkEnd w:id="885"/>
    </w:p>
    <w:p>
      <w:pPr>
        <w:pStyle w:val="Style29"/>
        <w:keepNext w:val="0"/>
        <w:keepLines w:val="0"/>
        <w:widowControl w:val="0"/>
        <w:shd w:val="clear" w:color="auto" w:fill="auto"/>
        <w:bidi w:val="0"/>
        <w:spacing w:before="0" w:after="280" w:line="31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)与资产相关的政府补助判断依据及会计处理方法</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公司取得的、用于购建或以其他方式形成长期资产的政府补助划分为与资产相关的政府补助。与资产相关的政府补助，确认 为递延收益，并在相关资产使用寿命内平均分配，计入当期损益。但是，按照名义金额计量的政府补助，直接计入当期损益。</w:t>
      </w:r>
    </w:p>
    <w:p>
      <w:pPr>
        <w:pStyle w:val="Style29"/>
        <w:keepNext w:val="0"/>
        <w:keepLines w:val="0"/>
        <w:widowControl w:val="0"/>
        <w:shd w:val="clear" w:color="auto" w:fill="auto"/>
        <w:bidi w:val="0"/>
        <w:spacing w:before="0" w:after="280" w:line="31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）与收益相关的政府补助判断依据及会计处理方法</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除与资产相关的政府补助之外的政府补助划分为与收益相关的政府补助。与收益相关的政府补助，用于补偿以后期间的相关 费用或损失的，确认为递延收益，在确认相关费用的期间，计入当期损益；用于补偿已发生的相关费用或损失的，直接计入 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4</w:t>
      </w:r>
      <w:r>
        <w:rPr>
          <w:color w:val="000000"/>
          <w:spacing w:val="0"/>
          <w:w w:val="100"/>
          <w:position w:val="0"/>
        </w:rPr>
        <w:t>、</w:t>
        <w:tab/>
        <w:t>递延所得税</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6"/>
      <w:bookmarkEnd w:id="887"/>
      <w:bookmarkEnd w:id="889"/>
    </w:p>
    <w:p>
      <w:pPr>
        <w:pStyle w:val="Style29"/>
        <w:keepNext w:val="0"/>
        <w:keepLines w:val="0"/>
        <w:widowControl w:val="0"/>
        <w:numPr>
          <w:ilvl w:val="0"/>
          <w:numId w:val="51"/>
        </w:numPr>
        <w:shd w:val="clear" w:color="auto" w:fill="auto"/>
        <w:tabs>
          <w:tab w:pos="728" w:val="left"/>
        </w:tabs>
        <w:bidi w:val="0"/>
        <w:spacing w:before="0" w:after="0" w:line="312" w:lineRule="exact"/>
        <w:ind w:left="0" w:right="0" w:firstLine="420"/>
        <w:jc w:val="both"/>
      </w:pPr>
      <w:bookmarkStart w:id="890" w:name="bookmark890"/>
      <w:bookmarkEnd w:id="890"/>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9"/>
        <w:keepNext w:val="0"/>
        <w:keepLines w:val="0"/>
        <w:widowControl w:val="0"/>
        <w:numPr>
          <w:ilvl w:val="0"/>
          <w:numId w:val="51"/>
        </w:numPr>
        <w:shd w:val="clear" w:color="auto" w:fill="auto"/>
        <w:tabs>
          <w:tab w:pos="714" w:val="left"/>
        </w:tabs>
        <w:bidi w:val="0"/>
        <w:spacing w:before="0" w:after="0" w:line="326" w:lineRule="exact"/>
        <w:ind w:left="0" w:right="0" w:firstLine="420"/>
        <w:jc w:val="both"/>
      </w:pPr>
      <w:bookmarkStart w:id="891" w:name="bookmark891"/>
      <w:bookmarkEnd w:id="891"/>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9"/>
        <w:keepNext w:val="0"/>
        <w:keepLines w:val="0"/>
        <w:widowControl w:val="0"/>
        <w:numPr>
          <w:ilvl w:val="0"/>
          <w:numId w:val="51"/>
        </w:numPr>
        <w:shd w:val="clear" w:color="auto" w:fill="auto"/>
        <w:tabs>
          <w:tab w:pos="738" w:val="left"/>
        </w:tabs>
        <w:bidi w:val="0"/>
        <w:spacing w:before="0" w:after="0" w:line="317" w:lineRule="exact"/>
        <w:ind w:left="0" w:right="0" w:firstLine="420"/>
        <w:jc w:val="both"/>
      </w:pPr>
      <w:bookmarkStart w:id="892" w:name="bookmark892"/>
      <w:bookmarkEnd w:id="892"/>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9"/>
        <w:keepNext w:val="0"/>
        <w:keepLines w:val="0"/>
        <w:widowControl w:val="0"/>
        <w:numPr>
          <w:ilvl w:val="0"/>
          <w:numId w:val="51"/>
        </w:numPr>
        <w:shd w:val="clear" w:color="auto" w:fill="auto"/>
        <w:bidi w:val="0"/>
        <w:spacing w:before="0" w:after="360" w:line="307" w:lineRule="exact"/>
        <w:ind w:left="0" w:right="0" w:firstLine="420"/>
        <w:jc w:val="both"/>
      </w:pPr>
      <w:bookmarkStart w:id="893" w:name="bookmark893"/>
      <w:bookmarkEnd w:id="893"/>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894"/>
      <w:bookmarkEnd w:id="895"/>
      <w:bookmarkEnd w:id="897"/>
    </w:p>
    <w:p>
      <w:pPr>
        <w:pStyle w:val="Style29"/>
        <w:keepNext w:val="0"/>
        <w:keepLines w:val="0"/>
        <w:widowControl w:val="0"/>
        <w:shd w:val="clear" w:color="auto" w:fill="auto"/>
        <w:bidi w:val="0"/>
        <w:spacing w:before="0" w:after="280" w:line="31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）经营租赁的会计处理方法</w:t>
      </w:r>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9"/>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35"/>
        <w:keepNext/>
        <w:keepLines/>
        <w:widowControl w:val="0"/>
        <w:shd w:val="clear" w:color="auto" w:fill="auto"/>
        <w:tabs>
          <w:tab w:pos="483" w:val="left"/>
        </w:tabs>
        <w:bidi w:val="0"/>
        <w:spacing w:before="0" w:after="36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898"/>
      <w:bookmarkEnd w:id="899"/>
      <w:bookmarkEnd w:id="901"/>
    </w:p>
    <w:p>
      <w:pPr>
        <w:pStyle w:val="Style35"/>
        <w:keepNext/>
        <w:keepLines/>
        <w:widowControl w:val="0"/>
        <w:shd w:val="clear" w:color="auto" w:fill="auto"/>
        <w:tabs>
          <w:tab w:pos="488" w:val="left"/>
        </w:tabs>
        <w:bidi w:val="0"/>
        <w:spacing w:before="0" w:after="280" w:line="240" w:lineRule="auto"/>
        <w:ind w:left="0" w:right="0" w:firstLine="0"/>
        <w:jc w:val="left"/>
      </w:pPr>
      <w:bookmarkStart w:id="898" w:name="bookmark898"/>
      <w:bookmarkStart w:id="899" w:name="bookmark899"/>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98"/>
      <w:bookmarkEnd w:id="899"/>
      <w:bookmarkEnd w:id="903"/>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适用 不适用</w:t>
      </w:r>
    </w:p>
    <w:p>
      <w:pPr>
        <w:pStyle w:val="Style35"/>
        <w:keepNext/>
        <w:keepLines/>
        <w:widowControl w:val="0"/>
        <w:shd w:val="clear" w:color="auto" w:fill="auto"/>
        <w:tabs>
          <w:tab w:pos="488"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04"/>
      <w:bookmarkEnd w:id="905"/>
      <w:bookmarkEnd w:id="907"/>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适用 不适用</w:t>
      </w:r>
    </w:p>
    <w:p>
      <w:pPr>
        <w:pStyle w:val="Style27"/>
        <w:keepNext/>
        <w:keepLines/>
        <w:widowControl w:val="0"/>
        <w:shd w:val="clear" w:color="auto" w:fill="auto"/>
        <w:bidi w:val="0"/>
        <w:spacing w:before="0" w:after="36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sz w:val="24"/>
          <w:szCs w:val="24"/>
        </w:rPr>
        <w:t>六</w:t>
      </w:r>
      <w:bookmarkEnd w:id="910"/>
      <w:r>
        <w:rPr>
          <w:color w:val="000000"/>
          <w:spacing w:val="0"/>
          <w:w w:val="100"/>
          <w:position w:val="0"/>
          <w:sz w:val="24"/>
          <w:szCs w:val="24"/>
        </w:rPr>
        <w:t>、税项</w:t>
      </w:r>
      <w:bookmarkEnd w:id="908"/>
      <w:bookmarkEnd w:id="909"/>
      <w:bookmarkEnd w:id="911"/>
    </w:p>
    <w:p>
      <w:pPr>
        <w:pStyle w:val="Style35"/>
        <w:keepNext/>
        <w:keepLines/>
        <w:widowControl w:val="0"/>
        <w:shd w:val="clear" w:color="auto" w:fill="auto"/>
        <w:bidi w:val="0"/>
        <w:spacing w:before="0" w:after="2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color w:val="000000"/>
          <w:spacing w:val="0"/>
          <w:w w:val="100"/>
          <w:position w:val="0"/>
        </w:rPr>
        <w:t>、主要税种及税率</w:t>
      </w:r>
      <w:bookmarkEnd w:id="912"/>
      <w:bookmarkEnd w:id="913"/>
      <w:bookmarkEnd w:id="915"/>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杭州惟勤科技有限公司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广东中拓信息技术有限公司、浙江创源环境科技股份有限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新疆创什信息科技有限公司、苏州创业亿康信息科技有限 公司、重庆创易康软件有限公司、天津创津科技有限公司、 创业软件南京有限公司和中山市杭创科技有限公司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color w:val="000000"/>
          <w:spacing w:val="0"/>
          <w:w w:val="100"/>
          <w:position w:val="0"/>
        </w:rPr>
        <w:t>、税收优惠</w:t>
      </w:r>
      <w:bookmarkEnd w:id="916"/>
      <w:bookmarkEnd w:id="917"/>
      <w:bookmarkEnd w:id="919"/>
    </w:p>
    <w:p>
      <w:pPr>
        <w:pStyle w:val="Style29"/>
        <w:keepNext w:val="0"/>
        <w:keepLines w:val="0"/>
        <w:widowControl w:val="0"/>
        <w:numPr>
          <w:ilvl w:val="0"/>
          <w:numId w:val="53"/>
        </w:numPr>
        <w:shd w:val="clear" w:color="auto" w:fill="auto"/>
        <w:tabs>
          <w:tab w:pos="264" w:val="left"/>
        </w:tabs>
        <w:bidi w:val="0"/>
        <w:spacing w:before="0" w:after="40" w:line="307" w:lineRule="exact"/>
        <w:ind w:left="0" w:right="0" w:firstLine="0"/>
        <w:jc w:val="left"/>
      </w:pPr>
      <w:bookmarkStart w:id="920" w:name="bookmark920"/>
      <w:bookmarkEnd w:id="920"/>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号），本公司、杭州惟勤科技有限公司 和广东中拓信息技术有限公司软件产品销售增值税实际税负超过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部分享受即征即退税收优惠政策。</w:t>
      </w:r>
    </w:p>
    <w:p>
      <w:pPr>
        <w:pStyle w:val="Style29"/>
        <w:keepNext w:val="0"/>
        <w:keepLines w:val="0"/>
        <w:widowControl w:val="0"/>
        <w:numPr>
          <w:ilvl w:val="0"/>
          <w:numId w:val="53"/>
        </w:numPr>
        <w:shd w:val="clear" w:color="auto" w:fill="auto"/>
        <w:tabs>
          <w:tab w:pos="278" w:val="left"/>
        </w:tabs>
        <w:bidi w:val="0"/>
        <w:spacing w:before="0" w:after="40" w:line="322" w:lineRule="exact"/>
        <w:ind w:left="0" w:right="0" w:firstLine="0"/>
        <w:jc w:val="left"/>
      </w:pPr>
      <w:bookmarkStart w:id="921" w:name="bookmark921"/>
      <w:bookmarkEnd w:id="921"/>
      <w:r>
        <w:rPr>
          <w:color w:val="000000"/>
          <w:spacing w:val="0"/>
          <w:w w:val="100"/>
          <w:position w:val="0"/>
        </w:rPr>
        <w:t>根据财政部、国家税务总局《关于将铁路运输和邮政业纳入营业税改征增值税试点的通知》（财税〔</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号）的规定， 本公司及创业软件南京有限公司从事技术转让、技术开发业务和与之相关的技术咨询、技术服务业务取得的收入免缴增值税。</w:t>
      </w:r>
    </w:p>
    <w:p>
      <w:pPr>
        <w:pStyle w:val="Style29"/>
        <w:keepNext w:val="0"/>
        <w:keepLines w:val="0"/>
        <w:widowControl w:val="0"/>
        <w:numPr>
          <w:ilvl w:val="0"/>
          <w:numId w:val="53"/>
        </w:numPr>
        <w:shd w:val="clear" w:color="auto" w:fill="auto"/>
        <w:tabs>
          <w:tab w:pos="278" w:val="left"/>
        </w:tabs>
        <w:bidi w:val="0"/>
        <w:spacing w:before="0" w:after="40" w:line="312" w:lineRule="exact"/>
        <w:ind w:left="0" w:right="0" w:firstLine="0"/>
        <w:jc w:val="left"/>
      </w:pPr>
      <w:bookmarkStart w:id="922" w:name="bookmark922"/>
      <w:bookmarkEnd w:id="922"/>
      <w:r>
        <w:rPr>
          <w:color w:val="000000"/>
          <w:spacing w:val="0"/>
          <w:w w:val="100"/>
          <w:position w:val="0"/>
        </w:rPr>
        <w:t>根据财政部、国家税务总局《关于软件和集成电路产业企业所得税优惠政策有关问题的通知》（财税〔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号）的规 定，本公司</w:t>
      </w:r>
      <w:r>
        <w:rPr>
          <w:rFonts w:ascii="Times New Roman" w:eastAsia="Times New Roman" w:hAnsi="Times New Roman" w:cs="Times New Roman"/>
          <w:color w:val="000000"/>
          <w:spacing w:val="0"/>
          <w:w w:val="100"/>
          <w:position w:val="0"/>
        </w:rPr>
        <w:t>2016</w:t>
      </w:r>
      <w:r>
        <w:rPr>
          <w:color w:val="000000"/>
          <w:spacing w:val="0"/>
          <w:w w:val="100"/>
          <w:position w:val="0"/>
        </w:rPr>
        <w:t>年度按</w:t>
      </w:r>
      <w:r>
        <w:rPr>
          <w:rFonts w:ascii="Times New Roman" w:eastAsia="Times New Roman" w:hAnsi="Times New Roman" w:cs="Times New Roman"/>
          <w:color w:val="000000"/>
          <w:spacing w:val="0"/>
          <w:w w:val="100"/>
          <w:position w:val="0"/>
        </w:rPr>
        <w:t>10%</w:t>
      </w:r>
      <w:r>
        <w:rPr>
          <w:color w:val="000000"/>
          <w:spacing w:val="0"/>
          <w:w w:val="100"/>
          <w:position w:val="0"/>
        </w:rPr>
        <w:t>的税率计缴企业所得税。</w:t>
      </w:r>
    </w:p>
    <w:p>
      <w:pPr>
        <w:pStyle w:val="Style29"/>
        <w:keepNext w:val="0"/>
        <w:keepLines w:val="0"/>
        <w:widowControl w:val="0"/>
        <w:numPr>
          <w:ilvl w:val="0"/>
          <w:numId w:val="53"/>
        </w:numPr>
        <w:shd w:val="clear" w:color="auto" w:fill="auto"/>
        <w:tabs>
          <w:tab w:pos="278" w:val="left"/>
        </w:tabs>
        <w:bidi w:val="0"/>
        <w:spacing w:before="0" w:after="40" w:line="312" w:lineRule="exact"/>
        <w:ind w:left="0" w:right="0" w:firstLine="0"/>
        <w:jc w:val="left"/>
      </w:pPr>
      <w:bookmarkStart w:id="923" w:name="bookmark923"/>
      <w:bookmarkEnd w:id="923"/>
      <w:r>
        <w:rPr>
          <w:color w:val="000000"/>
          <w:spacing w:val="0"/>
          <w:w w:val="100"/>
          <w:position w:val="0"/>
        </w:rPr>
        <w:t xml:space="preserve">根据财政部、国家税务总局《关于企业所得税若干优惠政策的通知》（财税（ </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号）的规定</w:t>
      </w:r>
      <w:r>
        <w:rPr>
          <w:color w:val="000000"/>
          <w:spacing w:val="0"/>
          <w:w w:val="100"/>
          <w:position w:val="0"/>
        </w:rPr>
        <w:t>，</w:t>
      </w:r>
      <w:r>
        <w:rPr>
          <w:color w:val="000000"/>
          <w:spacing w:val="0"/>
          <w:w w:val="100"/>
          <w:position w:val="0"/>
        </w:rPr>
        <w:t>杭州惟勤科技有限公司 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的优惠政策。因该公司</w:t>
      </w:r>
      <w:r>
        <w:rPr>
          <w:rFonts w:ascii="Times New Roman" w:eastAsia="Times New Roman" w:hAnsi="Times New Roman" w:cs="Times New Roman"/>
          <w:color w:val="000000"/>
          <w:spacing w:val="0"/>
          <w:w w:val="100"/>
          <w:position w:val="0"/>
        </w:rPr>
        <w:t>2015</w:t>
      </w:r>
      <w:r>
        <w:rPr>
          <w:color w:val="000000"/>
          <w:spacing w:val="0"/>
          <w:w w:val="100"/>
          <w:position w:val="0"/>
        </w:rPr>
        <w:t>年度开始获利，故</w:t>
      </w:r>
      <w:r>
        <w:rPr>
          <w:rFonts w:ascii="Times New Roman" w:eastAsia="Times New Roman" w:hAnsi="Times New Roman" w:cs="Times New Roman"/>
          <w:color w:val="000000"/>
          <w:spacing w:val="0"/>
          <w:w w:val="100"/>
          <w:position w:val="0"/>
        </w:rPr>
        <w:t>2016</w:t>
      </w:r>
      <w:r>
        <w:rPr>
          <w:color w:val="000000"/>
          <w:spacing w:val="0"/>
          <w:w w:val="100"/>
          <w:position w:val="0"/>
        </w:rPr>
        <w:t>年度免征企业所得税。</w:t>
      </w:r>
    </w:p>
    <w:p>
      <w:pPr>
        <w:pStyle w:val="Style29"/>
        <w:keepNext w:val="0"/>
        <w:keepLines w:val="0"/>
        <w:widowControl w:val="0"/>
        <w:numPr>
          <w:ilvl w:val="0"/>
          <w:numId w:val="53"/>
        </w:numPr>
        <w:shd w:val="clear" w:color="auto" w:fill="auto"/>
        <w:tabs>
          <w:tab w:pos="288" w:val="left"/>
        </w:tabs>
        <w:bidi w:val="0"/>
        <w:spacing w:before="0" w:after="40" w:line="312" w:lineRule="exact"/>
        <w:ind w:left="0" w:right="0" w:firstLine="0"/>
        <w:jc w:val="left"/>
      </w:pPr>
      <w:bookmarkStart w:id="924" w:name="bookmark924"/>
      <w:bookmarkEnd w:id="924"/>
      <w:r>
        <w:rPr>
          <w:color w:val="000000"/>
          <w:spacing w:val="0"/>
          <w:w w:val="100"/>
          <w:position w:val="0"/>
        </w:rPr>
        <w:t>根据科学技术部火炬高技术产业开发中心《关于浙江省</w:t>
      </w:r>
      <w:r>
        <w:rPr>
          <w:rFonts w:ascii="Times New Roman" w:eastAsia="Times New Roman" w:hAnsi="Times New Roman" w:cs="Times New Roman"/>
          <w:color w:val="000000"/>
          <w:spacing w:val="0"/>
          <w:w w:val="100"/>
          <w:position w:val="0"/>
        </w:rPr>
        <w:t>2014</w:t>
      </w:r>
      <w:r>
        <w:rPr>
          <w:color w:val="000000"/>
          <w:spacing w:val="0"/>
          <w:w w:val="100"/>
          <w:position w:val="0"/>
        </w:rPr>
        <w:t>年第二批高新技术企业备案的复函》（国科火字〔</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号），浙江创源环境科技股份有限公司被评定为国家级高新技术企业。根据《中华人民共和国企业所得税法》规定，该公司 </w:t>
      </w:r>
      <w:r>
        <w:rPr>
          <w:rFonts w:ascii="Times New Roman" w:eastAsia="Times New Roman" w:hAnsi="Times New Roman" w:cs="Times New Roman"/>
          <w:color w:val="000000"/>
          <w:spacing w:val="0"/>
          <w:w w:val="100"/>
          <w:position w:val="0"/>
        </w:rPr>
        <w:t>2016</w:t>
      </w:r>
      <w:r>
        <w:rPr>
          <w:color w:val="000000"/>
          <w:spacing w:val="0"/>
          <w:w w:val="100"/>
          <w:position w:val="0"/>
        </w:rPr>
        <w:t>年度企业所得税享受高新技术企业税收优惠政策，减按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w:t>
      </w:r>
    </w:p>
    <w:p>
      <w:pPr>
        <w:pStyle w:val="Style29"/>
        <w:keepNext w:val="0"/>
        <w:keepLines w:val="0"/>
        <w:widowControl w:val="0"/>
        <w:numPr>
          <w:ilvl w:val="0"/>
          <w:numId w:val="53"/>
        </w:numPr>
        <w:shd w:val="clear" w:color="auto" w:fill="auto"/>
        <w:tabs>
          <w:tab w:pos="278" w:val="left"/>
        </w:tabs>
        <w:bidi w:val="0"/>
        <w:spacing w:before="0" w:after="40" w:line="312" w:lineRule="exact"/>
        <w:ind w:left="0" w:right="0" w:firstLine="0"/>
        <w:jc w:val="left"/>
      </w:pPr>
      <w:bookmarkStart w:id="925" w:name="bookmark925"/>
      <w:bookmarkEnd w:id="925"/>
      <w:r>
        <w:rPr>
          <w:color w:val="000000"/>
          <w:spacing w:val="0"/>
          <w:w w:val="100"/>
          <w:position w:val="0"/>
        </w:rPr>
        <w:t>根据广东省科学技术厅、广东省财政厅、广东省国家税务局和广东省地方税务局《关于公布广东省</w:t>
      </w:r>
      <w:r>
        <w:rPr>
          <w:rFonts w:ascii="Times New Roman" w:eastAsia="Times New Roman" w:hAnsi="Times New Roman" w:cs="Times New Roman"/>
          <w:color w:val="000000"/>
          <w:spacing w:val="0"/>
          <w:w w:val="100"/>
          <w:position w:val="0"/>
        </w:rPr>
        <w:t>2015</w:t>
      </w:r>
      <w:r>
        <w:rPr>
          <w:color w:val="000000"/>
          <w:spacing w:val="0"/>
          <w:w w:val="100"/>
          <w:position w:val="0"/>
        </w:rPr>
        <w:t>年高新技术企业 名单的通知》（粤科高字〔</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号），广东中拓信息技术有限公司被评定为高新技术企业。该公司</w:t>
      </w:r>
      <w:r>
        <w:rPr>
          <w:rFonts w:ascii="Times New Roman" w:eastAsia="Times New Roman" w:hAnsi="Times New Roman" w:cs="Times New Roman"/>
          <w:color w:val="000000"/>
          <w:spacing w:val="0"/>
          <w:w w:val="100"/>
          <w:position w:val="0"/>
        </w:rPr>
        <w:t>2016</w:t>
      </w:r>
      <w:r>
        <w:rPr>
          <w:color w:val="000000"/>
          <w:spacing w:val="0"/>
          <w:w w:val="100"/>
          <w:position w:val="0"/>
        </w:rPr>
        <w:t>年企业所得税 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w:t>
      </w:r>
    </w:p>
    <w:p>
      <w:pPr>
        <w:pStyle w:val="Style29"/>
        <w:keepNext w:val="0"/>
        <w:keepLines w:val="0"/>
        <w:widowControl w:val="0"/>
        <w:numPr>
          <w:ilvl w:val="0"/>
          <w:numId w:val="53"/>
        </w:numPr>
        <w:shd w:val="clear" w:color="auto" w:fill="auto"/>
        <w:bidi w:val="0"/>
        <w:spacing w:before="0" w:after="40" w:line="315" w:lineRule="exact"/>
        <w:ind w:left="0" w:right="0"/>
        <w:jc w:val="both"/>
      </w:pPr>
      <w:bookmarkStart w:id="926" w:name="bookmark926"/>
      <w:bookmarkEnd w:id="926"/>
      <w:r>
        <w:rPr>
          <w:color w:val="000000"/>
          <w:spacing w:val="0"/>
          <w:w w:val="100"/>
          <w:position w:val="0"/>
        </w:rPr>
        <w:t>根据财政部、国家税务总局《关于小型微利企业所得税优惠政策有关问题的通知》（财税〔</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34</w:t>
      </w:r>
      <w:r>
        <w:rPr>
          <w:color w:val="000000"/>
          <w:spacing w:val="0"/>
          <w:w w:val="100"/>
          <w:position w:val="0"/>
        </w:rPr>
        <w:t>号），子公司新疆 创什信息科技有限公司、苏州创业亿康信息科技有限公司、重庆创易康软件有限公司、天津创津科技有限公司、创业软件南 京有限公司和中山市杭创科技有限公司符合小型微利企业条件，</w:t>
      </w:r>
      <w:r>
        <w:rPr>
          <w:rFonts w:ascii="Times New Roman" w:eastAsia="Times New Roman" w:hAnsi="Times New Roman" w:cs="Times New Roman"/>
          <w:color w:val="000000"/>
          <w:spacing w:val="0"/>
          <w:w w:val="100"/>
          <w:position w:val="0"/>
        </w:rPr>
        <w:t>2016</w:t>
      </w:r>
      <w:r>
        <w:rPr>
          <w:color w:val="000000"/>
          <w:spacing w:val="0"/>
          <w:w w:val="100"/>
          <w:position w:val="0"/>
        </w:rPr>
        <w:t>年度所得减按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计入应纳税所得额，并按</w:t>
      </w:r>
      <w:r>
        <w:rPr>
          <w:rFonts w:ascii="Times New Roman" w:eastAsia="Times New Roman" w:hAnsi="Times New Roman" w:cs="Times New Roman"/>
          <w:color w:val="000000"/>
          <w:spacing w:val="0"/>
          <w:w w:val="100"/>
          <w:position w:val="0"/>
        </w:rPr>
        <w:t>20%</w:t>
      </w:r>
      <w:r>
        <w:rPr>
          <w:color w:val="000000"/>
          <w:spacing w:val="0"/>
          <w:w w:val="100"/>
          <w:position w:val="0"/>
        </w:rPr>
        <w:t>的税 率缴纳企业所得税。</w:t>
      </w:r>
    </w:p>
    <w:p>
      <w:pPr>
        <w:pStyle w:val="Style35"/>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color w:val="000000"/>
          <w:spacing w:val="0"/>
          <w:w w:val="100"/>
          <w:position w:val="0"/>
        </w:rPr>
        <w:t>、其他</w:t>
      </w:r>
      <w:bookmarkEnd w:id="927"/>
      <w:bookmarkEnd w:id="928"/>
      <w:bookmarkEnd w:id="930"/>
    </w:p>
    <w:p>
      <w:pPr>
        <w:pStyle w:val="Style27"/>
        <w:keepNext/>
        <w:keepLines/>
        <w:widowControl w:val="0"/>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sz w:val="24"/>
          <w:szCs w:val="24"/>
        </w:rPr>
        <w:t>七</w:t>
      </w:r>
      <w:bookmarkEnd w:id="933"/>
      <w:r>
        <w:rPr>
          <w:color w:val="000000"/>
          <w:spacing w:val="0"/>
          <w:w w:val="100"/>
          <w:position w:val="0"/>
          <w:sz w:val="24"/>
          <w:szCs w:val="24"/>
        </w:rPr>
        <w:t>、合并财务报表项目注释</w:t>
      </w:r>
      <w:bookmarkEnd w:id="931"/>
      <w:bookmarkEnd w:id="932"/>
      <w:bookmarkEnd w:id="934"/>
    </w:p>
    <w:p>
      <w:pPr>
        <w:pStyle w:val="Style35"/>
        <w:keepNext/>
        <w:keepLines/>
        <w:widowControl w:val="0"/>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color w:val="000000"/>
          <w:spacing w:val="0"/>
          <w:w w:val="100"/>
          <w:position w:val="0"/>
        </w:rPr>
        <w:t>、货币资金</w:t>
      </w:r>
      <w:bookmarkEnd w:id="935"/>
      <w:bookmarkEnd w:id="936"/>
      <w:bookmarkEnd w:id="9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100,289.56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317,682,356.88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328,976,389.62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5,834,750.00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317,942,646.44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334,811,457.75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期末，银行存款中有</w:t>
      </w:r>
      <w:r>
        <w:rPr>
          <w:rFonts w:ascii="Times New Roman" w:eastAsia="Times New Roman" w:hAnsi="Times New Roman" w:cs="Times New Roman"/>
          <w:color w:val="000000"/>
          <w:spacing w:val="0"/>
          <w:w w:val="100"/>
          <w:position w:val="0"/>
        </w:rPr>
        <w:t>500,000.00</w:t>
      </w:r>
      <w:r>
        <w:rPr>
          <w:color w:val="000000"/>
          <w:spacing w:val="0"/>
          <w:w w:val="100"/>
          <w:position w:val="0"/>
        </w:rPr>
        <w:t>元定期存款为项目保证金；其他货币资金为保函保证金。上述款项使用受限。</w:t>
      </w:r>
    </w:p>
    <w:p>
      <w:pPr>
        <w:pStyle w:val="Style35"/>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color w:val="000000"/>
          <w:spacing w:val="0"/>
          <w:w w:val="100"/>
          <w:position w:val="0"/>
        </w:rPr>
        <w:t>、以公允价值计量且其变动计入当期损益的金融资产</w:t>
      </w:r>
      <w:bookmarkEnd w:id="939"/>
      <w:bookmarkEnd w:id="940"/>
      <w:bookmarkEnd w:id="9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color w:val="000000"/>
          <w:spacing w:val="0"/>
          <w:w w:val="100"/>
          <w:position w:val="0"/>
        </w:rPr>
        <w:t>、</w:t>
        <w:tab/>
        <w:t>衍生金融资产</w:t>
      </w:r>
      <w:bookmarkEnd w:id="943"/>
      <w:bookmarkEnd w:id="944"/>
      <w:bookmarkEnd w:id="94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4</w:t>
      </w:r>
      <w:bookmarkEnd w:id="949"/>
      <w:r>
        <w:rPr>
          <w:color w:val="000000"/>
          <w:spacing w:val="0"/>
          <w:w w:val="100"/>
          <w:position w:val="0"/>
        </w:rPr>
        <w:t>、</w:t>
        <w:tab/>
        <w:t>应收票据</w:t>
      </w:r>
      <w:bookmarkEnd w:id="947"/>
      <w:bookmarkEnd w:id="948"/>
      <w:bookmarkEnd w:id="950"/>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947" w:name="bookmark947"/>
      <w:bookmarkStart w:id="948" w:name="bookmark948"/>
      <w:bookmarkStart w:id="951" w:name="bookmark951"/>
      <w:bookmarkStart w:id="952" w:name="bookmark952"/>
      <w:bookmarkEnd w:id="951"/>
      <w:r>
        <w:rPr>
          <w:color w:val="000000"/>
          <w:spacing w:val="0"/>
          <w:w w:val="100"/>
          <w:position w:val="0"/>
        </w:rPr>
        <w:t>应收票据分类列示</w:t>
      </w:r>
      <w:bookmarkEnd w:id="947"/>
      <w:bookmarkEnd w:id="948"/>
      <w:bookmarkEnd w:id="9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2,411,984.51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1,597,384.05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3,501,984.51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1,597,384.05</w:t>
            </w:r>
          </w:p>
        </w:tc>
      </w:tr>
    </w:tbl>
    <w:p>
      <w:pPr>
        <w:widowControl w:val="0"/>
        <w:spacing w:after="359" w:line="1" w:lineRule="exact"/>
      </w:pPr>
    </w:p>
    <w:p>
      <w:pPr>
        <w:pStyle w:val="Style35"/>
        <w:keepNext/>
        <w:keepLines/>
        <w:widowControl w:val="0"/>
        <w:numPr>
          <w:ilvl w:val="0"/>
          <w:numId w:val="55"/>
        </w:numPr>
        <w:shd w:val="clear" w:color="auto" w:fill="auto"/>
        <w:bidi w:val="0"/>
        <w:spacing w:before="0" w:after="360" w:line="240" w:lineRule="auto"/>
        <w:ind w:left="0" w:right="0" w:firstLine="140"/>
        <w:jc w:val="left"/>
      </w:pPr>
      <w:bookmarkStart w:id="953" w:name="bookmark953"/>
      <w:bookmarkStart w:id="954" w:name="bookmark954"/>
      <w:bookmarkStart w:id="955" w:name="bookmark955"/>
      <w:bookmarkStart w:id="956" w:name="bookmark956"/>
      <w:bookmarkEnd w:id="955"/>
      <w:r>
        <w:rPr>
          <w:color w:val="000000"/>
          <w:spacing w:val="0"/>
          <w:w w:val="100"/>
          <w:position w:val="0"/>
        </w:rPr>
        <w:t>期末公司已质押的应收票据</w:t>
      </w:r>
      <w:bookmarkEnd w:id="953"/>
      <w:bookmarkEnd w:id="954"/>
      <w:bookmarkEnd w:id="9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35"/>
        <w:keepNext/>
        <w:keepLines/>
        <w:widowControl w:val="0"/>
        <w:numPr>
          <w:ilvl w:val="0"/>
          <w:numId w:val="55"/>
        </w:numPr>
        <w:shd w:val="clear" w:color="auto" w:fill="auto"/>
        <w:bidi w:val="0"/>
        <w:spacing w:before="0" w:after="360" w:line="240" w:lineRule="auto"/>
        <w:ind w:left="0" w:right="0" w:firstLine="140"/>
        <w:jc w:val="left"/>
      </w:pPr>
      <w:bookmarkStart w:id="957" w:name="bookmark957"/>
      <w:bookmarkStart w:id="958" w:name="bookmark958"/>
      <w:bookmarkStart w:id="959" w:name="bookmark959"/>
      <w:bookmarkStart w:id="960" w:name="bookmark960"/>
      <w:bookmarkEnd w:id="959"/>
      <w:r>
        <w:rPr>
          <w:color w:val="000000"/>
          <w:spacing w:val="0"/>
          <w:w w:val="100"/>
          <w:position w:val="0"/>
        </w:rPr>
        <w:t>期末公司已背书或贴现且在资产负债表日尚未到期的应收票据</w:t>
      </w:r>
      <w:bookmarkEnd w:id="957"/>
      <w:bookmarkEnd w:id="958"/>
      <w:bookmarkEnd w:id="9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3,529,638.45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3,529,638.45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55"/>
        </w:numPr>
        <w:shd w:val="clear" w:color="auto" w:fill="auto"/>
        <w:bidi w:val="0"/>
        <w:spacing w:before="0" w:after="360" w:line="240" w:lineRule="auto"/>
        <w:ind w:left="0" w:right="0" w:firstLine="140"/>
        <w:jc w:val="left"/>
      </w:pPr>
      <w:bookmarkStart w:id="961" w:name="bookmark961"/>
      <w:bookmarkStart w:id="962" w:name="bookmark962"/>
      <w:bookmarkStart w:id="963" w:name="bookmark963"/>
      <w:bookmarkStart w:id="964" w:name="bookmark964"/>
      <w:bookmarkEnd w:id="963"/>
      <w:r>
        <w:rPr>
          <w:color w:val="000000"/>
          <w:spacing w:val="0"/>
          <w:w w:val="100"/>
          <w:position w:val="0"/>
        </w:rPr>
        <w:t>期末公司因出票人未履约而将其转应收账款的票据</w:t>
      </w:r>
      <w:bookmarkEnd w:id="961"/>
      <w:bookmarkEnd w:id="962"/>
      <w:bookmarkEnd w:id="9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5</w:t>
      </w:r>
      <w:bookmarkEnd w:id="967"/>
      <w:r>
        <w:rPr>
          <w:color w:val="000000"/>
          <w:spacing w:val="0"/>
          <w:w w:val="100"/>
          <w:position w:val="0"/>
        </w:rPr>
        <w:t>、应收账款</w:t>
      </w:r>
      <w:bookmarkEnd w:id="965"/>
      <w:bookmarkEnd w:id="966"/>
      <w:bookmarkEnd w:id="968"/>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965" w:name="bookmark965"/>
      <w:bookmarkStart w:id="966" w:name="bookmark966"/>
      <w:bookmarkStart w:id="969" w:name="bookmark969"/>
      <w:bookmarkStart w:id="970" w:name="bookmark970"/>
      <w:bookmarkEnd w:id="969"/>
      <w:r>
        <w:rPr>
          <w:color w:val="000000"/>
          <w:spacing w:val="0"/>
          <w:w w:val="100"/>
          <w:position w:val="0"/>
        </w:rPr>
        <w:t>应收账款分类披露</w:t>
      </w:r>
      <w:bookmarkEnd w:id="965"/>
      <w:bookmarkEnd w:id="966"/>
      <w:bookmarkEnd w:id="9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363,90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9,873.6</w:t>
            </w:r>
          </w:p>
          <w:p>
            <w:pPr>
              <w:pStyle w:val="Style2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99.81</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50,939,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14.00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312,97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0,867.0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261,5</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34,87</w:t>
            </w:r>
          </w:p>
          <w:p>
            <w:pPr>
              <w:pStyle w:val="Style2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38,233,</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223,301,</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821.34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709,03</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709,03</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787,6</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787,648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364,61</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8,907.2</w:t>
            </w:r>
          </w:p>
          <w:p>
            <w:pPr>
              <w:pStyle w:val="Style2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51,648,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14.16</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312,97</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0,867.0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22,52</w:t>
            </w:r>
          </w:p>
          <w:p>
            <w:pPr>
              <w:pStyle w:val="Style2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39,020,</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223,301,</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821.34</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bl>
    <w:p>
      <w:pPr>
        <w:widowControl w:val="0"/>
        <w:spacing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233,142,460.70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11,657,123.04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233,142,460.70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11,657,123.04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71,133,588.83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14,226,717.77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36,273,321.82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10,881,996.55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18,374,666.16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9,187,333.08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4,985,836.09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4,985,836.09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363,909,873.60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50,939,006.53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36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1"/>
      <w:bookmarkEnd w:id="972"/>
      <w:bookmarkEnd w:id="97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8,632,737.31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75"/>
      <w:bookmarkEnd w:id="976"/>
      <w:bookmarkEnd w:id="9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核销应收账款共</w:t>
            </w:r>
            <w:r>
              <w:rPr>
                <w:rFonts w:ascii="Times New Roman" w:eastAsia="Times New Roman" w:hAnsi="Times New Roman" w:cs="Times New Roman"/>
                <w:color w:val="000000"/>
                <w:spacing w:val="0"/>
                <w:w w:val="100"/>
                <w:position w:val="0"/>
              </w:rPr>
              <w:t>1</w:t>
            </w:r>
            <w:r>
              <w:rPr>
                <w:color w:val="000000"/>
                <w:spacing w:val="0"/>
                <w:w w:val="100"/>
                <w:position w:val="0"/>
              </w:rPr>
              <w:t>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120,940.35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after="30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79"/>
      <w:bookmarkEnd w:id="980"/>
      <w:bookmarkEnd w:id="98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rPr>
        <w:t>29,092,113.45</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7.98%</w:t>
      </w:r>
      <w:r>
        <w:rPr>
          <w:color w:val="000000"/>
          <w:spacing w:val="0"/>
          <w:w w:val="100"/>
          <w:position w:val="0"/>
        </w:rPr>
        <w:t xml:space="preserve">，相应计提的坏账准备合 计数为 </w:t>
      </w:r>
      <w:r>
        <w:rPr>
          <w:rFonts w:ascii="Times New Roman" w:eastAsia="Times New Roman" w:hAnsi="Times New Roman" w:cs="Times New Roman"/>
          <w:color w:val="000000"/>
          <w:spacing w:val="0"/>
          <w:w w:val="100"/>
          <w:position w:val="0"/>
        </w:rPr>
        <w:t xml:space="preserve">3,275,716.31 </w:t>
      </w:r>
      <w:r>
        <w:rPr>
          <w:color w:val="000000"/>
          <w:spacing w:val="0"/>
          <w:w w:val="100"/>
          <w:position w:val="0"/>
        </w:rPr>
        <w:t>元。</w:t>
      </w:r>
    </w:p>
    <w:p>
      <w:pPr>
        <w:pStyle w:val="Style35"/>
        <w:keepNext/>
        <w:keepLines/>
        <w:widowControl w:val="0"/>
        <w:numPr>
          <w:ilvl w:val="0"/>
          <w:numId w:val="55"/>
        </w:numPr>
        <w:shd w:val="clear" w:color="auto" w:fill="auto"/>
        <w:tabs>
          <w:tab w:pos="488" w:val="left"/>
        </w:tabs>
        <w:bidi w:val="0"/>
        <w:spacing w:before="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因金融资产转移而终止确认的应收账款</w:t>
      </w:r>
      <w:bookmarkEnd w:id="983"/>
      <w:bookmarkEnd w:id="984"/>
      <w:bookmarkEnd w:id="986"/>
    </w:p>
    <w:p>
      <w:pPr>
        <w:pStyle w:val="Style35"/>
        <w:keepNext/>
        <w:keepLines/>
        <w:widowControl w:val="0"/>
        <w:numPr>
          <w:ilvl w:val="0"/>
          <w:numId w:val="55"/>
        </w:numPr>
        <w:shd w:val="clear" w:color="auto" w:fill="auto"/>
        <w:tabs>
          <w:tab w:pos="488" w:val="left"/>
        </w:tabs>
        <w:bidi w:val="0"/>
        <w:spacing w:before="0" w:line="240" w:lineRule="auto"/>
        <w:ind w:left="0" w:right="0" w:firstLine="0"/>
        <w:jc w:val="left"/>
      </w:pPr>
      <w:bookmarkStart w:id="983" w:name="bookmark983"/>
      <w:bookmarkStart w:id="984" w:name="bookmark984"/>
      <w:bookmarkStart w:id="987" w:name="bookmark987"/>
      <w:bookmarkStart w:id="988" w:name="bookmark988"/>
      <w:bookmarkEnd w:id="987"/>
      <w:r>
        <w:rPr>
          <w:color w:val="000000"/>
          <w:spacing w:val="0"/>
          <w:w w:val="100"/>
          <w:position w:val="0"/>
        </w:rPr>
        <w:t>转移应收账款且继续涉入形成的资产、负债金额</w:t>
      </w:r>
      <w:bookmarkEnd w:id="983"/>
      <w:bookmarkEnd w:id="984"/>
      <w:bookmarkEnd w:id="988"/>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6</w:t>
      </w:r>
      <w:bookmarkEnd w:id="991"/>
      <w:r>
        <w:rPr>
          <w:color w:val="000000"/>
          <w:spacing w:val="0"/>
          <w:w w:val="100"/>
          <w:position w:val="0"/>
        </w:rPr>
        <w:t>、预付款项</w:t>
      </w:r>
      <w:bookmarkEnd w:id="989"/>
      <w:bookmarkEnd w:id="990"/>
      <w:bookmarkEnd w:id="992"/>
    </w:p>
    <w:p>
      <w:pPr>
        <w:pStyle w:val="Style35"/>
        <w:keepNext/>
        <w:keepLines/>
        <w:widowControl w:val="0"/>
        <w:numPr>
          <w:ilvl w:val="0"/>
          <w:numId w:val="59"/>
        </w:numPr>
        <w:shd w:val="clear" w:color="auto" w:fill="auto"/>
        <w:bidi w:val="0"/>
        <w:spacing w:before="0" w:line="240"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预付款项按账龄列示</w:t>
      </w:r>
      <w:bookmarkEnd w:id="989"/>
      <w:bookmarkEnd w:id="990"/>
      <w:bookmarkEnd w:id="9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10,141,508.79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2,442,751.79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979,456.14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371,599.17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308,856.34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11,538,181.27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2,866,743.86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5"/>
        <w:keepNext/>
        <w:keepLines/>
        <w:widowControl w:val="0"/>
        <w:numPr>
          <w:ilvl w:val="0"/>
          <w:numId w:val="59"/>
        </w:numPr>
        <w:shd w:val="clear" w:color="auto" w:fill="auto"/>
        <w:bidi w:val="0"/>
        <w:spacing w:before="0" w:after="24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按预付对象归集的期末余额前五名的预付款情况</w:t>
      </w:r>
      <w:bookmarkEnd w:id="995"/>
      <w:bookmarkEnd w:id="996"/>
      <w:bookmarkEnd w:id="998"/>
    </w:p>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rPr>
        <w:t>4,293,758.12</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rPr>
        <w:t>37.21%</w:t>
      </w:r>
      <w:r>
        <w:rPr>
          <w:color w:val="000000"/>
          <w:spacing w:val="0"/>
          <w:w w:val="100"/>
          <w:position w:val="0"/>
        </w:rPr>
        <w:t>。 其他说明：</w:t>
      </w:r>
    </w:p>
    <w:p>
      <w:pPr>
        <w:pStyle w:val="Style35"/>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7</w:t>
      </w:r>
      <w:bookmarkEnd w:id="1001"/>
      <w:r>
        <w:rPr>
          <w:color w:val="000000"/>
          <w:spacing w:val="0"/>
          <w:w w:val="100"/>
          <w:position w:val="0"/>
        </w:rPr>
        <w:t>、应收利息</w:t>
      </w:r>
      <w:bookmarkEnd w:id="1000"/>
      <w:bookmarkEnd w:id="1002"/>
      <w:bookmarkEnd w:id="999"/>
    </w:p>
    <w:p>
      <w:pPr>
        <w:pStyle w:val="Style35"/>
        <w:keepNext/>
        <w:keepLines/>
        <w:widowControl w:val="0"/>
        <w:numPr>
          <w:ilvl w:val="0"/>
          <w:numId w:val="61"/>
        </w:numPr>
        <w:shd w:val="clear" w:color="auto" w:fill="auto"/>
        <w:bidi w:val="0"/>
        <w:spacing w:before="0" w:line="240" w:lineRule="auto"/>
        <w:ind w:left="0" w:right="0" w:firstLine="0"/>
        <w:jc w:val="left"/>
      </w:pPr>
      <w:bookmarkStart w:id="1000" w:name="bookmark1000"/>
      <w:bookmarkStart w:id="1003" w:name="bookmark1003"/>
      <w:bookmarkStart w:id="1004" w:name="bookmark1004"/>
      <w:bookmarkStart w:id="999" w:name="bookmark999"/>
      <w:bookmarkEnd w:id="1003"/>
      <w:r>
        <w:rPr>
          <w:color w:val="000000"/>
          <w:spacing w:val="0"/>
          <w:w w:val="100"/>
          <w:position w:val="0"/>
        </w:rPr>
        <w:t>应收利息分类</w:t>
      </w:r>
      <w:bookmarkEnd w:id="1000"/>
      <w:bookmarkEnd w:id="1004"/>
      <w:bookmarkEnd w:id="9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61"/>
        </w:numPr>
        <w:shd w:val="clear" w:color="auto" w:fill="auto"/>
        <w:bidi w:val="0"/>
        <w:spacing w:before="0" w:line="240" w:lineRule="auto"/>
        <w:ind w:left="0" w:right="0" w:firstLine="14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重要逾期利息</w:t>
      </w:r>
      <w:bookmarkEnd w:id="1005"/>
      <w:bookmarkEnd w:id="1006"/>
      <w:bookmarkEnd w:id="1008"/>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6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8</w:t>
      </w:r>
      <w:bookmarkEnd w:id="1011"/>
      <w:r>
        <w:rPr>
          <w:color w:val="000000"/>
          <w:spacing w:val="0"/>
          <w:w w:val="100"/>
          <w:position w:val="0"/>
        </w:rPr>
        <w:t>、应收股利</w:t>
      </w:r>
      <w:bookmarkEnd w:id="1009"/>
      <w:bookmarkEnd w:id="1010"/>
      <w:bookmarkEnd w:id="1012"/>
    </w:p>
    <w:p>
      <w:pPr>
        <w:pStyle w:val="Style35"/>
        <w:keepNext/>
        <w:keepLines/>
        <w:widowControl w:val="0"/>
        <w:shd w:val="clear" w:color="auto" w:fill="auto"/>
        <w:bidi w:val="0"/>
        <w:spacing w:before="0" w:after="360" w:line="240" w:lineRule="auto"/>
        <w:ind w:left="0" w:right="0" w:firstLine="0"/>
        <w:jc w:val="both"/>
      </w:pPr>
      <w:bookmarkStart w:id="1009" w:name="bookmark1009"/>
      <w:bookmarkStart w:id="1010" w:name="bookmark1010"/>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09"/>
      <w:bookmarkEnd w:id="1010"/>
      <w:bookmarkEnd w:id="10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14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15"/>
      <w:bookmarkEnd w:id="1016"/>
      <w:bookmarkEnd w:id="101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9</w:t>
      </w:r>
      <w:bookmarkEnd w:id="1021"/>
      <w:r>
        <w:rPr>
          <w:color w:val="000000"/>
          <w:spacing w:val="0"/>
          <w:w w:val="100"/>
          <w:position w:val="0"/>
        </w:rPr>
        <w:t>、其他应收款</w:t>
      </w:r>
      <w:bookmarkEnd w:id="1019"/>
      <w:bookmarkEnd w:id="1020"/>
      <w:bookmarkEnd w:id="1022"/>
    </w:p>
    <w:p>
      <w:pPr>
        <w:pStyle w:val="Style35"/>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19"/>
      <w:bookmarkEnd w:id="1020"/>
      <w:bookmarkEnd w:id="10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1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54,827,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99.21</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9,488,9</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17.31</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45,338,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44,69</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0,506</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9,678,1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35,012,3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434,97</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434,97</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434,9</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434,972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55,262,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9,923,9</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17.96</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45,338,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45,12</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5,479</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10,113,</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35,012,3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30,144,591.22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1,507,229.56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30,144,591.22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1,507,229.56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15,712,039.08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3,142,407.82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3,233,733.59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970,120.08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3,735,232.00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1,867,616.00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2,001,579.20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2,001,579.20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54,827,175.09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9,488,952.66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17.31%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5"/>
      <w:bookmarkEnd w:id="1026"/>
      <w:bookmarkEnd w:id="10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-484,023.54</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29"/>
      <w:bookmarkEnd w:id="1030"/>
      <w:bookmarkEnd w:id="10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33"/>
      <w:bookmarkEnd w:id="1034"/>
      <w:bookmarkEnd w:id="10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48,044,892.99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37,817,369.09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4,189,766.16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3,460,381.60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3,027,488.19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3,847,728.54</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55,262,147.34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45,125,479.23</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37"/>
      <w:bookmarkEnd w:id="1038"/>
      <w:bookmarkEnd w:id="10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中国人民解放军 第八五医院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4,474,000.00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223,700.00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北京好望角视真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湖北省卫生和计 划生育委员会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长寿健康保险股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105,000.00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20,074,000.00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2,578,700.00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w:t>
      </w:r>
      <w:bookmarkEnd w:id="104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41"/>
      <w:bookmarkEnd w:id="1042"/>
      <w:bookmarkEnd w:id="10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39" w:line="1" w:lineRule="exact"/>
      </w:pPr>
    </w:p>
    <w:p>
      <w:pPr>
        <w:pStyle w:val="Style35"/>
        <w:keepNext/>
        <w:keepLines/>
        <w:widowControl w:val="0"/>
        <w:shd w:val="clear" w:color="auto" w:fill="auto"/>
        <w:tabs>
          <w:tab w:pos="488"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45"/>
      <w:bookmarkEnd w:id="1046"/>
      <w:bookmarkEnd w:id="1048"/>
    </w:p>
    <w:p>
      <w:pPr>
        <w:pStyle w:val="Style35"/>
        <w:keepNext/>
        <w:keepLines/>
        <w:widowControl w:val="0"/>
        <w:shd w:val="clear" w:color="auto" w:fill="auto"/>
        <w:tabs>
          <w:tab w:pos="488" w:val="left"/>
        </w:tabs>
        <w:bidi w:val="0"/>
        <w:spacing w:before="0" w:line="240" w:lineRule="auto"/>
        <w:ind w:left="0" w:right="0" w:firstLine="0"/>
        <w:jc w:val="left"/>
      </w:pPr>
      <w:bookmarkStart w:id="1045" w:name="bookmark1045"/>
      <w:bookmarkStart w:id="1046" w:name="bookmark1046"/>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45"/>
      <w:bookmarkEnd w:id="1046"/>
      <w:bookmarkEnd w:id="1050"/>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51"/>
      <w:bookmarkEnd w:id="1052"/>
      <w:bookmarkEnd w:id="105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5"/>
      <w:bookmarkEnd w:id="1056"/>
      <w:bookmarkEnd w:id="10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44,738,963.20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44,266,417.58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33,029,518.85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32,556,973.23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44,738,963.20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44,266,417.58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33,029,518.85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32,556,973.23</w:t>
            </w:r>
          </w:p>
        </w:tc>
      </w:tr>
    </w:tbl>
    <w:p>
      <w:pPr>
        <w:widowControl w:val="0"/>
        <w:spacing w:after="59" w:line="1" w:lineRule="exact"/>
      </w:pPr>
    </w:p>
    <w:p>
      <w:pPr>
        <w:pStyle w:val="Style29"/>
        <w:keepNext w:val="0"/>
        <w:keepLines w:val="0"/>
        <w:widowControl w:val="0"/>
        <w:shd w:val="clear" w:color="auto" w:fill="auto"/>
        <w:bidi w:val="0"/>
        <w:spacing w:before="0" w:after="60" w:line="28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60" w:line="281"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74" w:lineRule="exact"/>
        <w:ind w:left="0" w:right="0" w:firstLine="0"/>
        <w:jc w:val="left"/>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号</w:t>
      </w:r>
      <w:r>
        <w:rPr>
          <w:color w:val="000000"/>
          <w:spacing w:val="0"/>
          <w:w w:val="100"/>
          <w:position w:val="0"/>
          <w:shd w:val="clear" w:color="auto" w:fill="FFFFFF"/>
        </w:rPr>
        <w:t>一</w:t>
      </w:r>
      <w:r>
        <w:rPr>
          <w:color w:val="000000"/>
          <w:spacing w:val="0"/>
          <w:w w:val="100"/>
          <w:position w:val="0"/>
          <w:shd w:val="clear" w:color="auto" w:fill="FFFFFF"/>
        </w:rPr>
        <w:t>上市公司从事广播电影电视业务》的披露要求</w:t>
      </w:r>
    </w:p>
    <w:p>
      <w:pPr>
        <w:pStyle w:val="Style2"/>
        <w:keepNext w:val="0"/>
        <w:keepLines w:val="0"/>
        <w:widowControl w:val="0"/>
        <w:shd w:val="clear" w:color="auto" w:fill="auto"/>
        <w:bidi w:val="0"/>
        <w:spacing w:before="0" w:after="140" w:line="274"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29"/>
        <w:keepNext w:val="0"/>
        <w:keepLines w:val="0"/>
        <w:widowControl w:val="0"/>
        <w:shd w:val="clear" w:color="auto" w:fill="auto"/>
        <w:bidi w:val="0"/>
        <w:spacing w:before="0" w:after="140" w:line="288" w:lineRule="exact"/>
        <w:ind w:left="0" w:right="0" w:firstLine="0"/>
        <w:jc w:val="both"/>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号——上市公司从事互联网游戏业务》的披露要求</w:t>
      </w:r>
    </w:p>
    <w:p>
      <w:pPr>
        <w:pStyle w:val="Style2"/>
        <w:keepNext w:val="0"/>
        <w:keepLines w:val="0"/>
        <w:widowControl w:val="0"/>
        <w:shd w:val="clear" w:color="auto" w:fill="auto"/>
        <w:bidi w:val="0"/>
        <w:spacing w:before="0" w:after="460" w:line="288" w:lineRule="exact"/>
        <w:ind w:left="0" w:right="0" w:firstLine="0"/>
        <w:jc w:val="both"/>
        <w:rPr>
          <w:sz w:val="30"/>
          <w:szCs w:val="30"/>
        </w:rPr>
      </w:pPr>
      <w:r>
        <w:rPr>
          <w:b w:val="0"/>
          <w:bCs w:val="0"/>
          <w:color w:val="000000"/>
          <w:spacing w:val="0"/>
          <w:w w:val="100"/>
          <w:position w:val="0"/>
          <w:sz w:val="30"/>
          <w:szCs w:val="30"/>
          <w:vertAlign w:val="subscript"/>
        </w:rPr>
        <w:t>否</w:t>
      </w:r>
    </w:p>
    <w:p>
      <w:pPr>
        <w:pStyle w:val="Style35"/>
        <w:keepNext/>
        <w:keepLines/>
        <w:widowControl w:val="0"/>
        <w:shd w:val="clear" w:color="auto" w:fill="auto"/>
        <w:bidi w:val="0"/>
        <w:spacing w:before="0" w:after="360" w:line="240" w:lineRule="auto"/>
        <w:ind w:left="0" w:right="0" w:firstLine="0"/>
        <w:jc w:val="both"/>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59"/>
      <w:bookmarkEnd w:id="1060"/>
      <w:bookmarkEnd w:id="10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472,545.62</w:t>
            </w:r>
          </w:p>
        </w:tc>
      </w:tr>
    </w:tbl>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资产负债表日，存货采用成本与可变现净值孰低计量，按照单个存货成本高于可变现净值的差额计提存货跌价准备。库存商 品以该存货的估计售价减去估计的销售费用和相关税费后的金额确定其可变现净值。</w:t>
      </w:r>
    </w:p>
    <w:p>
      <w:pPr>
        <w:pStyle w:val="Style35"/>
        <w:keepNext/>
        <w:keepLines/>
        <w:widowControl w:val="0"/>
        <w:shd w:val="clear" w:color="auto" w:fill="auto"/>
        <w:tabs>
          <w:tab w:pos="488" w:val="left"/>
        </w:tabs>
        <w:bidi w:val="0"/>
        <w:spacing w:before="0" w:after="360" w:line="240" w:lineRule="auto"/>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63"/>
      <w:bookmarkEnd w:id="1064"/>
      <w:bookmarkEnd w:id="1066"/>
    </w:p>
    <w:p>
      <w:pPr>
        <w:pStyle w:val="Style35"/>
        <w:keepNext/>
        <w:keepLines/>
        <w:widowControl w:val="0"/>
        <w:shd w:val="clear" w:color="auto" w:fill="auto"/>
        <w:tabs>
          <w:tab w:pos="488" w:val="left"/>
        </w:tabs>
        <w:bidi w:val="0"/>
        <w:spacing w:before="0" w:after="300" w:line="240" w:lineRule="auto"/>
        <w:ind w:left="0" w:right="0" w:firstLine="0"/>
        <w:jc w:val="both"/>
      </w:pPr>
      <w:bookmarkStart w:id="1063" w:name="bookmark1063"/>
      <w:bookmarkStart w:id="1064" w:name="bookmark1064"/>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63"/>
      <w:bookmarkEnd w:id="1064"/>
      <w:bookmarkEnd w:id="1068"/>
    </w:p>
    <w:p>
      <w:pPr>
        <w:pStyle w:val="Style29"/>
        <w:keepNext w:val="0"/>
        <w:keepLines w:val="0"/>
        <w:widowControl w:val="0"/>
        <w:shd w:val="clear" w:color="auto" w:fill="auto"/>
        <w:bidi w:val="0"/>
        <w:spacing w:before="0" w:after="60" w:line="312" w:lineRule="exact"/>
        <w:ind w:left="8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69"/>
      <w:bookmarkEnd w:id="1070"/>
      <w:bookmarkEnd w:id="1072"/>
    </w:p>
    <w:p>
      <w:pPr>
        <w:pStyle w:val="Style29"/>
        <w:keepNext w:val="0"/>
        <w:keepLines w:val="0"/>
        <w:widowControl w:val="0"/>
        <w:shd w:val="clear" w:color="auto" w:fill="auto"/>
        <w:bidi w:val="0"/>
        <w:spacing w:before="0" w:after="6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73"/>
      <w:bookmarkEnd w:id="1074"/>
      <w:bookmarkEnd w:id="1076"/>
    </w:p>
    <w:p>
      <w:pPr>
        <w:pStyle w:val="Style29"/>
        <w:keepNext w:val="0"/>
        <w:keepLines w:val="0"/>
        <w:widowControl w:val="0"/>
        <w:shd w:val="clear" w:color="auto" w:fill="auto"/>
        <w:bidi w:val="0"/>
        <w:spacing w:before="0" w:after="6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77"/>
      <w:bookmarkEnd w:id="1078"/>
      <w:bookmarkEnd w:id="10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待抵扣增值税进项税及留抵税额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151,386.54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银行短期理财产品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103,000,000.00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50,151,386.54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103,005,196.24</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81"/>
      <w:bookmarkEnd w:id="1082"/>
      <w:bookmarkEnd w:id="1084"/>
    </w:p>
    <w:p>
      <w:pPr>
        <w:pStyle w:val="Style35"/>
        <w:keepNext/>
        <w:keepLines/>
        <w:widowControl w:val="0"/>
        <w:numPr>
          <w:ilvl w:val="0"/>
          <w:numId w:val="63"/>
        </w:numPr>
        <w:shd w:val="clear" w:color="auto" w:fill="auto"/>
        <w:bidi w:val="0"/>
        <w:spacing w:before="0" w:line="240" w:lineRule="auto"/>
        <w:ind w:left="0" w:right="0" w:firstLine="0"/>
        <w:jc w:val="left"/>
      </w:pPr>
      <w:bookmarkStart w:id="1081" w:name="bookmark1081"/>
      <w:bookmarkStart w:id="1082" w:name="bookmark1082"/>
      <w:bookmarkStart w:id="1085" w:name="bookmark1085"/>
      <w:bookmarkStart w:id="1086" w:name="bookmark1086"/>
      <w:bookmarkEnd w:id="1085"/>
      <w:r>
        <w:rPr>
          <w:color w:val="000000"/>
          <w:spacing w:val="0"/>
          <w:w w:val="100"/>
          <w:position w:val="0"/>
        </w:rPr>
        <w:t>可供出售金融资产情况</w:t>
      </w:r>
      <w:bookmarkEnd w:id="1081"/>
      <w:bookmarkEnd w:id="1082"/>
      <w:bookmarkEnd w:id="10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15,300,000.0</w:t>
            </w: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13,500,000.0</w:t>
            </w: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15,300,000.0</w:t>
            </w: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13,500,000.0</w:t>
            </w: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15,300,000.0</w:t>
            </w: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13,500,000.0</w:t>
            </w: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7,000,000.00</w:t>
            </w:r>
          </w:p>
        </w:tc>
      </w:tr>
    </w:tbl>
    <w:p>
      <w:pPr>
        <w:widowControl w:val="0"/>
        <w:spacing w:after="339" w:line="1" w:lineRule="exact"/>
      </w:pPr>
    </w:p>
    <w:p>
      <w:pPr>
        <w:pStyle w:val="Style35"/>
        <w:keepNext/>
        <w:keepLines/>
        <w:widowControl w:val="0"/>
        <w:numPr>
          <w:ilvl w:val="0"/>
          <w:numId w:val="63"/>
        </w:numPr>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期末按公允价值计量的可供出售金融资产</w:t>
      </w:r>
      <w:bookmarkEnd w:id="1087"/>
      <w:bookmarkEnd w:id="1088"/>
      <w:bookmarkEnd w:id="10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可供出售金融资产分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5"/>
        <w:keepNext/>
        <w:keepLines/>
        <w:widowControl w:val="0"/>
        <w:numPr>
          <w:ilvl w:val="0"/>
          <w:numId w:val="63"/>
        </w:numPr>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期末按成本计量的可供出售金融资产</w:t>
      </w:r>
      <w:bookmarkEnd w:id="1091"/>
      <w:bookmarkEnd w:id="1092"/>
      <w:bookmarkEnd w:id="10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苏州网 新创业 科技有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1,800,00</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上海卫 生信息 工程技 术研究 中心有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杭州吾 桐树医 疗科技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杭州中 福投资 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14.42%</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杭州安 丰上盈 创业投 资合伙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14.29%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15,300,0</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1,800,00</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numPr>
          <w:ilvl w:val="0"/>
          <w:numId w:val="63"/>
        </w:numPr>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报告期内可供出售金融资产减值的变动情况</w:t>
      </w:r>
      <w:bookmarkEnd w:id="1095"/>
      <w:bookmarkEnd w:id="1096"/>
      <w:bookmarkEnd w:id="10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可供出售金融资产分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1,800,000.00</w:t>
            </w:r>
          </w:p>
        </w:tc>
      </w:tr>
    </w:tbl>
    <w:p>
      <w:pPr>
        <w:widowControl w:val="0"/>
        <w:spacing w:after="299" w:line="1" w:lineRule="exact"/>
      </w:pPr>
    </w:p>
    <w:p>
      <w:pPr>
        <w:pStyle w:val="Style35"/>
        <w:keepNext/>
        <w:keepLines/>
        <w:widowControl w:val="0"/>
        <w:numPr>
          <w:ilvl w:val="0"/>
          <w:numId w:val="63"/>
        </w:numPr>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可供出售权益工具期末公允价值严重下跌或非暂时性下跌但未计提减值准备的相关说明</w:t>
      </w:r>
      <w:bookmarkEnd w:id="1099"/>
      <w:bookmarkEnd w:id="1100"/>
      <w:bookmarkEnd w:id="11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公允价值相对 于成本的下跌 幅度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已计提减值金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未计提减值原 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03"/>
      <w:bookmarkEnd w:id="1104"/>
      <w:bookmarkEnd w:id="1106"/>
    </w:p>
    <w:p>
      <w:pPr>
        <w:pStyle w:val="Style35"/>
        <w:keepNext/>
        <w:keepLines/>
        <w:widowControl w:val="0"/>
        <w:shd w:val="clear" w:color="auto" w:fill="auto"/>
        <w:bidi w:val="0"/>
        <w:spacing w:before="0" w:after="380" w:line="240" w:lineRule="auto"/>
        <w:ind w:left="0" w:right="0" w:firstLine="0"/>
        <w:jc w:val="both"/>
      </w:pPr>
      <w:bookmarkStart w:id="1103" w:name="bookmark1103"/>
      <w:bookmarkStart w:id="1104" w:name="bookmark1104"/>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03"/>
      <w:bookmarkEnd w:id="1104"/>
      <w:bookmarkEnd w:id="11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09"/>
      <w:bookmarkEnd w:id="1110"/>
      <w:bookmarkEnd w:id="1112"/>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13"/>
      <w:bookmarkEnd w:id="1114"/>
      <w:bookmarkEnd w:id="1116"/>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17"/>
      <w:bookmarkEnd w:id="1118"/>
      <w:bookmarkEnd w:id="1120"/>
    </w:p>
    <w:p>
      <w:pPr>
        <w:pStyle w:val="Style35"/>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17"/>
      <w:bookmarkEnd w:id="1118"/>
      <w:bookmarkEnd w:id="11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债权性投资款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15,000,000.0</w:t>
            </w:r>
          </w:p>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15,000,000.0</w:t>
            </w:r>
          </w:p>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15,000,000.0</w:t>
            </w:r>
          </w:p>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15,000,000.0</w:t>
            </w:r>
          </w:p>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tabs>
          <w:tab w:pos="488" w:val="left"/>
        </w:tabs>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23"/>
      <w:bookmarkEnd w:id="1124"/>
      <w:bookmarkEnd w:id="1126"/>
    </w:p>
    <w:p>
      <w:pPr>
        <w:pStyle w:val="Style35"/>
        <w:keepNext/>
        <w:keepLines/>
        <w:widowControl w:val="0"/>
        <w:shd w:val="clear" w:color="auto" w:fill="auto"/>
        <w:tabs>
          <w:tab w:pos="488" w:val="left"/>
        </w:tabs>
        <w:bidi w:val="0"/>
        <w:spacing w:before="0" w:after="260" w:line="240" w:lineRule="auto"/>
        <w:ind w:left="0" w:right="0" w:firstLine="0"/>
        <w:jc w:val="left"/>
      </w:pPr>
      <w:bookmarkStart w:id="1123" w:name="bookmark1123"/>
      <w:bookmarkStart w:id="1124" w:name="bookmark1124"/>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23"/>
      <w:bookmarkEnd w:id="1124"/>
      <w:bookmarkEnd w:id="1128"/>
    </w:p>
    <w:p>
      <w:pPr>
        <w:pStyle w:val="Style29"/>
        <w:keepNext w:val="0"/>
        <w:keepLines w:val="0"/>
        <w:widowControl w:val="0"/>
        <w:shd w:val="clear" w:color="auto" w:fill="auto"/>
        <w:bidi w:val="0"/>
        <w:spacing w:before="0" w:after="60" w:line="322" w:lineRule="exact"/>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40" w:line="322" w:lineRule="exact"/>
        <w:ind w:left="0" w:right="0" w:firstLine="0"/>
        <w:jc w:val="both"/>
      </w:pPr>
      <w:r>
        <w:rPr>
          <w:color w:val="000000"/>
          <w:spacing w:val="0"/>
          <w:w w:val="100"/>
          <w:position w:val="0"/>
        </w:rPr>
        <w:t>本期，公司作为有限合伙人对义乌钱塘体育文化投资合伙企业（有限合伙）进行投资，并约定每年可以获得</w:t>
      </w:r>
      <w:r>
        <w:rPr>
          <w:rFonts w:ascii="Times New Roman" w:eastAsia="Times New Roman" w:hAnsi="Times New Roman" w:cs="Times New Roman"/>
          <w:color w:val="000000"/>
          <w:spacing w:val="0"/>
          <w:w w:val="100"/>
          <w:position w:val="0"/>
        </w:rPr>
        <w:t>4.75%</w:t>
      </w:r>
      <w:r>
        <w:rPr>
          <w:color w:val="000000"/>
          <w:spacing w:val="0"/>
          <w:w w:val="100"/>
          <w:position w:val="0"/>
        </w:rPr>
        <w:t>的固定回 报。投资三年后进入退出期，故将该项投资认定为债权性投资。</w:t>
      </w:r>
    </w:p>
    <w:p>
      <w:pPr>
        <w:pStyle w:val="Style35"/>
        <w:keepNext/>
        <w:keepLines/>
        <w:widowControl w:val="0"/>
        <w:shd w:val="clear" w:color="auto" w:fill="auto"/>
        <w:bidi w:val="0"/>
        <w:spacing w:before="0" w:after="26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29"/>
      <w:bookmarkEnd w:id="1130"/>
      <w:bookmarkEnd w:id="1132"/>
    </w:p>
    <w:p>
      <w:pPr>
        <w:pStyle w:val="Style29"/>
        <w:keepNext w:val="0"/>
        <w:keepLines w:val="0"/>
        <w:widowControl w:val="0"/>
        <w:shd w:val="clear" w:color="auto" w:fill="auto"/>
        <w:bidi w:val="0"/>
        <w:spacing w:before="0" w:after="60" w:line="322" w:lineRule="exact"/>
        <w:ind w:left="0" w:right="0" w:firstLine="0"/>
        <w:jc w:val="right"/>
      </w:pPr>
      <w:r>
        <w:rPr>
          <w:color w:val="000000"/>
          <w:spacing w:val="0"/>
          <w:w w:val="100"/>
          <w:position w:val="0"/>
        </w:rPr>
        <w:t>单位：元</w:t>
      </w:r>
    </w:p>
    <w:tbl>
      <w:tblPr>
        <w:tblOverlap w:val="never"/>
        <w:jc w:val="center"/>
        <w:tblLayout w:type="fixed"/>
      </w:tblPr>
      <w:tblGrid>
        <w:gridCol w:w="802"/>
        <w:gridCol w:w="797"/>
        <w:gridCol w:w="6384"/>
        <w:gridCol w:w="797"/>
        <w:gridCol w:w="802"/>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344"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备期末 余额</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北京童 康医疗 信息技 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1,602,1</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3,231,9</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30.10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浙江美 康网新 云健康 科技股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-1,217,</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3,782,4</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384,58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7,014,3</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384,58</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7,014,3</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33"/>
      <w:bookmarkEnd w:id="1134"/>
      <w:bookmarkEnd w:id="1136"/>
    </w:p>
    <w:p>
      <w:pPr>
        <w:pStyle w:val="Style35"/>
        <w:keepNext/>
        <w:keepLines/>
        <w:widowControl w:val="0"/>
        <w:numPr>
          <w:ilvl w:val="0"/>
          <w:numId w:val="65"/>
        </w:numPr>
        <w:shd w:val="clear" w:color="auto" w:fill="auto"/>
        <w:bidi w:val="0"/>
        <w:spacing w:before="0" w:line="240" w:lineRule="auto"/>
        <w:ind w:left="0" w:right="0" w:firstLine="0"/>
        <w:jc w:val="left"/>
      </w:pPr>
      <w:bookmarkStart w:id="1133" w:name="bookmark1133"/>
      <w:bookmarkStart w:id="1134" w:name="bookmark1134"/>
      <w:bookmarkStart w:id="1137" w:name="bookmark1137"/>
      <w:bookmarkStart w:id="1138" w:name="bookmark1138"/>
      <w:bookmarkEnd w:id="1137"/>
      <w:r>
        <w:rPr>
          <w:color w:val="000000"/>
          <w:spacing w:val="0"/>
          <w:w w:val="100"/>
          <w:position w:val="0"/>
        </w:rPr>
        <w:t>采用成本计量模式的投资性房地产</w:t>
      </w:r>
      <w:bookmarkEnd w:id="1133"/>
      <w:bookmarkEnd w:id="1134"/>
      <w:bookmarkEnd w:id="1138"/>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4,669,984.15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4,669,984.15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4,669,984.15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4,669,984.15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534,299.03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534,299.03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221,925.24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221,925.24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221,925.24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221,925.24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756,224.27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756,224.27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3,913,759.88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3,913,759.88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4,135,685.12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4,135,685.12</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39"/>
      <w:bookmarkEnd w:id="1140"/>
      <w:bookmarkEnd w:id="1142"/>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5"/>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43"/>
      <w:bookmarkEnd w:id="1144"/>
      <w:bookmarkEnd w:id="11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47"/>
      <w:bookmarkEnd w:id="1148"/>
      <w:bookmarkEnd w:id="1150"/>
    </w:p>
    <w:p>
      <w:pPr>
        <w:pStyle w:val="Style35"/>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7"/>
      <w:bookmarkEnd w:id="1148"/>
      <w:bookmarkEnd w:id="11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64,205,542.68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18,517,357.05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14,253,924.56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96,976,824.29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156,309,482.20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9,226,278.16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15,884,475.78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181,420,236.14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16,071,838.20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4,432,212.57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14,290,278.51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34,794,329.28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139,412,920.00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139,588,188.40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824,724.00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4,794,065.59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1,418,928.87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7,037,718.46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220,515,024.88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27,675,635.21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30,138,400.34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278,329,060.43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6,962,274.69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7,308,666.30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7,119,697.96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21,390,638.95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2,275,602.32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5,551,124.49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3,805,436.51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11,632,163.32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2,147,206.54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1,937,206.12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2,609,901.60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6,694,314.26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128,395.78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3,613,918.37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1,195,534.91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4,937,849.06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9,237,877.01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12,795,190.79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10,925,134.47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32,958,202.27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211,277,147.87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14,880,444.42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19,213,265.87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245,370,858.16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57,243,267.99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11,208,690.75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7,134,226.60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75,586,185.34</w:t>
            </w:r>
          </w:p>
        </w:tc>
      </w:tr>
    </w:tbl>
    <w:p>
      <w:pPr>
        <w:widowControl w:val="0"/>
        <w:spacing w:after="299" w:line="1" w:lineRule="exact"/>
      </w:pPr>
    </w:p>
    <w:p>
      <w:pPr>
        <w:pStyle w:val="Style35"/>
        <w:keepNext/>
        <w:keepLines/>
        <w:widowControl w:val="0"/>
        <w:numPr>
          <w:ilvl w:val="0"/>
          <w:numId w:val="67"/>
        </w:numPr>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暂时闲置的固定资产情况</w:t>
      </w:r>
      <w:bookmarkEnd w:id="1153"/>
      <w:bookmarkEnd w:id="1154"/>
      <w:bookmarkEnd w:id="11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35"/>
        <w:keepNext/>
        <w:keepLines/>
        <w:widowControl w:val="0"/>
        <w:numPr>
          <w:ilvl w:val="0"/>
          <w:numId w:val="67"/>
        </w:numPr>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通过融资租赁租入的固定资产情况</w:t>
      </w:r>
      <w:bookmarkEnd w:id="1157"/>
      <w:bookmarkEnd w:id="1158"/>
      <w:bookmarkEnd w:id="11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账面价值</w:t>
            </w:r>
          </w:p>
        </w:tc>
      </w:tr>
    </w:tbl>
    <w:p>
      <w:pPr>
        <w:widowControl w:val="0"/>
        <w:spacing w:after="299" w:line="1" w:lineRule="exact"/>
      </w:pPr>
    </w:p>
    <w:p>
      <w:pPr>
        <w:pStyle w:val="Style35"/>
        <w:keepNext/>
        <w:keepLines/>
        <w:widowControl w:val="0"/>
        <w:numPr>
          <w:ilvl w:val="0"/>
          <w:numId w:val="67"/>
        </w:numPr>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通过经营租赁租出的固定资产</w:t>
      </w:r>
      <w:bookmarkEnd w:id="1161"/>
      <w:bookmarkEnd w:id="1162"/>
      <w:bookmarkEnd w:id="11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1,975,374.83</w:t>
            </w:r>
          </w:p>
        </w:tc>
      </w:tr>
    </w:tbl>
    <w:p>
      <w:pPr>
        <w:widowControl w:val="0"/>
        <w:spacing w:after="299" w:line="1" w:lineRule="exact"/>
      </w:pPr>
    </w:p>
    <w:p>
      <w:pPr>
        <w:pStyle w:val="Style35"/>
        <w:keepNext/>
        <w:keepLines/>
        <w:widowControl w:val="0"/>
        <w:numPr>
          <w:ilvl w:val="0"/>
          <w:numId w:val="67"/>
        </w:numPr>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未办妥产权证书的固定资产情况</w:t>
      </w:r>
      <w:bookmarkEnd w:id="1165"/>
      <w:bookmarkEnd w:id="1166"/>
      <w:bookmarkEnd w:id="11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创业智慧医疗大厦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139,278,188.40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正在房地产管理部门办理相关手续</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line="240" w:lineRule="auto"/>
        <w:ind w:left="0" w:right="0" w:firstLine="0"/>
        <w:jc w:val="left"/>
      </w:pPr>
      <w:r>
        <w:rPr>
          <w:color w:val="000000"/>
          <w:spacing w:val="0"/>
          <w:w w:val="100"/>
          <w:position w:val="0"/>
        </w:rPr>
        <w:t>经营租出的固定资产仅为公司房屋及建筑物的一部分，且为临时性租赁，故未作为投资性房地产项目核算。</w:t>
      </w:r>
      <w:r>
        <w:br w:type="page"/>
      </w:r>
    </w:p>
    <w:p>
      <w:pPr>
        <w:pStyle w:val="Style35"/>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69"/>
      <w:bookmarkEnd w:id="1170"/>
      <w:bookmarkEnd w:id="1172"/>
    </w:p>
    <w:p>
      <w:pPr>
        <w:pStyle w:val="Style35"/>
        <w:keepNext/>
        <w:keepLines/>
        <w:widowControl w:val="0"/>
        <w:numPr>
          <w:ilvl w:val="0"/>
          <w:numId w:val="69"/>
        </w:numPr>
        <w:shd w:val="clear" w:color="auto" w:fill="auto"/>
        <w:bidi w:val="0"/>
        <w:spacing w:before="0" w:after="360" w:line="240" w:lineRule="auto"/>
        <w:ind w:left="0" w:right="0" w:firstLine="0"/>
        <w:jc w:val="left"/>
      </w:pPr>
      <w:bookmarkStart w:id="1169" w:name="bookmark1169"/>
      <w:bookmarkStart w:id="1170" w:name="bookmark1170"/>
      <w:bookmarkStart w:id="1173" w:name="bookmark1173"/>
      <w:bookmarkStart w:id="1174" w:name="bookmark1174"/>
      <w:bookmarkEnd w:id="1173"/>
      <w:r>
        <w:rPr>
          <w:color w:val="000000"/>
          <w:spacing w:val="0"/>
          <w:w w:val="100"/>
          <w:position w:val="0"/>
        </w:rPr>
        <w:t>在建工程情况</w:t>
      </w:r>
      <w:bookmarkEnd w:id="1169"/>
      <w:bookmarkEnd w:id="1170"/>
      <w:bookmarkEnd w:id="11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创业智慧医疗 软件生产基地 建设工程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56,928,230.66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56,928,230.66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9,030,903.39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9,030,903.39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9,030,903.39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9,030,903.39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56,928,230.66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56,928,230.66</w:t>
            </w:r>
          </w:p>
        </w:tc>
      </w:tr>
    </w:tbl>
    <w:p>
      <w:pPr>
        <w:widowControl w:val="0"/>
        <w:spacing w:after="299" w:line="1" w:lineRule="exact"/>
      </w:pPr>
    </w:p>
    <w:p>
      <w:pPr>
        <w:pStyle w:val="Style35"/>
        <w:keepNext/>
        <w:keepLines/>
        <w:widowControl w:val="0"/>
        <w:numPr>
          <w:ilvl w:val="0"/>
          <w:numId w:val="69"/>
        </w:numPr>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重要在建工程项目本期变动情况</w:t>
      </w:r>
      <w:bookmarkEnd w:id="1175"/>
      <w:bookmarkEnd w:id="1176"/>
      <w:bookmarkEnd w:id="11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160"/>
              <w:jc w:val="left"/>
            </w:pPr>
            <w:r>
              <w:rPr>
                <w:color w:val="000000"/>
                <w:spacing w:val="0"/>
                <w:w w:val="100"/>
                <w:position w:val="0"/>
              </w:rPr>
              <w:t>期初 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其中： 本期 利息 资本 化金</w:t>
            </w:r>
          </w:p>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创业 智慧 医疗 软件 生产 基地 建设 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92,375</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56,928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,230.6</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82,349</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,957.7</w:t>
            </w:r>
          </w:p>
          <w:p>
            <w:pPr>
              <w:pStyle w:val="Style24"/>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139,27</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8,188.</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募股 资金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零星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9,340,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310,00</w:t>
            </w:r>
          </w:p>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92,375</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56,928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,230.6</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91,690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,861.1</w:t>
            </w:r>
          </w:p>
          <w:p>
            <w:pPr>
              <w:pStyle w:val="Style24"/>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139,58</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8,188.</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903.39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numPr>
          <w:ilvl w:val="0"/>
          <w:numId w:val="69"/>
        </w:numPr>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本期计提在建工程减值准备情况</w:t>
      </w:r>
      <w:bookmarkEnd w:id="1179"/>
      <w:bookmarkEnd w:id="1180"/>
      <w:bookmarkEnd w:id="11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7" w:lineRule="exact"/>
        <w:ind w:left="0" w:right="0"/>
        <w:jc w:val="left"/>
      </w:pPr>
      <w:r>
        <w:rPr>
          <w:color w:val="000000"/>
          <w:spacing w:val="0"/>
          <w:w w:val="100"/>
          <w:position w:val="0"/>
        </w:rPr>
        <w:t>注：创业智慧医疗软件生产基地建设工程投入超过预算数金额，主要系该预算数为主体工程造价支出预算，不包含装修、 弱电等其他工程支出。</w:t>
      </w:r>
    </w:p>
    <w:p>
      <w:pPr>
        <w:pStyle w:val="Style35"/>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83"/>
      <w:bookmarkEnd w:id="1184"/>
      <w:bookmarkEnd w:id="11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87"/>
      <w:bookmarkEnd w:id="1188"/>
      <w:bookmarkEnd w:id="11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tabs>
          <w:tab w:pos="483" w:val="left"/>
        </w:tabs>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91"/>
      <w:bookmarkEnd w:id="1192"/>
      <w:bookmarkEnd w:id="1194"/>
    </w:p>
    <w:p>
      <w:pPr>
        <w:pStyle w:val="Style35"/>
        <w:keepNext/>
        <w:keepLines/>
        <w:widowControl w:val="0"/>
        <w:shd w:val="clear" w:color="auto" w:fill="auto"/>
        <w:tabs>
          <w:tab w:pos="488" w:val="left"/>
        </w:tabs>
        <w:bidi w:val="0"/>
        <w:spacing w:before="0" w:after="360" w:line="240" w:lineRule="auto"/>
        <w:ind w:left="0" w:right="0" w:firstLine="0"/>
        <w:jc w:val="left"/>
      </w:pPr>
      <w:bookmarkStart w:id="1191" w:name="bookmark1191"/>
      <w:bookmarkStart w:id="1192" w:name="bookmark1192"/>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191"/>
      <w:bookmarkEnd w:id="1192"/>
      <w:bookmarkEnd w:id="119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197"/>
      <w:bookmarkEnd w:id="1198"/>
      <w:bookmarkEnd w:id="120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01"/>
      <w:bookmarkEnd w:id="1202"/>
      <w:bookmarkEnd w:id="120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05"/>
      <w:bookmarkEnd w:id="1206"/>
      <w:bookmarkEnd w:id="1208"/>
    </w:p>
    <w:p>
      <w:pPr>
        <w:pStyle w:val="Style35"/>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5"/>
      <w:bookmarkEnd w:id="1206"/>
      <w:bookmarkEnd w:id="121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3,797,541.36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3,481,770.86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7,279,312.22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2,574,457.44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2,574,457.44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2,574,457.44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2,574,457.44</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51,282.05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51,282.05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51,282.05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51,282.05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3,797,541.36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6,004,946.25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9,802,487.61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158,231.00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2,103,138.77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2,261,369.77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75,950.88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929,272.64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1,005,223.52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75,950.88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929,272.64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1,005,223.52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854.70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854.70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234,181.88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3,031,556.71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3,265,738.59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3,563,359.48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2,973,389.54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6,536,749.02</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3,639,310.36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1,378,632.09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5,017,942.45</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7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5"/>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11"/>
      <w:bookmarkEnd w:id="1212"/>
      <w:bookmarkEnd w:id="121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15"/>
      <w:bookmarkEnd w:id="1216"/>
      <w:bookmarkEnd w:id="121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1"/>
        <w:gridCol w:w="3192"/>
        <w:gridCol w:w="3187"/>
        <w:gridCol w:w="1066"/>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19"/>
      <w:bookmarkEnd w:id="1220"/>
      <w:bookmarkEnd w:id="1222"/>
    </w:p>
    <w:p>
      <w:pPr>
        <w:pStyle w:val="Style35"/>
        <w:keepNext/>
        <w:keepLines/>
        <w:widowControl w:val="0"/>
        <w:shd w:val="clear" w:color="auto" w:fill="auto"/>
        <w:bidi w:val="0"/>
        <w:spacing w:before="0" w:after="360" w:line="240" w:lineRule="auto"/>
        <w:ind w:left="0" w:right="0" w:firstLine="0"/>
        <w:jc w:val="both"/>
      </w:pPr>
      <w:bookmarkStart w:id="1219" w:name="bookmark1219"/>
      <w:bookmarkStart w:id="1220" w:name="bookmark1220"/>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9"/>
      <w:bookmarkEnd w:id="1220"/>
      <w:bookmarkEnd w:id="12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杭州惟勤科技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1,121,977.72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1,121,977.72</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广东中拓信息 技术有限公司 和、中山市蓝 天电脑有限公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19,965,281.29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19,965,281.29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浙江创源环境 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10,161,712.57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10,161,712.57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31,248,971.58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31,248,971.58</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25"/>
      <w:bookmarkEnd w:id="1226"/>
      <w:bookmarkEnd w:id="122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2731"/>
        <w:gridCol w:w="2736"/>
        <w:gridCol w:w="1373"/>
      </w:tblGrid>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期末，公司对被投资单位杭州惟勤科技有限公司、广东中拓信息技术有限公司和中山市蓝天电脑有限公司、浙江创源环境科 技股份有限公司的商誉进行了减值测试，未出现商誉减值损失。</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本期本公司收购广东中拓信息技术有限公司和中山市蓝天电脑有限公司系一揽子交易，合并计算商誉。</w:t>
      </w:r>
    </w:p>
    <w:p>
      <w:pPr>
        <w:pStyle w:val="Style35"/>
        <w:keepNext/>
        <w:keepLines/>
        <w:widowControl w:val="0"/>
        <w:shd w:val="clear" w:color="auto" w:fill="auto"/>
        <w:bidi w:val="0"/>
        <w:spacing w:before="0" w:after="36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29"/>
      <w:bookmarkEnd w:id="1230"/>
      <w:bookmarkEnd w:id="12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租入固定资产改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17,125.70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17,125.70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3"/>
      <w:bookmarkEnd w:id="1234"/>
      <w:bookmarkEnd w:id="1236"/>
    </w:p>
    <w:p>
      <w:pPr>
        <w:pStyle w:val="Style35"/>
        <w:keepNext/>
        <w:keepLines/>
        <w:widowControl w:val="0"/>
        <w:numPr>
          <w:ilvl w:val="0"/>
          <w:numId w:val="71"/>
        </w:numPr>
        <w:shd w:val="clear" w:color="auto" w:fill="auto"/>
        <w:bidi w:val="0"/>
        <w:spacing w:before="0" w:after="360" w:line="240" w:lineRule="auto"/>
        <w:ind w:left="0" w:right="0" w:firstLine="140"/>
        <w:jc w:val="left"/>
      </w:pPr>
      <w:bookmarkStart w:id="1233" w:name="bookmark1233"/>
      <w:bookmarkStart w:id="1234" w:name="bookmark1234"/>
      <w:bookmarkStart w:id="1237" w:name="bookmark1237"/>
      <w:bookmarkStart w:id="1238" w:name="bookmark1238"/>
      <w:bookmarkEnd w:id="1237"/>
      <w:r>
        <w:rPr>
          <w:color w:val="000000"/>
          <w:spacing w:val="0"/>
          <w:w w:val="100"/>
          <w:position w:val="0"/>
        </w:rPr>
        <w:t>未经抵销的递延所得税资产</w:t>
      </w:r>
      <w:bookmarkEnd w:id="1233"/>
      <w:bookmarkEnd w:id="1234"/>
      <w:bookmarkEnd w:id="12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48,664,699.19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5,071,272.08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33,229,432.18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4,984,414.83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48,664,699.19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5,071,272.08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33,229,432.18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4,984,414.83</w:t>
            </w:r>
          </w:p>
        </w:tc>
      </w:tr>
    </w:tbl>
    <w:p>
      <w:pPr>
        <w:widowControl w:val="0"/>
        <w:spacing w:after="359" w:line="1" w:lineRule="exact"/>
      </w:pPr>
    </w:p>
    <w:p>
      <w:pPr>
        <w:pStyle w:val="Style35"/>
        <w:keepNext/>
        <w:keepLines/>
        <w:widowControl w:val="0"/>
        <w:numPr>
          <w:ilvl w:val="0"/>
          <w:numId w:val="71"/>
        </w:numPr>
        <w:shd w:val="clear" w:color="auto" w:fill="auto"/>
        <w:bidi w:val="0"/>
        <w:spacing w:before="0" w:after="360" w:line="240" w:lineRule="auto"/>
        <w:ind w:left="0" w:right="0" w:firstLine="14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未经抵销的递延所得税负债</w:t>
      </w:r>
      <w:bookmarkEnd w:id="1239"/>
      <w:bookmarkEnd w:id="1240"/>
      <w:bookmarkEnd w:id="12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bl>
    <w:p>
      <w:pPr>
        <w:widowControl w:val="0"/>
        <w:spacing w:after="359" w:line="1" w:lineRule="exact"/>
      </w:pPr>
    </w:p>
    <w:p>
      <w:pPr>
        <w:pStyle w:val="Style35"/>
        <w:keepNext/>
        <w:keepLines/>
        <w:widowControl w:val="0"/>
        <w:numPr>
          <w:ilvl w:val="0"/>
          <w:numId w:val="71"/>
        </w:numPr>
        <w:shd w:val="clear" w:color="auto" w:fill="auto"/>
        <w:bidi w:val="0"/>
        <w:spacing w:before="0" w:after="360" w:line="240" w:lineRule="auto"/>
        <w:ind w:left="0" w:right="0" w:firstLine="14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以抵销后净额列示的递延所得税资产或负债</w:t>
      </w:r>
      <w:bookmarkEnd w:id="1243"/>
      <w:bookmarkEnd w:id="1244"/>
      <w:bookmarkEnd w:id="12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5,071,272.08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4,984,414.83</w:t>
            </w:r>
          </w:p>
        </w:tc>
      </w:tr>
    </w:tbl>
    <w:p>
      <w:pPr>
        <w:spacing w:lineRule="exact" w:line="1"/>
        <w:rPr>
          <w:sz w:val="2"/>
          <w:szCs w:val="2"/>
        </w:rPr>
      </w:pPr>
      <w:r>
        <w:br w:type="page"/>
      </w:r>
    </w:p>
    <w:p>
      <w:pPr>
        <w:pStyle w:val="Style35"/>
        <w:keepNext/>
        <w:keepLines/>
        <w:widowControl w:val="0"/>
        <w:numPr>
          <w:ilvl w:val="0"/>
          <w:numId w:val="71"/>
        </w:numPr>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未确认递延所得税资产明细</w:t>
      </w:r>
      <w:bookmarkEnd w:id="1247"/>
      <w:bookmarkEnd w:id="1248"/>
      <w:bookmarkEnd w:id="12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15,179,811.52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6,565,608.25</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15,179,811.52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6,565,608.25</w:t>
            </w:r>
          </w:p>
        </w:tc>
      </w:tr>
    </w:tbl>
    <w:p>
      <w:pPr>
        <w:widowControl w:val="0"/>
        <w:spacing w:after="359" w:line="1" w:lineRule="exact"/>
      </w:pPr>
    </w:p>
    <w:p>
      <w:pPr>
        <w:pStyle w:val="Style35"/>
        <w:keepNext/>
        <w:keepLines/>
        <w:widowControl w:val="0"/>
        <w:numPr>
          <w:ilvl w:val="0"/>
          <w:numId w:val="71"/>
        </w:numPr>
        <w:shd w:val="clear" w:color="auto" w:fill="auto"/>
        <w:bidi w:val="0"/>
        <w:spacing w:before="0" w:after="360" w:line="240" w:lineRule="auto"/>
        <w:ind w:left="0" w:right="0" w:firstLine="14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未确认递延所得税资产的可抵扣亏损将于以下年度到期</w:t>
      </w:r>
      <w:bookmarkEnd w:id="1251"/>
      <w:bookmarkEnd w:id="1252"/>
      <w:bookmarkEnd w:id="12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55"/>
      <w:bookmarkEnd w:id="1256"/>
      <w:bookmarkEnd w:id="12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10,728,519.00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10,728,519.00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59"/>
      <w:bookmarkEnd w:id="1260"/>
      <w:bookmarkEnd w:id="1262"/>
    </w:p>
    <w:p>
      <w:pPr>
        <w:pStyle w:val="Style35"/>
        <w:keepNext/>
        <w:keepLines/>
        <w:widowControl w:val="0"/>
        <w:numPr>
          <w:ilvl w:val="0"/>
          <w:numId w:val="73"/>
        </w:numPr>
        <w:shd w:val="clear" w:color="auto" w:fill="auto"/>
        <w:bidi w:val="0"/>
        <w:spacing w:before="0" w:after="360" w:line="240" w:lineRule="auto"/>
        <w:ind w:left="0" w:right="0" w:firstLine="140"/>
        <w:jc w:val="left"/>
      </w:pPr>
      <w:bookmarkStart w:id="1259" w:name="bookmark1259"/>
      <w:bookmarkStart w:id="1260" w:name="bookmark1260"/>
      <w:bookmarkStart w:id="1263" w:name="bookmark1263"/>
      <w:bookmarkStart w:id="1264" w:name="bookmark1264"/>
      <w:bookmarkEnd w:id="1263"/>
      <w:r>
        <w:rPr>
          <w:color w:val="000000"/>
          <w:spacing w:val="0"/>
          <w:w w:val="100"/>
          <w:position w:val="0"/>
        </w:rPr>
        <w:t>短期借款分类</w:t>
      </w:r>
      <w:bookmarkEnd w:id="1259"/>
      <w:bookmarkEnd w:id="1260"/>
      <w:bookmarkEnd w:id="12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5"/>
        <w:keepNext/>
        <w:keepLines/>
        <w:widowControl w:val="0"/>
        <w:numPr>
          <w:ilvl w:val="0"/>
          <w:numId w:val="73"/>
        </w:numPr>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已逾期未偿还的短期借款情况</w:t>
      </w:r>
      <w:bookmarkEnd w:id="1265"/>
      <w:bookmarkEnd w:id="1266"/>
      <w:bookmarkEnd w:id="12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69"/>
      <w:bookmarkEnd w:id="1270"/>
      <w:bookmarkEnd w:id="12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after="36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73"/>
      <w:bookmarkEnd w:id="1274"/>
      <w:bookmarkEnd w:id="127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77"/>
      <w:bookmarkEnd w:id="1278"/>
      <w:bookmarkEnd w:id="12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3,794,835.50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3,794,835.50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81"/>
      <w:bookmarkEnd w:id="1282"/>
      <w:bookmarkEnd w:id="1284"/>
    </w:p>
    <w:p>
      <w:pPr>
        <w:pStyle w:val="Style35"/>
        <w:keepNext/>
        <w:keepLines/>
        <w:widowControl w:val="0"/>
        <w:numPr>
          <w:ilvl w:val="0"/>
          <w:numId w:val="75"/>
        </w:numPr>
        <w:shd w:val="clear" w:color="auto" w:fill="auto"/>
        <w:bidi w:val="0"/>
        <w:spacing w:before="0" w:after="360" w:line="240" w:lineRule="auto"/>
        <w:ind w:left="0" w:right="0" w:firstLine="140"/>
        <w:jc w:val="left"/>
      </w:pPr>
      <w:bookmarkStart w:id="1281" w:name="bookmark1281"/>
      <w:bookmarkStart w:id="1282" w:name="bookmark1282"/>
      <w:bookmarkStart w:id="1285" w:name="bookmark1285"/>
      <w:bookmarkStart w:id="1286" w:name="bookmark1286"/>
      <w:bookmarkEnd w:id="1285"/>
      <w:r>
        <w:rPr>
          <w:color w:val="000000"/>
          <w:spacing w:val="0"/>
          <w:w w:val="100"/>
          <w:position w:val="0"/>
        </w:rPr>
        <w:t>应付账款列示</w:t>
      </w:r>
      <w:bookmarkEnd w:id="1281"/>
      <w:bookmarkEnd w:id="1282"/>
      <w:bookmarkEnd w:id="12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77,259,531.29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69,142,676.05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30,087,274.97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3,770,000.00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126,559.63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107,473,365.89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72,912,676.05</w:t>
            </w:r>
          </w:p>
        </w:tc>
      </w:tr>
    </w:tbl>
    <w:p>
      <w:pPr>
        <w:widowControl w:val="0"/>
        <w:spacing w:after="299" w:line="1" w:lineRule="exact"/>
      </w:pPr>
    </w:p>
    <w:p>
      <w:pPr>
        <w:pStyle w:val="Style35"/>
        <w:keepNext/>
        <w:keepLines/>
        <w:widowControl w:val="0"/>
        <w:numPr>
          <w:ilvl w:val="0"/>
          <w:numId w:val="75"/>
        </w:numPr>
        <w:shd w:val="clear" w:color="auto" w:fill="auto"/>
        <w:bidi w:val="0"/>
        <w:spacing w:before="0" w:after="360" w:line="240" w:lineRule="auto"/>
        <w:ind w:left="0" w:right="0" w:firstLine="14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87"/>
      <w:bookmarkEnd w:id="1288"/>
      <w:bookmarkEnd w:id="12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91"/>
      <w:bookmarkEnd w:id="1292"/>
      <w:bookmarkEnd w:id="1294"/>
    </w:p>
    <w:p>
      <w:pPr>
        <w:pStyle w:val="Style35"/>
        <w:keepNext/>
        <w:keepLines/>
        <w:widowControl w:val="0"/>
        <w:numPr>
          <w:ilvl w:val="0"/>
          <w:numId w:val="77"/>
        </w:numPr>
        <w:shd w:val="clear" w:color="auto" w:fill="auto"/>
        <w:bidi w:val="0"/>
        <w:spacing w:before="0" w:after="360" w:line="240" w:lineRule="auto"/>
        <w:ind w:left="0" w:right="0" w:firstLine="0"/>
        <w:jc w:val="both"/>
      </w:pPr>
      <w:bookmarkStart w:id="1291" w:name="bookmark1291"/>
      <w:bookmarkStart w:id="1292" w:name="bookmark1292"/>
      <w:bookmarkStart w:id="1295" w:name="bookmark1295"/>
      <w:bookmarkStart w:id="1296" w:name="bookmark1296"/>
      <w:bookmarkEnd w:id="1295"/>
      <w:r>
        <w:rPr>
          <w:color w:val="000000"/>
          <w:spacing w:val="0"/>
          <w:w w:val="100"/>
          <w:position w:val="0"/>
        </w:rPr>
        <w:t>预收款项列示</w:t>
      </w:r>
      <w:bookmarkEnd w:id="1291"/>
      <w:bookmarkEnd w:id="1292"/>
      <w:bookmarkEnd w:id="1296"/>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97,392,653.30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54,432,052.16</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97,392,653.30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54,432,052.16</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80" w:line="240" w:lineRule="auto"/>
        <w:ind w:left="0" w:right="0" w:firstLine="14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97"/>
      <w:bookmarkEnd w:id="1298"/>
      <w:bookmarkEnd w:id="13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80" w:line="240" w:lineRule="auto"/>
        <w:ind w:left="0" w:right="0" w:firstLine="14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期末建造合同形成的已结算未完工项目情况</w:t>
      </w:r>
      <w:bookmarkEnd w:id="1301"/>
      <w:bookmarkEnd w:id="1302"/>
      <w:bookmarkEnd w:id="130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05"/>
      <w:bookmarkEnd w:id="1306"/>
      <w:bookmarkEnd w:id="1308"/>
    </w:p>
    <w:p>
      <w:pPr>
        <w:pStyle w:val="Style35"/>
        <w:keepNext/>
        <w:keepLines/>
        <w:widowControl w:val="0"/>
        <w:numPr>
          <w:ilvl w:val="0"/>
          <w:numId w:val="79"/>
        </w:numPr>
        <w:shd w:val="clear" w:color="auto" w:fill="auto"/>
        <w:bidi w:val="0"/>
        <w:spacing w:before="0" w:after="380" w:line="240" w:lineRule="auto"/>
        <w:ind w:left="0" w:right="0" w:firstLine="0"/>
        <w:jc w:val="left"/>
      </w:pPr>
      <w:bookmarkStart w:id="1305" w:name="bookmark1305"/>
      <w:bookmarkStart w:id="1306" w:name="bookmark1306"/>
      <w:bookmarkStart w:id="1309" w:name="bookmark1309"/>
      <w:bookmarkStart w:id="1310" w:name="bookmark1310"/>
      <w:bookmarkEnd w:id="1309"/>
      <w:r>
        <w:rPr>
          <w:color w:val="000000"/>
          <w:spacing w:val="0"/>
          <w:w w:val="100"/>
          <w:position w:val="0"/>
        </w:rPr>
        <w:t>应付职工薪酬列示</w:t>
      </w:r>
      <w:bookmarkEnd w:id="1305"/>
      <w:bookmarkEnd w:id="1306"/>
      <w:bookmarkEnd w:id="13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8,845,850.42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202,691,031.89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196,380,408.47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15,156,473.84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509,319.22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13,453,498.86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13,215,475.02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747,343.06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9,355,169.64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216,144,530.75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209,595,883.49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15,903,816.90</w:t>
            </w:r>
          </w:p>
        </w:tc>
      </w:tr>
    </w:tbl>
    <w:p>
      <w:pPr>
        <w:widowControl w:val="0"/>
        <w:spacing w:after="319" w:line="1" w:lineRule="exact"/>
      </w:pPr>
    </w:p>
    <w:p>
      <w:pPr>
        <w:pStyle w:val="Style35"/>
        <w:keepNext/>
        <w:keepLines/>
        <w:widowControl w:val="0"/>
        <w:numPr>
          <w:ilvl w:val="0"/>
          <w:numId w:val="79"/>
        </w:numPr>
        <w:shd w:val="clear" w:color="auto" w:fill="auto"/>
        <w:bidi w:val="0"/>
        <w:spacing w:before="0" w:after="380" w:line="240" w:lineRule="auto"/>
        <w:ind w:left="0" w:right="0" w:firstLine="14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短期薪酬列示</w:t>
      </w:r>
      <w:bookmarkEnd w:id="1311"/>
      <w:bookmarkEnd w:id="1312"/>
      <w:bookmarkEnd w:id="13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8,125,337.48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176,549,650.65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170,136,843.80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14,538,144.33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9,247,529.71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9,247,529.71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600,512.94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8,131,796.50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8,175,779.61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556,529.83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501,828.50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7,335,010.86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7,334,976.34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501,863.02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20,468.09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209,543.63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219,917.90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10,093.82</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78,216.35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587,242.01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620,885.37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44,572.99</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8,448,510.64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8,448,510.64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313,544.39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371,744.71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61,799.68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8,845,850.42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202,691,031.89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196,380,408.47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15,156,473.84</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14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15"/>
      <w:bookmarkEnd w:id="1316"/>
      <w:bookmarkEnd w:id="13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436,686.23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12,721,981.86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12,455,547.67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731,517.00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759,927.35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44,222.64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509,319.22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13,453,498.86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13,215,475.02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747,343.06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19"/>
      <w:bookmarkEnd w:id="1320"/>
      <w:bookmarkEnd w:id="13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10,316,788.78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7,122,065.82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6,710,005.30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6,542,731.91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888,151.59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482,672.88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817,324.11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641,607.88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1,275,396.47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354,051.32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270,674.42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218,503.38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172,874.61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92,528.44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171,947.99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12,510.46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620,279.19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20,097,172.23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16,613,089.26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23"/>
      <w:bookmarkEnd w:id="1324"/>
      <w:bookmarkEnd w:id="13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27"/>
      <w:bookmarkEnd w:id="1328"/>
      <w:bookmarkEnd w:id="13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309,750.01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309,750.01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上述应付股利系尚未解锁的限制性股票的未付股利。</w:t>
      </w:r>
    </w:p>
    <w:p>
      <w:pPr>
        <w:pStyle w:val="Style35"/>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31"/>
      <w:bookmarkEnd w:id="1332"/>
      <w:bookmarkEnd w:id="1334"/>
    </w:p>
    <w:p>
      <w:pPr>
        <w:pStyle w:val="Style35"/>
        <w:keepNext/>
        <w:keepLines/>
        <w:widowControl w:val="0"/>
        <w:numPr>
          <w:ilvl w:val="0"/>
          <w:numId w:val="81"/>
        </w:numPr>
        <w:shd w:val="clear" w:color="auto" w:fill="auto"/>
        <w:bidi w:val="0"/>
        <w:spacing w:before="0" w:after="360" w:line="240" w:lineRule="auto"/>
        <w:ind w:left="0" w:right="0" w:firstLine="0"/>
        <w:jc w:val="left"/>
      </w:pPr>
      <w:bookmarkStart w:id="1331" w:name="bookmark1331"/>
      <w:bookmarkStart w:id="1332" w:name="bookmark1332"/>
      <w:bookmarkStart w:id="1335" w:name="bookmark1335"/>
      <w:bookmarkStart w:id="1336" w:name="bookmark1336"/>
      <w:bookmarkEnd w:id="1335"/>
      <w:r>
        <w:rPr>
          <w:color w:val="000000"/>
          <w:spacing w:val="0"/>
          <w:w w:val="100"/>
          <w:position w:val="0"/>
        </w:rPr>
        <w:t>按款项性质列示其他应付款</w:t>
      </w:r>
      <w:bookmarkEnd w:id="1331"/>
      <w:bookmarkEnd w:id="1332"/>
      <w:bookmarkEnd w:id="13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2,209,490.00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996,690.00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应付报销款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5,799,089.35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3,570,569.05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97,259,048.04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103,747,150.00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2,672,570.83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2,518,726.30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107,940,198.22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110,833,135.35</w:t>
            </w:r>
          </w:p>
        </w:tc>
      </w:tr>
    </w:tbl>
    <w:p>
      <w:pPr>
        <w:widowControl w:val="0"/>
        <w:spacing w:after="299" w:line="1" w:lineRule="exact"/>
      </w:pPr>
    </w:p>
    <w:p>
      <w:pPr>
        <w:pStyle w:val="Style35"/>
        <w:keepNext/>
        <w:keepLines/>
        <w:widowControl w:val="0"/>
        <w:numPr>
          <w:ilvl w:val="0"/>
          <w:numId w:val="81"/>
        </w:numPr>
        <w:shd w:val="clear" w:color="auto" w:fill="auto"/>
        <w:bidi w:val="0"/>
        <w:spacing w:before="0" w:after="360" w:line="240" w:lineRule="auto"/>
        <w:ind w:left="0" w:right="0" w:firstLine="14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37"/>
      <w:bookmarkEnd w:id="1338"/>
      <w:bookmarkEnd w:id="13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77,322,158.04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尚未解锁</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77,322,158.04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注：限制性股票回购义务具体情况详见本财务报表附注库存股之注释。另，库存股项目列示的限制性股票回购义务</w:t>
      </w:r>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97,747,403.04</w:t>
      </w:r>
      <w:r>
        <w:rPr>
          <w:color w:val="000000"/>
          <w:spacing w:val="0"/>
          <w:w w:val="100"/>
          <w:position w:val="0"/>
        </w:rPr>
        <w:t>元大于其他应付款</w:t>
      </w:r>
      <w:r>
        <w:rPr>
          <w:rFonts w:ascii="Times New Roman" w:eastAsia="Times New Roman" w:hAnsi="Times New Roman" w:cs="Times New Roman"/>
          <w:color w:val="000000"/>
          <w:spacing w:val="0"/>
          <w:w w:val="100"/>
          <w:position w:val="0"/>
        </w:rPr>
        <w:t>97,259,048.04</w:t>
      </w:r>
      <w:r>
        <w:rPr>
          <w:color w:val="000000"/>
          <w:spacing w:val="0"/>
          <w:w w:val="100"/>
          <w:position w:val="0"/>
        </w:rPr>
        <w:t>元的差额</w:t>
      </w:r>
      <w:r>
        <w:rPr>
          <w:rFonts w:ascii="Times New Roman" w:eastAsia="Times New Roman" w:hAnsi="Times New Roman" w:cs="Times New Roman"/>
          <w:color w:val="000000"/>
          <w:spacing w:val="0"/>
          <w:w w:val="100"/>
          <w:position w:val="0"/>
        </w:rPr>
        <w:t>488,355.00</w:t>
      </w:r>
      <w:r>
        <w:rPr>
          <w:color w:val="000000"/>
          <w:spacing w:val="0"/>
          <w:w w:val="100"/>
          <w:position w:val="0"/>
        </w:rPr>
        <w:t>元，系本期公司已回购徐晨等</w:t>
      </w:r>
      <w:r>
        <w:rPr>
          <w:rFonts w:ascii="Times New Roman" w:eastAsia="Times New Roman" w:hAnsi="Times New Roman" w:cs="Times New Roman"/>
          <w:color w:val="000000"/>
          <w:spacing w:val="0"/>
          <w:w w:val="100"/>
          <w:position w:val="0"/>
        </w:rPr>
        <w:t>6</w:t>
      </w:r>
      <w:r>
        <w:rPr>
          <w:color w:val="000000"/>
          <w:spacing w:val="0"/>
          <w:w w:val="100"/>
          <w:position w:val="0"/>
        </w:rPr>
        <w:t xml:space="preserve">位自然人限制性股票 </w:t>
      </w:r>
      <w:r>
        <w:rPr>
          <w:rFonts w:ascii="Times New Roman" w:eastAsia="Times New Roman" w:hAnsi="Times New Roman" w:cs="Times New Roman"/>
          <w:color w:val="000000"/>
          <w:spacing w:val="0"/>
          <w:w w:val="100"/>
          <w:position w:val="0"/>
        </w:rPr>
        <w:t>27,000</w:t>
      </w:r>
      <w:r>
        <w:rPr>
          <w:color w:val="000000"/>
          <w:spacing w:val="0"/>
          <w:w w:val="100"/>
          <w:position w:val="0"/>
        </w:rPr>
        <w:t>股，但尚未注销股本所致。</w:t>
      </w:r>
    </w:p>
    <w:p>
      <w:pPr>
        <w:pStyle w:val="Style35"/>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41"/>
      <w:bookmarkEnd w:id="1342"/>
      <w:bookmarkEnd w:id="134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45"/>
      <w:bookmarkEnd w:id="1346"/>
      <w:bookmarkEnd w:id="134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49"/>
      <w:bookmarkEnd w:id="1350"/>
      <w:bookmarkEnd w:id="13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2"/>
        <w:gridCol w:w="806"/>
        <w:gridCol w:w="797"/>
        <w:gridCol w:w="797"/>
        <w:gridCol w:w="792"/>
        <w:gridCol w:w="806"/>
        <w:gridCol w:w="797"/>
        <w:gridCol w:w="797"/>
        <w:gridCol w:w="850"/>
      </w:tblGrid>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12"/>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短期应付债券的增减变动：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4</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53"/>
      <w:bookmarkEnd w:id="1354"/>
      <w:bookmarkEnd w:id="1356"/>
    </w:p>
    <w:p>
      <w:pPr>
        <w:pStyle w:val="Style35"/>
        <w:keepNext/>
        <w:keepLines/>
        <w:widowControl w:val="0"/>
        <w:shd w:val="clear" w:color="auto" w:fill="auto"/>
        <w:bidi w:val="0"/>
        <w:spacing w:before="0" w:after="360" w:line="240" w:lineRule="auto"/>
        <w:ind w:left="0" w:right="0" w:firstLine="140"/>
        <w:jc w:val="both"/>
      </w:pPr>
      <w:bookmarkStart w:id="1353" w:name="bookmark1353"/>
      <w:bookmarkStart w:id="1354" w:name="bookmark1354"/>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53"/>
      <w:bookmarkEnd w:id="1354"/>
      <w:bookmarkEnd w:id="1357"/>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5"/>
        <w:keepNext/>
        <w:keepLines/>
        <w:widowControl w:val="0"/>
        <w:shd w:val="clear" w:color="auto" w:fill="auto"/>
        <w:bidi w:val="0"/>
        <w:spacing w:before="0" w:after="36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58"/>
      <w:bookmarkEnd w:id="1359"/>
      <w:bookmarkEnd w:id="1361"/>
    </w:p>
    <w:p>
      <w:pPr>
        <w:pStyle w:val="Style35"/>
        <w:keepNext/>
        <w:keepLines/>
        <w:widowControl w:val="0"/>
        <w:shd w:val="clear" w:color="auto" w:fill="auto"/>
        <w:bidi w:val="0"/>
        <w:spacing w:before="0" w:after="360" w:line="240" w:lineRule="auto"/>
        <w:ind w:left="0" w:right="0" w:firstLine="0"/>
        <w:jc w:val="both"/>
      </w:pPr>
      <w:bookmarkStart w:id="1358" w:name="bookmark1358"/>
      <w:bookmarkStart w:id="1359" w:name="bookmark1359"/>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58"/>
      <w:bookmarkEnd w:id="1359"/>
      <w:bookmarkEnd w:id="136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5"/>
        <w:keepNext/>
        <w:keepLines/>
        <w:widowControl w:val="0"/>
        <w:shd w:val="clear" w:color="auto" w:fill="auto"/>
        <w:bidi w:val="0"/>
        <w:spacing w:before="0" w:after="360" w:line="240" w:lineRule="auto"/>
        <w:ind w:left="0" w:right="0" w:firstLine="14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63"/>
      <w:bookmarkEnd w:id="1364"/>
      <w:bookmarkEnd w:id="1365"/>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5"/>
        <w:keepNext/>
        <w:keepLines/>
        <w:widowControl w:val="0"/>
        <w:numPr>
          <w:ilvl w:val="0"/>
          <w:numId w:val="81"/>
        </w:numPr>
        <w:shd w:val="clear" w:color="auto" w:fill="auto"/>
        <w:tabs>
          <w:tab w:pos="628" w:val="left"/>
        </w:tabs>
        <w:bidi w:val="0"/>
        <w:spacing w:before="0" w:after="36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可转换公司债券的转股条件、转股时间说明</w:t>
      </w:r>
      <w:bookmarkEnd w:id="1366"/>
      <w:bookmarkEnd w:id="1367"/>
      <w:bookmarkEnd w:id="1369"/>
    </w:p>
    <w:p>
      <w:pPr>
        <w:pStyle w:val="Style35"/>
        <w:keepNext/>
        <w:keepLines/>
        <w:widowControl w:val="0"/>
        <w:numPr>
          <w:ilvl w:val="0"/>
          <w:numId w:val="81"/>
        </w:numPr>
        <w:shd w:val="clear" w:color="auto" w:fill="auto"/>
        <w:tabs>
          <w:tab w:pos="628" w:val="left"/>
        </w:tabs>
        <w:bidi w:val="0"/>
        <w:spacing w:before="0" w:after="360" w:line="240" w:lineRule="auto"/>
        <w:ind w:left="0" w:right="0" w:firstLine="140"/>
        <w:jc w:val="left"/>
      </w:pPr>
      <w:bookmarkStart w:id="1366" w:name="bookmark1366"/>
      <w:bookmarkStart w:id="1367" w:name="bookmark1367"/>
      <w:bookmarkStart w:id="1370" w:name="bookmark1370"/>
      <w:bookmarkStart w:id="1371" w:name="bookmark1371"/>
      <w:bookmarkEnd w:id="1370"/>
      <w:r>
        <w:rPr>
          <w:color w:val="000000"/>
          <w:spacing w:val="0"/>
          <w:w w:val="100"/>
          <w:position w:val="0"/>
        </w:rPr>
        <w:t>划分为金融负债的其他金融工具说明</w:t>
      </w:r>
      <w:bookmarkEnd w:id="1366"/>
      <w:bookmarkEnd w:id="1367"/>
      <w:bookmarkEnd w:id="137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其他金融工具划分为金融负债的依据说明 其他说明</w:t>
      </w:r>
    </w:p>
    <w:p>
      <w:pPr>
        <w:pStyle w:val="Style35"/>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72"/>
      <w:bookmarkEnd w:id="1373"/>
      <w:bookmarkEnd w:id="1375"/>
    </w:p>
    <w:p>
      <w:pPr>
        <w:pStyle w:val="Style35"/>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72"/>
      <w:bookmarkEnd w:id="1373"/>
      <w:bookmarkEnd w:id="13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77"/>
      <w:bookmarkEnd w:id="1378"/>
      <w:bookmarkEnd w:id="1380"/>
    </w:p>
    <w:p>
      <w:pPr>
        <w:pStyle w:val="Style35"/>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77"/>
      <w:bookmarkEnd w:id="1378"/>
      <w:bookmarkEnd w:id="13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382"/>
      <w:bookmarkEnd w:id="1383"/>
      <w:bookmarkEnd w:id="1384"/>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设定受益计划义务现值:</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2126"/>
        <w:gridCol w:w="3192"/>
        <w:gridCol w:w="325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line="1" w:lineRule="exact"/>
        <w:sectPr>
          <w:footnotePr>
            <w:pos w:val="pageBottom"/>
            <w:numFmt w:val="decimal"/>
            <w:numRestart w:val="continuous"/>
          </w:footnotePr>
          <w:pgSz w:w="11900" w:h="16840"/>
          <w:pgMar w:top="1211" w:right="1016" w:bottom="1449" w:left="1020" w:header="0" w:footer="3" w:gutter="0"/>
          <w:cols w:space="720"/>
          <w:noEndnote/>
          <w:rtlGutter w:val="0"/>
          <w:docGrid w:linePitch="360"/>
        </w:sectPr>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385"/>
      <w:bookmarkEnd w:id="1386"/>
      <w:bookmarkEnd w:id="13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89"/>
      <w:bookmarkEnd w:id="1390"/>
      <w:bookmarkEnd w:id="139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5"/>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5</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93"/>
      <w:bookmarkEnd w:id="1394"/>
      <w:bookmarkEnd w:id="13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21,199,800.00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21,359,800.00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21,199,800.00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9,492,000.00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9,332,000.00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21,359,800.00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战略性新兴产 业''智慧医疗</w:t>
            </w:r>
            <w:r>
              <w:rPr>
                <w:rFonts w:ascii="Times New Roman" w:eastAsia="Times New Roman" w:hAnsi="Times New Roman" w:cs="Times New Roman"/>
                <w:color w:val="000000"/>
                <w:spacing w:val="0"/>
                <w:w w:val="100"/>
                <w:position w:val="0"/>
              </w:rPr>
              <w:t xml:space="preserve">" </w:t>
            </w:r>
            <w:r>
              <w:rPr>
                <w:color w:val="000000"/>
                <w:spacing w:val="0"/>
                <w:w w:val="100"/>
                <w:position w:val="0"/>
              </w:rPr>
              <w:t>软件技术创新 综合试点企业 研究院建设补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基于电子健康 档案的区域医 疗卫生综合管 理信息系统升 级与产业化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基于电子健康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档案的智能社 区医疗服务系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面向医院</w:t>
            </w:r>
            <w:r>
              <w:rPr>
                <w:rFonts w:ascii="Times New Roman" w:eastAsia="Times New Roman" w:hAnsi="Times New Roman" w:cs="Times New Roman"/>
                <w:color w:val="000000"/>
                <w:spacing w:val="0"/>
                <w:w w:val="100"/>
                <w:position w:val="0"/>
              </w:rPr>
              <w:t>IT</w:t>
            </w:r>
            <w:r>
              <w:rPr>
                <w:color w:val="000000"/>
                <w:spacing w:val="0"/>
                <w:w w:val="100"/>
                <w:position w:val="0"/>
              </w:rPr>
              <w:t>系 统的综合运维 服务托管支撑 平台研发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医学临床图像 智能处理系统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基于互联网的 移动健康</w:t>
            </w:r>
            <w:r>
              <w:rPr>
                <w:rFonts w:ascii="Times New Roman" w:eastAsia="Times New Roman" w:hAnsi="Times New Roman" w:cs="Times New Roman"/>
                <w:color w:val="000000"/>
                <w:spacing w:val="0"/>
                <w:w w:val="100"/>
                <w:position w:val="0"/>
              </w:rPr>
              <w:t xml:space="preserve">APP </w:t>
            </w:r>
            <w:r>
              <w:rPr>
                <w:color w:val="000000"/>
                <w:spacing w:val="0"/>
                <w:w w:val="100"/>
                <w:position w:val="0"/>
              </w:rPr>
              <w:t>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XML</w:t>
            </w:r>
            <w:r>
              <w:rPr>
                <w:color w:val="000000"/>
                <w:spacing w:val="0"/>
                <w:w w:val="100"/>
                <w:position w:val="0"/>
              </w:rPr>
              <w:t>的 医学影像知识 库系统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基于有源射频 识别技术</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婴儿</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智能防盗系统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298,800.00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传染病监测和 预警信息平台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高端软件及应 用系统集聚发 展实施项目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 网的网络医院 云服务平台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创业智慧医疗 软件生产基地 建设工程开工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21,199,800.00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9,492,000.00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21,359,800.00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期末与收益相关的政府补助均为尚未完工或完成验收的政府补助。</w:t>
      </w:r>
    </w:p>
    <w:p>
      <w:pPr>
        <w:pStyle w:val="Style35"/>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5</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97"/>
      <w:bookmarkEnd w:id="1398"/>
      <w:bookmarkEnd w:id="14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5</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01"/>
      <w:bookmarkEnd w:id="1402"/>
      <w:bookmarkEnd w:id="14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70,067,500.0</w:t>
            </w:r>
          </w:p>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140,135,000.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140,928,500.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210,996,000.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316" w:val="left"/>
        </w:tabs>
        <w:bidi w:val="0"/>
        <w:spacing w:before="0" w:after="0" w:line="317" w:lineRule="exact"/>
        <w:ind w:left="0" w:right="0" w:firstLine="0"/>
        <w:jc w:val="left"/>
      </w:pPr>
      <w:bookmarkStart w:id="1405" w:name="bookmark1405"/>
      <w:r>
        <w:rPr>
          <w:rFonts w:ascii="Times New Roman" w:eastAsia="Times New Roman" w:hAnsi="Times New Roman" w:cs="Times New Roman"/>
          <w:color w:val="000000"/>
          <w:spacing w:val="0"/>
          <w:w w:val="100"/>
          <w:position w:val="0"/>
        </w:rPr>
        <w:t>1</w:t>
      </w:r>
      <w:bookmarkEnd w:id="1405"/>
      <w:r>
        <w:rPr>
          <w:rFonts w:ascii="Times New Roman" w:eastAsia="Times New Roman" w:hAnsi="Times New Roman" w:cs="Times New Roman"/>
          <w:color w:val="000000"/>
          <w:spacing w:val="0"/>
          <w:w w:val="100"/>
          <w:position w:val="0"/>
        </w:rPr>
        <w:t>）</w:t>
        <w:tab/>
      </w: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年度股东大会决议和修改后章程的规定，公司以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日的总股份</w:t>
      </w:r>
      <w:r>
        <w:rPr>
          <w:rFonts w:ascii="Times New Roman" w:eastAsia="Times New Roman" w:hAnsi="Times New Roman" w:cs="Times New Roman"/>
          <w:color w:val="000000"/>
          <w:spacing w:val="0"/>
          <w:w w:val="100"/>
          <w:position w:val="0"/>
        </w:rPr>
        <w:t>70,067,500</w:t>
      </w:r>
      <w:r>
        <w:rPr>
          <w:color w:val="000000"/>
          <w:spacing w:val="0"/>
          <w:w w:val="100"/>
          <w:position w:val="0"/>
        </w:rPr>
        <w:t>股为基数，以资本 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股，共计增加股本</w:t>
      </w:r>
      <w:r>
        <w:rPr>
          <w:rFonts w:ascii="Times New Roman" w:eastAsia="Times New Roman" w:hAnsi="Times New Roman" w:cs="Times New Roman"/>
          <w:color w:val="000000"/>
          <w:spacing w:val="0"/>
          <w:w w:val="100"/>
          <w:position w:val="0"/>
        </w:rPr>
        <w:t>140,135,000</w:t>
      </w:r>
      <w:r>
        <w:rPr>
          <w:color w:val="000000"/>
          <w:spacing w:val="0"/>
          <w:w w:val="100"/>
          <w:position w:val="0"/>
        </w:rPr>
        <w:t>股，增资后公司注册资本变更为</w:t>
      </w:r>
      <w:r>
        <w:rPr>
          <w:rFonts w:ascii="Times New Roman" w:eastAsia="Times New Roman" w:hAnsi="Times New Roman" w:cs="Times New Roman"/>
          <w:color w:val="000000"/>
          <w:spacing w:val="0"/>
          <w:w w:val="100"/>
          <w:position w:val="0"/>
        </w:rPr>
        <w:t>210,202,500.00</w:t>
      </w:r>
      <w:r>
        <w:rPr>
          <w:color w:val="000000"/>
          <w:spacing w:val="0"/>
          <w:w w:val="100"/>
          <w:position w:val="0"/>
        </w:rPr>
        <w:t>元。上述增 资事项业经天健会计师事务所（特殊普通合伙）审验，并由其于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日出具了《验资报告》（天健验〔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148 </w:t>
      </w:r>
      <w:r>
        <w:rPr>
          <w:color w:val="000000"/>
          <w:spacing w:val="0"/>
          <w:w w:val="100"/>
          <w:position w:val="0"/>
        </w:rPr>
        <w:t>号）。</w:t>
      </w:r>
    </w:p>
    <w:p>
      <w:pPr>
        <w:pStyle w:val="Style29"/>
        <w:keepNext w:val="0"/>
        <w:keepLines w:val="0"/>
        <w:widowControl w:val="0"/>
        <w:shd w:val="clear" w:color="auto" w:fill="auto"/>
        <w:tabs>
          <w:tab w:pos="331" w:val="left"/>
        </w:tabs>
        <w:bidi w:val="0"/>
        <w:spacing w:before="0" w:after="0" w:line="312" w:lineRule="exact"/>
        <w:ind w:left="0" w:right="0" w:firstLine="0"/>
        <w:jc w:val="left"/>
      </w:pPr>
      <w:bookmarkStart w:id="1406" w:name="bookmark1406"/>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w:t>
        <w:tab/>
      </w: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年第三次临时股东大会决议和</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年年度股东大会决议，公司向叶云等</w:t>
      </w:r>
      <w:r>
        <w:rPr>
          <w:rFonts w:ascii="Times New Roman" w:eastAsia="Times New Roman" w:hAnsi="Times New Roman" w:cs="Times New Roman"/>
          <w:color w:val="000000"/>
          <w:spacing w:val="0"/>
          <w:w w:val="100"/>
          <w:position w:val="0"/>
        </w:rPr>
        <w:t>35</w:t>
      </w:r>
      <w:r>
        <w:rPr>
          <w:color w:val="000000"/>
          <w:spacing w:val="0"/>
          <w:w w:val="100"/>
          <w:position w:val="0"/>
        </w:rPr>
        <w:t>位激励对象拟授予限制性人民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873,000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元，每股授予价格为人民币</w:t>
      </w:r>
      <w:r>
        <w:rPr>
          <w:rFonts w:ascii="Times New Roman" w:eastAsia="Times New Roman" w:hAnsi="Times New Roman" w:cs="Times New Roman"/>
          <w:color w:val="000000"/>
          <w:spacing w:val="0"/>
          <w:w w:val="100"/>
          <w:position w:val="0"/>
        </w:rPr>
        <w:t>24.89</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日，除</w:t>
      </w:r>
      <w:r>
        <w:rPr>
          <w:rFonts w:ascii="Times New Roman" w:eastAsia="Times New Roman" w:hAnsi="Times New Roman" w:cs="Times New Roman"/>
          <w:color w:val="000000"/>
          <w:spacing w:val="0"/>
          <w:w w:val="100"/>
          <w:position w:val="0"/>
        </w:rPr>
        <w:t>7</w:t>
      </w:r>
      <w:r>
        <w:rPr>
          <w:color w:val="000000"/>
          <w:spacing w:val="0"/>
          <w:w w:val="100"/>
          <w:position w:val="0"/>
        </w:rPr>
        <w:t>名符合条件 的激励对象因未按规定日期缴纳认购款而放弃外，其余</w:t>
      </w:r>
      <w:r>
        <w:rPr>
          <w:rFonts w:ascii="Times New Roman" w:eastAsia="Times New Roman" w:hAnsi="Times New Roman" w:cs="Times New Roman"/>
          <w:color w:val="000000"/>
          <w:spacing w:val="0"/>
          <w:w w:val="100"/>
          <w:position w:val="0"/>
        </w:rPr>
        <w:t>28</w:t>
      </w:r>
      <w:r>
        <w:rPr>
          <w:color w:val="000000"/>
          <w:spacing w:val="0"/>
          <w:w w:val="100"/>
          <w:position w:val="0"/>
        </w:rPr>
        <w:t>名激励对象认购限制性人民币普通股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801,000</w:t>
      </w:r>
      <w:r>
        <w:rPr>
          <w:color w:val="000000"/>
          <w:spacing w:val="0"/>
          <w:w w:val="100"/>
          <w:position w:val="0"/>
        </w:rPr>
        <w:t>股，共收到 以货币缴纳的出资额</w:t>
      </w:r>
      <w:r>
        <w:rPr>
          <w:rFonts w:ascii="Times New Roman" w:eastAsia="Times New Roman" w:hAnsi="Times New Roman" w:cs="Times New Roman"/>
          <w:color w:val="000000"/>
          <w:spacing w:val="0"/>
          <w:w w:val="100"/>
          <w:position w:val="0"/>
        </w:rPr>
        <w:t>19,936,890.00</w:t>
      </w:r>
      <w:r>
        <w:rPr>
          <w:color w:val="000000"/>
          <w:spacing w:val="0"/>
          <w:w w:val="100"/>
          <w:position w:val="0"/>
        </w:rPr>
        <w:t>元，由此增加股本</w:t>
      </w:r>
      <w:r>
        <w:rPr>
          <w:rFonts w:ascii="Times New Roman" w:eastAsia="Times New Roman" w:hAnsi="Times New Roman" w:cs="Times New Roman"/>
          <w:color w:val="000000"/>
          <w:spacing w:val="0"/>
          <w:w w:val="100"/>
          <w:position w:val="0"/>
        </w:rPr>
        <w:t>801,000.00</w:t>
      </w:r>
      <w:r>
        <w:rPr>
          <w:color w:val="000000"/>
          <w:spacing w:val="0"/>
          <w:w w:val="100"/>
          <w:position w:val="0"/>
        </w:rPr>
        <w:t>元，增加资本公积（股本溢价）</w:t>
      </w:r>
      <w:r>
        <w:rPr>
          <w:rFonts w:ascii="Times New Roman" w:eastAsia="Times New Roman" w:hAnsi="Times New Roman" w:cs="Times New Roman"/>
          <w:color w:val="000000"/>
          <w:spacing w:val="0"/>
          <w:w w:val="100"/>
          <w:position w:val="0"/>
        </w:rPr>
        <w:t>19,135,890.00</w:t>
      </w:r>
      <w:r>
        <w:rPr>
          <w:color w:val="000000"/>
          <w:spacing w:val="0"/>
          <w:w w:val="100"/>
          <w:position w:val="0"/>
        </w:rPr>
        <w:t>元。该次增 资业经天健会计师事务所（特殊普通合伙）审验，并由其于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日出具《验资报告》（天健验〔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224</w:t>
      </w:r>
      <w:r>
        <w:rPr>
          <w:color w:val="000000"/>
          <w:spacing w:val="0"/>
          <w:w w:val="100"/>
          <w:position w:val="0"/>
        </w:rPr>
        <w:t>号）。</w:t>
      </w:r>
    </w:p>
    <w:p>
      <w:pPr>
        <w:pStyle w:val="Style29"/>
        <w:keepNext w:val="0"/>
        <w:keepLines w:val="0"/>
        <w:widowControl w:val="0"/>
        <w:shd w:val="clear" w:color="auto" w:fill="auto"/>
        <w:bidi w:val="0"/>
        <w:spacing w:before="0" w:after="360" w:line="312" w:lineRule="exact"/>
        <w:ind w:left="0" w:right="0"/>
        <w:jc w:val="left"/>
      </w:pPr>
      <w:bookmarkStart w:id="1407" w:name="bookmark1407"/>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w:t>
      </w: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年第三次临时股东大会授权并经五届董事会十九次会议决议和修改后的章程规定，公司以货币资金 </w:t>
      </w:r>
      <w:r>
        <w:rPr>
          <w:rFonts w:ascii="Times New Roman" w:eastAsia="Times New Roman" w:hAnsi="Times New Roman" w:cs="Times New Roman"/>
          <w:color w:val="000000"/>
          <w:spacing w:val="0"/>
          <w:w w:val="100"/>
          <w:position w:val="0"/>
        </w:rPr>
        <w:t>125,450.00</w:t>
      </w:r>
      <w:r>
        <w:rPr>
          <w:color w:val="000000"/>
          <w:spacing w:val="0"/>
          <w:w w:val="100"/>
          <w:position w:val="0"/>
        </w:rPr>
        <w:t>元回购已授予赵峰和郜冬冬</w:t>
      </w:r>
      <w:r>
        <w:rPr>
          <w:rFonts w:ascii="Times New Roman" w:eastAsia="Times New Roman" w:hAnsi="Times New Roman" w:cs="Times New Roman"/>
          <w:color w:val="000000"/>
          <w:spacing w:val="0"/>
          <w:w w:val="100"/>
          <w:position w:val="0"/>
        </w:rPr>
        <w:t>2</w:t>
      </w:r>
      <w:r>
        <w:rPr>
          <w:color w:val="000000"/>
          <w:spacing w:val="0"/>
          <w:w w:val="100"/>
          <w:position w:val="0"/>
        </w:rPr>
        <w:t>位自然人但尚未解锁的限制性人民币普通股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7,500</w:t>
      </w:r>
      <w:r>
        <w:rPr>
          <w:color w:val="000000"/>
          <w:spacing w:val="0"/>
          <w:w w:val="100"/>
          <w:position w:val="0"/>
        </w:rPr>
        <w:t>股，减少股本</w:t>
      </w:r>
      <w:r>
        <w:rPr>
          <w:rFonts w:ascii="Times New Roman" w:eastAsia="Times New Roman" w:hAnsi="Times New Roman" w:cs="Times New Roman"/>
          <w:color w:val="000000"/>
          <w:spacing w:val="0"/>
          <w:w w:val="100"/>
          <w:position w:val="0"/>
        </w:rPr>
        <w:t>7,500</w:t>
      </w:r>
      <w:r>
        <w:rPr>
          <w:color w:val="000000"/>
          <w:spacing w:val="0"/>
          <w:w w:val="100"/>
          <w:position w:val="0"/>
        </w:rPr>
        <w:t>元， 减少资本公积</w:t>
      </w:r>
      <w:r>
        <w:rPr>
          <w:rFonts w:ascii="Times New Roman" w:eastAsia="Times New Roman" w:hAnsi="Times New Roman" w:cs="Times New Roman"/>
          <w:color w:val="000000"/>
          <w:spacing w:val="0"/>
          <w:w w:val="100"/>
          <w:position w:val="0"/>
        </w:rPr>
        <w:t>117,950.00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210,996,000.00</w:t>
      </w:r>
      <w:r>
        <w:rPr>
          <w:color w:val="000000"/>
          <w:spacing w:val="0"/>
          <w:w w:val="100"/>
          <w:position w:val="0"/>
        </w:rPr>
        <w:t>元。该次减资业经天健会计师事务所（特殊普通合伙） 审验，并由其于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日出具《验资报告》（天健验〔</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445</w:t>
      </w:r>
      <w:r>
        <w:rPr>
          <w:color w:val="000000"/>
          <w:spacing w:val="0"/>
          <w:w w:val="100"/>
          <w:position w:val="0"/>
        </w:rPr>
        <w:t>号）。</w:t>
      </w:r>
    </w:p>
    <w:p>
      <w:pPr>
        <w:pStyle w:val="Style35"/>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5</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08"/>
      <w:bookmarkEnd w:id="1409"/>
      <w:bookmarkEnd w:id="1411"/>
    </w:p>
    <w:p>
      <w:pPr>
        <w:pStyle w:val="Style35"/>
        <w:keepNext/>
        <w:keepLines/>
        <w:widowControl w:val="0"/>
        <w:shd w:val="clear" w:color="auto" w:fill="auto"/>
        <w:tabs>
          <w:tab w:pos="470" w:val="left"/>
        </w:tabs>
        <w:bidi w:val="0"/>
        <w:spacing w:before="0" w:after="360" w:line="240" w:lineRule="auto"/>
        <w:ind w:left="0" w:right="0" w:firstLine="0"/>
        <w:jc w:val="left"/>
      </w:pPr>
      <w:bookmarkStart w:id="1408" w:name="bookmark1408"/>
      <w:bookmarkStart w:id="1409" w:name="bookmark1409"/>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08"/>
      <w:bookmarkEnd w:id="1409"/>
      <w:bookmarkEnd w:id="1413"/>
    </w:p>
    <w:p>
      <w:pPr>
        <w:pStyle w:val="Style35"/>
        <w:keepNext/>
        <w:keepLines/>
        <w:widowControl w:val="0"/>
        <w:shd w:val="clear" w:color="auto" w:fill="auto"/>
        <w:tabs>
          <w:tab w:pos="470" w:val="left"/>
        </w:tabs>
        <w:bidi w:val="0"/>
        <w:spacing w:before="0" w:after="360" w:line="240" w:lineRule="auto"/>
        <w:ind w:left="0" w:right="0" w:firstLine="0"/>
        <w:jc w:val="left"/>
      </w:pPr>
      <w:bookmarkStart w:id="1408" w:name="bookmark1408"/>
      <w:bookmarkStart w:id="1409" w:name="bookmark1409"/>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08"/>
      <w:bookmarkEnd w:id="1409"/>
      <w:bookmarkEnd w:id="14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5"/>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5</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16"/>
      <w:bookmarkEnd w:id="1417"/>
      <w:bookmarkEnd w:id="14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317,004,177.00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28,030,770.00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140,252,950.00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204,781,997.00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29,867,993.09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47,980,596.85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8,894,880.00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68,953,709.94</w:t>
            </w: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211" w:right="1016" w:bottom="1449" w:left="1020" w:header="0" w:footer="3" w:gutter="0"/>
          <w:cols w:space="720"/>
          <w:noEndnote/>
          <w:titlePg/>
          <w:rtlGutter w:val="0"/>
          <w:docGrid w:linePitch="360"/>
        </w:sectPr>
      </w:pP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346,872,170.09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76,011,366.85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149,147,830.00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273,735,706.94</w:t>
            </w:r>
          </w:p>
        </w:tc>
      </w:tr>
    </w:tbl>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其他说明，包括本期增减变动情况、变动原因说明：</w:t>
      </w:r>
    </w:p>
    <w:p>
      <w:pPr>
        <w:pStyle w:val="Style29"/>
        <w:keepNext w:val="0"/>
        <w:keepLines w:val="0"/>
        <w:widowControl w:val="0"/>
        <w:shd w:val="clear" w:color="auto" w:fill="auto"/>
        <w:tabs>
          <w:tab w:pos="339" w:val="left"/>
        </w:tabs>
        <w:bidi w:val="0"/>
        <w:spacing w:before="0" w:after="0" w:line="317" w:lineRule="exact"/>
        <w:ind w:left="0" w:right="0" w:firstLine="0"/>
        <w:jc w:val="both"/>
      </w:pPr>
      <w:bookmarkStart w:id="1420" w:name="bookmark1420"/>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w:t>
        <w:tab/>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增加</w:t>
      </w:r>
      <w:r>
        <w:rPr>
          <w:rFonts w:ascii="Times New Roman" w:eastAsia="Times New Roman" w:hAnsi="Times New Roman" w:cs="Times New Roman"/>
          <w:color w:val="000000"/>
          <w:spacing w:val="0"/>
          <w:w w:val="100"/>
          <w:position w:val="0"/>
        </w:rPr>
        <w:t>28,030,770.00</w:t>
      </w:r>
      <w:r>
        <w:rPr>
          <w:color w:val="000000"/>
          <w:spacing w:val="0"/>
          <w:w w:val="100"/>
          <w:position w:val="0"/>
        </w:rPr>
        <w:t>元，其中：本期发行限制性股票增加</w:t>
      </w:r>
      <w:r>
        <w:rPr>
          <w:rFonts w:ascii="Times New Roman" w:eastAsia="Times New Roman" w:hAnsi="Times New Roman" w:cs="Times New Roman"/>
          <w:color w:val="000000"/>
          <w:spacing w:val="0"/>
          <w:w w:val="100"/>
          <w:position w:val="0"/>
        </w:rPr>
        <w:t>19,135,890.00</w:t>
      </w:r>
      <w:r>
        <w:rPr>
          <w:color w:val="000000"/>
          <w:spacing w:val="0"/>
          <w:w w:val="100"/>
          <w:position w:val="0"/>
        </w:rPr>
        <w:t>元，详见本财务报表附注五股本 之说明；本期部分限制性股票解锁增加资本溢价</w:t>
      </w:r>
      <w:r>
        <w:rPr>
          <w:rFonts w:ascii="Times New Roman" w:eastAsia="Times New Roman" w:hAnsi="Times New Roman" w:cs="Times New Roman"/>
          <w:color w:val="000000"/>
          <w:spacing w:val="0"/>
          <w:w w:val="100"/>
          <w:position w:val="0"/>
        </w:rPr>
        <w:t>8,894,880.00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26" w:lineRule="exact"/>
        <w:ind w:left="0" w:right="0" w:firstLine="0"/>
        <w:jc w:val="both"/>
      </w:pPr>
      <w:bookmarkStart w:id="1421" w:name="bookmark1421"/>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w:t>
        <w:tab/>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减少系本期资本公积转增股本减少</w:t>
      </w:r>
      <w:r>
        <w:rPr>
          <w:rFonts w:ascii="Times New Roman" w:eastAsia="Times New Roman" w:hAnsi="Times New Roman" w:cs="Times New Roman"/>
          <w:color w:val="000000"/>
          <w:spacing w:val="0"/>
          <w:w w:val="100"/>
          <w:position w:val="0"/>
        </w:rPr>
        <w:t>140,135,000.00</w:t>
      </w:r>
      <w:r>
        <w:rPr>
          <w:color w:val="000000"/>
          <w:spacing w:val="0"/>
          <w:w w:val="100"/>
          <w:position w:val="0"/>
        </w:rPr>
        <w:t>元和回购尚未解锁的限制性股票减少</w:t>
      </w:r>
      <w:r>
        <w:rPr>
          <w:rFonts w:ascii="Times New Roman" w:eastAsia="Times New Roman" w:hAnsi="Times New Roman" w:cs="Times New Roman"/>
          <w:color w:val="000000"/>
          <w:spacing w:val="0"/>
          <w:w w:val="100"/>
          <w:position w:val="0"/>
        </w:rPr>
        <w:t>117,950.00</w:t>
      </w:r>
      <w:r>
        <w:rPr>
          <w:color w:val="000000"/>
          <w:spacing w:val="0"/>
          <w:w w:val="100"/>
          <w:position w:val="0"/>
        </w:rPr>
        <w:t>元, 详见本财务报表附注五股本之说明。</w:t>
      </w:r>
    </w:p>
    <w:p>
      <w:pPr>
        <w:pStyle w:val="Style29"/>
        <w:keepNext w:val="0"/>
        <w:keepLines w:val="0"/>
        <w:widowControl w:val="0"/>
        <w:shd w:val="clear" w:color="auto" w:fill="auto"/>
        <w:tabs>
          <w:tab w:pos="349" w:val="left"/>
        </w:tabs>
        <w:bidi w:val="0"/>
        <w:spacing w:before="0" w:after="0" w:line="326" w:lineRule="exact"/>
        <w:ind w:left="0" w:right="0" w:firstLine="0"/>
        <w:jc w:val="both"/>
      </w:pPr>
      <w:bookmarkStart w:id="1422" w:name="bookmark1422"/>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w:t>
        <w:tab/>
      </w:r>
      <w:r>
        <w:rPr>
          <w:color w:val="000000"/>
          <w:spacing w:val="0"/>
          <w:w w:val="100"/>
          <w:position w:val="0"/>
        </w:rPr>
        <w:t>其他资本公积增加</w:t>
      </w:r>
      <w:r>
        <w:rPr>
          <w:rFonts w:ascii="Times New Roman" w:eastAsia="Times New Roman" w:hAnsi="Times New Roman" w:cs="Times New Roman"/>
          <w:color w:val="000000"/>
          <w:spacing w:val="0"/>
          <w:w w:val="100"/>
          <w:position w:val="0"/>
        </w:rPr>
        <w:t>47,980,596.85</w:t>
      </w:r>
      <w:r>
        <w:rPr>
          <w:color w:val="000000"/>
          <w:spacing w:val="0"/>
          <w:w w:val="100"/>
          <w:position w:val="0"/>
        </w:rPr>
        <w:t>元，系本期确认的股份支付费用，详见本财务报表附注十股份支付之说明。</w:t>
      </w:r>
    </w:p>
    <w:p>
      <w:pPr>
        <w:pStyle w:val="Style29"/>
        <w:keepNext w:val="0"/>
        <w:keepLines w:val="0"/>
        <w:widowControl w:val="0"/>
        <w:shd w:val="clear" w:color="auto" w:fill="auto"/>
        <w:tabs>
          <w:tab w:pos="349" w:val="left"/>
        </w:tabs>
        <w:bidi w:val="0"/>
        <w:spacing w:before="0" w:after="360" w:line="326" w:lineRule="exact"/>
        <w:ind w:left="0" w:right="0" w:firstLine="0"/>
        <w:jc w:val="both"/>
      </w:pPr>
      <w:bookmarkStart w:id="1423" w:name="bookmark1423"/>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w:t>
        <w:tab/>
      </w:r>
      <w:r>
        <w:rPr>
          <w:color w:val="000000"/>
          <w:spacing w:val="0"/>
          <w:w w:val="100"/>
          <w:position w:val="0"/>
        </w:rPr>
        <w:t>其他资本公积减少</w:t>
      </w:r>
      <w:r>
        <w:rPr>
          <w:rFonts w:ascii="Times New Roman" w:eastAsia="Times New Roman" w:hAnsi="Times New Roman" w:cs="Times New Roman"/>
          <w:color w:val="000000"/>
          <w:spacing w:val="0"/>
          <w:w w:val="100"/>
          <w:position w:val="0"/>
        </w:rPr>
        <w:t>8,894,880.00</w:t>
      </w:r>
      <w:r>
        <w:rPr>
          <w:color w:val="000000"/>
          <w:spacing w:val="0"/>
          <w:w w:val="100"/>
          <w:position w:val="0"/>
        </w:rPr>
        <w:t>元，系本期部分限制性股票解锁，相应将原确认的对应股份的股份支付费用由其他资本 公积转入股本溢价所致。</w:t>
      </w:r>
    </w:p>
    <w:p>
      <w:pPr>
        <w:pStyle w:val="Style35"/>
        <w:keepNext/>
        <w:keepLines/>
        <w:widowControl w:val="0"/>
        <w:shd w:val="clear" w:color="auto" w:fill="auto"/>
        <w:bidi w:val="0"/>
        <w:spacing w:before="0" w:after="36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24"/>
      <w:bookmarkEnd w:id="1425"/>
      <w:bookmarkEnd w:id="14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103,747,150.00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19,936,890.00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25,936,636.96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97,747,403.04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103,747,150.00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19,936,890.00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25,936,636.96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97,747,403.04</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本期增加数系发行</w:t>
      </w:r>
      <w:r>
        <w:rPr>
          <w:rFonts w:ascii="Times New Roman" w:eastAsia="Times New Roman" w:hAnsi="Times New Roman" w:cs="Times New Roman"/>
          <w:color w:val="000000"/>
          <w:spacing w:val="0"/>
          <w:w w:val="100"/>
          <w:position w:val="0"/>
        </w:rPr>
        <w:t>801,000</w:t>
      </w:r>
      <w:r>
        <w:rPr>
          <w:color w:val="000000"/>
          <w:spacing w:val="0"/>
          <w:w w:val="100"/>
          <w:position w:val="0"/>
        </w:rPr>
        <w:t>股限制性股票而收到激励对象缴纳的出资款</w:t>
      </w:r>
      <w:r>
        <w:rPr>
          <w:rFonts w:ascii="Times New Roman" w:eastAsia="Times New Roman" w:hAnsi="Times New Roman" w:cs="Times New Roman"/>
          <w:color w:val="000000"/>
          <w:spacing w:val="0"/>
          <w:w w:val="100"/>
          <w:position w:val="0"/>
        </w:rPr>
        <w:t>19,936,890.00</w:t>
      </w:r>
      <w:r>
        <w:rPr>
          <w:color w:val="000000"/>
          <w:spacing w:val="0"/>
          <w:w w:val="100"/>
          <w:position w:val="0"/>
        </w:rPr>
        <w:t>元。本期减少数系回购</w:t>
      </w:r>
      <w:r>
        <w:rPr>
          <w:rFonts w:ascii="Times New Roman" w:eastAsia="Times New Roman" w:hAnsi="Times New Roman" w:cs="Times New Roman"/>
          <w:color w:val="000000"/>
          <w:spacing w:val="0"/>
          <w:w w:val="100"/>
          <w:position w:val="0"/>
        </w:rPr>
        <w:t>7,500</w:t>
      </w:r>
      <w:r>
        <w:rPr>
          <w:color w:val="000000"/>
          <w:spacing w:val="0"/>
          <w:w w:val="100"/>
          <w:position w:val="0"/>
        </w:rPr>
        <w:t>股限制性 股票而支付激励对象股权回购款</w:t>
      </w:r>
      <w:r>
        <w:rPr>
          <w:rFonts w:ascii="Times New Roman" w:eastAsia="Times New Roman" w:hAnsi="Times New Roman" w:cs="Times New Roman"/>
          <w:color w:val="000000"/>
          <w:spacing w:val="0"/>
          <w:w w:val="100"/>
          <w:position w:val="0"/>
        </w:rPr>
        <w:t>125,450.00</w:t>
      </w:r>
      <w:r>
        <w:rPr>
          <w:color w:val="000000"/>
          <w:spacing w:val="0"/>
          <w:w w:val="100"/>
          <w:position w:val="0"/>
        </w:rPr>
        <w:t>元及本期</w:t>
      </w:r>
      <w:r>
        <w:rPr>
          <w:rFonts w:ascii="Times New Roman" w:eastAsia="Times New Roman" w:hAnsi="Times New Roman" w:cs="Times New Roman"/>
          <w:color w:val="000000"/>
          <w:spacing w:val="0"/>
          <w:w w:val="100"/>
          <w:position w:val="0"/>
        </w:rPr>
        <w:t>1,543,116</w:t>
      </w:r>
      <w:r>
        <w:rPr>
          <w:color w:val="000000"/>
          <w:spacing w:val="0"/>
          <w:w w:val="100"/>
          <w:position w:val="0"/>
        </w:rPr>
        <w:t>股限制性股票达到解锁条件，回购义务解除，相应减少库存 股</w:t>
      </w:r>
      <w:r>
        <w:rPr>
          <w:rFonts w:ascii="Times New Roman" w:eastAsia="Times New Roman" w:hAnsi="Times New Roman" w:cs="Times New Roman"/>
          <w:color w:val="000000"/>
          <w:spacing w:val="0"/>
          <w:w w:val="100"/>
          <w:position w:val="0"/>
        </w:rPr>
        <w:t>25,811,186.96</w:t>
      </w:r>
      <w:r>
        <w:rPr>
          <w:color w:val="000000"/>
          <w:spacing w:val="0"/>
          <w:w w:val="100"/>
          <w:position w:val="0"/>
        </w:rPr>
        <w:t>元。由于公司仍对该等限制性股票负有回购义务，故在调整其他应付款的同时列报于本项目。</w:t>
      </w:r>
    </w:p>
    <w:p>
      <w:pPr>
        <w:pStyle w:val="Style35"/>
        <w:keepNext/>
        <w:keepLines/>
        <w:widowControl w:val="0"/>
        <w:shd w:val="clear" w:color="auto" w:fill="auto"/>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28"/>
      <w:bookmarkEnd w:id="1429"/>
      <w:bookmarkEnd w:id="14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2"/>
      </w:tblGrid>
      <w:tr>
        <w:trPr>
          <w:trHeight w:val="41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134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00" w:right="0" w:firstLine="0"/>
              <w:jc w:val="left"/>
            </w:pPr>
            <w:r>
              <w:rPr>
                <w:color w:val="000000"/>
                <w:spacing w:val="0"/>
                <w:w w:val="100"/>
                <w:position w:val="0"/>
              </w:rPr>
              <w:t>本期所 得税前 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 入其他综合 收益当期转 入损益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税后归</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属于少</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32"/>
      <w:bookmarkEnd w:id="1433"/>
      <w:bookmarkEnd w:id="143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22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441" w:right="1020" w:bottom="2099" w:left="1102" w:header="0" w:footer="3" w:gutter="0"/>
          <w:cols w:space="720"/>
          <w:noEndnote/>
          <w:rtlGutter w:val="0"/>
          <w:docGrid w:linePitch="360"/>
        </w:sectPr>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36"/>
      <w:bookmarkEnd w:id="1437"/>
      <w:bookmarkEnd w:id="1439"/>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30,247,225.89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5,464,057.33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35,711,283.22</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30,247,225.89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5,464,057.33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35,711,283.22</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本期盈余公积增加系根据</w:t>
      </w:r>
      <w:r>
        <w:rPr>
          <w:rFonts w:ascii="Times New Roman" w:eastAsia="Times New Roman" w:hAnsi="Times New Roman" w:cs="Times New Roman"/>
          <w:color w:val="000000"/>
          <w:spacing w:val="0"/>
          <w:w w:val="100"/>
          <w:position w:val="0"/>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35"/>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6</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40"/>
      <w:bookmarkEnd w:id="1441"/>
      <w:bookmarkEnd w:id="14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255,143,379.55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210,769,416.79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255,143,379.55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210,769,416.79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63,003,453.15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49,681,720.73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5,464,057.33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5,307,757.97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10,509,750.00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302,173,025.37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255,143,379.55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00" w:line="240" w:lineRule="auto"/>
        <w:ind w:left="0" w:right="0" w:firstLine="0"/>
        <w:jc w:val="left"/>
      </w:pPr>
      <w:bookmarkStart w:id="1444" w:name="bookmark1444"/>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445" w:name="bookmark1445"/>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446" w:name="bookmark1446"/>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447" w:name="bookmark1447"/>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360" w:line="240" w:lineRule="auto"/>
        <w:ind w:left="0" w:right="0" w:firstLine="0"/>
        <w:jc w:val="left"/>
      </w:pPr>
      <w:bookmarkStart w:id="1448" w:name="bookmark1448"/>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6</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49"/>
      <w:bookmarkEnd w:id="1450"/>
      <w:bookmarkEnd w:id="14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548,019,714.07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279,737,935.77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425,518,206.22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214,944,001.94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625,593.47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355,690.20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453,354.60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236,025.24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548,645,307.54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280,093,625.97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425,971,560.82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215,180,027.18</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6</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53"/>
      <w:bookmarkEnd w:id="1454"/>
      <w:bookmarkEnd w:id="14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2,984,225.38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2,375,829.07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1,291,482.09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1,018,815.05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850,742.40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679,210.03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469,387.36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1,576,253.16</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5,595,837.23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5,650,107.31</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号）以及《关于〈增值税会计处理规定〉有关问题的解读》，本公司 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月房产税、土地使用税等的发生额列报于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w:t>
      </w:r>
    </w:p>
    <w:p>
      <w:pPr>
        <w:pStyle w:val="Style35"/>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6</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57"/>
      <w:bookmarkEnd w:id="1458"/>
      <w:bookmarkEnd w:id="14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31,057,411.97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16,562,893.59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8,543,628.47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6,051,238.99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10,177,216.92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8,233,414.88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9,760,123.99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7,292,057.86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4,785,272.01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4,298,345.64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542,006.58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1,457,944.22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926,567.53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901,734.75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1,084,574.73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1,331,281.00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271,756.54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855,565.22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67,148,558.74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46,984,476.15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6</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61"/>
      <w:bookmarkEnd w:id="1462"/>
      <w:bookmarkEnd w:id="14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45,127,087.05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35,434,644.06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84,530,838.31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56,737,913.35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9,781,923.61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5,733,561.49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7,050,300.75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5,317,210.17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3,361,251.26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2,392,363.91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3,310,726.70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2,999,898.47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274,278.40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892,262.20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4,276,289.49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4,444,598.54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157,712,695.57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113,952,452.19</w:t>
            </w:r>
          </w:p>
        </w:tc>
      </w:tr>
    </w:tbl>
    <w:p>
      <w:pPr>
        <w:sectPr>
          <w:headerReference w:type="default" r:id="rId21"/>
          <w:footerReference w:type="default" r:id="rId22"/>
          <w:footnotePr>
            <w:pos w:val="pageBottom"/>
            <w:numFmt w:val="decimal"/>
            <w:numRestart w:val="continuous"/>
          </w:footnotePr>
          <w:pgSz w:w="11900" w:h="16840"/>
          <w:pgMar w:top="1441" w:right="1109" w:bottom="1513" w:left="1104" w:header="0" w:footer="3" w:gutter="0"/>
          <w:cols w:space="720"/>
          <w:noEndnote/>
          <w:rtlGutter w:val="0"/>
          <w:docGrid w:linePitch="360"/>
        </w:sectPr>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6</w:t>
      </w:r>
      <w:bookmarkEnd w:id="146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65"/>
      <w:bookmarkEnd w:id="1466"/>
      <w:bookmarkEnd w:id="14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108,678.75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7,751,591.40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3,731,360.59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181,157.57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-7,577,225.90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-3,550,203.02</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6</w:t>
      </w:r>
      <w:bookmarkEnd w:id="147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69"/>
      <w:bookmarkEnd w:id="1470"/>
      <w:bookmarkEnd w:id="14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8,148,713.77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11,944,647.40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8,148,713.77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11,944,647.40</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6</w:t>
      </w:r>
      <w:bookmarkEnd w:id="1475"/>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73"/>
      <w:bookmarkEnd w:id="1474"/>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1,111,939.65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-2,370,193.86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1,111,939.65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-2,370,193.86</w:t>
            </w:r>
          </w:p>
        </w:tc>
      </w:tr>
    </w:tbl>
    <w:p>
      <w:pPr>
        <w:pStyle w:val="Style29"/>
        <w:keepNext w:val="0"/>
        <w:keepLines w:val="0"/>
        <w:widowControl w:val="0"/>
        <w:shd w:val="clear" w:color="auto" w:fill="auto"/>
        <w:bidi w:val="0"/>
        <w:spacing w:before="0" w:after="60" w:line="326"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注：长期股权投资项目列示的权益法下确认投资损益</w:t>
      </w:r>
      <w:r>
        <w:rPr>
          <w:rFonts w:ascii="Times New Roman" w:eastAsia="Times New Roman" w:hAnsi="Times New Roman" w:cs="Times New Roman"/>
          <w:color w:val="000000"/>
          <w:spacing w:val="0"/>
          <w:w w:val="100"/>
          <w:position w:val="0"/>
        </w:rPr>
        <w:t>384,589.22</w:t>
      </w:r>
      <w:r>
        <w:rPr>
          <w:color w:val="000000"/>
          <w:spacing w:val="0"/>
          <w:w w:val="100"/>
          <w:position w:val="0"/>
        </w:rPr>
        <w:t>元小于投资收益</w:t>
      </w:r>
      <w:r>
        <w:rPr>
          <w:rFonts w:ascii="Times New Roman" w:eastAsia="Times New Roman" w:hAnsi="Times New Roman" w:cs="Times New Roman"/>
          <w:color w:val="000000"/>
          <w:spacing w:val="0"/>
          <w:w w:val="100"/>
          <w:position w:val="0"/>
        </w:rPr>
        <w:t>1,111,939.65</w:t>
      </w:r>
      <w:r>
        <w:rPr>
          <w:color w:val="000000"/>
          <w:spacing w:val="0"/>
          <w:w w:val="100"/>
          <w:position w:val="0"/>
        </w:rPr>
        <w:t>元的差额</w:t>
      </w:r>
      <w:r>
        <w:rPr>
          <w:rFonts w:ascii="Times New Roman" w:eastAsia="Times New Roman" w:hAnsi="Times New Roman" w:cs="Times New Roman"/>
          <w:color w:val="000000"/>
          <w:spacing w:val="0"/>
          <w:w w:val="100"/>
          <w:position w:val="0"/>
        </w:rPr>
        <w:t>727,350.43</w:t>
      </w:r>
      <w:r>
        <w:rPr>
          <w:color w:val="000000"/>
          <w:spacing w:val="0"/>
          <w:w w:val="100"/>
          <w:position w:val="0"/>
        </w:rPr>
        <w:t>元，系本 公司销售给联营企业浙江美康网新云健康科技股份有限公司软件产品及技术服务的顺流交易抵销未实现利润所致。</w:t>
      </w:r>
    </w:p>
    <w:p>
      <w:pPr>
        <w:pStyle w:val="Style35"/>
        <w:keepNext/>
        <w:keepLines/>
        <w:widowControl w:val="0"/>
        <w:shd w:val="clear" w:color="auto" w:fill="auto"/>
        <w:bidi w:val="0"/>
        <w:spacing w:before="0" w:after="36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484" w:right="1112" w:bottom="2103" w:left="1107" w:header="0" w:footer="3" w:gutter="0"/>
          <w:cols w:space="720"/>
          <w:noEndnote/>
          <w:rtlGutter w:val="0"/>
          <w:docGrid w:linePitch="360"/>
        </w:sectPr>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6</w:t>
      </w:r>
      <w:bookmarkEnd w:id="148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81"/>
      <w:bookmarkEnd w:id="1482"/>
      <w:bookmarkEnd w:id="1484"/>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35,477,700.76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25,519,598.72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10,880,705.53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22,350.18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22,350.18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35,500,050.94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25,520,498.80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10,903,055.71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增值税返</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杭州市国 库滨江区 支库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24,596,995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21,662,306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地方水利 建设基金 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杭州市地 方税务局 高新（滨 江）税务分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303,280.35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305,668.27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杭州滨江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奖励上市 而给予的 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省优秀工 业新产品</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（新技术） 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杭州滨江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信息软件 和电子商 务产业奖 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杭州滨江 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 家级政策 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工业发展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嘉兴市财 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其他零星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245,425.18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81,624.00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递延收益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9,332,000.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35,477,700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25,519,598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7</w:t>
      </w:r>
      <w:bookmarkEnd w:id="148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85"/>
      <w:bookmarkEnd w:id="1486"/>
      <w:bookmarkEnd w:id="14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121,489.00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121,489.00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220,469.50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440,224.00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220,469.50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4,911.16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4,911.16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278,780.66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663,397.69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278,780.66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7</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89"/>
      <w:bookmarkEnd w:id="1490"/>
      <w:bookmarkEnd w:id="1492"/>
    </w:p>
    <w:p>
      <w:pPr>
        <w:pStyle w:val="Style35"/>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89"/>
      <w:bookmarkEnd w:id="1490"/>
      <w:bookmarkEnd w:id="14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6,240,066.95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9,993,208.02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510,122.66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-1,380,757.40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6,750,189.61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8,612,450.62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94"/>
      <w:bookmarkEnd w:id="1495"/>
      <w:bookmarkEnd w:id="14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73,856,312.09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7,385,631.21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637,148.25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-3,414,857.39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1,828,783.88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-230,931.52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2,000,972.95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-3,125,749.46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税率影响导致递延所得税差异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1,691,650.61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6,750,189.61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7</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97"/>
      <w:bookmarkEnd w:id="1498"/>
      <w:bookmarkEnd w:id="150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5"/>
        <w:keepNext/>
        <w:keepLines/>
        <w:widowControl w:val="0"/>
        <w:shd w:val="clear" w:color="auto" w:fill="auto"/>
        <w:tabs>
          <w:tab w:pos="478" w:val="left"/>
        </w:tabs>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7</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01"/>
      <w:bookmarkEnd w:id="1502"/>
      <w:bookmarkEnd w:id="1504"/>
    </w:p>
    <w:p>
      <w:pPr>
        <w:pStyle w:val="Style35"/>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01"/>
      <w:bookmarkEnd w:id="1502"/>
      <w:bookmarkEnd w:id="15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9,297,425.18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7,701,424.00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1,212,800.00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19,098,676.23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收回不符合现金及现金等价物定义的 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5,674,750.00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104,590.00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1,073,852.24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564,116.66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4,397,454.40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853,613.42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21,656,281.82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28,322,420.31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6"/>
      <w:bookmarkEnd w:id="1507"/>
      <w:bookmarkEnd w:id="15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支付不符合现金及现金等价物定义的 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5,029,840.00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付现经营费用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64,996,803.04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55,127,831.40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10,227,523.90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35,926,866.03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120,597.91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101,684.69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75,344,924.85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96,186,222.12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09"/>
      <w:bookmarkEnd w:id="1510"/>
      <w:bookmarkEnd w:id="15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6,677,739.16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3,167,243.93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赎回银行理财产品及结构性存款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取得子公司杭州惟勤科技有限公司时 收到的现金净额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441,985.33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141,559,724.49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3,167,243.93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13"/>
      <w:bookmarkEnd w:id="1514"/>
      <w:bookmarkEnd w:id="15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购买银行理财产品及结构性存款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133,000,000.00</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17"/>
      <w:bookmarkEnd w:id="1518"/>
      <w:bookmarkEnd w:id="15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21"/>
      <w:bookmarkEnd w:id="1522"/>
      <w:bookmarkEnd w:id="15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股票发行费用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2,122,641.51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2,736,446.51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15,800,000.00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25"/>
      <w:bookmarkEnd w:id="1526"/>
      <w:bookmarkEnd w:id="1528"/>
    </w:p>
    <w:p>
      <w:pPr>
        <w:pStyle w:val="Style35"/>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25"/>
      <w:bookmarkEnd w:id="1526"/>
      <w:bookmarkEnd w:id="15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67,106,122.48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49,684,510.24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8,148,713.77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11,944,647.40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6,916,239.50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5,771,319.29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1,005,223.52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731,866.67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34,251.72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处置固定资产、无形资产和其他长期资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-6,569,060.41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-3,167,243.93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-384,589.22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2,370,193.86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510,122.66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-1,380,757.40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3,813,015.65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-6,670,325.25</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-47,600,871.77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-76,221,275.58</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38,041,495.64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31,016,352.14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47,980,596.85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4,238,100.00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118,987,534.37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18,473,128.16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317,282,646.44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298,476,707.75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298,476,707.75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167,465,191.81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18,805,938.69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131,011,515.94</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30"/>
      <w:bookmarkEnd w:id="1531"/>
      <w:bookmarkEnd w:id="15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71,040,900.00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杭州惟勤科技有限公司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2,540,900.00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广东中拓信息技术有限公司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39,760,000.00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中山市蓝天电脑有限公司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浙江创源环境科技有限公司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28,500,000.00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16,725,273.21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杭州惟勤科技有限公司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2,982,885.33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广东中拓信息技术有限公司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9,777,608.01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中山市蓝天电脑有限公司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浙江创源环境科技有限公司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3,903,658.59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54,315,626.79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33"/>
      <w:bookmarkEnd w:id="1534"/>
      <w:bookmarkEnd w:id="15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83"/>
        </w:numPr>
        <w:shd w:val="clear" w:color="auto" w:fill="auto"/>
        <w:bidi w:val="0"/>
        <w:spacing w:before="0" w:after="36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现金和现金等价物的构成</w:t>
      </w:r>
      <w:bookmarkEnd w:id="1537"/>
      <w:bookmarkEnd w:id="1538"/>
      <w:bookmarkEnd w:id="15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317,282,646.44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298,476,707.75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100,289.56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317,182,356.88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298,476,389.62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317,282,646.44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298,476,707.75</w:t>
            </w:r>
          </w:p>
        </w:tc>
      </w:tr>
    </w:tbl>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合并现金流量表</w:t>
      </w:r>
      <w:r>
        <w:rPr>
          <w:rFonts w:ascii="Times New Roman" w:eastAsia="Times New Roman" w:hAnsi="Times New Roman" w:cs="Times New Roman"/>
          <w:color w:val="000000"/>
          <w:spacing w:val="0"/>
          <w:w w:val="100"/>
          <w:position w:val="0"/>
        </w:rPr>
        <w:t>“</w:t>
      </w:r>
      <w:r>
        <w:rPr>
          <w:color w:val="000000"/>
          <w:spacing w:val="0"/>
          <w:w w:val="100"/>
          <w:position w:val="0"/>
        </w:rPr>
        <w:t>期末现金及现金等价物余额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317,282,646.44</w:t>
      </w:r>
      <w:r>
        <w:rPr>
          <w:color w:val="000000"/>
          <w:spacing w:val="0"/>
          <w:w w:val="100"/>
          <w:position w:val="0"/>
        </w:rPr>
        <w:t>元，合并资产负债表</w:t>
      </w:r>
      <w:r>
        <w:rPr>
          <w:rFonts w:ascii="Times New Roman" w:eastAsia="Times New Roman" w:hAnsi="Times New Roman" w:cs="Times New Roman"/>
          <w:color w:val="000000"/>
          <w:spacing w:val="0"/>
          <w:w w:val="100"/>
          <w:position w:val="0"/>
        </w:rPr>
        <w:t>“</w:t>
      </w: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期末数为</w:t>
      </w:r>
      <w:r>
        <w:rPr>
          <w:rFonts w:ascii="Times New Roman" w:eastAsia="Times New Roman" w:hAnsi="Times New Roman" w:cs="Times New Roman"/>
          <w:color w:val="000000"/>
          <w:spacing w:val="0"/>
          <w:w w:val="100"/>
          <w:position w:val="0"/>
        </w:rPr>
        <w:t>317,942,646.44</w:t>
      </w:r>
      <w:r>
        <w:rPr>
          <w:color w:val="000000"/>
          <w:spacing w:val="0"/>
          <w:w w:val="100"/>
          <w:position w:val="0"/>
        </w:rPr>
        <w:t>元, 差异</w:t>
      </w:r>
      <w:r>
        <w:rPr>
          <w:rFonts w:ascii="Times New Roman" w:eastAsia="Times New Roman" w:hAnsi="Times New Roman" w:cs="Times New Roman"/>
          <w:color w:val="000000"/>
          <w:spacing w:val="0"/>
          <w:w w:val="100"/>
          <w:position w:val="0"/>
        </w:rPr>
        <w:t>660,000.00</w:t>
      </w:r>
      <w:r>
        <w:rPr>
          <w:color w:val="000000"/>
          <w:spacing w:val="0"/>
          <w:w w:val="100"/>
          <w:position w:val="0"/>
        </w:rPr>
        <w:t>元，系合并现金流量表</w:t>
      </w:r>
      <w:r>
        <w:rPr>
          <w:rFonts w:ascii="Times New Roman" w:eastAsia="Times New Roman" w:hAnsi="Times New Roman" w:cs="Times New Roman"/>
          <w:color w:val="000000"/>
          <w:spacing w:val="0"/>
          <w:w w:val="100"/>
          <w:position w:val="0"/>
        </w:rPr>
        <w:t>“</w:t>
      </w:r>
      <w:r>
        <w:rPr>
          <w:color w:val="000000"/>
          <w:spacing w:val="0"/>
          <w:w w:val="100"/>
          <w:position w:val="0"/>
        </w:rPr>
        <w:t>期末现金及现金等价物余额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 xml:space="preserve">扣除了不符合现金及现金等价物标准的保函保证金 </w:t>
      </w:r>
      <w:r>
        <w:rPr>
          <w:rFonts w:ascii="Times New Roman" w:eastAsia="Times New Roman" w:hAnsi="Times New Roman" w:cs="Times New Roman"/>
          <w:color w:val="000000"/>
          <w:spacing w:val="0"/>
          <w:w w:val="100"/>
          <w:position w:val="0"/>
        </w:rPr>
        <w:t>160,000.00</w:t>
      </w:r>
      <w:r>
        <w:rPr>
          <w:color w:val="000000"/>
          <w:spacing w:val="0"/>
          <w:w w:val="100"/>
          <w:position w:val="0"/>
        </w:rPr>
        <w:t>元和已作为项目保证金的定期存款</w:t>
      </w:r>
      <w:r>
        <w:rPr>
          <w:rFonts w:ascii="Times New Roman" w:eastAsia="Times New Roman" w:hAnsi="Times New Roman" w:cs="Times New Roman"/>
          <w:color w:val="000000"/>
          <w:spacing w:val="0"/>
          <w:w w:val="100"/>
          <w:position w:val="0"/>
        </w:rPr>
        <w:t>500,000.00</w:t>
      </w:r>
      <w:r>
        <w:rPr>
          <w:color w:val="000000"/>
          <w:spacing w:val="0"/>
          <w:w w:val="100"/>
          <w:position w:val="0"/>
        </w:rPr>
        <w:t>元。</w:t>
      </w:r>
    </w:p>
    <w:p>
      <w:pPr>
        <w:pStyle w:val="Style29"/>
        <w:keepNext w:val="0"/>
        <w:keepLines w:val="0"/>
        <w:widowControl w:val="0"/>
        <w:shd w:val="clear" w:color="auto" w:fill="auto"/>
        <w:bidi w:val="0"/>
        <w:spacing w:before="0" w:after="360" w:line="310" w:lineRule="exact"/>
        <w:ind w:left="0" w:right="0" w:firstLine="360"/>
        <w:jc w:val="left"/>
      </w:pPr>
      <w:r>
        <w:rPr>
          <w:color w:val="000000"/>
          <w:spacing w:val="0"/>
          <w:w w:val="100"/>
          <w:position w:val="0"/>
        </w:rPr>
        <w:t>合并现金流量表</w:t>
      </w:r>
      <w:r>
        <w:rPr>
          <w:rFonts w:ascii="Times New Roman" w:eastAsia="Times New Roman" w:hAnsi="Times New Roman" w:cs="Times New Roman"/>
          <w:color w:val="000000"/>
          <w:spacing w:val="0"/>
          <w:w w:val="100"/>
          <w:position w:val="0"/>
        </w:rPr>
        <w:t>“</w:t>
      </w:r>
      <w:r>
        <w:rPr>
          <w:color w:val="000000"/>
          <w:spacing w:val="0"/>
          <w:w w:val="100"/>
          <w:position w:val="0"/>
        </w:rPr>
        <w:t>期初现金及现金等价物余额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298,476,707.75</w:t>
      </w:r>
      <w:r>
        <w:rPr>
          <w:color w:val="000000"/>
          <w:spacing w:val="0"/>
          <w:w w:val="100"/>
          <w:position w:val="0"/>
        </w:rPr>
        <w:t>元，合并资产负债表</w:t>
      </w:r>
      <w:r>
        <w:rPr>
          <w:rFonts w:ascii="Times New Roman" w:eastAsia="Times New Roman" w:hAnsi="Times New Roman" w:cs="Times New Roman"/>
          <w:color w:val="000000"/>
          <w:spacing w:val="0"/>
          <w:w w:val="100"/>
          <w:position w:val="0"/>
        </w:rPr>
        <w:t>“</w:t>
      </w: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期初数为</w:t>
      </w:r>
      <w:r>
        <w:rPr>
          <w:rFonts w:ascii="Times New Roman" w:eastAsia="Times New Roman" w:hAnsi="Times New Roman" w:cs="Times New Roman"/>
          <w:color w:val="000000"/>
          <w:spacing w:val="0"/>
          <w:w w:val="100"/>
          <w:position w:val="0"/>
        </w:rPr>
        <w:t xml:space="preserve">334,811,457.75 </w:t>
      </w:r>
      <w:r>
        <w:rPr>
          <w:color w:val="000000"/>
          <w:spacing w:val="0"/>
          <w:w w:val="100"/>
          <w:position w:val="0"/>
        </w:rPr>
        <w:t>元，差异</w:t>
      </w:r>
      <w:r>
        <w:rPr>
          <w:rFonts w:ascii="Times New Roman" w:eastAsia="Times New Roman" w:hAnsi="Times New Roman" w:cs="Times New Roman"/>
          <w:color w:val="000000"/>
          <w:spacing w:val="0"/>
          <w:w w:val="100"/>
          <w:position w:val="0"/>
        </w:rPr>
        <w:t>36,334,750.00</w:t>
      </w:r>
      <w:r>
        <w:rPr>
          <w:color w:val="000000"/>
          <w:spacing w:val="0"/>
          <w:w w:val="100"/>
          <w:position w:val="0"/>
        </w:rPr>
        <w:t>元，系合并现金流量表</w:t>
      </w:r>
      <w:r>
        <w:rPr>
          <w:rFonts w:ascii="Times New Roman" w:eastAsia="Times New Roman" w:hAnsi="Times New Roman" w:cs="Times New Roman"/>
          <w:color w:val="000000"/>
          <w:spacing w:val="0"/>
          <w:w w:val="100"/>
          <w:position w:val="0"/>
        </w:rPr>
        <w:t>“</w:t>
      </w:r>
      <w:r>
        <w:rPr>
          <w:color w:val="000000"/>
          <w:spacing w:val="0"/>
          <w:w w:val="100"/>
          <w:position w:val="0"/>
        </w:rPr>
        <w:t>期初现金及现金等价物余额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扣除了不符合现金及现金等价物标准的保函保 证金</w:t>
      </w:r>
      <w:r>
        <w:rPr>
          <w:rFonts w:ascii="Times New Roman" w:eastAsia="Times New Roman" w:hAnsi="Times New Roman" w:cs="Times New Roman"/>
          <w:color w:val="000000"/>
          <w:spacing w:val="0"/>
          <w:w w:val="100"/>
          <w:position w:val="0"/>
        </w:rPr>
        <w:t>5,834,750.00</w:t>
      </w:r>
      <w:r>
        <w:rPr>
          <w:color w:val="000000"/>
          <w:spacing w:val="0"/>
          <w:w w:val="100"/>
          <w:position w:val="0"/>
        </w:rPr>
        <w:t>元、已作为项目保证金的定期存款</w:t>
      </w:r>
      <w:r>
        <w:rPr>
          <w:rFonts w:ascii="Times New Roman" w:eastAsia="Times New Roman" w:hAnsi="Times New Roman" w:cs="Times New Roman"/>
          <w:color w:val="000000"/>
          <w:spacing w:val="0"/>
          <w:w w:val="100"/>
          <w:position w:val="0"/>
        </w:rPr>
        <w:t>500,000.00</w:t>
      </w:r>
      <w:r>
        <w:rPr>
          <w:color w:val="000000"/>
          <w:spacing w:val="0"/>
          <w:w w:val="100"/>
          <w:position w:val="0"/>
        </w:rPr>
        <w:t>元和</w:t>
      </w:r>
      <w:r>
        <w:rPr>
          <w:rFonts w:ascii="Times New Roman" w:eastAsia="Times New Roman" w:hAnsi="Times New Roman" w:cs="Times New Roman"/>
          <w:color w:val="000000"/>
          <w:spacing w:val="0"/>
          <w:w w:val="100"/>
          <w:position w:val="0"/>
        </w:rPr>
        <w:t>30,000,000.00</w:t>
      </w:r>
      <w:r>
        <w:rPr>
          <w:color w:val="000000"/>
          <w:spacing w:val="0"/>
          <w:w w:val="100"/>
          <w:position w:val="0"/>
        </w:rPr>
        <w:t>元无法提前终止的结构性存款。</w:t>
      </w:r>
    </w:p>
    <w:p>
      <w:pPr>
        <w:pStyle w:val="Style35"/>
        <w:keepNext/>
        <w:keepLines/>
        <w:widowControl w:val="0"/>
        <w:shd w:val="clear" w:color="auto" w:fill="auto"/>
        <w:tabs>
          <w:tab w:pos="478" w:val="left"/>
        </w:tabs>
        <w:bidi w:val="0"/>
        <w:spacing w:before="0" w:after="30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7</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41"/>
      <w:bookmarkEnd w:id="1542"/>
      <w:bookmarkEnd w:id="1544"/>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项目名称及调整金额等事项：</w:t>
      </w:r>
    </w:p>
    <w:p>
      <w:pPr>
        <w:pStyle w:val="Style35"/>
        <w:keepNext/>
        <w:keepLines/>
        <w:widowControl w:val="0"/>
        <w:shd w:val="clear" w:color="auto" w:fill="auto"/>
        <w:tabs>
          <w:tab w:pos="478" w:val="left"/>
        </w:tabs>
        <w:bidi w:val="0"/>
        <w:spacing w:before="0" w:after="36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7</w:t>
      </w:r>
      <w:bookmarkEnd w:id="154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45"/>
      <w:bookmarkEnd w:id="1546"/>
      <w:bookmarkEnd w:id="15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保函保证金</w:t>
            </w:r>
            <w:r>
              <w:rPr>
                <w:rFonts w:ascii="Times New Roman" w:eastAsia="Times New Roman" w:hAnsi="Times New Roman" w:cs="Times New Roman"/>
                <w:color w:val="000000"/>
                <w:spacing w:val="0"/>
                <w:w w:val="100"/>
                <w:position w:val="0"/>
              </w:rPr>
              <w:t>160,000.00</w:t>
            </w:r>
            <w:r>
              <w:rPr>
                <w:color w:val="000000"/>
                <w:spacing w:val="0"/>
                <w:w w:val="100"/>
                <w:position w:val="0"/>
              </w:rPr>
              <w:t>元和已作为项 目保证金的定期存款</w:t>
            </w:r>
            <w:r>
              <w:rPr>
                <w:rFonts w:ascii="Times New Roman" w:eastAsia="Times New Roman" w:hAnsi="Times New Roman" w:cs="Times New Roman"/>
                <w:color w:val="000000"/>
                <w:spacing w:val="0"/>
                <w:w w:val="100"/>
                <w:position w:val="0"/>
              </w:rPr>
              <w:t>500,000.00</w:t>
            </w:r>
            <w:r>
              <w:rPr>
                <w:color w:val="000000"/>
                <w:spacing w:val="0"/>
                <w:w w:val="100"/>
                <w:position w:val="0"/>
              </w:rPr>
              <w:t>元。</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689,789.71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为银行融资、开立银行承兑票据提供 抵押担保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有追索权的应收账款保理</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11,060,789.71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日，固定资产抵押项下的银行借款已偿还。</w:t>
      </w:r>
    </w:p>
    <w:p>
      <w:pPr>
        <w:pStyle w:val="Style35"/>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7</w:t>
      </w:r>
      <w:bookmarkEnd w:id="155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49"/>
      <w:bookmarkEnd w:id="1550"/>
      <w:bookmarkEnd w:id="1552"/>
    </w:p>
    <w:p>
      <w:pPr>
        <w:pStyle w:val="Style35"/>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49"/>
      <w:bookmarkEnd w:id="1550"/>
      <w:bookmarkEnd w:id="15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after="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317" w:lineRule="exact"/>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4"/>
      <w:bookmarkEnd w:id="1555"/>
      <w:bookmarkEnd w:id="1556"/>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after="360" w:line="317" w:lineRule="exact"/>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7</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57"/>
      <w:bookmarkEnd w:id="1558"/>
      <w:bookmarkEnd w:id="1560"/>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78" w:val="left"/>
        </w:tabs>
        <w:bidi w:val="0"/>
        <w:spacing w:before="0" w:after="360" w:line="317" w:lineRule="exact"/>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7</w:t>
      </w:r>
      <w:bookmarkEnd w:id="1563"/>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61"/>
      <w:bookmarkEnd w:id="1562"/>
      <w:bookmarkEnd w:id="1564"/>
    </w:p>
    <w:p>
      <w:pPr>
        <w:pStyle w:val="Style27"/>
        <w:keepNext/>
        <w:keepLines/>
        <w:widowControl w:val="0"/>
        <w:shd w:val="clear" w:color="auto" w:fill="auto"/>
        <w:bidi w:val="0"/>
        <w:spacing w:before="0" w:after="30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sz w:val="24"/>
          <w:szCs w:val="24"/>
        </w:rPr>
        <w:t>八</w:t>
      </w:r>
      <w:bookmarkEnd w:id="1567"/>
      <w:r>
        <w:rPr>
          <w:color w:val="000000"/>
          <w:spacing w:val="0"/>
          <w:w w:val="100"/>
          <w:position w:val="0"/>
          <w:sz w:val="24"/>
          <w:szCs w:val="24"/>
        </w:rPr>
        <w:t>、合并范围的变更</w:t>
      </w:r>
      <w:bookmarkEnd w:id="1565"/>
      <w:bookmarkEnd w:id="1566"/>
      <w:bookmarkEnd w:id="1568"/>
    </w:p>
    <w:p>
      <w:pPr>
        <w:pStyle w:val="Style35"/>
        <w:keepNext/>
        <w:keepLines/>
        <w:widowControl w:val="0"/>
        <w:shd w:val="clear" w:color="auto" w:fill="auto"/>
        <w:bidi w:val="0"/>
        <w:spacing w:before="0" w:after="300" w:line="317" w:lineRule="exact"/>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bookmarkEnd w:id="1571"/>
      <w:r>
        <w:rPr>
          <w:color w:val="000000"/>
          <w:spacing w:val="0"/>
          <w:w w:val="100"/>
          <w:position w:val="0"/>
        </w:rPr>
        <w:t>、非同一控制下企业合并</w:t>
      </w:r>
      <w:bookmarkEnd w:id="1569"/>
      <w:bookmarkEnd w:id="1570"/>
      <w:bookmarkEnd w:id="1572"/>
    </w:p>
    <w:p>
      <w:pPr>
        <w:pStyle w:val="Style35"/>
        <w:keepNext/>
        <w:keepLines/>
        <w:widowControl w:val="0"/>
        <w:shd w:val="clear" w:color="auto" w:fill="auto"/>
        <w:bidi w:val="0"/>
        <w:spacing w:before="0" w:after="360" w:line="317" w:lineRule="exact"/>
        <w:ind w:left="0" w:right="0" w:firstLine="0"/>
        <w:jc w:val="left"/>
      </w:pPr>
      <w:bookmarkStart w:id="1569" w:name="bookmark1569"/>
      <w:bookmarkStart w:id="1570" w:name="bookmark1570"/>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69"/>
      <w:bookmarkEnd w:id="1570"/>
      <w:bookmarkEnd w:id="15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浙江创源 环境科技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28,500,000</w:t>
            </w:r>
          </w:p>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 制下企业 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取得实际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21,616,960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4,443,014.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杭州惟勤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2,540,900.</w:t>
            </w:r>
          </w:p>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 制下企业 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取得实际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3,668,601.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1,708,170.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广东中拓 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39,760,000</w:t>
            </w:r>
          </w:p>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 制下企业 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取得实际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19,143,702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5,262,676.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中山市蓝 天电脑有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 制下企业 合并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取得实际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175,683.78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-613,129.4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tabs>
          <w:tab w:pos="313" w:val="left"/>
        </w:tabs>
        <w:bidi w:val="0"/>
        <w:spacing w:before="0" w:after="0" w:line="312" w:lineRule="exact"/>
        <w:ind w:left="0" w:right="0" w:firstLine="0"/>
        <w:jc w:val="left"/>
      </w:pPr>
      <w:bookmarkStart w:id="1574" w:name="bookmark1574"/>
      <w:r>
        <w:rPr>
          <w:rFonts w:ascii="Times New Roman" w:eastAsia="Times New Roman" w:hAnsi="Times New Roman" w:cs="Times New Roman"/>
          <w:color w:val="000000"/>
          <w:spacing w:val="0"/>
          <w:w w:val="100"/>
          <w:position w:val="0"/>
        </w:rPr>
        <w:t>1</w:t>
      </w:r>
      <w:bookmarkEnd w:id="1574"/>
      <w:r>
        <w:rPr>
          <w:rFonts w:ascii="Times New Roman" w:eastAsia="Times New Roman" w:hAnsi="Times New Roman" w:cs="Times New Roman"/>
          <w:color w:val="000000"/>
          <w:spacing w:val="0"/>
          <w:w w:val="100"/>
          <w:position w:val="0"/>
        </w:rPr>
        <w:t>）</w:t>
        <w:tab/>
      </w:r>
      <w:r>
        <w:rPr>
          <w:color w:val="000000"/>
          <w:spacing w:val="0"/>
          <w:w w:val="100"/>
          <w:position w:val="0"/>
        </w:rPr>
        <w:t>根据本公司与自然人吴建钢、应莺、陈晓军于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月及</w:t>
      </w:r>
      <w:r>
        <w:rPr>
          <w:rFonts w:ascii="Times New Roman" w:eastAsia="Times New Roman" w:hAnsi="Times New Roman" w:cs="Times New Roman"/>
          <w:color w:val="000000"/>
          <w:spacing w:val="0"/>
          <w:w w:val="100"/>
          <w:position w:val="0"/>
        </w:rPr>
        <w:t>9</w:t>
      </w:r>
      <w:r>
        <w:rPr>
          <w:color w:val="000000"/>
          <w:spacing w:val="0"/>
          <w:w w:val="100"/>
          <w:position w:val="0"/>
        </w:rPr>
        <w:t>月签署的《股份转让协议》，本公司以</w:t>
      </w:r>
      <w:r>
        <w:rPr>
          <w:rFonts w:ascii="Times New Roman" w:eastAsia="Times New Roman" w:hAnsi="Times New Roman" w:cs="Times New Roman"/>
          <w:color w:val="000000"/>
          <w:spacing w:val="0"/>
          <w:w w:val="100"/>
          <w:position w:val="0"/>
        </w:rPr>
        <w:t>28,500,000.00</w:t>
      </w:r>
      <w:r>
        <w:rPr>
          <w:color w:val="000000"/>
          <w:spacing w:val="0"/>
          <w:w w:val="100"/>
          <w:position w:val="0"/>
        </w:rPr>
        <w:t>元的 价格受让上述三位自然人持有的浙江创源环境科技股份有限公司</w:t>
      </w:r>
      <w:r>
        <w:rPr>
          <w:rFonts w:ascii="Times New Roman" w:eastAsia="Times New Roman" w:hAnsi="Times New Roman" w:cs="Times New Roman"/>
          <w:color w:val="000000"/>
          <w:spacing w:val="0"/>
          <w:w w:val="100"/>
          <w:position w:val="0"/>
        </w:rPr>
        <w:t>47.50%</w:t>
      </w:r>
      <w:r>
        <w:rPr>
          <w:color w:val="000000"/>
          <w:spacing w:val="0"/>
          <w:w w:val="100"/>
          <w:position w:val="0"/>
        </w:rPr>
        <w:t>的股权，并已于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日前支付股权转让款 </w:t>
      </w:r>
      <w:r>
        <w:rPr>
          <w:rFonts w:ascii="Times New Roman" w:eastAsia="Times New Roman" w:hAnsi="Times New Roman" w:cs="Times New Roman"/>
          <w:color w:val="000000"/>
          <w:spacing w:val="0"/>
          <w:w w:val="100"/>
          <w:position w:val="0"/>
        </w:rPr>
        <w:t>28,500,000.00</w:t>
      </w:r>
      <w:r>
        <w:rPr>
          <w:color w:val="000000"/>
          <w:spacing w:val="0"/>
          <w:w w:val="100"/>
          <w:position w:val="0"/>
        </w:rPr>
        <w:t>元，并于</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日完成董事会成员的改选和任命，同时拥有该公司董事会多数表决权。因本公司拥有该公司 的实质控制权，故自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月起将其纳入合并财务报表范围。</w:t>
      </w:r>
    </w:p>
    <w:p>
      <w:pPr>
        <w:pStyle w:val="Style29"/>
        <w:keepNext w:val="0"/>
        <w:keepLines w:val="0"/>
        <w:widowControl w:val="0"/>
        <w:shd w:val="clear" w:color="auto" w:fill="auto"/>
        <w:tabs>
          <w:tab w:pos="313" w:val="left"/>
        </w:tabs>
        <w:bidi w:val="0"/>
        <w:spacing w:before="0" w:after="0" w:line="314" w:lineRule="exact"/>
        <w:ind w:left="0" w:right="0" w:firstLine="0"/>
        <w:jc w:val="left"/>
      </w:pPr>
      <w:bookmarkStart w:id="1575" w:name="bookmark1575"/>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w:t>
        <w:tab/>
      </w:r>
      <w:r>
        <w:rPr>
          <w:color w:val="000000"/>
          <w:spacing w:val="0"/>
          <w:w w:val="100"/>
          <w:position w:val="0"/>
        </w:rPr>
        <w:t>根据本公司与自然人汪一茗、朱宁娜于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月签署的《增资扩股协议书》，本公司以货币资金对杭州惟勤科技有限 公司增资</w:t>
      </w:r>
      <w:r>
        <w:rPr>
          <w:rFonts w:ascii="Times New Roman" w:eastAsia="Times New Roman" w:hAnsi="Times New Roman" w:cs="Times New Roman"/>
          <w:color w:val="000000"/>
          <w:spacing w:val="0"/>
          <w:w w:val="100"/>
          <w:position w:val="0"/>
        </w:rPr>
        <w:t>2,540,900.00</w:t>
      </w:r>
      <w:r>
        <w:rPr>
          <w:color w:val="000000"/>
          <w:spacing w:val="0"/>
          <w:w w:val="100"/>
          <w:position w:val="0"/>
        </w:rPr>
        <w:t>元</w:t>
      </w:r>
      <w:r>
        <w:rPr>
          <w:color w:val="000000"/>
          <w:spacing w:val="0"/>
          <w:w w:val="100"/>
          <w:position w:val="0"/>
        </w:rPr>
        <w:t>，</w:t>
      </w:r>
      <w:r>
        <w:rPr>
          <w:color w:val="000000"/>
          <w:spacing w:val="0"/>
          <w:w w:val="100"/>
          <w:position w:val="0"/>
        </w:rPr>
        <w:t>增资后，本公司持有杭州惟勤科技有限公司</w:t>
      </w:r>
      <w:r>
        <w:rPr>
          <w:rFonts w:ascii="Times New Roman" w:eastAsia="Times New Roman" w:hAnsi="Times New Roman" w:cs="Times New Roman"/>
          <w:color w:val="000000"/>
          <w:spacing w:val="0"/>
          <w:w w:val="100"/>
          <w:position w:val="0"/>
        </w:rPr>
        <w:t>51.00%</w:t>
      </w:r>
      <w:r>
        <w:rPr>
          <w:color w:val="000000"/>
          <w:spacing w:val="0"/>
          <w:w w:val="100"/>
          <w:position w:val="0"/>
        </w:rPr>
        <w:t>股权。因本公司已于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日支付了增 资款并实质控制了该公司，故自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月起将其纳入合并财务报表范围。</w:t>
      </w:r>
    </w:p>
    <w:p>
      <w:pPr>
        <w:pStyle w:val="Style29"/>
        <w:keepNext w:val="0"/>
        <w:keepLines w:val="0"/>
        <w:widowControl w:val="0"/>
        <w:shd w:val="clear" w:color="auto" w:fill="auto"/>
        <w:bidi w:val="0"/>
        <w:spacing w:before="0" w:after="380" w:line="313" w:lineRule="exact"/>
        <w:ind w:left="0" w:right="0"/>
        <w:jc w:val="left"/>
      </w:pPr>
      <w:bookmarkStart w:id="1576" w:name="bookmark1576"/>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w:t>
      </w:r>
      <w:r>
        <w:rPr>
          <w:color w:val="000000"/>
          <w:spacing w:val="0"/>
          <w:w w:val="100"/>
          <w:position w:val="0"/>
        </w:rPr>
        <w:t>根据本公司与自然人周青员、彭世杰于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月签署的《股权转让与增资协议》，本公司以</w:t>
      </w:r>
      <w:r>
        <w:rPr>
          <w:rFonts w:ascii="Times New Roman" w:eastAsia="Times New Roman" w:hAnsi="Times New Roman" w:cs="Times New Roman"/>
          <w:color w:val="000000"/>
          <w:spacing w:val="0"/>
          <w:w w:val="100"/>
          <w:position w:val="0"/>
        </w:rPr>
        <w:t>29,760,000.00</w:t>
      </w:r>
      <w:r>
        <w:rPr>
          <w:color w:val="000000"/>
          <w:spacing w:val="0"/>
          <w:w w:val="100"/>
          <w:position w:val="0"/>
        </w:rPr>
        <w:t>元的价 格受让自然人周青员、彭世杰持有的广东中拓信息技术有限公司（以下简称中拓公司）</w:t>
      </w:r>
      <w:r>
        <w:rPr>
          <w:rFonts w:ascii="Times New Roman" w:eastAsia="Times New Roman" w:hAnsi="Times New Roman" w:cs="Times New Roman"/>
          <w:color w:val="000000"/>
          <w:spacing w:val="0"/>
          <w:w w:val="100"/>
          <w:position w:val="0"/>
        </w:rPr>
        <w:t>7,010,000</w:t>
      </w:r>
      <w:r>
        <w:rPr>
          <w:color w:val="000000"/>
          <w:spacing w:val="0"/>
          <w:w w:val="100"/>
          <w:position w:val="0"/>
        </w:rPr>
        <w:t xml:space="preserve">元股权，同时出资 </w:t>
      </w:r>
      <w:r>
        <w:rPr>
          <w:rFonts w:ascii="Times New Roman" w:eastAsia="Times New Roman" w:hAnsi="Times New Roman" w:cs="Times New Roman"/>
          <w:color w:val="000000"/>
          <w:spacing w:val="0"/>
          <w:w w:val="100"/>
          <w:position w:val="0"/>
        </w:rPr>
        <w:t>10,000,000.00</w:t>
      </w:r>
      <w:r>
        <w:rPr>
          <w:color w:val="000000"/>
          <w:spacing w:val="0"/>
          <w:w w:val="100"/>
          <w:position w:val="0"/>
        </w:rPr>
        <w:t>元认购新增注册资本</w:t>
      </w:r>
      <w:r>
        <w:rPr>
          <w:rFonts w:ascii="Times New Roman" w:eastAsia="Times New Roman" w:hAnsi="Times New Roman" w:cs="Times New Roman"/>
          <w:color w:val="000000"/>
          <w:spacing w:val="0"/>
          <w:w w:val="100"/>
          <w:position w:val="0"/>
        </w:rPr>
        <w:t>4,990,000</w:t>
      </w:r>
      <w:r>
        <w:rPr>
          <w:color w:val="000000"/>
          <w:spacing w:val="0"/>
          <w:w w:val="100"/>
          <w:position w:val="0"/>
        </w:rPr>
        <w:t>元。增资完成后，本公司持有中拓公司</w:t>
      </w:r>
      <w:r>
        <w:rPr>
          <w:rFonts w:ascii="Times New Roman" w:eastAsia="Times New Roman" w:hAnsi="Times New Roman" w:cs="Times New Roman"/>
          <w:color w:val="000000"/>
          <w:spacing w:val="0"/>
          <w:w w:val="100"/>
          <w:position w:val="0"/>
        </w:rPr>
        <w:t>80%</w:t>
      </w:r>
      <w:r>
        <w:rPr>
          <w:color w:val="000000"/>
          <w:spacing w:val="0"/>
          <w:w w:val="100"/>
          <w:position w:val="0"/>
        </w:rPr>
        <w:t>的股权；另外，本公司以</w:t>
      </w:r>
      <w:r>
        <w:rPr>
          <w:rFonts w:ascii="Times New Roman" w:eastAsia="Times New Roman" w:hAnsi="Times New Roman" w:cs="Times New Roman"/>
          <w:color w:val="000000"/>
          <w:spacing w:val="0"/>
          <w:w w:val="100"/>
          <w:position w:val="0"/>
        </w:rPr>
        <w:t xml:space="preserve">240,000.00 </w:t>
      </w:r>
      <w:r>
        <w:rPr>
          <w:color w:val="000000"/>
          <w:spacing w:val="0"/>
          <w:w w:val="100"/>
          <w:position w:val="0"/>
        </w:rPr>
        <w:t>元的价格受让自然人周青员、彭世杰持有的中山市蓝天电脑有限公司</w:t>
      </w:r>
      <w:r>
        <w:rPr>
          <w:rFonts w:ascii="Times New Roman" w:eastAsia="Times New Roman" w:hAnsi="Times New Roman" w:cs="Times New Roman"/>
          <w:color w:val="000000"/>
          <w:spacing w:val="0"/>
          <w:w w:val="100"/>
          <w:position w:val="0"/>
        </w:rPr>
        <w:t>80%</w:t>
      </w:r>
      <w:r>
        <w:rPr>
          <w:color w:val="000000"/>
          <w:spacing w:val="0"/>
          <w:w w:val="100"/>
          <w:position w:val="0"/>
        </w:rPr>
        <w:t>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日，本公司已支付了 大部分股权转让款及增资款（分别于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月合计支付</w:t>
      </w:r>
      <w:r>
        <w:rPr>
          <w:rFonts w:ascii="Times New Roman" w:eastAsia="Times New Roman" w:hAnsi="Times New Roman" w:cs="Times New Roman"/>
          <w:color w:val="000000"/>
          <w:spacing w:val="0"/>
          <w:w w:val="100"/>
          <w:position w:val="0"/>
        </w:rPr>
        <w:t>36,000,000.00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日支付</w:t>
      </w:r>
      <w:r>
        <w:rPr>
          <w:rFonts w:ascii="Times New Roman" w:eastAsia="Times New Roman" w:hAnsi="Times New Roman" w:cs="Times New Roman"/>
          <w:color w:val="000000"/>
          <w:spacing w:val="0"/>
          <w:w w:val="100"/>
          <w:position w:val="0"/>
        </w:rPr>
        <w:t>4,000,000.00</w:t>
      </w:r>
      <w:r>
        <w:rPr>
          <w:color w:val="000000"/>
          <w:spacing w:val="0"/>
          <w:w w:val="100"/>
          <w:position w:val="0"/>
        </w:rPr>
        <w:t>元）并实 质控制了上述两家公司，故自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月起将其纳入合并财务报表范围。</w:t>
      </w:r>
    </w:p>
    <w:p>
      <w:pPr>
        <w:pStyle w:val="Style35"/>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77"/>
      <w:bookmarkEnd w:id="1578"/>
      <w:bookmarkEnd w:id="15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浙江创源环境科技股 份有限公司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杭州惟勤科技有限公 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广东中拓信息技术有</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中山市蓝天电脑有限</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2,540,900.00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39,760,000.00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2,540,900.00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39,760,000.00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减：取得的可辨认净 资产公允价值份额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18,338,287.43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1,418,922.28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17,526,475.18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2,508,243.53</w:t>
            </w: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 得的可辨认净资产公 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10,161,712.57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1,121,977.72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22,233,524.82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-2,268,243.53</w:t>
            </w:r>
          </w:p>
        </w:tc>
      </w:tr>
    </w:tbl>
    <w:p>
      <w:pPr>
        <w:pStyle w:val="Style29"/>
        <w:keepNext w:val="0"/>
        <w:keepLines w:val="0"/>
        <w:widowControl w:val="0"/>
        <w:shd w:val="clear" w:color="auto" w:fill="auto"/>
        <w:bidi w:val="0"/>
        <w:spacing w:before="0" w:after="0" w:line="329" w:lineRule="exact"/>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0" w:line="329" w:lineRule="exact"/>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tabs>
          <w:tab w:pos="298" w:val="left"/>
        </w:tabs>
        <w:bidi w:val="0"/>
        <w:spacing w:before="0" w:after="0" w:line="307" w:lineRule="exact"/>
        <w:ind w:left="0" w:right="0" w:firstLine="0"/>
        <w:jc w:val="left"/>
      </w:pPr>
      <w:bookmarkStart w:id="1580" w:name="bookmark1580"/>
      <w:r>
        <w:rPr>
          <w:rFonts w:ascii="Times New Roman" w:eastAsia="Times New Roman" w:hAnsi="Times New Roman" w:cs="Times New Roman"/>
          <w:color w:val="000000"/>
          <w:spacing w:val="0"/>
          <w:w w:val="100"/>
          <w:position w:val="0"/>
        </w:rPr>
        <w:t>1</w:t>
      </w:r>
      <w:bookmarkEnd w:id="1580"/>
      <w:r>
        <w:rPr>
          <w:rFonts w:ascii="Times New Roman" w:eastAsia="Times New Roman" w:hAnsi="Times New Roman" w:cs="Times New Roman"/>
          <w:color w:val="000000"/>
          <w:spacing w:val="0"/>
          <w:w w:val="100"/>
          <w:position w:val="0"/>
        </w:rPr>
        <w:t>）</w:t>
        <w:tab/>
      </w:r>
      <w:r>
        <w:rPr>
          <w:color w:val="000000"/>
          <w:spacing w:val="0"/>
          <w:w w:val="100"/>
          <w:position w:val="0"/>
        </w:rPr>
        <w:t>本期公司收购浙江创源环境科技股份有限公司</w:t>
      </w:r>
      <w:r>
        <w:rPr>
          <w:rFonts w:ascii="Times New Roman" w:eastAsia="Times New Roman" w:hAnsi="Times New Roman" w:cs="Times New Roman"/>
          <w:color w:val="000000"/>
          <w:spacing w:val="0"/>
          <w:w w:val="100"/>
          <w:position w:val="0"/>
        </w:rPr>
        <w:t>47.5%</w:t>
      </w:r>
      <w:r>
        <w:rPr>
          <w:color w:val="000000"/>
          <w:spacing w:val="0"/>
          <w:w w:val="100"/>
          <w:position w:val="0"/>
        </w:rPr>
        <w:t>股权，投资成本</w:t>
      </w:r>
      <w:r>
        <w:rPr>
          <w:rFonts w:ascii="Times New Roman" w:eastAsia="Times New Roman" w:hAnsi="Times New Roman" w:cs="Times New Roman"/>
          <w:color w:val="000000"/>
          <w:spacing w:val="0"/>
          <w:w w:val="100"/>
          <w:position w:val="0"/>
        </w:rPr>
        <w:t>28,500,000.00</w:t>
      </w:r>
      <w:r>
        <w:rPr>
          <w:color w:val="000000"/>
          <w:spacing w:val="0"/>
          <w:w w:val="100"/>
          <w:position w:val="0"/>
        </w:rPr>
        <w:t>元大于该股权对应的可辨认净资产公 允价值的部分</w:t>
      </w:r>
      <w:r>
        <w:rPr>
          <w:rFonts w:ascii="Times New Roman" w:eastAsia="Times New Roman" w:hAnsi="Times New Roman" w:cs="Times New Roman"/>
          <w:color w:val="000000"/>
          <w:spacing w:val="0"/>
          <w:w w:val="100"/>
          <w:position w:val="0"/>
        </w:rPr>
        <w:t>18,338,287.43</w:t>
      </w:r>
      <w:r>
        <w:rPr>
          <w:color w:val="000000"/>
          <w:spacing w:val="0"/>
          <w:w w:val="100"/>
          <w:position w:val="0"/>
        </w:rPr>
        <w:t>元的差额，确认为商誉</w:t>
      </w:r>
      <w:r>
        <w:rPr>
          <w:rFonts w:ascii="Times New Roman" w:eastAsia="Times New Roman" w:hAnsi="Times New Roman" w:cs="Times New Roman"/>
          <w:color w:val="000000"/>
          <w:spacing w:val="0"/>
          <w:w w:val="100"/>
          <w:position w:val="0"/>
        </w:rPr>
        <w:t>10,161,712.57</w:t>
      </w:r>
      <w:r>
        <w:rPr>
          <w:color w:val="000000"/>
          <w:spacing w:val="0"/>
          <w:w w:val="100"/>
          <w:position w:val="0"/>
        </w:rPr>
        <w:t>元。</w:t>
      </w:r>
    </w:p>
    <w:p>
      <w:pPr>
        <w:pStyle w:val="Style29"/>
        <w:keepNext w:val="0"/>
        <w:keepLines w:val="0"/>
        <w:widowControl w:val="0"/>
        <w:shd w:val="clear" w:color="auto" w:fill="auto"/>
        <w:tabs>
          <w:tab w:pos="313" w:val="left"/>
        </w:tabs>
        <w:bidi w:val="0"/>
        <w:spacing w:before="0" w:after="380" w:line="329" w:lineRule="exact"/>
        <w:ind w:left="0" w:right="0" w:firstLine="0"/>
        <w:jc w:val="left"/>
      </w:pPr>
      <w:bookmarkStart w:id="1581" w:name="bookmark1581"/>
      <w:r>
        <w:rPr>
          <w:rFonts w:ascii="Times New Roman" w:eastAsia="Times New Roman" w:hAnsi="Times New Roman" w:cs="Times New Roman"/>
          <w:color w:val="000000"/>
          <w:spacing w:val="0"/>
          <w:w w:val="100"/>
          <w:position w:val="0"/>
        </w:rPr>
        <w:t>2</w:t>
      </w:r>
      <w:bookmarkEnd w:id="1581"/>
      <w:r>
        <w:rPr>
          <w:rFonts w:ascii="Times New Roman" w:eastAsia="Times New Roman" w:hAnsi="Times New Roman" w:cs="Times New Roman"/>
          <w:color w:val="000000"/>
          <w:spacing w:val="0"/>
          <w:w w:val="100"/>
          <w:position w:val="0"/>
        </w:rPr>
        <w:t>）</w:t>
        <w:tab/>
      </w:r>
      <w:r>
        <w:rPr>
          <w:color w:val="000000"/>
          <w:spacing w:val="0"/>
          <w:w w:val="100"/>
          <w:position w:val="0"/>
        </w:rPr>
        <w:t>本期公司收购广东中拓信息技术有限公司和中山市蓝天电脑有限公司实际系一揽子交易，故合并计算商誉金额。投资成 本</w:t>
      </w:r>
      <w:r>
        <w:rPr>
          <w:rFonts w:ascii="Times New Roman" w:eastAsia="Times New Roman" w:hAnsi="Times New Roman" w:cs="Times New Roman"/>
          <w:color w:val="000000"/>
          <w:spacing w:val="0"/>
          <w:w w:val="100"/>
          <w:position w:val="0"/>
        </w:rPr>
        <w:t>40,000,000.00</w:t>
      </w:r>
      <w:r>
        <w:rPr>
          <w:color w:val="000000"/>
          <w:spacing w:val="0"/>
          <w:w w:val="100"/>
          <w:position w:val="0"/>
        </w:rPr>
        <w:t>元大于该股权对应的可辨认净资产公允价值的部分</w:t>
      </w:r>
      <w:r>
        <w:rPr>
          <w:rFonts w:ascii="Times New Roman" w:eastAsia="Times New Roman" w:hAnsi="Times New Roman" w:cs="Times New Roman"/>
          <w:color w:val="000000"/>
          <w:spacing w:val="0"/>
          <w:w w:val="100"/>
          <w:position w:val="0"/>
        </w:rPr>
        <w:t>20,034,718.71</w:t>
      </w:r>
      <w:r>
        <w:rPr>
          <w:color w:val="000000"/>
          <w:spacing w:val="0"/>
          <w:w w:val="100"/>
          <w:position w:val="0"/>
        </w:rPr>
        <w:t>元的差额，确认为商誉</w:t>
      </w:r>
      <w:r>
        <w:rPr>
          <w:rFonts w:ascii="Times New Roman" w:eastAsia="Times New Roman" w:hAnsi="Times New Roman" w:cs="Times New Roman"/>
          <w:color w:val="000000"/>
          <w:spacing w:val="0"/>
          <w:w w:val="100"/>
          <w:position w:val="0"/>
        </w:rPr>
        <w:t>19,965,281.29</w:t>
      </w:r>
      <w:r>
        <w:rPr>
          <w:color w:val="000000"/>
          <w:spacing w:val="0"/>
          <w:w w:val="100"/>
          <w:position w:val="0"/>
        </w:rPr>
        <w:t>元。 其他说明：</w:t>
      </w:r>
    </w:p>
    <w:p>
      <w:pPr>
        <w:pStyle w:val="Style35"/>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82"/>
      <w:bookmarkEnd w:id="1583"/>
      <w:bookmarkEnd w:id="158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26"/>
        <w:gridCol w:w="2126"/>
        <w:gridCol w:w="2122"/>
        <w:gridCol w:w="213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浙江创源环境科技股份</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杭州惟勤科技有限公司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广东中拓信息技术有限 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中山市蓝天电脑有限公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1027" w:val="left"/>
              </w:tabs>
              <w:bidi w:val="0"/>
              <w:spacing w:before="0" w:after="0" w:line="240" w:lineRule="auto"/>
              <w:ind w:left="0" w:right="0" w:firstLine="0"/>
              <w:jc w:val="center"/>
            </w:pPr>
            <w:r>
              <w:rPr>
                <w:color w:val="000000"/>
                <w:spacing w:val="0"/>
                <w:w w:val="100"/>
                <w:position w:val="0"/>
              </w:rPr>
              <w:t>购买日公</w:t>
              <w:tab/>
              <w:t>购买日账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1027" w:val="left"/>
              </w:tabs>
              <w:bidi w:val="0"/>
              <w:spacing w:before="0" w:after="0" w:line="240" w:lineRule="auto"/>
              <w:ind w:left="0" w:right="0" w:firstLine="0"/>
              <w:jc w:val="center"/>
            </w:pPr>
            <w:r>
              <w:rPr>
                <w:color w:val="000000"/>
                <w:spacing w:val="0"/>
                <w:w w:val="100"/>
                <w:position w:val="0"/>
              </w:rPr>
              <w:t>购买日公</w:t>
              <w:tab/>
              <w:t>购买日账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1027" w:val="left"/>
              </w:tabs>
              <w:bidi w:val="0"/>
              <w:spacing w:before="0" w:after="0" w:line="240" w:lineRule="auto"/>
              <w:ind w:left="0" w:right="0" w:firstLine="0"/>
              <w:jc w:val="center"/>
            </w:pPr>
            <w:r>
              <w:rPr>
                <w:color w:val="000000"/>
                <w:spacing w:val="0"/>
                <w:w w:val="100"/>
                <w:position w:val="0"/>
              </w:rPr>
              <w:t>购买日公</w:t>
              <w:tab/>
              <w:t>购买日账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tabs>
                <w:tab w:pos="1027" w:val="left"/>
              </w:tabs>
              <w:bidi w:val="0"/>
              <w:spacing w:before="0" w:after="0" w:line="240" w:lineRule="auto"/>
              <w:ind w:left="0" w:right="0" w:firstLine="0"/>
              <w:jc w:val="center"/>
            </w:pPr>
            <w:r>
              <w:rPr>
                <w:color w:val="000000"/>
                <w:spacing w:val="0"/>
                <w:w w:val="100"/>
                <w:position w:val="0"/>
              </w:rPr>
              <w:t>购买日公</w:t>
              <w:tab/>
              <w:t>购买日账</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面价值</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63,184,838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63,184,838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3,823,221.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3,823,221.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26,344,282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26,344,282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5,059,811.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29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3,903,658.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9,777,608.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9,777,608.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441,985.33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441,985.33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61,121.28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61,121.28</w:t>
            </w:r>
          </w:p>
        </w:tc>
      </w:tr>
      <w:tr>
        <w:trPr>
          <w:trHeight w:val="451"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35,525,473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35,525,473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728,389.20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728,389.20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4,877,665.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15,415,333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15,415,333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107,126.39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107,126.39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1,934,419.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50,290.14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50,290.14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83,888.03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83,888.03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31,271.86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31,271.86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24,577,917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24,577,917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1,041,020.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1,041,020.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4,436,188.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1,924,507.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4,849,184.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4,849,184.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892,650.48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892,650.48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2,345,969.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1,510,358.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38,606,920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38,606,920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2,782,200.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2,782,200.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21,908,093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21,908,093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3,135,304.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3,135,304.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44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20,268,633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20,268,633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1,363,278.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1,363,278.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4,381,618.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627,060.88</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627,060.88</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18,338,287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18,338,287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1,418,922.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1,418,922.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17,526,475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17,526,475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2,508,243.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2,508,243.</w:t>
            </w:r>
          </w:p>
        </w:tc>
      </w:tr>
      <w:tr>
        <w:trPr>
          <w:trHeight w:val="35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tabs>
          <w:tab w:pos="488" w:val="left"/>
        </w:tabs>
        <w:bidi w:val="0"/>
        <w:spacing w:before="0" w:after="360" w:line="240" w:lineRule="auto"/>
        <w:ind w:left="0" w:right="0" w:firstLine="0"/>
        <w:jc w:val="left"/>
      </w:pPr>
      <w:bookmarkStart w:id="1586" w:name="bookmark1586"/>
      <w:r>
        <w:rPr>
          <w:b/>
          <w:bCs/>
          <w:color w:val="000000"/>
          <w:spacing w:val="0"/>
          <w:w w:val="100"/>
          <w:position w:val="0"/>
        </w:rPr>
        <w:t>（</w:t>
      </w:r>
      <w:bookmarkEnd w:id="158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7"/>
        <w:keepNext w:val="0"/>
        <w:keepLines w:val="0"/>
        <w:widowControl w:val="0"/>
        <w:shd w:val="clear" w:color="auto" w:fill="auto"/>
        <w:tabs>
          <w:tab w:pos="488" w:val="left"/>
        </w:tabs>
        <w:bidi w:val="0"/>
        <w:spacing w:before="0" w:after="360" w:line="240" w:lineRule="auto"/>
        <w:ind w:left="0" w:right="0" w:firstLine="0"/>
        <w:jc w:val="left"/>
      </w:pPr>
      <w:bookmarkStart w:id="1587" w:name="bookmark1587"/>
      <w:r>
        <w:rPr>
          <w:b/>
          <w:bCs/>
          <w:color w:val="000000"/>
          <w:spacing w:val="0"/>
          <w:w w:val="100"/>
          <w:position w:val="0"/>
        </w:rPr>
        <w:t>（</w:t>
      </w:r>
      <w:bookmarkEnd w:id="158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购买日或合并当期期末无法合理确定合并对价或被购买方可辨认资产、负债公允价值的相关说明</w:t>
      </w:r>
    </w:p>
    <w:p>
      <w:pPr>
        <w:pStyle w:val="Style67"/>
        <w:keepNext w:val="0"/>
        <w:keepLines w:val="0"/>
        <w:widowControl w:val="0"/>
        <w:shd w:val="clear" w:color="auto" w:fill="auto"/>
        <w:tabs>
          <w:tab w:pos="488" w:val="left"/>
        </w:tabs>
        <w:bidi w:val="0"/>
        <w:spacing w:before="0" w:after="360" w:line="240" w:lineRule="auto"/>
        <w:ind w:left="0" w:right="0" w:firstLine="0"/>
        <w:jc w:val="left"/>
      </w:pPr>
      <w:bookmarkStart w:id="1588" w:name="bookmark1588"/>
      <w:r>
        <w:rPr>
          <w:b/>
          <w:bCs/>
          <w:color w:val="000000"/>
          <w:spacing w:val="0"/>
          <w:w w:val="100"/>
          <w:position w:val="0"/>
        </w:rPr>
        <w:t>（</w:t>
      </w:r>
      <w:bookmarkEnd w:id="158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67"/>
        <w:keepNext w:val="0"/>
        <w:keepLines w:val="0"/>
        <w:widowControl w:val="0"/>
        <w:shd w:val="clear" w:color="auto" w:fill="auto"/>
        <w:bidi w:val="0"/>
        <w:spacing w:before="0" w:after="360" w:line="240" w:lineRule="auto"/>
        <w:ind w:left="0" w:right="0" w:firstLine="0"/>
        <w:jc w:val="left"/>
      </w:pPr>
      <w:bookmarkStart w:id="1589" w:name="bookmark1589"/>
      <w:r>
        <w:rPr>
          <w:rFonts w:ascii="Times New Roman" w:eastAsia="Times New Roman" w:hAnsi="Times New Roman" w:cs="Times New Roman"/>
          <w:b/>
          <w:bCs/>
          <w:color w:val="000000"/>
          <w:spacing w:val="0"/>
          <w:w w:val="100"/>
          <w:position w:val="0"/>
        </w:rPr>
        <w:t>2</w:t>
      </w:r>
      <w:bookmarkEnd w:id="1589"/>
      <w:r>
        <w:rPr>
          <w:b/>
          <w:bCs/>
          <w:color w:val="000000"/>
          <w:spacing w:val="0"/>
          <w:w w:val="100"/>
          <w:position w:val="0"/>
        </w:rPr>
        <w:t>、同一控制下企业合并</w:t>
      </w:r>
    </w:p>
    <w:p>
      <w:pPr>
        <w:pStyle w:val="Style6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合并当期 期初至合 并日被合 并方的收</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160" w:right="0" w:firstLine="0"/>
              <w:jc w:val="left"/>
            </w:pPr>
            <w:r>
              <w:rPr>
                <w:color w:val="000000"/>
                <w:spacing w:val="0"/>
                <w:w w:val="100"/>
                <w:position w:val="0"/>
              </w:rPr>
              <w:t>比较期间 被合并方 的净利润</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90"/>
      <w:bookmarkEnd w:id="1591"/>
      <w:bookmarkEnd w:id="159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593"/>
      <w:bookmarkEnd w:id="1594"/>
      <w:bookmarkEnd w:id="15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3</w:t>
      </w:r>
      <w:bookmarkEnd w:id="1599"/>
      <w:r>
        <w:rPr>
          <w:color w:val="000000"/>
          <w:spacing w:val="0"/>
          <w:w w:val="100"/>
          <w:position w:val="0"/>
        </w:rPr>
        <w:t>、</w:t>
        <w:tab/>
        <w:t>反向购买</w:t>
      </w:r>
      <w:bookmarkEnd w:id="1597"/>
      <w:bookmarkEnd w:id="1598"/>
      <w:bookmarkEnd w:id="160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color w:val="000000"/>
          <w:spacing w:val="0"/>
          <w:w w:val="100"/>
          <w:position w:val="0"/>
        </w:rPr>
        <w:t>、</w:t>
        <w:tab/>
        <w:t>处置子公司</w:t>
      </w:r>
      <w:bookmarkEnd w:id="1601"/>
      <w:bookmarkEnd w:id="1602"/>
      <w:bookmarkEnd w:id="1604"/>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color w:val="000000"/>
          <w:spacing w:val="0"/>
          <w:w w:val="100"/>
          <w:position w:val="0"/>
        </w:rPr>
        <w:t>、</w:t>
        <w:tab/>
        <w:t>其他原因的合并范围变动</w:t>
      </w:r>
      <w:bookmarkEnd w:id="1605"/>
      <w:bookmarkEnd w:id="1606"/>
      <w:bookmarkEnd w:id="1608"/>
    </w:p>
    <w:p>
      <w:pPr>
        <w:pStyle w:val="Style33"/>
        <w:keepNext w:val="0"/>
        <w:keepLines w:val="0"/>
        <w:widowControl w:val="0"/>
        <w:shd w:val="clear" w:color="auto" w:fill="auto"/>
        <w:bidi w:val="0"/>
        <w:spacing w:before="0" w:after="0" w:line="240" w:lineRule="auto"/>
        <w:ind w:left="91"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1973"/>
        <w:gridCol w:w="1973"/>
        <w:gridCol w:w="1968"/>
        <w:gridCol w:w="1973"/>
        <w:gridCol w:w="1978"/>
      </w:tblGrid>
      <w:tr>
        <w:trPr>
          <w:trHeight w:val="408" w:hRule="exact"/>
        </w:trPr>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股权取得时间</w:t>
            </w:r>
          </w:p>
        </w:tc>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出资额</w:t>
            </w:r>
          </w:p>
        </w:tc>
        <w:tc>
          <w:tcPr>
            <w:tcBorders>
              <w:top w:val="single" w:sz="4"/>
              <w:left w:val="single" w:sz="4"/>
              <w:righ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出资比例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中山市杭创科技有限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出资设立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宁海杭创网络科技有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1973"/>
        <w:gridCol w:w="1973"/>
        <w:gridCol w:w="1968"/>
        <w:gridCol w:w="1973"/>
        <w:gridCol w:w="1978"/>
      </w:tblGrid>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7"/>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sz w:val="24"/>
          <w:szCs w:val="24"/>
        </w:rPr>
        <w:t>九</w:t>
      </w:r>
      <w:bookmarkEnd w:id="1611"/>
      <w:r>
        <w:rPr>
          <w:color w:val="000000"/>
          <w:spacing w:val="0"/>
          <w:w w:val="100"/>
          <w:position w:val="0"/>
          <w:sz w:val="24"/>
          <w:szCs w:val="24"/>
        </w:rPr>
        <w:t>、在其他主体中的权益</w:t>
      </w:r>
      <w:bookmarkEnd w:id="1609"/>
      <w:bookmarkEnd w:id="1610"/>
      <w:bookmarkEnd w:id="1612"/>
    </w:p>
    <w:p>
      <w:pPr>
        <w:pStyle w:val="Style35"/>
        <w:keepNext/>
        <w:keepLines/>
        <w:widowControl w:val="0"/>
        <w:shd w:val="clear" w:color="auto" w:fill="auto"/>
        <w:bidi w:val="0"/>
        <w:spacing w:before="0" w:after="32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13"/>
      <w:bookmarkEnd w:id="1614"/>
      <w:bookmarkEnd w:id="1615"/>
    </w:p>
    <w:p>
      <w:pPr>
        <w:pStyle w:val="Style35"/>
        <w:keepNext/>
        <w:keepLines/>
        <w:widowControl w:val="0"/>
        <w:shd w:val="clear" w:color="auto" w:fill="auto"/>
        <w:bidi w:val="0"/>
        <w:spacing w:before="0" w:after="320" w:line="240" w:lineRule="auto"/>
        <w:ind w:left="0" w:right="0" w:firstLine="220"/>
        <w:jc w:val="left"/>
      </w:pPr>
      <w:bookmarkStart w:id="1613" w:name="bookmark1613"/>
      <w:bookmarkStart w:id="1614" w:name="bookmark1614"/>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13"/>
      <w:bookmarkEnd w:id="1614"/>
      <w:bookmarkEnd w:id="1616"/>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苏州创业亿康 信息科技有限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上海创航软件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创业软件南京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新疆创什信息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重庆创易康软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天津创津科技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中山市杭创科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宁海杭创网络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杭州联旗科技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浙江创源环境 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环保监测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杭州惟勤科技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广东中拓信息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中山市蓝天电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脑有限公司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r>
        <w:br w:type="page"/>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本期，本公司收购了浙江创源环境科技股份有限公司</w:t>
      </w:r>
      <w:r>
        <w:rPr>
          <w:rFonts w:ascii="Times New Roman" w:eastAsia="Times New Roman" w:hAnsi="Times New Roman" w:cs="Times New Roman"/>
          <w:color w:val="000000"/>
          <w:spacing w:val="0"/>
          <w:w w:val="100"/>
          <w:position w:val="0"/>
        </w:rPr>
        <w:t>47.50%</w:t>
      </w:r>
      <w:r>
        <w:rPr>
          <w:color w:val="000000"/>
          <w:spacing w:val="0"/>
          <w:w w:val="100"/>
          <w:position w:val="0"/>
        </w:rPr>
        <w:t>的股份，成为该公司第一大股东，并且在该公司董事会席 位中占大多数，对其拥用实际控制权，故将其纳入合并报表范围。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确定公司是代理人还是委托人的依据：</w:t>
      </w:r>
    </w:p>
    <w:p>
      <w:pPr>
        <w:pStyle w:val="Style35"/>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r>
        <w:rPr>
          <w:color w:val="000000"/>
          <w:spacing w:val="0"/>
          <w:w w:val="100"/>
          <w:position w:val="0"/>
          <w:sz w:val="18"/>
          <w:szCs w:val="18"/>
        </w:rPr>
        <w:t>其他说明：</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17"/>
      <w:bookmarkEnd w:id="1618"/>
      <w:bookmarkEnd w:id="16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期末少数股东权益余</w:t>
            </w:r>
          </w:p>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浙江创源环境科技股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2,279,182.68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22,547,816.15</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广东中拓信息技术有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1,052,535.40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5,434,154.19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85"/>
        </w:numPr>
        <w:shd w:val="clear" w:color="auto" w:fill="auto"/>
        <w:bidi w:val="0"/>
        <w:spacing w:before="0" w:after="360" w:line="240" w:lineRule="auto"/>
        <w:ind w:left="0" w:right="0" w:firstLine="14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重要非全资子公司的主要财务信息</w:t>
      </w:r>
      <w:bookmarkEnd w:id="1620"/>
      <w:bookmarkEnd w:id="1621"/>
      <w:bookmarkEnd w:id="16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负债 合计</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 创源 环境 科技 股份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57,473</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,893.0</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60,028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,899.5</w:t>
            </w:r>
          </w:p>
          <w:p>
            <w:pPr>
              <w:pStyle w:val="Style24"/>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17,080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,678.3</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17,080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,678.3</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 中拓 信息 技术 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34,958</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,280.6</w:t>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261,83</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35,220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,119.0</w:t>
            </w:r>
          </w:p>
          <w:p>
            <w:pPr>
              <w:pStyle w:val="Style24"/>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8,049,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8,049,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w:t>
            </w:r>
          </w:p>
        </w:tc>
      </w:tr>
    </w:tbl>
    <w:tbl>
      <w:tblPr>
        <w:tblOverlap w:val="never"/>
        <w:jc w:val="center"/>
        <w:tblLayout w:type="fixed"/>
      </w:tblPr>
      <w:tblGrid>
        <w:gridCol w:w="1066"/>
        <w:gridCol w:w="1061"/>
        <w:gridCol w:w="1066"/>
        <w:gridCol w:w="1061"/>
        <w:gridCol w:w="1066"/>
        <w:gridCol w:w="1066"/>
        <w:gridCol w:w="1061"/>
        <w:gridCol w:w="1066"/>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浙江创源 环境科技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21,616,960</w:t>
            </w:r>
          </w:p>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4,341,300.</w:t>
            </w:r>
          </w:p>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4,341,300.</w:t>
            </w:r>
          </w:p>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7,293,273.</w:t>
            </w:r>
          </w:p>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广东中拓</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19,143,702</w:t>
            </w:r>
          </w:p>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5,262,676.</w:t>
            </w:r>
          </w:p>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5,262,676.</w:t>
            </w:r>
          </w:p>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7,042,923.</w:t>
            </w:r>
          </w:p>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85"/>
        </w:numPr>
        <w:shd w:val="clear" w:color="auto" w:fill="auto"/>
        <w:tabs>
          <w:tab w:pos="488" w:val="left"/>
        </w:tabs>
        <w:bidi w:val="0"/>
        <w:spacing w:before="0" w:after="36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使用企业集团资产和清偿企业集团债务的重大限制</w:t>
      </w:r>
      <w:bookmarkEnd w:id="1624"/>
      <w:bookmarkEnd w:id="1625"/>
      <w:bookmarkEnd w:id="1627"/>
    </w:p>
    <w:p>
      <w:pPr>
        <w:pStyle w:val="Style35"/>
        <w:keepNext/>
        <w:keepLines/>
        <w:widowControl w:val="0"/>
        <w:numPr>
          <w:ilvl w:val="0"/>
          <w:numId w:val="85"/>
        </w:numPr>
        <w:shd w:val="clear" w:color="auto" w:fill="auto"/>
        <w:tabs>
          <w:tab w:pos="488" w:val="left"/>
        </w:tabs>
        <w:bidi w:val="0"/>
        <w:spacing w:before="0" w:after="360" w:line="240" w:lineRule="auto"/>
        <w:ind w:left="0" w:right="0" w:firstLine="0"/>
        <w:jc w:val="left"/>
      </w:pPr>
      <w:bookmarkStart w:id="1624" w:name="bookmark1624"/>
      <w:bookmarkStart w:id="1625" w:name="bookmark1625"/>
      <w:bookmarkStart w:id="1628" w:name="bookmark1628"/>
      <w:bookmarkStart w:id="1629" w:name="bookmark1629"/>
      <w:bookmarkEnd w:id="1628"/>
      <w:r>
        <w:rPr>
          <w:color w:val="000000"/>
          <w:spacing w:val="0"/>
          <w:w w:val="100"/>
          <w:position w:val="0"/>
        </w:rPr>
        <w:t>向纳入合并财务报表范围的结构化主体提供的财务支持或其他支持</w:t>
      </w:r>
      <w:bookmarkEnd w:id="1624"/>
      <w:bookmarkEnd w:id="1625"/>
      <w:bookmarkEnd w:id="162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30"/>
      <w:bookmarkEnd w:id="1631"/>
      <w:bookmarkEnd w:id="1632"/>
    </w:p>
    <w:p>
      <w:pPr>
        <w:pStyle w:val="Style35"/>
        <w:keepNext/>
        <w:keepLines/>
        <w:widowControl w:val="0"/>
        <w:numPr>
          <w:ilvl w:val="0"/>
          <w:numId w:val="87"/>
        </w:numPr>
        <w:shd w:val="clear" w:color="auto" w:fill="auto"/>
        <w:tabs>
          <w:tab w:pos="488" w:val="left"/>
        </w:tabs>
        <w:bidi w:val="0"/>
        <w:spacing w:before="0" w:after="360" w:line="240" w:lineRule="auto"/>
        <w:ind w:left="0" w:right="0" w:firstLine="0"/>
        <w:jc w:val="left"/>
      </w:pPr>
      <w:bookmarkStart w:id="1630" w:name="bookmark1630"/>
      <w:bookmarkStart w:id="1631" w:name="bookmark1631"/>
      <w:bookmarkStart w:id="1633" w:name="bookmark1633"/>
      <w:bookmarkStart w:id="1634" w:name="bookmark1634"/>
      <w:bookmarkEnd w:id="1633"/>
      <w:r>
        <w:rPr>
          <w:color w:val="000000"/>
          <w:spacing w:val="0"/>
          <w:w w:val="100"/>
          <w:position w:val="0"/>
        </w:rPr>
        <w:t>在子公司所有者权益份额发生变化的情况说明</w:t>
      </w:r>
      <w:bookmarkEnd w:id="1630"/>
      <w:bookmarkEnd w:id="1631"/>
      <w:bookmarkEnd w:id="1634"/>
    </w:p>
    <w:p>
      <w:pPr>
        <w:pStyle w:val="Style35"/>
        <w:keepNext/>
        <w:keepLines/>
        <w:widowControl w:val="0"/>
        <w:numPr>
          <w:ilvl w:val="0"/>
          <w:numId w:val="87"/>
        </w:numPr>
        <w:shd w:val="clear" w:color="auto" w:fill="auto"/>
        <w:tabs>
          <w:tab w:pos="488" w:val="left"/>
        </w:tabs>
        <w:bidi w:val="0"/>
        <w:spacing w:before="0" w:after="360" w:line="240" w:lineRule="auto"/>
        <w:ind w:left="0" w:right="0" w:firstLine="0"/>
        <w:jc w:val="left"/>
      </w:pPr>
      <w:bookmarkStart w:id="1630" w:name="bookmark1630"/>
      <w:bookmarkStart w:id="1631" w:name="bookmark1631"/>
      <w:bookmarkStart w:id="1635" w:name="bookmark1635"/>
      <w:bookmarkStart w:id="1636" w:name="bookmark1636"/>
      <w:bookmarkEnd w:id="1635"/>
      <w:r>
        <w:rPr>
          <w:color w:val="000000"/>
          <w:spacing w:val="0"/>
          <w:w w:val="100"/>
          <w:position w:val="0"/>
        </w:rPr>
        <w:t>交易对于少数股东权益及归属于母公司所有者权益的影响</w:t>
      </w:r>
      <w:bookmarkEnd w:id="1630"/>
      <w:bookmarkEnd w:id="1631"/>
      <w:bookmarkEnd w:id="1636"/>
    </w:p>
    <w:p>
      <w:pPr>
        <w:pStyle w:val="Style29"/>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color w:val="000000"/>
          <w:spacing w:val="0"/>
          <w:w w:val="100"/>
          <w:position w:val="0"/>
        </w:rPr>
        <w:t>、在合营安排或联营企业中的权益</w:t>
      </w:r>
      <w:bookmarkEnd w:id="1637"/>
      <w:bookmarkEnd w:id="1638"/>
      <w:bookmarkEnd w:id="1640"/>
    </w:p>
    <w:p>
      <w:pPr>
        <w:pStyle w:val="Style35"/>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37"/>
      <w:bookmarkEnd w:id="1638"/>
      <w:bookmarkEnd w:id="1641"/>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after="360" w:line="240" w:lineRule="auto"/>
        <w:ind w:left="0" w:right="0" w:firstLine="14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42"/>
      <w:bookmarkEnd w:id="1643"/>
      <w:bookmarkEnd w:id="16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87"/>
        </w:numPr>
        <w:shd w:val="clear" w:color="auto" w:fill="auto"/>
        <w:bidi w:val="0"/>
        <w:spacing w:before="0" w:after="36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重要联营企业的主要财务信息</w:t>
      </w:r>
      <w:bookmarkEnd w:id="1645"/>
      <w:bookmarkEnd w:id="1646"/>
      <w:bookmarkEnd w:id="16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6E0EC"/>
            <w:vAlign w:val="top"/>
          </w:tcPr>
          <w:p>
            <w:pPr>
              <w:widowControl w:val="0"/>
              <w:rPr>
                <w:sz w:val="10"/>
                <w:szCs w:val="10"/>
              </w:rPr>
            </w:pPr>
          </w:p>
        </w:tc>
        <w:tc>
          <w:tcPr>
            <w:tcBorders>
              <w:top w:val="single" w:sz="4"/>
              <w:left w:val="single" w:sz="4"/>
              <w:bottom w:val="single" w:sz="4"/>
              <w:right w:val="single" w:sz="4"/>
            </w:tcBorders>
            <w:shd w:val="clear" w:color="auto" w:fill="E6E0EC"/>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87"/>
        </w:numPr>
        <w:shd w:val="clear" w:color="auto" w:fill="auto"/>
        <w:bidi w:val="0"/>
        <w:spacing w:before="0" w:after="36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不重要的合营企业和联营企业的汇总财务信息</w:t>
      </w:r>
      <w:bookmarkEnd w:id="1649"/>
      <w:bookmarkEnd w:id="1650"/>
      <w:bookmarkEnd w:id="16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7,014,395.36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1,629,806.14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384,589.22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-2,370,193.86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384,589.22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-2,370,193.86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87"/>
        </w:numPr>
        <w:shd w:val="clear" w:color="auto" w:fill="auto"/>
        <w:tabs>
          <w:tab w:pos="628" w:val="left"/>
        </w:tabs>
        <w:bidi w:val="0"/>
        <w:spacing w:before="0" w:after="360" w:line="240" w:lineRule="auto"/>
        <w:ind w:left="0" w:right="0" w:firstLine="14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合营企业或联营企业向本公司转移资金的能力存在重大限制的说明</w:t>
      </w:r>
      <w:bookmarkEnd w:id="1653"/>
      <w:bookmarkEnd w:id="1654"/>
      <w:bookmarkEnd w:id="1656"/>
    </w:p>
    <w:p>
      <w:pPr>
        <w:pStyle w:val="Style35"/>
        <w:keepNext/>
        <w:keepLines/>
        <w:widowControl w:val="0"/>
        <w:numPr>
          <w:ilvl w:val="0"/>
          <w:numId w:val="87"/>
        </w:numPr>
        <w:shd w:val="clear" w:color="auto" w:fill="auto"/>
        <w:tabs>
          <w:tab w:pos="628" w:val="left"/>
        </w:tabs>
        <w:bidi w:val="0"/>
        <w:spacing w:before="0" w:after="360" w:line="240" w:lineRule="auto"/>
        <w:ind w:left="0" w:right="0" w:firstLine="140"/>
        <w:jc w:val="left"/>
      </w:pPr>
      <w:bookmarkStart w:id="1653" w:name="bookmark1653"/>
      <w:bookmarkStart w:id="1654" w:name="bookmark1654"/>
      <w:bookmarkStart w:id="1657" w:name="bookmark1657"/>
      <w:bookmarkStart w:id="1658" w:name="bookmark1658"/>
      <w:bookmarkEnd w:id="1657"/>
      <w:r>
        <w:rPr>
          <w:color w:val="000000"/>
          <w:spacing w:val="0"/>
          <w:w w:val="100"/>
          <w:position w:val="0"/>
        </w:rPr>
        <w:t>合营企业或联营企业发生的超额亏损</w:t>
      </w:r>
      <w:bookmarkEnd w:id="1653"/>
      <w:bookmarkEnd w:id="1654"/>
      <w:bookmarkEnd w:id="16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87"/>
        </w:numPr>
        <w:shd w:val="clear" w:color="auto" w:fill="auto"/>
        <w:tabs>
          <w:tab w:pos="488" w:val="left"/>
        </w:tabs>
        <w:bidi w:val="0"/>
        <w:spacing w:before="0" w:after="36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与合营企业投资相关的未确认承诺</w:t>
      </w:r>
      <w:bookmarkEnd w:id="1659"/>
      <w:bookmarkEnd w:id="1660"/>
      <w:bookmarkEnd w:id="1662"/>
    </w:p>
    <w:p>
      <w:pPr>
        <w:pStyle w:val="Style35"/>
        <w:keepNext/>
        <w:keepLines/>
        <w:widowControl w:val="0"/>
        <w:numPr>
          <w:ilvl w:val="0"/>
          <w:numId w:val="87"/>
        </w:numPr>
        <w:shd w:val="clear" w:color="auto" w:fill="auto"/>
        <w:tabs>
          <w:tab w:pos="488" w:val="left"/>
        </w:tabs>
        <w:bidi w:val="0"/>
        <w:spacing w:before="0" w:after="360" w:line="240" w:lineRule="auto"/>
        <w:ind w:left="0" w:right="0" w:firstLine="0"/>
        <w:jc w:val="left"/>
      </w:pPr>
      <w:bookmarkStart w:id="1659" w:name="bookmark1659"/>
      <w:bookmarkStart w:id="1660" w:name="bookmark1660"/>
      <w:bookmarkStart w:id="1663" w:name="bookmark1663"/>
      <w:bookmarkStart w:id="1664" w:name="bookmark1664"/>
      <w:bookmarkEnd w:id="1663"/>
      <w:r>
        <w:rPr>
          <w:color w:val="000000"/>
          <w:spacing w:val="0"/>
          <w:w w:val="100"/>
          <w:position w:val="0"/>
        </w:rPr>
        <w:t>与合营企业或联营企业投资相关的或有负债</w:t>
      </w:r>
      <w:bookmarkEnd w:id="1659"/>
      <w:bookmarkEnd w:id="1660"/>
      <w:bookmarkEnd w:id="1664"/>
    </w:p>
    <w:p>
      <w:pPr>
        <w:pStyle w:val="Style35"/>
        <w:keepNext/>
        <w:keepLines/>
        <w:widowControl w:val="0"/>
        <w:shd w:val="clear" w:color="auto" w:fill="auto"/>
        <w:bidi w:val="0"/>
        <w:spacing w:before="0" w:after="360" w:line="240" w:lineRule="auto"/>
        <w:ind w:left="0" w:right="0" w:firstLine="0"/>
        <w:jc w:val="left"/>
      </w:pPr>
      <w:bookmarkStart w:id="1659" w:name="bookmark1659"/>
      <w:bookmarkStart w:id="1660" w:name="bookmark1660"/>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color w:val="000000"/>
          <w:spacing w:val="0"/>
          <w:w w:val="100"/>
          <w:position w:val="0"/>
        </w:rPr>
        <w:t>、重要的共同经营</w:t>
      </w:r>
      <w:bookmarkEnd w:id="1659"/>
      <w:bookmarkEnd w:id="1660"/>
      <w:bookmarkEnd w:id="1666"/>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14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5</w:t>
      </w:r>
      <w:bookmarkEnd w:id="1669"/>
      <w:r>
        <w:rPr>
          <w:color w:val="000000"/>
          <w:spacing w:val="0"/>
          <w:w w:val="100"/>
          <w:position w:val="0"/>
        </w:rPr>
        <w:t>、</w:t>
        <w:tab/>
        <w:t>在未纳入合并财务报表范围的结构化主体中的权益</w:t>
      </w:r>
      <w:bookmarkEnd w:id="1667"/>
      <w:bookmarkEnd w:id="1668"/>
      <w:bookmarkEnd w:id="1670"/>
    </w:p>
    <w:p>
      <w:pPr>
        <w:pStyle w:val="Style29"/>
        <w:keepNext w:val="0"/>
        <w:keepLines w:val="0"/>
        <w:widowControl w:val="0"/>
        <w:shd w:val="clear" w:color="auto" w:fill="auto"/>
        <w:bidi w:val="0"/>
        <w:spacing w:before="0" w:after="340" w:line="467" w:lineRule="exact"/>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78"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color w:val="000000"/>
          <w:spacing w:val="0"/>
          <w:w w:val="100"/>
          <w:position w:val="0"/>
        </w:rPr>
        <w:t>、</w:t>
        <w:tab/>
        <w:t>其他</w:t>
      </w:r>
      <w:bookmarkEnd w:id="1671"/>
      <w:bookmarkEnd w:id="1672"/>
      <w:bookmarkEnd w:id="1674"/>
    </w:p>
    <w:p>
      <w:pPr>
        <w:pStyle w:val="Style27"/>
        <w:keepNext/>
        <w:keepLines/>
        <w:widowControl w:val="0"/>
        <w:shd w:val="clear" w:color="auto" w:fill="auto"/>
        <w:bidi w:val="0"/>
        <w:spacing w:before="0" w:after="140" w:line="240" w:lineRule="auto"/>
        <w:ind w:left="0" w:right="0" w:firstLine="0"/>
        <w:jc w:val="left"/>
      </w:pPr>
      <w:bookmarkStart w:id="1675" w:name="bookmark1675"/>
      <w:bookmarkStart w:id="1676" w:name="bookmark1676"/>
      <w:bookmarkStart w:id="1677" w:name="bookmark1677"/>
      <w:r>
        <w:rPr>
          <w:color w:val="000000"/>
          <w:spacing w:val="0"/>
          <w:w w:val="100"/>
          <w:position w:val="0"/>
          <w:sz w:val="24"/>
          <w:szCs w:val="24"/>
        </w:rPr>
        <w:t>十、与金融工具相关的风险</w:t>
      </w:r>
      <w:bookmarkEnd w:id="1675"/>
      <w:bookmarkEnd w:id="1676"/>
      <w:bookmarkEnd w:id="1677"/>
    </w:p>
    <w:p>
      <w:pPr>
        <w:pStyle w:val="Style29"/>
        <w:keepNext w:val="0"/>
        <w:keepLines w:val="0"/>
        <w:widowControl w:val="0"/>
        <w:shd w:val="clear" w:color="auto" w:fill="auto"/>
        <w:bidi w:val="0"/>
        <w:spacing w:before="0" w:after="40" w:line="468" w:lineRule="exact"/>
        <w:ind w:left="0" w:right="0" w:firstLine="56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9"/>
        <w:keepNext w:val="0"/>
        <w:keepLines w:val="0"/>
        <w:widowControl w:val="0"/>
        <w:shd w:val="clear" w:color="auto" w:fill="auto"/>
        <w:bidi w:val="0"/>
        <w:spacing w:before="0" w:after="40" w:line="446" w:lineRule="exact"/>
        <w:ind w:left="0" w:right="0" w:firstLine="560"/>
        <w:jc w:val="both"/>
      </w:pPr>
      <w:r>
        <w:rPr>
          <w:color w:val="000000"/>
          <w:spacing w:val="0"/>
          <w:w w:val="100"/>
          <w:position w:val="0"/>
        </w:rPr>
        <w:t>本公司在日常活动中面临各种与金融工具相关的风险，主要包括信用风险、流动风险及市场风险。管理层已审议并批 准管理这些风险的政策，概括如下。</w:t>
      </w:r>
    </w:p>
    <w:p>
      <w:pPr>
        <w:pStyle w:val="Style29"/>
        <w:keepNext w:val="0"/>
        <w:keepLines w:val="0"/>
        <w:widowControl w:val="0"/>
        <w:numPr>
          <w:ilvl w:val="0"/>
          <w:numId w:val="89"/>
        </w:numPr>
        <w:shd w:val="clear" w:color="auto" w:fill="auto"/>
        <w:bidi w:val="0"/>
        <w:spacing w:before="0" w:after="40" w:line="467" w:lineRule="exact"/>
        <w:ind w:left="0" w:right="0" w:firstLine="560"/>
        <w:jc w:val="both"/>
      </w:pPr>
      <w:bookmarkStart w:id="1678" w:name="bookmark1678"/>
      <w:bookmarkEnd w:id="1678"/>
      <w:r>
        <w:rPr>
          <w:color w:val="000000"/>
          <w:spacing w:val="0"/>
          <w:w w:val="100"/>
          <w:position w:val="0"/>
        </w:rPr>
        <w:t>信用风险</w:t>
      </w:r>
    </w:p>
    <w:p>
      <w:pPr>
        <w:pStyle w:val="Style29"/>
        <w:keepNext w:val="0"/>
        <w:keepLines w:val="0"/>
        <w:widowControl w:val="0"/>
        <w:shd w:val="clear" w:color="auto" w:fill="auto"/>
        <w:bidi w:val="0"/>
        <w:spacing w:before="0" w:after="40" w:line="467" w:lineRule="exact"/>
        <w:ind w:left="0" w:right="0" w:firstLine="560"/>
        <w:jc w:val="left"/>
      </w:pPr>
      <w:r>
        <w:rPr>
          <w:color w:val="000000"/>
          <w:spacing w:val="0"/>
          <w:w w:val="100"/>
          <w:position w:val="0"/>
        </w:rPr>
        <w:t>信用风险，是指金融工具的一方不能履行义务，造成另一方发生财务损失的风险。</w:t>
      </w:r>
    </w:p>
    <w:p>
      <w:pPr>
        <w:pStyle w:val="Style29"/>
        <w:keepNext w:val="0"/>
        <w:keepLines w:val="0"/>
        <w:widowControl w:val="0"/>
        <w:shd w:val="clear" w:color="auto" w:fill="auto"/>
        <w:bidi w:val="0"/>
        <w:spacing w:before="0" w:after="40" w:line="467" w:lineRule="exact"/>
        <w:ind w:left="0" w:right="0" w:firstLine="560"/>
        <w:jc w:val="left"/>
      </w:pPr>
      <w:r>
        <w:rPr>
          <w:color w:val="000000"/>
          <w:spacing w:val="0"/>
          <w:w w:val="100"/>
          <w:position w:val="0"/>
        </w:rPr>
        <w:t>本公司的信用风险主要来自银行存款和应收款项。为控制上述相关风险，本公司分别采取了以下措施。</w:t>
      </w:r>
    </w:p>
    <w:p>
      <w:pPr>
        <w:pStyle w:val="Style29"/>
        <w:keepNext w:val="0"/>
        <w:keepLines w:val="0"/>
        <w:widowControl w:val="0"/>
        <w:numPr>
          <w:ilvl w:val="0"/>
          <w:numId w:val="91"/>
        </w:numPr>
        <w:shd w:val="clear" w:color="auto" w:fill="auto"/>
        <w:tabs>
          <w:tab w:pos="786" w:val="left"/>
        </w:tabs>
        <w:bidi w:val="0"/>
        <w:spacing w:before="0" w:after="40" w:line="467" w:lineRule="exact"/>
        <w:ind w:left="0" w:right="0" w:firstLine="480"/>
        <w:jc w:val="both"/>
      </w:pPr>
      <w:bookmarkStart w:id="1679" w:name="bookmark1679"/>
      <w:bookmarkEnd w:id="1679"/>
      <w:r>
        <w:rPr>
          <w:color w:val="000000"/>
          <w:spacing w:val="0"/>
          <w:w w:val="100"/>
          <w:position w:val="0"/>
        </w:rPr>
        <w:t>银行存款</w:t>
      </w:r>
    </w:p>
    <w:p>
      <w:pPr>
        <w:pStyle w:val="Style29"/>
        <w:keepNext w:val="0"/>
        <w:keepLines w:val="0"/>
        <w:widowControl w:val="0"/>
        <w:shd w:val="clear" w:color="auto" w:fill="auto"/>
        <w:bidi w:val="0"/>
        <w:spacing w:before="0" w:after="40" w:line="467" w:lineRule="exact"/>
        <w:ind w:left="0" w:right="0" w:firstLine="560"/>
        <w:jc w:val="both"/>
      </w:pPr>
      <w:r>
        <w:rPr>
          <w:color w:val="000000"/>
          <w:spacing w:val="0"/>
          <w:w w:val="100"/>
          <w:position w:val="0"/>
        </w:rPr>
        <w:t>本公司将银行存款存放于信用评级较高的金融机构，故其信用风险较低。</w:t>
      </w:r>
    </w:p>
    <w:p>
      <w:pPr>
        <w:pStyle w:val="Style29"/>
        <w:keepNext w:val="0"/>
        <w:keepLines w:val="0"/>
        <w:widowControl w:val="0"/>
        <w:numPr>
          <w:ilvl w:val="0"/>
          <w:numId w:val="91"/>
        </w:numPr>
        <w:shd w:val="clear" w:color="auto" w:fill="auto"/>
        <w:tabs>
          <w:tab w:pos="795" w:val="left"/>
        </w:tabs>
        <w:bidi w:val="0"/>
        <w:spacing w:before="0" w:after="40" w:line="467" w:lineRule="exact"/>
        <w:ind w:left="0" w:right="0" w:firstLine="480"/>
        <w:jc w:val="both"/>
      </w:pPr>
      <w:bookmarkStart w:id="1680" w:name="bookmark1680"/>
      <w:bookmarkEnd w:id="1680"/>
      <w:r>
        <w:rPr>
          <w:color w:val="000000"/>
          <w:spacing w:val="0"/>
          <w:w w:val="100"/>
          <w:position w:val="0"/>
        </w:rPr>
        <w:t>应收款项</w:t>
      </w:r>
    </w:p>
    <w:p>
      <w:pPr>
        <w:pStyle w:val="Style29"/>
        <w:keepNext w:val="0"/>
        <w:keepLines w:val="0"/>
        <w:widowControl w:val="0"/>
        <w:shd w:val="clear" w:color="auto" w:fill="auto"/>
        <w:bidi w:val="0"/>
        <w:spacing w:before="0" w:after="40" w:line="466" w:lineRule="exact"/>
        <w:ind w:left="0" w:right="0" w:firstLine="560"/>
        <w:jc w:val="left"/>
      </w:pPr>
      <w:r>
        <w:rPr>
          <w:color w:val="000000"/>
          <w:spacing w:val="0"/>
          <w:w w:val="100"/>
          <w:position w:val="0"/>
        </w:rPr>
        <w:t>本公司定期对采用信用方式交易的客户进行信用评估。根据信用评估结果，本公司选择与经认可的且信用良好的客户 进行交易，并对其应收款项余额进行监控，以确保本公司不会面临重大坏账风险。</w:t>
      </w:r>
    </w:p>
    <w:p>
      <w:pPr>
        <w:pStyle w:val="Style29"/>
        <w:keepNext w:val="0"/>
        <w:keepLines w:val="0"/>
        <w:widowControl w:val="0"/>
        <w:shd w:val="clear" w:color="auto" w:fill="auto"/>
        <w:bidi w:val="0"/>
        <w:spacing w:before="0" w:after="340" w:line="467" w:lineRule="exact"/>
        <w:ind w:left="0" w:right="0" w:firstLine="560"/>
        <w:jc w:val="left"/>
      </w:pPr>
      <w:r>
        <w:rPr>
          <w:color w:val="000000"/>
          <w:spacing w:val="0"/>
          <w:w w:val="100"/>
          <w:position w:val="0"/>
        </w:rPr>
        <w:t>由于本公司的应收账款风险点分布于多个合作方和多个客户，截至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日，本公司应收账款的</w:t>
      </w:r>
      <w:r>
        <w:rPr>
          <w:color w:val="000000"/>
          <w:spacing w:val="0"/>
          <w:w w:val="100"/>
          <w:position w:val="0"/>
          <w:sz w:val="18"/>
          <w:szCs w:val="18"/>
        </w:rPr>
        <w:t xml:space="preserve">7.98%(2015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9.60%</w:t>
      </w:r>
      <w:r>
        <w:rPr>
          <w:color w:val="000000"/>
          <w:spacing w:val="0"/>
          <w:w w:val="100"/>
          <w:position w:val="0"/>
        </w:rPr>
        <w:t>)源于余额前五名客户，本公司不存在重大的信用集中风险。</w:t>
      </w:r>
    </w:p>
    <w:p>
      <w:pPr>
        <w:pStyle w:val="Style29"/>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(1)</w:t>
      </w:r>
      <w:r>
        <w:rPr>
          <w:color w:val="000000"/>
          <w:spacing w:val="0"/>
          <w:w w:val="100"/>
          <w:position w:val="0"/>
        </w:rPr>
        <w:t>本公司的应收款项中未逾期且未减值的金额，以及虽已逾期但未减值的金额和逾期账龄分析如下:</w:t>
      </w:r>
    </w:p>
    <w:tbl>
      <w:tblPr>
        <w:tblOverlap w:val="never"/>
        <w:jc w:val="left"/>
        <w:tblLayout w:type="fixed"/>
      </w:tblPr>
      <w:tblGrid>
        <w:gridCol w:w="1454"/>
        <w:gridCol w:w="1661"/>
        <w:gridCol w:w="1421"/>
        <w:gridCol w:w="1277"/>
        <w:gridCol w:w="1133"/>
        <w:gridCol w:w="1642"/>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未逾期未减值</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年以上</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3,501,984.51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3,501,984.51</w:t>
            </w:r>
          </w:p>
        </w:tc>
      </w:tr>
      <w:tr>
        <w:trPr>
          <w:trHeight w:val="5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3,501,984.51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3,501,984.51</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562" w:right="0" w:firstLine="0"/>
        <w:jc w:val="left"/>
      </w:pPr>
      <w:r>
        <w:rPr>
          <w:color w:val="000000"/>
          <w:spacing w:val="0"/>
          <w:w w:val="100"/>
          <w:position w:val="0"/>
        </w:rPr>
        <w:t>（续上表）</w:t>
      </w:r>
    </w:p>
    <w:tbl>
      <w:tblPr>
        <w:tblOverlap w:val="never"/>
        <w:jc w:val="left"/>
        <w:tblLayout w:type="fixed"/>
      </w:tblPr>
      <w:tblGrid>
        <w:gridCol w:w="1440"/>
        <w:gridCol w:w="1661"/>
        <w:gridCol w:w="1406"/>
        <w:gridCol w:w="1262"/>
        <w:gridCol w:w="1310"/>
        <w:gridCol w:w="1507"/>
      </w:tblGrid>
      <w:tr>
        <w:trPr>
          <w:trHeight w:val="41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未逾期未减值</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540" w:firstLine="0"/>
              <w:jc w:val="right"/>
            </w:pPr>
            <w:r>
              <w:rPr>
                <w:color w:val="000000"/>
                <w:spacing w:val="0"/>
                <w:w w:val="100"/>
                <w:position w:val="0"/>
              </w:rPr>
              <w:t>合计</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年以上</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1,597,384.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1,597,384. </w:t>
            </w:r>
            <w:r>
              <w:rPr>
                <w:color w:val="000000"/>
                <w:spacing w:val="0"/>
                <w:w w:val="100"/>
                <w:position w:val="0"/>
                <w:sz w:val="18"/>
                <w:szCs w:val="18"/>
              </w:rPr>
              <w:t>05</w:t>
            </w:r>
          </w:p>
        </w:tc>
      </w:tr>
      <w:tr>
        <w:trPr>
          <w:trHeight w:val="5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1,597,384. </w:t>
            </w:r>
            <w:r>
              <w:rPr>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1,597,384.05</w:t>
            </w:r>
          </w:p>
        </w:tc>
      </w:tr>
    </w:tbl>
    <w:p>
      <w:pPr>
        <w:pStyle w:val="Style29"/>
        <w:keepNext w:val="0"/>
        <w:keepLines w:val="0"/>
        <w:widowControl w:val="0"/>
        <w:shd w:val="clear" w:color="auto" w:fill="auto"/>
        <w:bidi w:val="0"/>
        <w:spacing w:before="0" w:after="40" w:line="466" w:lineRule="exact"/>
        <w:ind w:left="0" w:right="0" w:firstLine="560"/>
        <w:jc w:val="left"/>
      </w:pPr>
      <w:r>
        <w:rPr>
          <w:color w:val="000000"/>
          <w:spacing w:val="0"/>
          <w:w w:val="100"/>
          <w:position w:val="0"/>
          <w:sz w:val="18"/>
          <w:szCs w:val="18"/>
        </w:rPr>
        <w:t>（2）</w:t>
      </w:r>
      <w:r>
        <w:rPr>
          <w:color w:val="000000"/>
          <w:spacing w:val="0"/>
          <w:w w:val="100"/>
          <w:position w:val="0"/>
        </w:rPr>
        <w:t>单项计提减值的应收款项情况见本财务报表附注合并财务报表项目注释之应收款项说明。</w:t>
      </w:r>
    </w:p>
    <w:p>
      <w:pPr>
        <w:pStyle w:val="Style29"/>
        <w:keepNext w:val="0"/>
        <w:keepLines w:val="0"/>
        <w:widowControl w:val="0"/>
        <w:shd w:val="clear" w:color="auto" w:fill="auto"/>
        <w:bidi w:val="0"/>
        <w:spacing w:before="0" w:after="40" w:line="466" w:lineRule="exact"/>
        <w:ind w:left="0" w:right="0" w:firstLine="560"/>
        <w:jc w:val="both"/>
      </w:pPr>
      <w:bookmarkStart w:id="1681" w:name="bookmark1681"/>
      <w:r>
        <w:rPr>
          <w:color w:val="000000"/>
          <w:spacing w:val="0"/>
          <w:w w:val="100"/>
          <w:position w:val="0"/>
        </w:rPr>
        <w:t>（</w:t>
      </w:r>
      <w:bookmarkEnd w:id="1681"/>
      <w:r>
        <w:rPr>
          <w:color w:val="000000"/>
          <w:spacing w:val="0"/>
          <w:w w:val="100"/>
          <w:position w:val="0"/>
        </w:rPr>
        <w:t>二）流动风险</w:t>
      </w:r>
    </w:p>
    <w:p>
      <w:pPr>
        <w:pStyle w:val="Style29"/>
        <w:keepNext w:val="0"/>
        <w:keepLines w:val="0"/>
        <w:widowControl w:val="0"/>
        <w:shd w:val="clear" w:color="auto" w:fill="auto"/>
        <w:bidi w:val="0"/>
        <w:spacing w:before="0" w:after="40" w:line="466" w:lineRule="exact"/>
        <w:ind w:left="0" w:right="0" w:firstLine="560"/>
        <w:jc w:val="both"/>
      </w:pPr>
      <w:r>
        <w:rPr>
          <w:color w:val="000000"/>
          <w:spacing w:val="0"/>
          <w:w w:val="100"/>
          <w:position w:val="0"/>
        </w:rPr>
        <w:t>流动风险，是指本公司在履行以交付现金或其他金融资产的方式结算的义务时发生资金短缺的风险。流动风险可能源 于无法尽快以公允价值售出金融资产；或者源于对方无法偿还其合同债务；或者源于提前到期的债务；或者源于无法产生预 期的现金流量</w:t>
      </w:r>
      <w:r>
        <w:rPr>
          <w:i/>
          <w:iCs/>
          <w:color w:val="000000"/>
          <w:spacing w:val="0"/>
          <w:w w:val="100"/>
          <w:position w:val="0"/>
        </w:rPr>
        <w:t>。</w:t>
      </w:r>
    </w:p>
    <w:p>
      <w:pPr>
        <w:pStyle w:val="Style29"/>
        <w:keepNext w:val="0"/>
        <w:keepLines w:val="0"/>
        <w:widowControl w:val="0"/>
        <w:shd w:val="clear" w:color="auto" w:fill="auto"/>
        <w:bidi w:val="0"/>
        <w:spacing w:before="0" w:after="300" w:line="466" w:lineRule="exact"/>
        <w:ind w:left="0" w:right="0" w:firstLine="560"/>
        <w:jc w:val="both"/>
      </w:pPr>
      <w:r>
        <w:rPr>
          <w:color w:val="000000"/>
          <w:spacing w:val="0"/>
          <w:w w:val="100"/>
          <w:position w:val="0"/>
        </w:rPr>
        <w:t xml:space="preserve">为控制该项风险，本公司综合运用票据结算、银行借款等多种融资手段，优化融资结构的方法，保持融资持续性与灵 </w:t>
      </w:r>
      <w:r>
        <w:rPr>
          <w:color w:val="000000"/>
          <w:spacing w:val="0"/>
          <w:w w:val="100"/>
          <w:position w:val="0"/>
        </w:rPr>
        <w:t>活性之间的平衡。本公司已从多家商业银行取得银行授信额度以满足营运资金需求和资本开支。</w:t>
      </w:r>
    </w:p>
    <w:p>
      <w:pPr>
        <w:pStyle w:val="Style29"/>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金融负债按剩余到期日分类</w:t>
      </w:r>
    </w:p>
    <w:tbl>
      <w:tblPr>
        <w:tblOverlap w:val="never"/>
        <w:jc w:val="left"/>
        <w:tblLayout w:type="fixed"/>
      </w:tblPr>
      <w:tblGrid>
        <w:gridCol w:w="1382"/>
        <w:gridCol w:w="1522"/>
        <w:gridCol w:w="1555"/>
        <w:gridCol w:w="1474"/>
        <w:gridCol w:w="1267"/>
        <w:gridCol w:w="1387"/>
      </w:tblGrid>
      <w:tr>
        <w:trPr>
          <w:trHeight w:val="56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6,100,858.46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6, 100, </w:t>
            </w:r>
            <w:r>
              <w:rPr>
                <w:color w:val="000000"/>
                <w:spacing w:val="0"/>
                <w:w w:val="100"/>
                <w:position w:val="0"/>
                <w:sz w:val="18"/>
                <w:szCs w:val="18"/>
              </w:rPr>
              <w:t xml:space="preserve">858.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107,473,365.89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107,473,365.89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107,473,365.89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9,045.62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9,045.62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9,045.62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309,750.01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309,750.01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309,750.01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107,940,198.22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107,940,198.22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107,940,198.22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222,032,359.74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222,133,218.20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222,133,218.20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val="0"/>
        <w:keepLines w:val="0"/>
        <w:widowControl w:val="0"/>
        <w:shd w:val="clear" w:color="auto" w:fill="auto"/>
        <w:bidi w:val="0"/>
        <w:spacing w:before="0" w:after="0" w:line="240" w:lineRule="auto"/>
        <w:ind w:left="562" w:right="0" w:firstLine="0"/>
        <w:jc w:val="left"/>
      </w:pPr>
      <w:r>
        <w:rPr>
          <w:color w:val="000000"/>
          <w:spacing w:val="0"/>
          <w:w w:val="100"/>
          <w:position w:val="0"/>
        </w:rPr>
        <w:t>（续上表）</w:t>
      </w:r>
    </w:p>
    <w:tbl>
      <w:tblPr>
        <w:tblOverlap w:val="never"/>
        <w:jc w:val="left"/>
        <w:tblLayout w:type="fixed"/>
      </w:tblPr>
      <w:tblGrid>
        <w:gridCol w:w="1354"/>
        <w:gridCol w:w="1622"/>
        <w:gridCol w:w="1560"/>
        <w:gridCol w:w="1699"/>
        <w:gridCol w:w="1277"/>
        <w:gridCol w:w="1075"/>
      </w:tblGrid>
      <w:tr>
        <w:trPr>
          <w:trHeight w:val="56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w:t>
            </w:r>
            <w:r>
              <w:rPr>
                <w:color w:val="000000"/>
                <w:spacing w:val="0"/>
                <w:w w:val="100"/>
                <w:position w:val="0"/>
              </w:rPr>
              <w:t>年以上</w:t>
            </w:r>
          </w:p>
        </w:tc>
      </w:tr>
    </w:tbl>
    <w:tbl>
      <w:tblPr>
        <w:tblOverlap w:val="never"/>
        <w:jc w:val="left"/>
        <w:tblLayout w:type="fixed"/>
      </w:tblPr>
      <w:tblGrid>
        <w:gridCol w:w="1354"/>
        <w:gridCol w:w="1622"/>
        <w:gridCol w:w="1560"/>
        <w:gridCol w:w="1699"/>
        <w:gridCol w:w="1277"/>
        <w:gridCol w:w="1075"/>
      </w:tblGrid>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3,794, </w:t>
            </w:r>
            <w:r>
              <w:rPr>
                <w:color w:val="000000"/>
                <w:spacing w:val="0"/>
                <w:w w:val="100"/>
                <w:position w:val="0"/>
                <w:sz w:val="18"/>
                <w:szCs w:val="18"/>
              </w:rPr>
              <w:t xml:space="preserve">835.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3,794,835.50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3,794,835.50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72,912,676.05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72,912,676.05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72,912,676.05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110,833,135.35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110,833,135.35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110,833,135.35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187,540,646.90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187,540,646.90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187,540,646.90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473" w:lineRule="exact"/>
        <w:ind w:left="0" w:right="0" w:firstLine="560"/>
        <w:jc w:val="both"/>
      </w:pPr>
      <w:bookmarkStart w:id="1682" w:name="bookmark1682"/>
      <w:r>
        <w:rPr>
          <w:color w:val="000000"/>
          <w:spacing w:val="0"/>
          <w:w w:val="100"/>
          <w:position w:val="0"/>
        </w:rPr>
        <w:t>（</w:t>
      </w:r>
      <w:bookmarkEnd w:id="1682"/>
      <w:r>
        <w:rPr>
          <w:color w:val="000000"/>
          <w:spacing w:val="0"/>
          <w:w w:val="100"/>
          <w:position w:val="0"/>
        </w:rPr>
        <w:t>三）市场风险</w:t>
      </w:r>
    </w:p>
    <w:p>
      <w:pPr>
        <w:pStyle w:val="Style29"/>
        <w:keepNext w:val="0"/>
        <w:keepLines w:val="0"/>
        <w:widowControl w:val="0"/>
        <w:shd w:val="clear" w:color="auto" w:fill="auto"/>
        <w:bidi w:val="0"/>
        <w:spacing w:before="0" w:after="0" w:line="470" w:lineRule="exact"/>
        <w:ind w:left="0" w:right="0" w:firstLine="560"/>
        <w:jc w:val="both"/>
      </w:pPr>
      <w:r>
        <w:rPr>
          <w:color w:val="000000"/>
          <w:spacing w:val="0"/>
          <w:w w:val="100"/>
          <w:position w:val="0"/>
        </w:rPr>
        <w:t>市场风险，是指金融工具的公允价值或未来现金流量因市场价格变动而发生波动的风险。市场风险主要包括利率风险 和外汇风险。</w:t>
      </w:r>
    </w:p>
    <w:p>
      <w:pPr>
        <w:pStyle w:val="Style29"/>
        <w:keepNext w:val="0"/>
        <w:keepLines w:val="0"/>
        <w:widowControl w:val="0"/>
        <w:shd w:val="clear" w:color="auto" w:fill="auto"/>
        <w:bidi w:val="0"/>
        <w:spacing w:before="0" w:after="0" w:line="473" w:lineRule="exact"/>
        <w:ind w:left="0" w:right="0" w:firstLine="560"/>
        <w:jc w:val="left"/>
      </w:pPr>
      <w:r>
        <w:rPr>
          <w:color w:val="000000"/>
          <w:spacing w:val="0"/>
          <w:w w:val="100"/>
          <w:position w:val="0"/>
          <w:sz w:val="18"/>
          <w:szCs w:val="18"/>
        </w:rPr>
        <w:t>1.</w:t>
      </w:r>
      <w:r>
        <w:rPr>
          <w:color w:val="000000"/>
          <w:spacing w:val="0"/>
          <w:w w:val="100"/>
          <w:position w:val="0"/>
        </w:rPr>
        <w:t>利率风险</w:t>
      </w:r>
    </w:p>
    <w:p>
      <w:pPr>
        <w:pStyle w:val="Style29"/>
        <w:keepNext w:val="0"/>
        <w:keepLines w:val="0"/>
        <w:widowControl w:val="0"/>
        <w:shd w:val="clear" w:color="auto" w:fill="auto"/>
        <w:bidi w:val="0"/>
        <w:spacing w:before="0" w:after="0" w:line="473" w:lineRule="exact"/>
        <w:ind w:left="0" w:right="0" w:firstLine="560"/>
        <w:jc w:val="left"/>
      </w:pPr>
      <w:r>
        <w:rPr>
          <w:color w:val="000000"/>
          <w:spacing w:val="0"/>
          <w:w w:val="100"/>
          <w:position w:val="0"/>
        </w:rPr>
        <w:t>利率风险，是指金融工具的公允价值或未来现金流量因市场利率变动而发生波动的风险。本公司无重大利率风险。</w:t>
      </w:r>
    </w:p>
    <w:p>
      <w:pPr>
        <w:pStyle w:val="Style29"/>
        <w:keepNext w:val="0"/>
        <w:keepLines w:val="0"/>
        <w:widowControl w:val="0"/>
        <w:shd w:val="clear" w:color="auto" w:fill="auto"/>
        <w:bidi w:val="0"/>
        <w:spacing w:before="0" w:after="0" w:line="473" w:lineRule="exact"/>
        <w:ind w:left="0" w:right="0" w:firstLine="480"/>
        <w:jc w:val="left"/>
      </w:pPr>
      <w:r>
        <w:rPr>
          <w:color w:val="000000"/>
          <w:spacing w:val="0"/>
          <w:w w:val="100"/>
          <w:position w:val="0"/>
          <w:sz w:val="18"/>
          <w:szCs w:val="18"/>
        </w:rPr>
        <w:t>2.</w:t>
      </w:r>
      <w:r>
        <w:rPr>
          <w:color w:val="000000"/>
          <w:spacing w:val="0"/>
          <w:w w:val="100"/>
          <w:position w:val="0"/>
        </w:rPr>
        <w:t>外汇风险</w:t>
      </w:r>
    </w:p>
    <w:p>
      <w:pPr>
        <w:pStyle w:val="Style29"/>
        <w:keepNext w:val="0"/>
        <w:keepLines w:val="0"/>
        <w:widowControl w:val="0"/>
        <w:shd w:val="clear" w:color="auto" w:fill="auto"/>
        <w:bidi w:val="0"/>
        <w:spacing w:before="0" w:after="0" w:line="475" w:lineRule="exact"/>
        <w:ind w:left="0" w:right="0" w:firstLine="480"/>
        <w:jc w:val="left"/>
      </w:pPr>
      <w:r>
        <w:rPr>
          <w:color w:val="000000"/>
          <w:spacing w:val="0"/>
          <w:w w:val="100"/>
          <w:position w:val="0"/>
        </w:rPr>
        <w:t>外汇风险，是指金融工具的公允价值或未来现金流量因外汇汇率变动而发生波动的风险。本公司于中国内地经营，且主 要活动以人民币计价。因此，本公司所承担的外汇变动市场风险不重大。</w:t>
      </w:r>
    </w:p>
    <w:p>
      <w:pPr>
        <w:pStyle w:val="Style29"/>
        <w:keepNext w:val="0"/>
        <w:keepLines w:val="0"/>
        <w:widowControl w:val="0"/>
        <w:shd w:val="clear" w:color="auto" w:fill="auto"/>
        <w:bidi w:val="0"/>
        <w:spacing w:before="0" w:after="0" w:line="473" w:lineRule="exact"/>
        <w:ind w:left="0" w:right="0" w:firstLine="480"/>
        <w:jc w:val="left"/>
        <w:sectPr>
          <w:headerReference w:type="default" r:id="rId25"/>
          <w:footerReference w:type="default" r:id="rId26"/>
          <w:footnotePr>
            <w:pos w:val="pageBottom"/>
            <w:numFmt w:val="decimal"/>
            <w:numRestart w:val="continuous"/>
          </w:footnotePr>
          <w:pgSz w:w="11900" w:h="16840"/>
          <w:pgMar w:top="1378" w:right="1011" w:bottom="1450" w:left="1001" w:header="0" w:footer="3" w:gutter="0"/>
          <w:cols w:space="720"/>
          <w:noEndnote/>
          <w:rtlGutter w:val="0"/>
          <w:docGrid w:linePitch="360"/>
        </w:sectPr>
      </w:pPr>
      <w:r>
        <w:rPr>
          <w:color w:val="000000"/>
          <w:spacing w:val="0"/>
          <w:w w:val="100"/>
          <w:position w:val="0"/>
        </w:rPr>
        <w:t>本公司期末无外币货币性资产和负债。</w:t>
      </w:r>
    </w:p>
    <w:p>
      <w:pPr>
        <w:pStyle w:val="Style27"/>
        <w:keepNext/>
        <w:keepLines/>
        <w:widowControl w:val="0"/>
        <w:shd w:val="clear" w:color="auto" w:fill="auto"/>
        <w:bidi w:val="0"/>
        <w:spacing w:before="0" w:after="340" w:line="240" w:lineRule="auto"/>
        <w:ind w:left="0" w:right="0" w:firstLine="0"/>
        <w:jc w:val="left"/>
      </w:pPr>
      <w:bookmarkStart w:id="1683" w:name="bookmark1683"/>
      <w:bookmarkStart w:id="1684" w:name="bookmark1684"/>
      <w:bookmarkStart w:id="1685" w:name="bookmark1685"/>
      <w:r>
        <w:rPr>
          <w:color w:val="000000"/>
          <w:spacing w:val="0"/>
          <w:w w:val="100"/>
          <w:position w:val="0"/>
          <w:sz w:val="24"/>
          <w:szCs w:val="24"/>
        </w:rPr>
        <w:t>十一、公允价值的披露</w:t>
      </w:r>
      <w:bookmarkEnd w:id="1683"/>
      <w:bookmarkEnd w:id="1684"/>
      <w:bookmarkEnd w:id="1685"/>
    </w:p>
    <w:p>
      <w:pPr>
        <w:pStyle w:val="Style67"/>
        <w:keepNext w:val="0"/>
        <w:keepLines w:val="0"/>
        <w:widowControl w:val="0"/>
        <w:shd w:val="clear" w:color="auto" w:fill="auto"/>
        <w:tabs>
          <w:tab w:pos="368" w:val="left"/>
        </w:tabs>
        <w:bidi w:val="0"/>
        <w:spacing w:before="0" w:after="340" w:line="240" w:lineRule="auto"/>
        <w:ind w:left="0" w:right="0" w:firstLine="0"/>
        <w:jc w:val="left"/>
      </w:pPr>
      <w:bookmarkStart w:id="1686" w:name="bookmark1686"/>
      <w:r>
        <w:rPr>
          <w:rFonts w:ascii="Times New Roman" w:eastAsia="Times New Roman" w:hAnsi="Times New Roman" w:cs="Times New Roman"/>
          <w:b/>
          <w:bCs/>
          <w:color w:val="000000"/>
          <w:spacing w:val="0"/>
          <w:w w:val="100"/>
          <w:position w:val="0"/>
        </w:rPr>
        <w:t>1</w:t>
      </w:r>
      <w:bookmarkEnd w:id="1686"/>
      <w:r>
        <w:rPr>
          <w:b/>
          <w:bCs/>
          <w:color w:val="000000"/>
          <w:spacing w:val="0"/>
          <w:w w:val="100"/>
          <w:position w:val="0"/>
        </w:rPr>
        <w:t>、</w:t>
        <w:tab/>
        <w:t>以公允价值计量的资产和负债的期末公允价值</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87" w:name="bookmark1687"/>
      <w:r>
        <w:rPr>
          <w:rFonts w:ascii="Times New Roman" w:eastAsia="Times New Roman" w:hAnsi="Times New Roman" w:cs="Times New Roman"/>
          <w:b/>
          <w:bCs/>
          <w:color w:val="000000"/>
          <w:spacing w:val="0"/>
          <w:w w:val="100"/>
          <w:position w:val="0"/>
        </w:rPr>
        <w:t>2</w:t>
      </w:r>
      <w:bookmarkEnd w:id="1687"/>
      <w:r>
        <w:rPr>
          <w:b/>
          <w:bCs/>
          <w:color w:val="000000"/>
          <w:spacing w:val="0"/>
          <w:w w:val="100"/>
          <w:position w:val="0"/>
        </w:rPr>
        <w:t>、</w:t>
        <w:tab/>
        <w:t>持续和非持续第一层次公允价值计量项目市价的确定依据</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88" w:name="bookmark1688"/>
      <w:r>
        <w:rPr>
          <w:rFonts w:ascii="Times New Roman" w:eastAsia="Times New Roman" w:hAnsi="Times New Roman" w:cs="Times New Roman"/>
          <w:b/>
          <w:bCs/>
          <w:color w:val="000000"/>
          <w:spacing w:val="0"/>
          <w:w w:val="100"/>
          <w:position w:val="0"/>
        </w:rPr>
        <w:t>3</w:t>
      </w:r>
      <w:bookmarkEnd w:id="1688"/>
      <w:r>
        <w:rPr>
          <w:b/>
          <w:bCs/>
          <w:color w:val="000000"/>
          <w:spacing w:val="0"/>
          <w:w w:val="100"/>
          <w:position w:val="0"/>
        </w:rPr>
        <w:t>、</w:t>
        <w:tab/>
        <w:t>持续和非持续第二层次公允价值计量项目，采用的估值技术和重要参数的定性及定量信息</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89" w:name="bookmark1689"/>
      <w:r>
        <w:rPr>
          <w:rFonts w:ascii="Times New Roman" w:eastAsia="Times New Roman" w:hAnsi="Times New Roman" w:cs="Times New Roman"/>
          <w:b/>
          <w:bCs/>
          <w:color w:val="000000"/>
          <w:spacing w:val="0"/>
          <w:w w:val="100"/>
          <w:position w:val="0"/>
        </w:rPr>
        <w:t>4</w:t>
      </w:r>
      <w:bookmarkEnd w:id="1689"/>
      <w:r>
        <w:rPr>
          <w:b/>
          <w:bCs/>
          <w:color w:val="000000"/>
          <w:spacing w:val="0"/>
          <w:w w:val="100"/>
          <w:position w:val="0"/>
        </w:rPr>
        <w:t>、</w:t>
        <w:tab/>
        <w:t>持续和非持续第三层次公允价值计量项目，采用的估值技术和重要参数的定性及定量信息</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90" w:name="bookmark1690"/>
      <w:r>
        <w:rPr>
          <w:rFonts w:ascii="Times New Roman" w:eastAsia="Times New Roman" w:hAnsi="Times New Roman" w:cs="Times New Roman"/>
          <w:b/>
          <w:bCs/>
          <w:color w:val="000000"/>
          <w:spacing w:val="0"/>
          <w:w w:val="100"/>
          <w:position w:val="0"/>
        </w:rPr>
        <w:t>5</w:t>
      </w:r>
      <w:bookmarkEnd w:id="1690"/>
      <w:r>
        <w:rPr>
          <w:b/>
          <w:bCs/>
          <w:color w:val="000000"/>
          <w:spacing w:val="0"/>
          <w:w w:val="100"/>
          <w:position w:val="0"/>
        </w:rPr>
        <w:t>、</w:t>
        <w:tab/>
        <w:t>持续的第三层次公允价值计量项目，期初与期末账面价值间的调节信息及不可观察参数敏感性分析</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91" w:name="bookmark1691"/>
      <w:r>
        <w:rPr>
          <w:rFonts w:ascii="Times New Roman" w:eastAsia="Times New Roman" w:hAnsi="Times New Roman" w:cs="Times New Roman"/>
          <w:b/>
          <w:bCs/>
          <w:color w:val="000000"/>
          <w:spacing w:val="0"/>
          <w:w w:val="100"/>
          <w:position w:val="0"/>
        </w:rPr>
        <w:t>6</w:t>
      </w:r>
      <w:bookmarkEnd w:id="1691"/>
      <w:r>
        <w:rPr>
          <w:b/>
          <w:bCs/>
          <w:color w:val="000000"/>
          <w:spacing w:val="0"/>
          <w:w w:val="100"/>
          <w:position w:val="0"/>
        </w:rPr>
        <w:t>、</w:t>
        <w:tab/>
        <w:t>持续的公允价值计量项目，本期内发生各层级之间转换的，转换的原因及确定转换时点的政策</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92" w:name="bookmark1692"/>
      <w:r>
        <w:rPr>
          <w:rFonts w:ascii="Times New Roman" w:eastAsia="Times New Roman" w:hAnsi="Times New Roman" w:cs="Times New Roman"/>
          <w:b/>
          <w:bCs/>
          <w:color w:val="000000"/>
          <w:spacing w:val="0"/>
          <w:w w:val="100"/>
          <w:position w:val="0"/>
        </w:rPr>
        <w:t>7</w:t>
      </w:r>
      <w:bookmarkEnd w:id="1692"/>
      <w:r>
        <w:rPr>
          <w:b/>
          <w:bCs/>
          <w:color w:val="000000"/>
          <w:spacing w:val="0"/>
          <w:w w:val="100"/>
          <w:position w:val="0"/>
        </w:rPr>
        <w:t>、</w:t>
        <w:tab/>
        <w:t>本期内发生的估值技术变更及变更原因</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93" w:name="bookmark1693"/>
      <w:r>
        <w:rPr>
          <w:rFonts w:ascii="Times New Roman" w:eastAsia="Times New Roman" w:hAnsi="Times New Roman" w:cs="Times New Roman"/>
          <w:b/>
          <w:bCs/>
          <w:color w:val="000000"/>
          <w:spacing w:val="0"/>
          <w:w w:val="100"/>
          <w:position w:val="0"/>
        </w:rPr>
        <w:t>8</w:t>
      </w:r>
      <w:bookmarkEnd w:id="1693"/>
      <w:r>
        <w:rPr>
          <w:b/>
          <w:bCs/>
          <w:color w:val="000000"/>
          <w:spacing w:val="0"/>
          <w:w w:val="100"/>
          <w:position w:val="0"/>
        </w:rPr>
        <w:t>、</w:t>
        <w:tab/>
        <w:t>不以公允价值计量的金融资产和金融负债的公允价值情况</w:t>
      </w:r>
    </w:p>
    <w:p>
      <w:pPr>
        <w:pStyle w:val="Style67"/>
        <w:keepNext w:val="0"/>
        <w:keepLines w:val="0"/>
        <w:widowControl w:val="0"/>
        <w:shd w:val="clear" w:color="auto" w:fill="auto"/>
        <w:tabs>
          <w:tab w:pos="378" w:val="left"/>
        </w:tabs>
        <w:bidi w:val="0"/>
        <w:spacing w:before="0" w:after="340" w:line="240" w:lineRule="auto"/>
        <w:ind w:left="0" w:right="0" w:firstLine="0"/>
        <w:jc w:val="left"/>
      </w:pPr>
      <w:bookmarkStart w:id="1694" w:name="bookmark1694"/>
      <w:r>
        <w:rPr>
          <w:rFonts w:ascii="Times New Roman" w:eastAsia="Times New Roman" w:hAnsi="Times New Roman" w:cs="Times New Roman"/>
          <w:b/>
          <w:bCs/>
          <w:color w:val="000000"/>
          <w:spacing w:val="0"/>
          <w:w w:val="100"/>
          <w:position w:val="0"/>
        </w:rPr>
        <w:t>9</w:t>
      </w:r>
      <w:bookmarkEnd w:id="1694"/>
      <w:r>
        <w:rPr>
          <w:b/>
          <w:bCs/>
          <w:color w:val="000000"/>
          <w:spacing w:val="0"/>
          <w:w w:val="100"/>
          <w:position w:val="0"/>
        </w:rPr>
        <w:t>、</w:t>
        <w:tab/>
        <w:t>其他</w:t>
      </w:r>
    </w:p>
    <w:p>
      <w:pPr>
        <w:pStyle w:val="Style27"/>
        <w:keepNext/>
        <w:keepLines/>
        <w:widowControl w:val="0"/>
        <w:shd w:val="clear" w:color="auto" w:fill="auto"/>
        <w:bidi w:val="0"/>
        <w:spacing w:before="0" w:after="340" w:line="240" w:lineRule="auto"/>
        <w:ind w:left="0" w:right="0" w:firstLine="0"/>
        <w:jc w:val="left"/>
      </w:pPr>
      <w:bookmarkStart w:id="1695" w:name="bookmark1695"/>
      <w:bookmarkStart w:id="1696" w:name="bookmark1696"/>
      <w:bookmarkStart w:id="1697" w:name="bookmark1697"/>
      <w:r>
        <w:rPr>
          <w:color w:val="000000"/>
          <w:spacing w:val="0"/>
          <w:w w:val="100"/>
          <w:position w:val="0"/>
          <w:sz w:val="24"/>
          <w:szCs w:val="24"/>
        </w:rPr>
        <w:t>十二、关联方及关联交易</w:t>
      </w:r>
      <w:bookmarkEnd w:id="1695"/>
      <w:bookmarkEnd w:id="1696"/>
      <w:bookmarkEnd w:id="1697"/>
    </w:p>
    <w:p>
      <w:pPr>
        <w:pStyle w:val="Style6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27.86%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葛航直接持有本公司</w:t>
      </w:r>
      <w:r>
        <w:rPr>
          <w:rFonts w:ascii="Times New Roman" w:eastAsia="Times New Roman" w:hAnsi="Times New Roman" w:cs="Times New Roman"/>
          <w:color w:val="000000"/>
          <w:spacing w:val="0"/>
          <w:w w:val="100"/>
          <w:position w:val="0"/>
        </w:rPr>
        <w:t>20.66%</w:t>
      </w:r>
      <w:r>
        <w:rPr>
          <w:color w:val="000000"/>
          <w:spacing w:val="0"/>
          <w:w w:val="100"/>
          <w:position w:val="0"/>
        </w:rPr>
        <w:t>的股权；葛航持有浙江中宇科技风险投资有限公司</w:t>
      </w:r>
      <w:r>
        <w:rPr>
          <w:rFonts w:ascii="Times New Roman" w:eastAsia="Times New Roman" w:hAnsi="Times New Roman" w:cs="Times New Roman"/>
          <w:color w:val="000000"/>
          <w:spacing w:val="0"/>
          <w:w w:val="100"/>
          <w:position w:val="0"/>
        </w:rPr>
        <w:t>90%</w:t>
      </w:r>
      <w:r>
        <w:rPr>
          <w:color w:val="000000"/>
          <w:spacing w:val="0"/>
          <w:w w:val="100"/>
          <w:position w:val="0"/>
        </w:rPr>
        <w:t>的股权，浙江中宇科技风险投资有 限公司持有杭州阜康投资有限公司</w:t>
      </w:r>
      <w:r>
        <w:rPr>
          <w:rFonts w:ascii="Times New Roman" w:eastAsia="Times New Roman" w:hAnsi="Times New Roman" w:cs="Times New Roman"/>
          <w:color w:val="000000"/>
          <w:spacing w:val="0"/>
          <w:w w:val="100"/>
          <w:position w:val="0"/>
        </w:rPr>
        <w:t>66.1725%</w:t>
      </w:r>
      <w:r>
        <w:rPr>
          <w:color w:val="000000"/>
          <w:spacing w:val="0"/>
          <w:w w:val="100"/>
          <w:position w:val="0"/>
        </w:rPr>
        <w:t>的股权，杭州阜康投资有限公司持有本公司</w:t>
      </w:r>
      <w:r>
        <w:rPr>
          <w:rFonts w:ascii="Times New Roman" w:eastAsia="Times New Roman" w:hAnsi="Times New Roman" w:cs="Times New Roman"/>
          <w:color w:val="000000"/>
          <w:spacing w:val="0"/>
          <w:w w:val="100"/>
          <w:position w:val="0"/>
        </w:rPr>
        <w:t>12.09%</w:t>
      </w:r>
      <w:r>
        <w:rPr>
          <w:color w:val="000000"/>
          <w:spacing w:val="0"/>
          <w:w w:val="100"/>
          <w:position w:val="0"/>
        </w:rPr>
        <w:t>的股权，因此葛航直接和间 接持有公司合计</w:t>
      </w:r>
      <w:r>
        <w:rPr>
          <w:rFonts w:ascii="Times New Roman" w:eastAsia="Times New Roman" w:hAnsi="Times New Roman" w:cs="Times New Roman"/>
          <w:color w:val="000000"/>
          <w:spacing w:val="0"/>
          <w:w w:val="100"/>
          <w:position w:val="0"/>
        </w:rPr>
        <w:t>27.86%</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本企业最终控制方是葛航。</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67"/>
        <w:keepNext w:val="0"/>
        <w:keepLines w:val="0"/>
        <w:widowControl w:val="0"/>
        <w:shd w:val="clear" w:color="auto" w:fill="auto"/>
        <w:tabs>
          <w:tab w:pos="378" w:val="left"/>
        </w:tabs>
        <w:bidi w:val="0"/>
        <w:spacing w:before="0" w:after="260" w:line="240" w:lineRule="auto"/>
        <w:ind w:left="0" w:right="0" w:firstLine="0"/>
        <w:jc w:val="left"/>
      </w:pPr>
      <w:bookmarkStart w:id="1698" w:name="bookmark1698"/>
      <w:r>
        <w:rPr>
          <w:rFonts w:ascii="Times New Roman" w:eastAsia="Times New Roman" w:hAnsi="Times New Roman" w:cs="Times New Roman"/>
          <w:b/>
          <w:bCs/>
          <w:color w:val="000000"/>
          <w:spacing w:val="0"/>
          <w:w w:val="100"/>
          <w:position w:val="0"/>
        </w:rPr>
        <w:t>2</w:t>
      </w:r>
      <w:bookmarkEnd w:id="1698"/>
      <w:r>
        <w:rPr>
          <w:b/>
          <w:bCs/>
          <w:color w:val="000000"/>
          <w:spacing w:val="0"/>
          <w:w w:val="100"/>
          <w:position w:val="0"/>
        </w:rPr>
        <w:t>、</w:t>
        <w:tab/>
        <w:t>本企业的子公司情况</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本企业子公司的情况详见本财务报表附注在其他主体中的权益之说明。</w:t>
      </w:r>
    </w:p>
    <w:p>
      <w:pPr>
        <w:pStyle w:val="Style67"/>
        <w:keepNext w:val="0"/>
        <w:keepLines w:val="0"/>
        <w:widowControl w:val="0"/>
        <w:shd w:val="clear" w:color="auto" w:fill="auto"/>
        <w:tabs>
          <w:tab w:pos="378" w:val="left"/>
        </w:tabs>
        <w:bidi w:val="0"/>
        <w:spacing w:before="0" w:after="260" w:line="240" w:lineRule="auto"/>
        <w:ind w:left="0" w:right="0" w:firstLine="0"/>
        <w:jc w:val="left"/>
      </w:pPr>
      <w:bookmarkStart w:id="1699" w:name="bookmark1699"/>
      <w:r>
        <w:rPr>
          <w:rFonts w:ascii="Times New Roman" w:eastAsia="Times New Roman" w:hAnsi="Times New Roman" w:cs="Times New Roman"/>
          <w:b/>
          <w:bCs/>
          <w:color w:val="000000"/>
          <w:spacing w:val="0"/>
          <w:w w:val="100"/>
          <w:position w:val="0"/>
        </w:rPr>
        <w:t>3</w:t>
      </w:r>
      <w:bookmarkEnd w:id="1699"/>
      <w:r>
        <w:rPr>
          <w:b/>
          <w:bCs/>
          <w:color w:val="000000"/>
          <w:spacing w:val="0"/>
          <w:w w:val="100"/>
          <w:position w:val="0"/>
        </w:rPr>
        <w:t>、</w:t>
        <w:tab/>
        <w:t>本企业合营和联营企业情况</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浙江美康网新云健康科技股份有限公司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北京童康医疗信息技术有限公司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color w:val="000000"/>
          <w:spacing w:val="0"/>
          <w:w w:val="100"/>
          <w:position w:val="0"/>
        </w:rPr>
        <w:t>、其他关联方情况</w:t>
      </w:r>
      <w:bookmarkEnd w:id="1700"/>
      <w:bookmarkEnd w:id="1701"/>
      <w:bookmarkEnd w:id="170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浙江中宇科技风险投资有限公司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广东中拓信息技术有限公司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月起为本公司的控股子公司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杭州博泰信息技术服务有限公司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周建新实际控制的企业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浙江建达科技股份有限公司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周建新实际控制的企业</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26"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月中拓公司与本公司签署《股权转让和增资协议》后至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月期间，中拓公司因协议安排成为本公司 的其他关联方。</w:t>
      </w:r>
    </w:p>
    <w:p>
      <w:pPr>
        <w:pStyle w:val="Style29"/>
        <w:keepNext w:val="0"/>
        <w:keepLines w:val="0"/>
        <w:widowControl w:val="0"/>
        <w:shd w:val="clear" w:color="auto" w:fill="auto"/>
        <w:bidi w:val="0"/>
        <w:spacing w:before="0" w:after="340" w:line="322" w:lineRule="exact"/>
        <w:ind w:left="0" w:right="0" w:firstLine="8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月，因与本公司签署协议，在未来十二个月内其实际控制的杭州博泰信息技术服务有限公司拟纳入 合并范围。重组完成后周建新控制的杭州鑫粟投资管理有限公司成为本公司主要股东之一。</w:t>
      </w:r>
    </w:p>
    <w:p>
      <w:pPr>
        <w:pStyle w:val="Style35"/>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color w:val="000000"/>
          <w:spacing w:val="0"/>
          <w:w w:val="100"/>
          <w:position w:val="0"/>
        </w:rPr>
        <w:t>、关联交易情况</w:t>
      </w:r>
      <w:bookmarkEnd w:id="1704"/>
      <w:bookmarkEnd w:id="1705"/>
      <w:bookmarkEnd w:id="1707"/>
    </w:p>
    <w:p>
      <w:pPr>
        <w:pStyle w:val="Style35"/>
        <w:keepNext/>
        <w:keepLines/>
        <w:widowControl w:val="0"/>
        <w:shd w:val="clear" w:color="auto" w:fill="auto"/>
        <w:bidi w:val="0"/>
        <w:spacing w:before="0" w:after="260" w:line="240" w:lineRule="auto"/>
        <w:ind w:left="0" w:right="0" w:firstLine="0"/>
        <w:jc w:val="left"/>
      </w:pPr>
      <w:bookmarkStart w:id="1704" w:name="bookmark1704"/>
      <w:bookmarkStart w:id="1705" w:name="bookmark1705"/>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04"/>
      <w:bookmarkEnd w:id="1705"/>
      <w:bookmarkEnd w:id="1708"/>
    </w:p>
    <w:p>
      <w:pPr>
        <w:pStyle w:val="Style29"/>
        <w:keepNext w:val="0"/>
        <w:keepLines w:val="0"/>
        <w:widowControl w:val="0"/>
        <w:shd w:val="clear" w:color="auto" w:fill="auto"/>
        <w:bidi w:val="0"/>
        <w:spacing w:before="0" w:after="100" w:line="324"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北京童康医疗信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5,598,764.00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123,076.92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广东中拓信息技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749,652.16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广东中拓信息技 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953,584.91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浙江美康网新云健康科技股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软件产品、技术开发服务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7,273,504.27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杭州博泰信息技术服务有限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浙江建达科技股份有限公司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21,967.53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购销商品、提供和接受劳务的关联交易说明</w:t>
      </w:r>
    </w:p>
    <w:p>
      <w:pPr>
        <w:pStyle w:val="Style35"/>
        <w:keepNext/>
        <w:keepLines/>
        <w:widowControl w:val="0"/>
        <w:shd w:val="clear" w:color="auto" w:fill="auto"/>
        <w:bidi w:val="0"/>
        <w:spacing w:before="0" w:after="360" w:line="240" w:lineRule="auto"/>
        <w:ind w:left="0" w:right="0" w:firstLine="0"/>
        <w:jc w:val="both"/>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09"/>
      <w:bookmarkEnd w:id="1710"/>
      <w:bookmarkEnd w:id="171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12"/>
      <w:bookmarkEnd w:id="1713"/>
      <w:bookmarkEnd w:id="1715"/>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16"/>
      <w:bookmarkEnd w:id="1717"/>
      <w:bookmarkEnd w:id="171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浙江中宇科技风险投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资有限公司、葛航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35"/>
        <w:keepNext/>
        <w:keepLines/>
        <w:widowControl w:val="0"/>
        <w:shd w:val="clear" w:color="auto" w:fill="auto"/>
        <w:bidi w:val="0"/>
        <w:spacing w:before="0" w:after="380" w:line="240" w:lineRule="auto"/>
        <w:ind w:left="0" w:right="0" w:firstLine="14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20"/>
      <w:bookmarkEnd w:id="1721"/>
      <w:bookmarkEnd w:id="1723"/>
    </w:p>
    <w:p>
      <w:pPr>
        <w:widowControl w:val="0"/>
        <w:jc w:val="center"/>
        <w:rPr>
          <w:sz w:val="2"/>
          <w:szCs w:val="2"/>
        </w:rPr>
      </w:pPr>
      <w:r>
        <w:drawing>
          <wp:inline>
            <wp:extent cx="6120130" cy="95123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7"/>
                    <a:stretch/>
                  </pic:blipFill>
                  <pic:spPr>
                    <a:xfrm>
                      <a:ext cx="6120130" cy="95123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24"/>
      <w:bookmarkEnd w:id="1725"/>
      <w:bookmarkEnd w:id="17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w:t>
      </w:r>
      <w:bookmarkEnd w:id="173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28"/>
      <w:bookmarkEnd w:id="1729"/>
      <w:bookmarkEnd w:id="17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3,476,800.00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32"/>
      <w:bookmarkEnd w:id="1733"/>
      <w:bookmarkEnd w:id="1735"/>
    </w:p>
    <w:p>
      <w:pPr>
        <w:pStyle w:val="Style35"/>
        <w:keepNext/>
        <w:keepLines/>
        <w:widowControl w:val="0"/>
        <w:shd w:val="clear" w:color="auto" w:fill="auto"/>
        <w:bidi w:val="0"/>
        <w:spacing w:before="0" w:after="320" w:line="240" w:lineRule="auto"/>
        <w:ind w:left="0" w:right="0" w:firstLine="0"/>
        <w:jc w:val="left"/>
      </w:pPr>
      <w:bookmarkStart w:id="1732" w:name="bookmark1732"/>
      <w:bookmarkStart w:id="1733" w:name="bookmark1733"/>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color w:val="000000"/>
          <w:spacing w:val="0"/>
          <w:w w:val="100"/>
          <w:position w:val="0"/>
        </w:rPr>
        <w:t>、关联方应收应付款项</w:t>
      </w:r>
      <w:bookmarkEnd w:id="1732"/>
      <w:bookmarkEnd w:id="1733"/>
      <w:bookmarkEnd w:id="1737"/>
    </w:p>
    <w:p>
      <w:pPr>
        <w:pStyle w:val="Style35"/>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32"/>
      <w:bookmarkEnd w:id="1733"/>
      <w:bookmarkEnd w:id="17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浙江美康网新云 健康科技股份有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浙江建达科技股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197,125.77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59,137.73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39"/>
      <w:bookmarkEnd w:id="1740"/>
      <w:bookmarkEnd w:id="17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35"/>
        <w:keepNext/>
        <w:keepLines/>
        <w:widowControl w:val="0"/>
        <w:shd w:val="clear" w:color="auto" w:fill="auto"/>
        <w:tabs>
          <w:tab w:pos="373" w:val="left"/>
        </w:tabs>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color w:val="000000"/>
          <w:spacing w:val="0"/>
          <w:w w:val="100"/>
          <w:position w:val="0"/>
        </w:rPr>
        <w:t>、</w:t>
        <w:tab/>
        <w:t>关联方承诺</w:t>
      </w:r>
      <w:bookmarkEnd w:id="1742"/>
      <w:bookmarkEnd w:id="1743"/>
      <w:bookmarkEnd w:id="1745"/>
    </w:p>
    <w:p>
      <w:pPr>
        <w:pStyle w:val="Style35"/>
        <w:keepNext/>
        <w:keepLines/>
        <w:widowControl w:val="0"/>
        <w:shd w:val="clear" w:color="auto" w:fill="auto"/>
        <w:tabs>
          <w:tab w:pos="378" w:val="left"/>
        </w:tabs>
        <w:bidi w:val="0"/>
        <w:spacing w:before="0" w:line="240" w:lineRule="auto"/>
        <w:ind w:left="0" w:right="0" w:firstLine="0"/>
        <w:jc w:val="left"/>
      </w:pPr>
      <w:bookmarkStart w:id="1742" w:name="bookmark1742"/>
      <w:bookmarkStart w:id="1743" w:name="bookmark1743"/>
      <w:bookmarkStart w:id="1746" w:name="bookmark1746"/>
      <w:bookmarkStart w:id="1747" w:name="bookmark1747"/>
      <w:r>
        <w:rPr>
          <w:rFonts w:ascii="Times New Roman" w:eastAsia="Times New Roman" w:hAnsi="Times New Roman" w:cs="Times New Roman"/>
          <w:color w:val="000000"/>
          <w:spacing w:val="0"/>
          <w:w w:val="100"/>
          <w:position w:val="0"/>
        </w:rPr>
        <w:t>8</w:t>
      </w:r>
      <w:bookmarkEnd w:id="1746"/>
      <w:r>
        <w:rPr>
          <w:color w:val="000000"/>
          <w:spacing w:val="0"/>
          <w:w w:val="100"/>
          <w:position w:val="0"/>
        </w:rPr>
        <w:t>、</w:t>
        <w:tab/>
        <w:t>其他</w:t>
      </w:r>
      <w:bookmarkEnd w:id="1742"/>
      <w:bookmarkEnd w:id="1743"/>
      <w:bookmarkEnd w:id="1747"/>
    </w:p>
    <w:p>
      <w:pPr>
        <w:pStyle w:val="Style27"/>
        <w:keepNext/>
        <w:keepLines/>
        <w:widowControl w:val="0"/>
        <w:shd w:val="clear" w:color="auto" w:fill="auto"/>
        <w:bidi w:val="0"/>
        <w:spacing w:before="0" w:after="340" w:line="240" w:lineRule="auto"/>
        <w:ind w:left="0" w:right="0" w:firstLine="0"/>
        <w:jc w:val="left"/>
      </w:pPr>
      <w:bookmarkStart w:id="1748" w:name="bookmark1748"/>
      <w:bookmarkStart w:id="1749" w:name="bookmark1749"/>
      <w:bookmarkStart w:id="1750" w:name="bookmark1750"/>
      <w:r>
        <w:rPr>
          <w:color w:val="000000"/>
          <w:spacing w:val="0"/>
          <w:w w:val="100"/>
          <w:position w:val="0"/>
          <w:sz w:val="24"/>
          <w:szCs w:val="24"/>
        </w:rPr>
        <w:t>十三、股份支付</w:t>
      </w:r>
      <w:bookmarkEnd w:id="1748"/>
      <w:bookmarkEnd w:id="1749"/>
      <w:bookmarkEnd w:id="1750"/>
    </w:p>
    <w:p>
      <w:pPr>
        <w:pStyle w:val="Style35"/>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51"/>
      <w:bookmarkEnd w:id="1752"/>
      <w:bookmarkEnd w:id="1753"/>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25,811,186.96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4,206,955.21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w:t>
            </w:r>
            <w:r>
              <w:rPr>
                <w:rFonts w:ascii="Times New Roman" w:eastAsia="Times New Roman" w:hAnsi="Times New Roman" w:cs="Times New Roman"/>
                <w:color w:val="000000"/>
                <w:spacing w:val="0"/>
                <w:w w:val="100"/>
                <w:position w:val="0"/>
              </w:rPr>
              <w:t>41.39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除权后</w:t>
            </w:r>
            <w:r>
              <w:rPr>
                <w:rFonts w:ascii="Times New Roman" w:eastAsia="Times New Roman" w:hAnsi="Times New Roman" w:cs="Times New Roman"/>
                <w:color w:val="000000"/>
                <w:spacing w:val="0"/>
                <w:w w:val="100"/>
                <w:position w:val="0"/>
              </w:rPr>
              <w:t>）</w:t>
            </w:r>
            <w:r>
              <w:rPr>
                <w:color w:val="000000"/>
                <w:spacing w:val="0"/>
                <w:w w:val="100"/>
                <w:position w:val="0"/>
              </w:rPr>
              <w:t>；自授予日起分四年行权</w:t>
            </w:r>
          </w:p>
        </w:tc>
      </w:tr>
      <w:tr>
        <w:trPr>
          <w:trHeight w:val="165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年度授予的限制性股票行权价格</w:t>
            </w:r>
            <w:r>
              <w:rPr>
                <w:rFonts w:ascii="Times New Roman" w:eastAsia="Times New Roman" w:hAnsi="Times New Roman" w:cs="Times New Roman"/>
                <w:color w:val="000000"/>
                <w:spacing w:val="0"/>
                <w:w w:val="100"/>
                <w:position w:val="0"/>
              </w:rPr>
              <w:t>16.73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 </w:t>
            </w:r>
            <w:r>
              <w:rPr>
                <w:rFonts w:ascii="Times New Roman" w:eastAsia="Times New Roman" w:hAnsi="Times New Roman" w:cs="Times New Roman"/>
                <w:color w:val="000000"/>
                <w:spacing w:val="0"/>
                <w:w w:val="100"/>
                <w:position w:val="0"/>
              </w:rPr>
              <w:t>（</w:t>
            </w:r>
            <w:r>
              <w:rPr>
                <w:color w:val="000000"/>
                <w:spacing w:val="0"/>
                <w:w w:val="100"/>
                <w:position w:val="0"/>
              </w:rPr>
              <w:t>除权后</w:t>
            </w:r>
            <w:r>
              <w:rPr>
                <w:rFonts w:ascii="Times New Roman" w:eastAsia="Times New Roman" w:hAnsi="Times New Roman" w:cs="Times New Roman"/>
                <w:color w:val="000000"/>
                <w:spacing w:val="0"/>
                <w:w w:val="100"/>
                <w:position w:val="0"/>
              </w:rPr>
              <w:t>）</w:t>
            </w:r>
            <w:r>
              <w:rPr>
                <w:color w:val="000000"/>
                <w:spacing w:val="0"/>
                <w:w w:val="100"/>
                <w:position w:val="0"/>
              </w:rPr>
              <w:t xml:space="preserve">，自授予日起分四年解锁，本期已解锁 </w:t>
            </w:r>
            <w:r>
              <w:rPr>
                <w:rFonts w:ascii="Times New Roman" w:eastAsia="Times New Roman" w:hAnsi="Times New Roman" w:cs="Times New Roman"/>
                <w:color w:val="000000"/>
                <w:spacing w:val="0"/>
                <w:w w:val="100"/>
                <w:position w:val="0"/>
              </w:rPr>
              <w:t>1,543,116</w:t>
            </w:r>
            <w:r>
              <w:rPr>
                <w:color w:val="000000"/>
                <w:spacing w:val="0"/>
                <w:w w:val="100"/>
                <w:position w:val="0"/>
              </w:rPr>
              <w:t>股（除权后）；本期授予的限制性股票行 权价格</w:t>
            </w:r>
            <w:r>
              <w:rPr>
                <w:rFonts w:ascii="Times New Roman" w:eastAsia="Times New Roman" w:hAnsi="Times New Roman" w:cs="Times New Roman"/>
                <w:color w:val="000000"/>
                <w:spacing w:val="0"/>
                <w:w w:val="100"/>
                <w:position w:val="0"/>
              </w:rPr>
              <w:t>24.89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股（除权后），自授予日起分三年 解锁</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54"/>
      <w:bookmarkEnd w:id="1755"/>
      <w:bookmarkEnd w:id="1756"/>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采用授予日市价减去组合期权的价值的方法确定限制性 股票</w:t>
            </w:r>
            <w:r>
              <w:rPr>
                <w:rFonts w:ascii="Times New Roman" w:eastAsia="Times New Roman" w:hAnsi="Times New Roman" w:cs="Times New Roman"/>
                <w:color w:val="000000"/>
                <w:spacing w:val="0"/>
                <w:w w:val="100"/>
                <w:position w:val="0"/>
              </w:rPr>
              <w:t>/</w:t>
            </w:r>
            <w:r>
              <w:rPr>
                <w:color w:val="000000"/>
                <w:spacing w:val="0"/>
                <w:w w:val="100"/>
                <w:position w:val="0"/>
              </w:rPr>
              <w:t>股票期权的公允价值</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股票期权额度为基数，综合考虑每个 资产负债表日可行权职工人数变动情况、各个可行权年 度公司业绩考核指标和激励对象个人绩效考核情况确 定。</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52,218,696.85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47,980,596.85</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3</w:t>
      </w:r>
      <w:bookmarkEnd w:id="1759"/>
      <w:r>
        <w:rPr>
          <w:color w:val="000000"/>
          <w:spacing w:val="0"/>
          <w:w w:val="100"/>
          <w:position w:val="0"/>
        </w:rPr>
        <w:t>、以现金结算的股份支付情况</w:t>
      </w:r>
      <w:bookmarkEnd w:id="1757"/>
      <w:bookmarkEnd w:id="1758"/>
      <w:bookmarkEnd w:id="176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4</w:t>
      </w:r>
      <w:bookmarkEnd w:id="1763"/>
      <w:r>
        <w:rPr>
          <w:color w:val="000000"/>
          <w:spacing w:val="0"/>
          <w:w w:val="100"/>
          <w:position w:val="0"/>
        </w:rPr>
        <w:t>、</w:t>
        <w:tab/>
        <w:t>股份支付的修改、终止情况</w:t>
      </w:r>
      <w:bookmarkEnd w:id="1761"/>
      <w:bookmarkEnd w:id="1762"/>
      <w:bookmarkEnd w:id="176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color w:val="000000"/>
          <w:spacing w:val="0"/>
          <w:w w:val="100"/>
          <w:position w:val="0"/>
        </w:rPr>
        <w:t>、</w:t>
        <w:tab/>
        <w:t>其他</w:t>
      </w:r>
      <w:bookmarkEnd w:id="1765"/>
      <w:bookmarkEnd w:id="1766"/>
      <w:bookmarkEnd w:id="1768"/>
    </w:p>
    <w:p>
      <w:pPr>
        <w:pStyle w:val="Style27"/>
        <w:keepNext/>
        <w:keepLines/>
        <w:widowControl w:val="0"/>
        <w:shd w:val="clear" w:color="auto" w:fill="auto"/>
        <w:bidi w:val="0"/>
        <w:spacing w:before="0" w:after="340" w:line="240" w:lineRule="auto"/>
        <w:ind w:left="0" w:right="0" w:firstLine="0"/>
        <w:jc w:val="left"/>
      </w:pPr>
      <w:bookmarkStart w:id="1769" w:name="bookmark1769"/>
      <w:bookmarkStart w:id="1770" w:name="bookmark1770"/>
      <w:bookmarkStart w:id="1771" w:name="bookmark1771"/>
      <w:r>
        <w:rPr>
          <w:color w:val="000000"/>
          <w:spacing w:val="0"/>
          <w:w w:val="100"/>
          <w:position w:val="0"/>
          <w:sz w:val="24"/>
          <w:szCs w:val="24"/>
        </w:rPr>
        <w:t>十四、承诺及或有事项</w:t>
      </w:r>
      <w:bookmarkEnd w:id="1769"/>
      <w:bookmarkEnd w:id="1770"/>
      <w:bookmarkEnd w:id="1771"/>
    </w:p>
    <w:p>
      <w:pPr>
        <w:pStyle w:val="Style35"/>
        <w:keepNext/>
        <w:keepLines/>
        <w:widowControl w:val="0"/>
        <w:shd w:val="clear" w:color="auto" w:fill="auto"/>
        <w:tabs>
          <w:tab w:pos="368"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bookmarkEnd w:id="1774"/>
      <w:r>
        <w:rPr>
          <w:color w:val="000000"/>
          <w:spacing w:val="0"/>
          <w:w w:val="100"/>
          <w:position w:val="0"/>
        </w:rPr>
        <w:t>、</w:t>
        <w:tab/>
        <w:t>重要承诺事项</w:t>
      </w:r>
      <w:bookmarkEnd w:id="1772"/>
      <w:bookmarkEnd w:id="1773"/>
      <w:bookmarkEnd w:id="177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日，本公司对已设立子公司尚未履行的出资义务共计</w:t>
      </w:r>
      <w:r>
        <w:rPr>
          <w:rFonts w:ascii="Times New Roman" w:eastAsia="Times New Roman" w:hAnsi="Times New Roman" w:cs="Times New Roman"/>
          <w:color w:val="000000"/>
          <w:spacing w:val="0"/>
          <w:w w:val="100"/>
          <w:position w:val="0"/>
        </w:rPr>
        <w:t>37,975,000.00</w:t>
      </w:r>
      <w:r>
        <w:rPr>
          <w:color w:val="000000"/>
          <w:spacing w:val="0"/>
          <w:w w:val="100"/>
          <w:position w:val="0"/>
        </w:rPr>
        <w:t>元。</w:t>
      </w:r>
    </w:p>
    <w:p>
      <w:pPr>
        <w:pStyle w:val="Style35"/>
        <w:keepNext/>
        <w:keepLines/>
        <w:widowControl w:val="0"/>
        <w:shd w:val="clear" w:color="auto" w:fill="auto"/>
        <w:tabs>
          <w:tab w:pos="378"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bookmarkEnd w:id="1778"/>
      <w:r>
        <w:rPr>
          <w:color w:val="000000"/>
          <w:spacing w:val="0"/>
          <w:w w:val="100"/>
          <w:position w:val="0"/>
        </w:rPr>
        <w:t>、</w:t>
        <w:tab/>
        <w:t>或有事项</w:t>
      </w:r>
      <w:bookmarkEnd w:id="1776"/>
      <w:bookmarkEnd w:id="1777"/>
      <w:bookmarkEnd w:id="1779"/>
    </w:p>
    <w:p>
      <w:pPr>
        <w:pStyle w:val="Style35"/>
        <w:keepNext/>
        <w:keepLines/>
        <w:widowControl w:val="0"/>
        <w:shd w:val="clear" w:color="auto" w:fill="auto"/>
        <w:tabs>
          <w:tab w:pos="488" w:val="left"/>
        </w:tabs>
        <w:bidi w:val="0"/>
        <w:spacing w:before="0" w:line="240" w:lineRule="auto"/>
        <w:ind w:left="0" w:right="0" w:firstLine="0"/>
        <w:jc w:val="left"/>
      </w:pPr>
      <w:bookmarkStart w:id="1776" w:name="bookmark1776"/>
      <w:bookmarkStart w:id="1777" w:name="bookmark1777"/>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76"/>
      <w:bookmarkEnd w:id="1777"/>
      <w:bookmarkEnd w:id="1781"/>
    </w:p>
    <w:p>
      <w:pPr>
        <w:pStyle w:val="Style35"/>
        <w:keepNext/>
        <w:keepLines/>
        <w:widowControl w:val="0"/>
        <w:shd w:val="clear" w:color="auto" w:fill="auto"/>
        <w:tabs>
          <w:tab w:pos="488" w:val="left"/>
        </w:tabs>
        <w:bidi w:val="0"/>
        <w:spacing w:before="0" w:line="240" w:lineRule="auto"/>
        <w:ind w:left="0" w:right="0" w:firstLine="0"/>
        <w:jc w:val="left"/>
      </w:pPr>
      <w:bookmarkStart w:id="1776" w:name="bookmark1776"/>
      <w:bookmarkStart w:id="1777" w:name="bookmark1777"/>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76"/>
      <w:bookmarkEnd w:id="1777"/>
      <w:bookmarkEnd w:id="1783"/>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tabs>
          <w:tab w:pos="378" w:val="left"/>
        </w:tabs>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w:t>
        <w:tab/>
        <w:t>其他</w:t>
      </w:r>
      <w:bookmarkEnd w:id="1784"/>
      <w:bookmarkEnd w:id="1785"/>
      <w:bookmarkEnd w:id="1787"/>
    </w:p>
    <w:p>
      <w:pPr>
        <w:pStyle w:val="Style27"/>
        <w:keepNext/>
        <w:keepLines/>
        <w:widowControl w:val="0"/>
        <w:shd w:val="clear" w:color="auto" w:fill="auto"/>
        <w:bidi w:val="0"/>
        <w:spacing w:before="0" w:after="340" w:line="240" w:lineRule="auto"/>
        <w:ind w:left="0" w:right="0" w:firstLine="0"/>
        <w:jc w:val="left"/>
      </w:pPr>
      <w:bookmarkStart w:id="1788" w:name="bookmark1788"/>
      <w:bookmarkStart w:id="1789" w:name="bookmark1789"/>
      <w:bookmarkStart w:id="1790" w:name="bookmark1790"/>
      <w:r>
        <w:rPr>
          <w:color w:val="000000"/>
          <w:spacing w:val="0"/>
          <w:w w:val="100"/>
          <w:position w:val="0"/>
          <w:sz w:val="24"/>
          <w:szCs w:val="24"/>
        </w:rPr>
        <w:t>十五、资产负债表日后事项</w:t>
      </w:r>
      <w:bookmarkEnd w:id="1788"/>
      <w:bookmarkEnd w:id="1789"/>
      <w:bookmarkEnd w:id="1790"/>
    </w:p>
    <w:p>
      <w:pPr>
        <w:pStyle w:val="Style35"/>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91"/>
      <w:bookmarkEnd w:id="1792"/>
      <w:bookmarkEnd w:id="17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1,238,326,415.09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794"/>
      <w:bookmarkEnd w:id="1795"/>
      <w:bookmarkEnd w:id="17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0"/>
        <w:gridCol w:w="4934"/>
      </w:tblGrid>
      <w:tr>
        <w:trPr>
          <w:trHeight w:val="408" w:hRule="exact"/>
        </w:trPr>
        <w:tc>
          <w:tcPr>
            <w:tcBorders>
              <w:top w:val="single" w:sz="4"/>
              <w:left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24,294,926.30</w:t>
            </w:r>
          </w:p>
        </w:tc>
      </w:tr>
      <w:tr>
        <w:trPr>
          <w:trHeight w:val="408" w:hRule="exact"/>
        </w:trPr>
        <w:tc>
          <w:tcPr>
            <w:tcBorders>
              <w:top w:val="single" w:sz="4"/>
              <w:left w:val="single" w:sz="4"/>
              <w:bottom w:val="single" w:sz="4"/>
            </w:tcBorders>
            <w:shd w:val="clear" w:color="auto" w:fill="BEBEBE"/>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24,294,926.30</w:t>
            </w:r>
          </w:p>
        </w:tc>
      </w:tr>
    </w:tbl>
    <w:p>
      <w:pPr>
        <w:widowControl w:val="0"/>
        <w:spacing w:after="33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w:t>
        <w:tab/>
        <w:t>销售退回</w:t>
      </w:r>
      <w:bookmarkEnd w:id="1797"/>
      <w:bookmarkEnd w:id="1798"/>
      <w:bookmarkEnd w:id="1800"/>
    </w:p>
    <w:p>
      <w:pPr>
        <w:pStyle w:val="Style35"/>
        <w:keepNext/>
        <w:keepLines/>
        <w:widowControl w:val="0"/>
        <w:shd w:val="clear" w:color="auto" w:fill="auto"/>
        <w:tabs>
          <w:tab w:pos="378" w:val="left"/>
        </w:tabs>
        <w:bidi w:val="0"/>
        <w:spacing w:before="0" w:line="240" w:lineRule="auto"/>
        <w:ind w:left="0" w:right="0" w:firstLine="0"/>
        <w:jc w:val="left"/>
      </w:pPr>
      <w:bookmarkStart w:id="1797" w:name="bookmark1797"/>
      <w:bookmarkStart w:id="1798" w:name="bookmark1798"/>
      <w:bookmarkStart w:id="1801" w:name="bookmark1801"/>
      <w:bookmarkStart w:id="1802" w:name="bookmark1802"/>
      <w:r>
        <w:rPr>
          <w:rFonts w:ascii="Times New Roman" w:eastAsia="Times New Roman" w:hAnsi="Times New Roman" w:cs="Times New Roman"/>
          <w:color w:val="000000"/>
          <w:spacing w:val="0"/>
          <w:w w:val="100"/>
          <w:position w:val="0"/>
        </w:rPr>
        <w:t>4</w:t>
      </w:r>
      <w:bookmarkEnd w:id="1801"/>
      <w:r>
        <w:rPr>
          <w:color w:val="000000"/>
          <w:spacing w:val="0"/>
          <w:w w:val="100"/>
          <w:position w:val="0"/>
        </w:rPr>
        <w:t>、</w:t>
        <w:tab/>
        <w:t>其他资产负债表日后事项说明</w:t>
      </w:r>
      <w:bookmarkEnd w:id="1797"/>
      <w:bookmarkEnd w:id="1798"/>
      <w:bookmarkEnd w:id="1802"/>
    </w:p>
    <w:p>
      <w:pPr>
        <w:pStyle w:val="Style2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根据公司第五届董事会第二十三次会议、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年第三次临时股东大会决议和章程修正案的规定，公司申请增加注册资 </w:t>
      </w:r>
      <w:r>
        <w:rPr>
          <w:color w:val="000000"/>
          <w:spacing w:val="0"/>
          <w:w w:val="100"/>
          <w:position w:val="0"/>
        </w:rPr>
        <w:t>本</w:t>
      </w:r>
      <w:r>
        <w:rPr>
          <w:rFonts w:ascii="Times New Roman" w:eastAsia="Times New Roman" w:hAnsi="Times New Roman" w:cs="Times New Roman"/>
          <w:color w:val="000000"/>
          <w:spacing w:val="0"/>
          <w:w w:val="100"/>
          <w:position w:val="0"/>
        </w:rPr>
        <w:t>31,953,263.0</w:t>
      </w:r>
      <w:r>
        <w:rPr>
          <w:rFonts w:ascii="Times New Roman" w:eastAsia="Times New Roman" w:hAnsi="Times New Roman" w:cs="Times New Roman"/>
          <w:color w:val="000000"/>
          <w:spacing w:val="0"/>
          <w:w w:val="100"/>
          <w:position w:val="0"/>
        </w:rPr>
        <w:t>0</w:t>
      </w:r>
      <w:r>
        <w:rPr>
          <w:color w:val="000000"/>
          <w:spacing w:val="0"/>
          <w:w w:val="100"/>
          <w:position w:val="0"/>
        </w:rPr>
        <w:t>元。经中国证券监督管理委员会《关于核准创业软件股份有限公司向杭州鑫粟投资管理有限公司等发行股份 购买资产并募集配套资金的批复》（证监许可（</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w:t>
      </w:r>
      <w:r>
        <w:rPr>
          <w:rFonts w:ascii="Times New Roman" w:eastAsia="Times New Roman" w:hAnsi="Times New Roman" w:cs="Times New Roman"/>
          <w:color w:val="000000"/>
          <w:spacing w:val="0"/>
          <w:w w:val="100"/>
          <w:position w:val="0"/>
        </w:rPr>
        <w:t>3122</w:t>
      </w:r>
      <w:r>
        <w:rPr>
          <w:color w:val="000000"/>
          <w:spacing w:val="0"/>
          <w:w w:val="100"/>
          <w:position w:val="0"/>
        </w:rPr>
        <w:t>号）核准，公司获准向杭州鑫粟投资管理有限公司、杭州铜粟投 资管理有限公司发行人民币普通股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29,872,999</w:t>
      </w:r>
      <w:r>
        <w:rPr>
          <w:color w:val="000000"/>
          <w:spacing w:val="0"/>
          <w:w w:val="100"/>
          <w:position w:val="0"/>
        </w:rPr>
        <w:t>股，向葛航、周建新发行人民币普通股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2,080,264</w:t>
      </w:r>
      <w:r>
        <w:rPr>
          <w:color w:val="000000"/>
          <w:spacing w:val="0"/>
          <w:w w:val="100"/>
          <w:position w:val="0"/>
        </w:rPr>
        <w:t>股， 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39.37</w:t>
      </w:r>
      <w:r>
        <w:rPr>
          <w:color w:val="000000"/>
          <w:spacing w:val="0"/>
          <w:w w:val="100"/>
          <w:position w:val="0"/>
        </w:rPr>
        <w:t>元，本次增资合计增加公司注册资本</w:t>
      </w:r>
      <w:r>
        <w:rPr>
          <w:rFonts w:ascii="Times New Roman" w:eastAsia="Times New Roman" w:hAnsi="Times New Roman" w:cs="Times New Roman"/>
          <w:color w:val="000000"/>
          <w:spacing w:val="0"/>
          <w:w w:val="100"/>
          <w:position w:val="0"/>
        </w:rPr>
        <w:t>31,953,263.00</w:t>
      </w:r>
      <w:r>
        <w:rPr>
          <w:color w:val="000000"/>
          <w:spacing w:val="0"/>
          <w:w w:val="100"/>
          <w:position w:val="0"/>
        </w:rPr>
        <w:t>元。截至本财务报表批准报出 日，上述增资事项已完成，增发的股票已通过深圳证券交易所发行。公司的注册资本变更为</w:t>
      </w:r>
      <w:r>
        <w:rPr>
          <w:rFonts w:ascii="Times New Roman" w:eastAsia="Times New Roman" w:hAnsi="Times New Roman" w:cs="Times New Roman"/>
          <w:color w:val="000000"/>
          <w:spacing w:val="0"/>
          <w:w w:val="100"/>
          <w:position w:val="0"/>
        </w:rPr>
        <w:t>242,949,263.00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both"/>
      </w:pPr>
      <w:bookmarkStart w:id="1803" w:name="bookmark1803"/>
      <w:bookmarkStart w:id="1804" w:name="bookmark1804"/>
      <w:bookmarkStart w:id="1805" w:name="bookmark1805"/>
      <w:r>
        <w:rPr>
          <w:color w:val="000000"/>
          <w:spacing w:val="0"/>
          <w:w w:val="100"/>
          <w:position w:val="0"/>
          <w:sz w:val="24"/>
          <w:szCs w:val="24"/>
        </w:rPr>
        <w:t>十六、其他重要事项</w:t>
      </w:r>
      <w:bookmarkEnd w:id="1803"/>
      <w:bookmarkEnd w:id="1804"/>
      <w:bookmarkEnd w:id="1805"/>
    </w:p>
    <w:p>
      <w:pPr>
        <w:pStyle w:val="Style67"/>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6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29"/>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67"/>
        <w:keepNext w:val="0"/>
        <w:keepLines w:val="0"/>
        <w:widowControl w:val="0"/>
        <w:shd w:val="clear" w:color="auto" w:fill="auto"/>
        <w:bidi w:val="0"/>
        <w:spacing w:before="0" w:after="32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67"/>
        <w:keepNext w:val="0"/>
        <w:keepLines w:val="0"/>
        <w:widowControl w:val="0"/>
        <w:shd w:val="clear" w:color="auto" w:fill="auto"/>
        <w:tabs>
          <w:tab w:pos="378" w:val="left"/>
        </w:tabs>
        <w:bidi w:val="0"/>
        <w:spacing w:before="0" w:after="320" w:line="240" w:lineRule="auto"/>
        <w:ind w:left="0" w:right="0" w:firstLine="0"/>
        <w:jc w:val="left"/>
      </w:pPr>
      <w:bookmarkStart w:id="1806" w:name="bookmark1806"/>
      <w:r>
        <w:rPr>
          <w:rFonts w:ascii="Times New Roman" w:eastAsia="Times New Roman" w:hAnsi="Times New Roman" w:cs="Times New Roman"/>
          <w:b/>
          <w:bCs/>
          <w:color w:val="000000"/>
          <w:spacing w:val="0"/>
          <w:w w:val="100"/>
          <w:position w:val="0"/>
        </w:rPr>
        <w:t>2</w:t>
      </w:r>
      <w:bookmarkEnd w:id="1806"/>
      <w:r>
        <w:rPr>
          <w:b/>
          <w:bCs/>
          <w:color w:val="000000"/>
          <w:spacing w:val="0"/>
          <w:w w:val="100"/>
          <w:position w:val="0"/>
        </w:rPr>
        <w:t>、</w:t>
        <w:tab/>
        <w:t>债务重组</w:t>
      </w:r>
    </w:p>
    <w:p>
      <w:pPr>
        <w:pStyle w:val="Style67"/>
        <w:keepNext w:val="0"/>
        <w:keepLines w:val="0"/>
        <w:widowControl w:val="0"/>
        <w:shd w:val="clear" w:color="auto" w:fill="auto"/>
        <w:tabs>
          <w:tab w:pos="378" w:val="left"/>
        </w:tabs>
        <w:bidi w:val="0"/>
        <w:spacing w:before="0" w:after="320" w:line="240" w:lineRule="auto"/>
        <w:ind w:left="0" w:right="0" w:firstLine="0"/>
        <w:jc w:val="left"/>
      </w:pPr>
      <w:bookmarkStart w:id="1807" w:name="bookmark1807"/>
      <w:r>
        <w:rPr>
          <w:rFonts w:ascii="Times New Roman" w:eastAsia="Times New Roman" w:hAnsi="Times New Roman" w:cs="Times New Roman"/>
          <w:b/>
          <w:bCs/>
          <w:color w:val="000000"/>
          <w:spacing w:val="0"/>
          <w:w w:val="100"/>
          <w:position w:val="0"/>
        </w:rPr>
        <w:t>3</w:t>
      </w:r>
      <w:bookmarkEnd w:id="1807"/>
      <w:r>
        <w:rPr>
          <w:b/>
          <w:bCs/>
          <w:color w:val="000000"/>
          <w:spacing w:val="0"/>
          <w:w w:val="100"/>
          <w:position w:val="0"/>
        </w:rPr>
        <w:t>、</w:t>
        <w:tab/>
        <w:t>资产置换</w:t>
      </w:r>
    </w:p>
    <w:p>
      <w:pPr>
        <w:pStyle w:val="Style67"/>
        <w:keepNext w:val="0"/>
        <w:keepLines w:val="0"/>
        <w:widowControl w:val="0"/>
        <w:shd w:val="clear" w:color="auto" w:fill="auto"/>
        <w:tabs>
          <w:tab w:pos="488" w:val="left"/>
        </w:tabs>
        <w:bidi w:val="0"/>
        <w:spacing w:before="0" w:after="320" w:line="240" w:lineRule="auto"/>
        <w:ind w:left="0" w:right="0" w:firstLine="0"/>
        <w:jc w:val="left"/>
      </w:pPr>
      <w:bookmarkStart w:id="1808" w:name="bookmark1808"/>
      <w:r>
        <w:rPr>
          <w:b/>
          <w:bCs/>
          <w:color w:val="000000"/>
          <w:spacing w:val="0"/>
          <w:w w:val="100"/>
          <w:position w:val="0"/>
        </w:rPr>
        <w:t>（</w:t>
      </w:r>
      <w:bookmarkEnd w:id="180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67"/>
        <w:keepNext w:val="0"/>
        <w:keepLines w:val="0"/>
        <w:widowControl w:val="0"/>
        <w:shd w:val="clear" w:color="auto" w:fill="auto"/>
        <w:tabs>
          <w:tab w:pos="488" w:val="left"/>
        </w:tabs>
        <w:bidi w:val="0"/>
        <w:spacing w:before="0" w:after="320" w:line="240" w:lineRule="auto"/>
        <w:ind w:left="0" w:right="0" w:firstLine="0"/>
        <w:jc w:val="left"/>
      </w:pPr>
      <w:bookmarkStart w:id="1809" w:name="bookmark1809"/>
      <w:r>
        <w:rPr>
          <w:b/>
          <w:bCs/>
          <w:color w:val="000000"/>
          <w:spacing w:val="0"/>
          <w:w w:val="100"/>
          <w:position w:val="0"/>
        </w:rPr>
        <w:t>（</w:t>
      </w:r>
      <w:bookmarkEnd w:id="180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67"/>
        <w:keepNext w:val="0"/>
        <w:keepLines w:val="0"/>
        <w:widowControl w:val="0"/>
        <w:shd w:val="clear" w:color="auto" w:fill="auto"/>
        <w:tabs>
          <w:tab w:pos="378" w:val="left"/>
        </w:tabs>
        <w:bidi w:val="0"/>
        <w:spacing w:before="0" w:after="320" w:line="240" w:lineRule="auto"/>
        <w:ind w:left="0" w:right="0" w:firstLine="0"/>
        <w:jc w:val="left"/>
      </w:pPr>
      <w:bookmarkStart w:id="1810" w:name="bookmark1810"/>
      <w:r>
        <w:rPr>
          <w:rFonts w:ascii="Times New Roman" w:eastAsia="Times New Roman" w:hAnsi="Times New Roman" w:cs="Times New Roman"/>
          <w:b/>
          <w:bCs/>
          <w:color w:val="000000"/>
          <w:spacing w:val="0"/>
          <w:w w:val="100"/>
          <w:position w:val="0"/>
        </w:rPr>
        <w:t>4</w:t>
      </w:r>
      <w:bookmarkEnd w:id="1810"/>
      <w:r>
        <w:rPr>
          <w:b/>
          <w:bCs/>
          <w:color w:val="000000"/>
          <w:spacing w:val="0"/>
          <w:w w:val="100"/>
          <w:position w:val="0"/>
        </w:rPr>
        <w:t>、</w:t>
        <w:tab/>
        <w:t>年金计划</w:t>
      </w:r>
    </w:p>
    <w:p>
      <w:pPr>
        <w:pStyle w:val="Style67"/>
        <w:keepNext w:val="0"/>
        <w:keepLines w:val="0"/>
        <w:widowControl w:val="0"/>
        <w:shd w:val="clear" w:color="auto" w:fill="auto"/>
        <w:tabs>
          <w:tab w:pos="378" w:val="left"/>
        </w:tabs>
        <w:bidi w:val="0"/>
        <w:spacing w:before="0" w:after="380" w:line="240" w:lineRule="auto"/>
        <w:ind w:left="0" w:right="0" w:firstLine="0"/>
        <w:jc w:val="left"/>
      </w:pPr>
      <w:bookmarkStart w:id="1811" w:name="bookmark1811"/>
      <w:r>
        <w:rPr>
          <w:rFonts w:ascii="Times New Roman" w:eastAsia="Times New Roman" w:hAnsi="Times New Roman" w:cs="Times New Roman"/>
          <w:b/>
          <w:bCs/>
          <w:color w:val="000000"/>
          <w:spacing w:val="0"/>
          <w:w w:val="100"/>
          <w:position w:val="0"/>
        </w:rPr>
        <w:t>5</w:t>
      </w:r>
      <w:bookmarkEnd w:id="1811"/>
      <w:r>
        <w:rPr>
          <w:b/>
          <w:bCs/>
          <w:color w:val="000000"/>
          <w:spacing w:val="0"/>
          <w:w w:val="100"/>
          <w:position w:val="0"/>
        </w:rPr>
        <w:t>、</w:t>
        <w:tab/>
        <w:t>终止经营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归属于母公司 所有者的终止 经营利润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after="360" w:line="240" w:lineRule="auto"/>
        <w:ind w:left="0" w:right="0" w:firstLine="0"/>
        <w:jc w:val="left"/>
      </w:pPr>
      <w:bookmarkStart w:id="1812" w:name="bookmark1812"/>
      <w:r>
        <w:rPr>
          <w:rFonts w:ascii="Times New Roman" w:eastAsia="Times New Roman" w:hAnsi="Times New Roman" w:cs="Times New Roman"/>
          <w:b/>
          <w:bCs/>
          <w:color w:val="000000"/>
          <w:spacing w:val="0"/>
          <w:w w:val="100"/>
          <w:position w:val="0"/>
        </w:rPr>
        <w:t>6</w:t>
      </w:r>
      <w:bookmarkEnd w:id="1812"/>
      <w:r>
        <w:rPr>
          <w:b/>
          <w:bCs/>
          <w:color w:val="000000"/>
          <w:spacing w:val="0"/>
          <w:w w:val="100"/>
          <w:position w:val="0"/>
        </w:rPr>
        <w:t>、分部信息</w:t>
      </w:r>
    </w:p>
    <w:p>
      <w:pPr>
        <w:pStyle w:val="Style67"/>
        <w:keepNext w:val="0"/>
        <w:keepLines w:val="0"/>
        <w:widowControl w:val="0"/>
        <w:shd w:val="clear" w:color="auto" w:fill="auto"/>
        <w:tabs>
          <w:tab w:pos="488" w:val="left"/>
        </w:tabs>
        <w:bidi w:val="0"/>
        <w:spacing w:before="0" w:after="360" w:line="240" w:lineRule="auto"/>
        <w:ind w:left="0" w:right="0" w:firstLine="0"/>
        <w:jc w:val="left"/>
      </w:pPr>
      <w:bookmarkStart w:id="1813" w:name="bookmark1813"/>
      <w:r>
        <w:rPr>
          <w:b/>
          <w:bCs/>
          <w:color w:val="000000"/>
          <w:spacing w:val="0"/>
          <w:w w:val="100"/>
          <w:position w:val="0"/>
        </w:rPr>
        <w:t>（</w:t>
      </w:r>
      <w:bookmarkEnd w:id="181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67"/>
        <w:keepNext w:val="0"/>
        <w:keepLines w:val="0"/>
        <w:widowControl w:val="0"/>
        <w:shd w:val="clear" w:color="auto" w:fill="auto"/>
        <w:tabs>
          <w:tab w:pos="488" w:val="left"/>
        </w:tabs>
        <w:bidi w:val="0"/>
        <w:spacing w:before="0" w:after="360" w:line="240" w:lineRule="auto"/>
        <w:ind w:left="0" w:right="0" w:firstLine="0"/>
        <w:jc w:val="left"/>
      </w:pPr>
      <w:bookmarkStart w:id="1814" w:name="bookmark1814"/>
      <w:r>
        <w:rPr>
          <w:b/>
          <w:bCs/>
          <w:color w:val="000000"/>
          <w:spacing w:val="0"/>
          <w:w w:val="100"/>
          <w:position w:val="0"/>
        </w:rPr>
        <w:t>（</w:t>
      </w:r>
      <w:bookmarkEnd w:id="181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67"/>
        <w:keepNext w:val="0"/>
        <w:keepLines w:val="0"/>
        <w:widowControl w:val="0"/>
        <w:shd w:val="clear" w:color="auto" w:fill="auto"/>
        <w:tabs>
          <w:tab w:pos="598" w:val="left"/>
        </w:tabs>
        <w:bidi w:val="0"/>
        <w:spacing w:before="0" w:after="0" w:line="619" w:lineRule="exact"/>
        <w:ind w:left="0" w:right="0" w:firstLine="0"/>
        <w:jc w:val="left"/>
      </w:pPr>
      <w:bookmarkStart w:id="1815" w:name="bookmark1815"/>
      <w:r>
        <w:rPr>
          <w:b/>
          <w:bCs/>
          <w:color w:val="000000"/>
          <w:spacing w:val="0"/>
          <w:w w:val="100"/>
          <w:position w:val="0"/>
        </w:rPr>
        <w:t>（</w:t>
      </w:r>
      <w:bookmarkEnd w:id="181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 xml:space="preserve">公司无报告分部的，或者不能披露各报告分部的资产总额和负债总额的，应说明原因 </w:t>
      </w:r>
      <w:r>
        <w:rPr>
          <w:color w:val="000000"/>
          <w:spacing w:val="0"/>
          <w:w w:val="100"/>
          <w:position w:val="0"/>
        </w:rPr>
        <w:t>本公司不存在多种经营或跨地区经营，故无报告分部。</w:t>
      </w:r>
    </w:p>
    <w:p>
      <w:pPr>
        <w:pStyle w:val="Style67"/>
        <w:keepNext w:val="0"/>
        <w:keepLines w:val="0"/>
        <w:widowControl w:val="0"/>
        <w:shd w:val="clear" w:color="auto" w:fill="auto"/>
        <w:tabs>
          <w:tab w:pos="488" w:val="left"/>
        </w:tabs>
        <w:bidi w:val="0"/>
        <w:spacing w:before="0" w:after="0" w:line="619" w:lineRule="exact"/>
        <w:ind w:left="0" w:right="0" w:firstLine="0"/>
        <w:jc w:val="left"/>
      </w:pPr>
      <w:bookmarkStart w:id="1816" w:name="bookmark1816"/>
      <w:r>
        <w:rPr>
          <w:b/>
          <w:bCs/>
          <w:color w:val="000000"/>
          <w:spacing w:val="0"/>
          <w:w w:val="100"/>
          <w:position w:val="0"/>
        </w:rPr>
        <w:t>（</w:t>
      </w:r>
      <w:bookmarkEnd w:id="181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67"/>
        <w:keepNext w:val="0"/>
        <w:keepLines w:val="0"/>
        <w:widowControl w:val="0"/>
        <w:shd w:val="clear" w:color="auto" w:fill="auto"/>
        <w:tabs>
          <w:tab w:pos="400" w:val="left"/>
        </w:tabs>
        <w:bidi w:val="0"/>
        <w:spacing w:before="0" w:after="0" w:line="619" w:lineRule="exact"/>
        <w:ind w:left="0" w:right="0" w:firstLine="0"/>
        <w:jc w:val="left"/>
      </w:pPr>
      <w:bookmarkStart w:id="1817" w:name="bookmark1817"/>
      <w:r>
        <w:rPr>
          <w:rFonts w:ascii="Times New Roman" w:eastAsia="Times New Roman" w:hAnsi="Times New Roman" w:cs="Times New Roman"/>
          <w:b/>
          <w:bCs/>
          <w:color w:val="000000"/>
          <w:spacing w:val="0"/>
          <w:w w:val="100"/>
          <w:position w:val="0"/>
        </w:rPr>
        <w:t>7</w:t>
      </w:r>
      <w:bookmarkEnd w:id="1817"/>
      <w:r>
        <w:rPr>
          <w:b/>
          <w:bCs/>
          <w:color w:val="000000"/>
          <w:spacing w:val="0"/>
          <w:w w:val="100"/>
          <w:position w:val="0"/>
        </w:rPr>
        <w:t>、</w:t>
        <w:tab/>
        <w:t>其他对投资者决策有影响的重要交易和事项</w:t>
      </w:r>
    </w:p>
    <w:p>
      <w:pPr>
        <w:pStyle w:val="Style67"/>
        <w:keepNext w:val="0"/>
        <w:keepLines w:val="0"/>
        <w:widowControl w:val="0"/>
        <w:shd w:val="clear" w:color="auto" w:fill="auto"/>
        <w:tabs>
          <w:tab w:pos="400" w:val="left"/>
        </w:tabs>
        <w:bidi w:val="0"/>
        <w:spacing w:before="0" w:after="0" w:line="619" w:lineRule="exact"/>
        <w:ind w:left="0" w:right="0" w:firstLine="0"/>
        <w:jc w:val="left"/>
      </w:pPr>
      <w:bookmarkStart w:id="1818" w:name="bookmark1818"/>
      <w:r>
        <w:rPr>
          <w:rFonts w:ascii="Times New Roman" w:eastAsia="Times New Roman" w:hAnsi="Times New Roman" w:cs="Times New Roman"/>
          <w:b/>
          <w:bCs/>
          <w:color w:val="000000"/>
          <w:spacing w:val="0"/>
          <w:w w:val="100"/>
          <w:position w:val="0"/>
        </w:rPr>
        <w:t>8</w:t>
      </w:r>
      <w:bookmarkEnd w:id="1818"/>
      <w:r>
        <w:rPr>
          <w:b/>
          <w:bCs/>
          <w:color w:val="000000"/>
          <w:spacing w:val="0"/>
          <w:w w:val="100"/>
          <w:position w:val="0"/>
        </w:rPr>
        <w:t>、</w:t>
        <w:tab/>
        <w:t>其他</w:t>
      </w:r>
    </w:p>
    <w:p>
      <w:pPr>
        <w:pStyle w:val="Style27"/>
        <w:keepNext/>
        <w:keepLines/>
        <w:widowControl w:val="0"/>
        <w:shd w:val="clear" w:color="auto" w:fill="auto"/>
        <w:bidi w:val="0"/>
        <w:spacing w:before="0" w:after="0" w:line="619" w:lineRule="exact"/>
        <w:ind w:left="0" w:right="0" w:firstLine="0"/>
        <w:jc w:val="left"/>
      </w:pPr>
      <w:bookmarkStart w:id="1819" w:name="bookmark1819"/>
      <w:bookmarkStart w:id="1820" w:name="bookmark1820"/>
      <w:bookmarkStart w:id="1821" w:name="bookmark1821"/>
      <w:r>
        <w:rPr>
          <w:color w:val="000000"/>
          <w:spacing w:val="0"/>
          <w:w w:val="100"/>
          <w:position w:val="0"/>
          <w:sz w:val="24"/>
          <w:szCs w:val="24"/>
        </w:rPr>
        <w:t>十七、母公司财务报表主要项目注释</w:t>
      </w:r>
      <w:bookmarkEnd w:id="1819"/>
      <w:bookmarkEnd w:id="1820"/>
      <w:bookmarkEnd w:id="1821"/>
    </w:p>
    <w:p>
      <w:pPr>
        <w:pStyle w:val="Style67"/>
        <w:keepNext w:val="0"/>
        <w:keepLines w:val="0"/>
        <w:widowControl w:val="0"/>
        <w:shd w:val="clear" w:color="auto" w:fill="auto"/>
        <w:bidi w:val="0"/>
        <w:spacing w:before="0" w:after="0" w:line="619"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67"/>
        <w:keepNext w:val="0"/>
        <w:keepLines w:val="0"/>
        <w:widowControl w:val="0"/>
        <w:shd w:val="clear" w:color="auto" w:fill="auto"/>
        <w:bidi w:val="0"/>
        <w:spacing w:before="0" w:after="360" w:line="619"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302,01</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2,203.2</w:t>
            </w:r>
          </w:p>
          <w:p>
            <w:pPr>
              <w:pStyle w:val="Style2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99.77</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43,322,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14.34</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258,69</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0,125.6</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245,0</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85,03</w:t>
            </w:r>
          </w:p>
          <w:p>
            <w:pPr>
              <w:pStyle w:val="Style2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31,667,</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213,417,</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583.54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709,03</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709,03</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787,6</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787,648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302,72</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1,236.8</w:t>
            </w:r>
          </w:p>
          <w:p>
            <w:pPr>
              <w:pStyle w:val="Style2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44,031,</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111.21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14.55</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258,69</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0,125.6</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245,8</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72,68</w:t>
            </w:r>
          </w:p>
          <w:p>
            <w:pPr>
              <w:pStyle w:val="Style2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32,455,</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096.56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213,417,</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583.54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187,975,831.72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9,398,791.59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187,975,831.72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9,398,791.59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62,037,652.53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12,407,530.51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31,467,959.01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9,440,387.70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16,910,784.38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8,455,392.19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3,619,975.57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3,619,975.57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302,012,203.21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43,322,077.56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14.34%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2"/>
      <w:bookmarkEnd w:id="1823"/>
      <w:bookmarkEnd w:id="182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11,576,014.65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5"/>
        <w:keepNext/>
        <w:keepLines/>
        <w:widowControl w:val="0"/>
        <w:numPr>
          <w:ilvl w:val="0"/>
          <w:numId w:val="93"/>
        </w:numPr>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本期实际核销的应收账款情况</w:t>
      </w:r>
      <w:bookmarkEnd w:id="1825"/>
      <w:bookmarkEnd w:id="1826"/>
      <w:bookmarkEnd w:id="182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应收账款核销说明：</w:t>
      </w:r>
    </w:p>
    <w:p>
      <w:pPr>
        <w:pStyle w:val="Style35"/>
        <w:keepNext/>
        <w:keepLines/>
        <w:widowControl w:val="0"/>
        <w:numPr>
          <w:ilvl w:val="0"/>
          <w:numId w:val="93"/>
        </w:numPr>
        <w:shd w:val="clear" w:color="auto" w:fill="auto"/>
        <w:bidi w:val="0"/>
        <w:spacing w:before="0" w:after="300" w:line="240" w:lineRule="auto"/>
        <w:ind w:left="0" w:right="0" w:firstLine="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按欠款方归集的期末余额前五名的应收账款情况</w:t>
      </w:r>
      <w:bookmarkEnd w:id="1829"/>
      <w:bookmarkEnd w:id="1830"/>
      <w:bookmarkEnd w:id="1832"/>
    </w:p>
    <w:p>
      <w:pPr>
        <w:pStyle w:val="Style29"/>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rPr>
        <w:t>28,896,207.85</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9.55%</w:t>
      </w:r>
      <w:r>
        <w:rPr>
          <w:color w:val="000000"/>
          <w:spacing w:val="0"/>
          <w:w w:val="100"/>
          <w:position w:val="0"/>
        </w:rPr>
        <w:t>，相应计提的坏账准 备合计数为</w:t>
      </w:r>
      <w:r>
        <w:rPr>
          <w:rFonts w:ascii="Times New Roman" w:eastAsia="Times New Roman" w:hAnsi="Times New Roman" w:cs="Times New Roman"/>
          <w:color w:val="000000"/>
          <w:spacing w:val="0"/>
          <w:w w:val="100"/>
          <w:position w:val="0"/>
        </w:rPr>
        <w:t>2,688,221.65</w:t>
      </w:r>
      <w:r>
        <w:rPr>
          <w:color w:val="000000"/>
          <w:spacing w:val="0"/>
          <w:w w:val="100"/>
          <w:position w:val="0"/>
        </w:rPr>
        <w:t>元。</w:t>
      </w:r>
      <w:r>
        <w:br w:type="page"/>
      </w:r>
    </w:p>
    <w:p>
      <w:pPr>
        <w:pStyle w:val="Style35"/>
        <w:keepNext/>
        <w:keepLines/>
        <w:widowControl w:val="0"/>
        <w:numPr>
          <w:ilvl w:val="0"/>
          <w:numId w:val="93"/>
        </w:numPr>
        <w:shd w:val="clear" w:color="auto" w:fill="auto"/>
        <w:tabs>
          <w:tab w:pos="488" w:val="left"/>
        </w:tabs>
        <w:bidi w:val="0"/>
        <w:spacing w:before="0" w:after="360" w:line="240" w:lineRule="auto"/>
        <w:ind w:left="0" w:right="0" w:firstLine="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因金融资产转移而终止确认的应收账款</w:t>
      </w:r>
      <w:bookmarkEnd w:id="1833"/>
      <w:bookmarkEnd w:id="1834"/>
      <w:bookmarkEnd w:id="1836"/>
    </w:p>
    <w:p>
      <w:pPr>
        <w:pStyle w:val="Style35"/>
        <w:keepNext/>
        <w:keepLines/>
        <w:widowControl w:val="0"/>
        <w:numPr>
          <w:ilvl w:val="0"/>
          <w:numId w:val="93"/>
        </w:numPr>
        <w:shd w:val="clear" w:color="auto" w:fill="auto"/>
        <w:tabs>
          <w:tab w:pos="488" w:val="left"/>
        </w:tabs>
        <w:bidi w:val="0"/>
        <w:spacing w:before="0" w:after="360" w:line="240" w:lineRule="auto"/>
        <w:ind w:left="0" w:right="0" w:firstLine="0"/>
        <w:jc w:val="left"/>
      </w:pPr>
      <w:bookmarkStart w:id="1833" w:name="bookmark1833"/>
      <w:bookmarkStart w:id="1834" w:name="bookmark1834"/>
      <w:bookmarkStart w:id="1837" w:name="bookmark1837"/>
      <w:bookmarkStart w:id="1838" w:name="bookmark1838"/>
      <w:bookmarkEnd w:id="1837"/>
      <w:r>
        <w:rPr>
          <w:color w:val="000000"/>
          <w:spacing w:val="0"/>
          <w:w w:val="100"/>
          <w:position w:val="0"/>
        </w:rPr>
        <w:t>转移应收账款且继续涉入形成的资产、负债金额</w:t>
      </w:r>
      <w:bookmarkEnd w:id="1833"/>
      <w:bookmarkEnd w:id="1834"/>
      <w:bookmarkEnd w:id="183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9"/>
      <w:bookmarkEnd w:id="1840"/>
      <w:bookmarkEnd w:id="1841"/>
    </w:p>
    <w:p>
      <w:pPr>
        <w:pStyle w:val="Style35"/>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39"/>
      <w:bookmarkEnd w:id="1840"/>
      <w:bookmarkEnd w:id="18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52,399,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99.18</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9,074,2</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17.32</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43,325,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42,14</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9,291</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6,787,4</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35,361,8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434,97</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434,97</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434,9</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434,972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52,834,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9,509,2</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18.00</w:t>
            </w:r>
          </w:p>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43,325,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42,58</w:t>
            </w:r>
          </w:p>
          <w:p>
            <w:pPr>
              <w:pStyle w:val="Style2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4,263</w:t>
            </w:r>
          </w:p>
          <w:p>
            <w:pPr>
              <w:pStyle w:val="Style2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7,222,4</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35,361,8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28,749,634.49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1,437,481.72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28,749,634.49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1,437,481.72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15,380,508.00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3,076,101.60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2,869,034.50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860,710.35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3,401,102.00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1,700,551.00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1,999,419.20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1,999,419.20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tbl>
      <w:tblPr>
        <w:tblOverlap w:val="never"/>
        <w:jc w:val="center"/>
        <w:tblLayout w:type="fixed"/>
      </w:tblPr>
      <w:tblGrid>
        <w:gridCol w:w="2501"/>
        <w:gridCol w:w="2294"/>
        <w:gridCol w:w="2390"/>
        <w:gridCol w:w="23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52,399,698.19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9,074,263.87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43"/>
      <w:bookmarkEnd w:id="1844"/>
      <w:bookmarkEnd w:id="18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2,286,817.77</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846"/>
      <w:bookmarkEnd w:id="1847"/>
      <w:bookmarkEnd w:id="1849"/>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0" w:right="0" w:firstLine="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50"/>
      <w:bookmarkEnd w:id="1851"/>
      <w:bookmarkEnd w:id="18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45,854,587.59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36,302,614.98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3,989,798.89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3,392,441.13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2,590,283.96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2,889,207.19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52,834,670.44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42,584,263.30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54"/>
      <w:bookmarkEnd w:id="1855"/>
      <w:bookmarkEnd w:id="18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160" w:right="0" w:firstLine="0"/>
              <w:jc w:val="left"/>
            </w:pPr>
            <w:r>
              <w:rPr>
                <w:color w:val="000000"/>
                <w:spacing w:val="0"/>
                <w:w w:val="100"/>
                <w:position w:val="0"/>
              </w:rPr>
              <w:t>占其他应收款期 末余额合计数的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中国人民解放军第 八五医院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4,474,000.00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223,700.00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北京好望角视真科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湖北省卫生和计划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长寿健康保险股份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105,000.00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20,074,000.00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2,578,700.00</w:t>
            </w:r>
          </w:p>
        </w:tc>
      </w:tr>
    </w:tbl>
    <w:p>
      <w:pPr>
        <w:widowControl w:val="0"/>
        <w:spacing w:after="319" w:line="1" w:lineRule="exact"/>
      </w:pPr>
    </w:p>
    <w:p>
      <w:pPr>
        <w:pStyle w:val="Style35"/>
        <w:keepNext/>
        <w:keepLines/>
        <w:widowControl w:val="0"/>
        <w:numPr>
          <w:ilvl w:val="0"/>
          <w:numId w:val="85"/>
        </w:numPr>
        <w:shd w:val="clear" w:color="auto" w:fill="auto"/>
        <w:bidi w:val="0"/>
        <w:spacing w:before="0" w:after="360" w:line="240" w:lineRule="auto"/>
        <w:ind w:left="0" w:right="0" w:firstLine="14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涉及政府补助的应收款项</w:t>
      </w:r>
      <w:bookmarkEnd w:id="1858"/>
      <w:bookmarkEnd w:id="1859"/>
      <w:bookmarkEnd w:id="18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35"/>
        <w:keepNext/>
        <w:keepLines/>
        <w:widowControl w:val="0"/>
        <w:numPr>
          <w:ilvl w:val="0"/>
          <w:numId w:val="85"/>
        </w:numPr>
        <w:shd w:val="clear" w:color="auto" w:fill="auto"/>
        <w:tabs>
          <w:tab w:pos="488" w:val="left"/>
        </w:tabs>
        <w:bidi w:val="0"/>
        <w:spacing w:before="0" w:after="32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因金融资产转移而终止确认的其他应收款</w:t>
      </w:r>
      <w:bookmarkEnd w:id="1862"/>
      <w:bookmarkEnd w:id="1863"/>
      <w:bookmarkEnd w:id="1865"/>
    </w:p>
    <w:p>
      <w:pPr>
        <w:pStyle w:val="Style35"/>
        <w:keepNext/>
        <w:keepLines/>
        <w:widowControl w:val="0"/>
        <w:numPr>
          <w:ilvl w:val="0"/>
          <w:numId w:val="85"/>
        </w:numPr>
        <w:shd w:val="clear" w:color="auto" w:fill="auto"/>
        <w:tabs>
          <w:tab w:pos="488" w:val="left"/>
        </w:tabs>
        <w:bidi w:val="0"/>
        <w:spacing w:before="0" w:after="360" w:line="240" w:lineRule="auto"/>
        <w:ind w:left="0" w:right="0" w:firstLine="0"/>
        <w:jc w:val="left"/>
      </w:pPr>
      <w:bookmarkStart w:id="1862" w:name="bookmark1862"/>
      <w:bookmarkStart w:id="1863" w:name="bookmark1863"/>
      <w:bookmarkStart w:id="1866" w:name="bookmark1866"/>
      <w:bookmarkStart w:id="1867" w:name="bookmark1867"/>
      <w:bookmarkEnd w:id="1866"/>
      <w:r>
        <w:rPr>
          <w:color w:val="000000"/>
          <w:spacing w:val="0"/>
          <w:w w:val="100"/>
          <w:position w:val="0"/>
        </w:rPr>
        <w:t>转移其他应收款且继续涉入形成的资产、负债金额</w:t>
      </w:r>
      <w:bookmarkEnd w:id="1862"/>
      <w:bookmarkEnd w:id="1863"/>
      <w:bookmarkEnd w:id="186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3</w:t>
      </w:r>
      <w:bookmarkEnd w:id="1870"/>
      <w:r>
        <w:rPr>
          <w:color w:val="000000"/>
          <w:spacing w:val="0"/>
          <w:w w:val="100"/>
          <w:position w:val="0"/>
        </w:rPr>
        <w:t>、长期股权投资</w:t>
      </w:r>
      <w:bookmarkEnd w:id="1868"/>
      <w:bookmarkEnd w:id="1869"/>
      <w:bookmarkEnd w:id="18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153,266,951.13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153,266,951.13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70,266,051.13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70,266,051.13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7,014,395.36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7,014,395.36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1,629,806.14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160,281,346.49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160,281,346.49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71,895,857.27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71,895,857.27</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14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2"/>
      <w:bookmarkEnd w:id="1873"/>
      <w:bookmarkEnd w:id="18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杭州联旗科技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8,951,051.13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8,951,051.13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7"/>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苏州创业亿康 信息科技有限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上海创航软件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创业软件南京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新疆创什信息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重庆创易康软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天津创津科技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杭州惟勤科技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2,540,900.00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广东中拓信息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中山市蓝天电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中山市杭创科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浙江创源环境 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70,266,051.13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83,000,900.00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153,266,951.1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75"/>
      <w:bookmarkEnd w:id="1876"/>
      <w:bookmarkEnd w:id="18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康医疗 信息技 术有限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30.10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浙江美 康网新 云健康 科技股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-1,217,</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3,782,4</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384,58</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7,014,3</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95.36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384,58</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7,014,3</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95"/>
        </w:numPr>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bookmarkEnd w:id="1880"/>
      <w:r>
        <w:rPr>
          <w:color w:val="000000"/>
          <w:spacing w:val="0"/>
          <w:w w:val="100"/>
          <w:position w:val="0"/>
        </w:rPr>
        <w:t>其他说明</w:t>
      </w:r>
      <w:bookmarkEnd w:id="1878"/>
      <w:bookmarkEnd w:id="1879"/>
      <w:bookmarkEnd w:id="1881"/>
    </w:p>
    <w:p>
      <w:pPr>
        <w:pStyle w:val="Style35"/>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2" w:name="bookmark1882"/>
      <w:bookmarkStart w:id="1883" w:name="bookmark1883"/>
      <w:r>
        <w:rPr>
          <w:rFonts w:ascii="Times New Roman" w:eastAsia="Times New Roman" w:hAnsi="Times New Roman" w:cs="Times New Roman"/>
          <w:color w:val="000000"/>
          <w:spacing w:val="0"/>
          <w:w w:val="100"/>
          <w:position w:val="0"/>
        </w:rPr>
        <w:t>4</w:t>
      </w:r>
      <w:bookmarkEnd w:id="1882"/>
      <w:r>
        <w:rPr>
          <w:color w:val="000000"/>
          <w:spacing w:val="0"/>
          <w:w w:val="100"/>
          <w:position w:val="0"/>
        </w:rPr>
        <w:t>、营业收入和营业成本</w:t>
      </w:r>
      <w:bookmarkEnd w:id="1878"/>
      <w:bookmarkEnd w:id="1879"/>
      <w:bookmarkEnd w:id="18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503,991,940.71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257,612,219.44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421,411,206.76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214,000,835.05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188,648.47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132,080.16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97,554.60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504,180,589.18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257,744,299.60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421,508,761.36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214,000,835.05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5</w:t>
      </w:r>
      <w:bookmarkEnd w:id="1886"/>
      <w:r>
        <w:rPr>
          <w:color w:val="000000"/>
          <w:spacing w:val="0"/>
          <w:w w:val="100"/>
          <w:position w:val="0"/>
        </w:rPr>
        <w:t>、投资收益</w:t>
      </w:r>
      <w:bookmarkEnd w:id="1884"/>
      <w:bookmarkEnd w:id="1885"/>
      <w:bookmarkEnd w:id="18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384,589.22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-2,370,193.86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384,589.22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-2,370,193.86</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6</w:t>
      </w:r>
      <w:bookmarkEnd w:id="1890"/>
      <w:r>
        <w:rPr>
          <w:color w:val="000000"/>
          <w:spacing w:val="0"/>
          <w:w w:val="100"/>
          <w:position w:val="0"/>
        </w:rPr>
        <w:t>、其他</w:t>
      </w:r>
      <w:bookmarkEnd w:id="1888"/>
      <w:bookmarkEnd w:id="1889"/>
      <w:bookmarkEnd w:id="1891"/>
    </w:p>
    <w:p>
      <w:pPr>
        <w:pStyle w:val="Style27"/>
        <w:keepNext/>
        <w:keepLines/>
        <w:widowControl w:val="0"/>
        <w:shd w:val="clear" w:color="auto" w:fill="auto"/>
        <w:bidi w:val="0"/>
        <w:spacing w:before="0" w:after="340" w:line="240" w:lineRule="auto"/>
        <w:ind w:left="0" w:right="0" w:firstLine="0"/>
        <w:jc w:val="left"/>
      </w:pPr>
      <w:bookmarkStart w:id="1892" w:name="bookmark1892"/>
      <w:bookmarkStart w:id="1893" w:name="bookmark1893"/>
      <w:bookmarkStart w:id="1894" w:name="bookmark1894"/>
      <w:r>
        <w:rPr>
          <w:color w:val="000000"/>
          <w:spacing w:val="0"/>
          <w:w w:val="100"/>
          <w:position w:val="0"/>
          <w:sz w:val="24"/>
          <w:szCs w:val="24"/>
        </w:rPr>
        <w:t>十八、补充资料</w:t>
      </w:r>
      <w:bookmarkEnd w:id="1892"/>
      <w:bookmarkEnd w:id="1893"/>
      <w:bookmarkEnd w:id="1894"/>
    </w:p>
    <w:p>
      <w:pPr>
        <w:pStyle w:val="Style35"/>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5"/>
      <w:bookmarkEnd w:id="1896"/>
      <w:bookmarkEnd w:id="189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越权审批或无正式批准文件的税收返 还、减免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303,280.35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10,880,705.53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1,723,274.33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-253,030.48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1,299,490.57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239,486.84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11,111,852.32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98"/>
      <w:bookmarkEnd w:id="1899"/>
      <w:bookmarkEnd w:id="1900"/>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8.02%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color w:val="000000"/>
          <w:spacing w:val="0"/>
          <w:w w:val="100"/>
          <w:position w:val="0"/>
        </w:rPr>
        <w:t>、境内外会计准则下会计数据差异</w:t>
      </w:r>
      <w:bookmarkEnd w:id="1901"/>
      <w:bookmarkEnd w:id="1902"/>
      <w:bookmarkEnd w:id="1904"/>
    </w:p>
    <w:p>
      <w:pPr>
        <w:pStyle w:val="Style35"/>
        <w:keepNext/>
        <w:keepLines/>
        <w:widowControl w:val="0"/>
        <w:shd w:val="clear" w:color="auto" w:fill="auto"/>
        <w:tabs>
          <w:tab w:pos="488" w:val="left"/>
        </w:tabs>
        <w:bidi w:val="0"/>
        <w:spacing w:before="0" w:line="240" w:lineRule="auto"/>
        <w:ind w:left="0" w:right="0" w:firstLine="0"/>
        <w:jc w:val="both"/>
      </w:pPr>
      <w:bookmarkStart w:id="1901" w:name="bookmark1901"/>
      <w:bookmarkStart w:id="1902" w:name="bookmark1902"/>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01"/>
      <w:bookmarkEnd w:id="1902"/>
      <w:bookmarkEnd w:id="1906"/>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line="240" w:lineRule="auto"/>
        <w:ind w:left="0" w:right="0" w:firstLine="0"/>
        <w:jc w:val="both"/>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07"/>
      <w:bookmarkEnd w:id="1908"/>
      <w:bookmarkEnd w:id="191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val="0"/>
        <w:keepLines w:val="0"/>
        <w:widowControl w:val="0"/>
        <w:numPr>
          <w:ilvl w:val="0"/>
          <w:numId w:val="97"/>
        </w:numPr>
        <w:shd w:val="clear" w:color="auto" w:fill="auto"/>
        <w:bidi w:val="0"/>
        <w:spacing w:before="0" w:after="340" w:line="322" w:lineRule="exact"/>
        <w:ind w:left="0" w:right="0" w:firstLine="0"/>
        <w:jc w:val="left"/>
      </w:pPr>
      <w:bookmarkStart w:id="1911" w:name="bookmark1911"/>
      <w:bookmarkEnd w:id="1911"/>
      <w:r>
        <w:rPr>
          <w:b/>
          <w:bCs/>
          <w:color w:val="000000"/>
          <w:spacing w:val="0"/>
          <w:w w:val="100"/>
          <w:position w:val="0"/>
        </w:rPr>
        <w:t>境内外会计准则下会计数据差异原因说明，对已经境外审计机构审计的数据进行差异调节的，应注 明该境外机构的名称</w:t>
      </w:r>
    </w:p>
    <w:p>
      <w:pPr>
        <w:pStyle w:val="Style67"/>
        <w:keepNext w:val="0"/>
        <w:keepLines w:val="0"/>
        <w:widowControl w:val="0"/>
        <w:shd w:val="clear" w:color="auto" w:fill="auto"/>
        <w:bidi w:val="0"/>
        <w:spacing w:before="0" w:after="0" w:line="336" w:lineRule="auto"/>
        <w:ind w:left="0" w:right="0" w:firstLine="0"/>
        <w:jc w:val="left"/>
        <w:sectPr>
          <w:footnotePr>
            <w:pos w:val="pageBottom"/>
            <w:numFmt w:val="decimal"/>
            <w:numRestart w:val="continuous"/>
          </w:footnotePr>
          <w:pgSz w:w="11900" w:h="16840"/>
          <w:pgMar w:top="1393" w:right="1016" w:bottom="1489" w:left="1021" w:header="0" w:footer="3" w:gutter="0"/>
          <w:cols w:space="720"/>
          <w:noEndnote/>
          <w:rtlGutter w:val="0"/>
          <w:docGrid w:linePitch="360"/>
        </w:sectPr>
      </w:pPr>
      <w:bookmarkStart w:id="1912" w:name="bookmark1912"/>
      <w:r>
        <w:rPr>
          <w:rFonts w:ascii="Times New Roman" w:eastAsia="Times New Roman" w:hAnsi="Times New Roman" w:cs="Times New Roman"/>
          <w:b/>
          <w:bCs/>
          <w:color w:val="000000"/>
          <w:spacing w:val="0"/>
          <w:w w:val="100"/>
          <w:position w:val="0"/>
        </w:rPr>
        <w:t>4</w:t>
      </w:r>
      <w:bookmarkEnd w:id="1912"/>
      <w:r>
        <w:rPr>
          <w:b/>
          <w:bCs/>
          <w:color w:val="000000"/>
          <w:spacing w:val="0"/>
          <w:w w:val="100"/>
          <w:position w:val="0"/>
        </w:rPr>
        <w:t>、其他</w:t>
      </w:r>
    </w:p>
    <w:p>
      <w:pPr>
        <w:pStyle w:val="Style16"/>
        <w:keepNext/>
        <w:keepLines/>
        <w:widowControl w:val="0"/>
        <w:shd w:val="clear" w:color="auto" w:fill="auto"/>
        <w:bidi w:val="0"/>
        <w:spacing w:before="0" w:after="360" w:line="240" w:lineRule="auto"/>
        <w:ind w:left="0" w:right="0" w:firstLine="0"/>
        <w:jc w:val="center"/>
      </w:pPr>
      <w:bookmarkStart w:id="1913" w:name="bookmark1913"/>
      <w:bookmarkStart w:id="1914" w:name="bookmark1914"/>
      <w:bookmarkStart w:id="1915" w:name="bookmark1915"/>
      <w:bookmarkStart w:id="1916" w:name="bookmark1916"/>
      <w:r>
        <w:rPr>
          <w:color w:val="000000"/>
          <w:spacing w:val="0"/>
          <w:w w:val="100"/>
          <w:position w:val="0"/>
        </w:rPr>
        <w:t>第十二节备查文件目录</w:t>
      </w:r>
      <w:bookmarkEnd w:id="1914"/>
      <w:bookmarkEnd w:id="1915"/>
      <w:bookmarkEnd w:id="1916"/>
      <w:bookmarkEnd w:id="1913"/>
    </w:p>
    <w:p>
      <w:pPr>
        <w:pStyle w:val="Style18"/>
        <w:keepNext w:val="0"/>
        <w:keepLines w:val="0"/>
        <w:widowControl w:val="0"/>
        <w:shd w:val="clear" w:color="auto" w:fill="auto"/>
        <w:tabs>
          <w:tab w:pos="560" w:val="left"/>
        </w:tabs>
        <w:bidi w:val="0"/>
        <w:spacing w:before="0" w:after="0" w:line="627" w:lineRule="exact"/>
        <w:ind w:left="0" w:right="0" w:firstLine="0"/>
        <w:jc w:val="left"/>
      </w:pPr>
      <w:bookmarkStart w:id="1917" w:name="bookmark1917"/>
      <w:r>
        <w:rPr>
          <w:b w:val="0"/>
          <w:bCs w:val="0"/>
          <w:color w:val="000000"/>
          <w:spacing w:val="0"/>
          <w:w w:val="100"/>
          <w:position w:val="0"/>
        </w:rPr>
        <w:t>一</w:t>
      </w:r>
      <w:bookmarkEnd w:id="1917"/>
      <w:r>
        <w:rPr>
          <w:b w:val="0"/>
          <w:bCs w:val="0"/>
          <w:color w:val="000000"/>
          <w:spacing w:val="0"/>
          <w:w w:val="100"/>
          <w:position w:val="0"/>
        </w:rPr>
        <w:t>、</w:t>
        <w:tab/>
        <w:t>载有公司法定代表人葛航先生签名的</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年年度报告文本；</w:t>
      </w:r>
    </w:p>
    <w:p>
      <w:pPr>
        <w:pStyle w:val="Style18"/>
        <w:keepNext w:val="0"/>
        <w:keepLines w:val="0"/>
        <w:widowControl w:val="0"/>
        <w:shd w:val="clear" w:color="auto" w:fill="auto"/>
        <w:tabs>
          <w:tab w:pos="565" w:val="left"/>
        </w:tabs>
        <w:bidi w:val="0"/>
        <w:spacing w:before="0" w:after="0" w:line="627" w:lineRule="exact"/>
        <w:ind w:left="0" w:right="0" w:firstLine="0"/>
        <w:jc w:val="left"/>
      </w:pPr>
      <w:bookmarkStart w:id="1918" w:name="bookmark1918"/>
      <w:r>
        <w:rPr>
          <w:b w:val="0"/>
          <w:bCs w:val="0"/>
          <w:color w:val="000000"/>
          <w:spacing w:val="0"/>
          <w:w w:val="100"/>
          <w:position w:val="0"/>
        </w:rPr>
        <w:t>二</w:t>
      </w:r>
      <w:bookmarkEnd w:id="1918"/>
      <w:r>
        <w:rPr>
          <w:b w:val="0"/>
          <w:bCs w:val="0"/>
          <w:color w:val="000000"/>
          <w:spacing w:val="0"/>
          <w:w w:val="100"/>
          <w:position w:val="0"/>
        </w:rPr>
        <w:t>、</w:t>
        <w:tab/>
        <w:t>载有公司法定代表人葛航先生、主管会计工作负责人郁燕萍女士、会计机 构负责人李军女士签名并盖章的财务报告文本；</w:t>
      </w:r>
    </w:p>
    <w:p>
      <w:pPr>
        <w:pStyle w:val="Style18"/>
        <w:keepNext w:val="0"/>
        <w:keepLines w:val="0"/>
        <w:widowControl w:val="0"/>
        <w:shd w:val="clear" w:color="auto" w:fill="auto"/>
        <w:tabs>
          <w:tab w:pos="570" w:val="left"/>
        </w:tabs>
        <w:bidi w:val="0"/>
        <w:spacing w:before="0" w:after="0" w:line="627" w:lineRule="exact"/>
        <w:ind w:left="0" w:right="0" w:firstLine="0"/>
        <w:jc w:val="left"/>
      </w:pPr>
      <w:bookmarkStart w:id="1919" w:name="bookmark1919"/>
      <w:r>
        <w:rPr>
          <w:b w:val="0"/>
          <w:bCs w:val="0"/>
          <w:color w:val="000000"/>
          <w:spacing w:val="0"/>
          <w:w w:val="100"/>
          <w:position w:val="0"/>
        </w:rPr>
        <w:t>三</w:t>
      </w:r>
      <w:bookmarkEnd w:id="1919"/>
      <w:r>
        <w:rPr>
          <w:b w:val="0"/>
          <w:bCs w:val="0"/>
          <w:color w:val="000000"/>
          <w:spacing w:val="0"/>
          <w:w w:val="100"/>
          <w:position w:val="0"/>
        </w:rPr>
        <w:t>、</w:t>
        <w:tab/>
        <w:t>载有天健会计师事务所（特殊普通合伙）盖章、注册会计师签名并盖章审 计报告原件；</w:t>
      </w:r>
    </w:p>
    <w:p>
      <w:pPr>
        <w:pStyle w:val="Style18"/>
        <w:keepNext w:val="0"/>
        <w:keepLines w:val="0"/>
        <w:widowControl w:val="0"/>
        <w:shd w:val="clear" w:color="auto" w:fill="auto"/>
        <w:tabs>
          <w:tab w:pos="589" w:val="left"/>
        </w:tabs>
        <w:bidi w:val="0"/>
        <w:spacing w:before="0" w:after="180" w:line="627" w:lineRule="exact"/>
        <w:ind w:left="0" w:right="0" w:firstLine="0"/>
        <w:jc w:val="left"/>
      </w:pPr>
      <w:bookmarkStart w:id="1920" w:name="bookmark1920"/>
      <w:r>
        <w:rPr>
          <w:b w:val="0"/>
          <w:bCs w:val="0"/>
          <w:color w:val="000000"/>
          <w:spacing w:val="0"/>
          <w:w w:val="100"/>
          <w:position w:val="0"/>
        </w:rPr>
        <w:t>四</w:t>
      </w:r>
      <w:bookmarkEnd w:id="1920"/>
      <w:r>
        <w:rPr>
          <w:b w:val="0"/>
          <w:bCs w:val="0"/>
          <w:color w:val="000000"/>
          <w:spacing w:val="0"/>
          <w:w w:val="100"/>
          <w:position w:val="0"/>
        </w:rPr>
        <w:t>、</w:t>
        <w:tab/>
        <w:t>报告期内在中国证监会指定网站上公开披露过的所有公司文件的正本及公 告原稿。</w:t>
      </w:r>
    </w:p>
    <w:sectPr>
      <w:footnotePr>
        <w:pos w:val="pageBottom"/>
        <w:numFmt w:val="decimal"/>
        <w:numRestart w:val="continuous"/>
      </w:footnotePr>
      <w:pgSz w:w="11900" w:h="16840"/>
      <w:pgMar w:top="1647" w:right="1227" w:bottom="1647"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739140</wp:posOffset>
              </wp:positionH>
              <wp:positionV relativeFrom="page">
                <wp:posOffset>9937750</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8.200000000000003pt;margin-top:782.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739140</wp:posOffset>
              </wp:positionH>
              <wp:positionV relativeFrom="page">
                <wp:posOffset>9937750</wp:posOffset>
              </wp:positionV>
              <wp:extent cx="97790" cy="79375"/>
              <wp:wrapNone/>
              <wp:docPr id="27" name="Shape 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8.200000000000003pt;margin-top:782.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732790</wp:posOffset>
              </wp:positionH>
              <wp:positionV relativeFrom="page">
                <wp:posOffset>9704705</wp:posOffset>
              </wp:positionV>
              <wp:extent cx="152400" cy="79375"/>
              <wp:wrapNone/>
              <wp:docPr id="33" name="Shape 3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9" type="#_x0000_t202" style="position:absolute;margin-left:57.700000000000003pt;margin-top:764.14999999999998pt;width:12.pt;height:6.25pt;z-index:-18874404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6332220</wp:posOffset>
              </wp:positionH>
              <wp:positionV relativeFrom="page">
                <wp:posOffset>9357995</wp:posOffset>
              </wp:positionV>
              <wp:extent cx="499745" cy="106680"/>
              <wp:wrapNone/>
              <wp:docPr id="37" name="Shape 3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3" type="#_x0000_t202" style="position:absolute;margin-left:498.60000000000002pt;margin-top:736.85000000000002pt;width:39.3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730250</wp:posOffset>
              </wp:positionH>
              <wp:positionV relativeFrom="page">
                <wp:posOffset>9933940</wp:posOffset>
              </wp:positionV>
              <wp:extent cx="149225" cy="79375"/>
              <wp:wrapNone/>
              <wp:docPr id="39" name="Shape 3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5" type="#_x0000_t202" style="position:absolute;margin-left:57.5pt;margin-top:782.20000000000005pt;width:11.75pt;height:6.25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739140</wp:posOffset>
              </wp:positionH>
              <wp:positionV relativeFrom="page">
                <wp:posOffset>9937750</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8.200000000000003pt;margin-top:782.5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6332220</wp:posOffset>
              </wp:positionH>
              <wp:positionV relativeFrom="page">
                <wp:posOffset>9357995</wp:posOffset>
              </wp:positionV>
              <wp:extent cx="499745" cy="106680"/>
              <wp:wrapNone/>
              <wp:docPr id="47" name="Shape 4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3" type="#_x0000_t202" style="position:absolute;margin-left:498.60000000000002pt;margin-top:736.85000000000002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730250</wp:posOffset>
              </wp:positionH>
              <wp:positionV relativeFrom="page">
                <wp:posOffset>9933940</wp:posOffset>
              </wp:positionV>
              <wp:extent cx="149225" cy="79375"/>
              <wp:wrapNone/>
              <wp:docPr id="49" name="Shape 4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5" type="#_x0000_t202" style="position:absolute;margin-left:57.5pt;margin-top:782.20000000000005pt;width:11.75pt;height:6.25pt;z-index:-18874403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739140</wp:posOffset>
              </wp:positionH>
              <wp:positionV relativeFrom="page">
                <wp:posOffset>9937750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8.200000000000003pt;margin-top:782.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706755</wp:posOffset>
              </wp:positionH>
              <wp:positionV relativeFrom="page">
                <wp:posOffset>588645</wp:posOffset>
              </wp:positionV>
              <wp:extent cx="2218690" cy="106680"/>
              <wp:wrapNone/>
              <wp:docPr id="5" name="Shape 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1" type="#_x0000_t202" style="position:absolute;margin-left:55.649999999999999pt;margin-top:46.350000000000001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706755</wp:posOffset>
              </wp:positionH>
              <wp:positionV relativeFrom="page">
                <wp:posOffset>588645</wp:posOffset>
              </wp:positionV>
              <wp:extent cx="2218690" cy="106680"/>
              <wp:wrapNone/>
              <wp:docPr id="25" name="Shape 2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1" type="#_x0000_t202" style="position:absolute;margin-left:55.649999999999999pt;margin-top:46.350000000000001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727075</wp:posOffset>
              </wp:positionH>
              <wp:positionV relativeFrom="page">
                <wp:posOffset>359410</wp:posOffset>
              </wp:positionV>
              <wp:extent cx="2218690" cy="106680"/>
              <wp:wrapNone/>
              <wp:docPr id="29" name="Shape 2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57.25pt;margin-top:28.300000000000001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6335395</wp:posOffset>
              </wp:positionH>
              <wp:positionV relativeFrom="page">
                <wp:posOffset>730885</wp:posOffset>
              </wp:positionV>
              <wp:extent cx="499745" cy="106680"/>
              <wp:wrapNone/>
              <wp:docPr id="31" name="Shape 3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7" type="#_x0000_t202" style="position:absolute;margin-left:498.85000000000002pt;margin-top:57.550000000000004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723900</wp:posOffset>
              </wp:positionH>
              <wp:positionV relativeFrom="page">
                <wp:posOffset>588645</wp:posOffset>
              </wp:positionV>
              <wp:extent cx="2218690" cy="106680"/>
              <wp:wrapNone/>
              <wp:docPr id="35" name="Shape 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57.pt;margin-top:46.350000000000001pt;width:174.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706755</wp:posOffset>
              </wp:positionH>
              <wp:positionV relativeFrom="page">
                <wp:posOffset>588645</wp:posOffset>
              </wp:positionV>
              <wp:extent cx="2218690" cy="106680"/>
              <wp:wrapNone/>
              <wp:docPr id="41" name="Shape 4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7" type="#_x0000_t202" style="position:absolute;margin-left:55.649999999999999pt;margin-top:46.350000000000001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723900</wp:posOffset>
              </wp:positionH>
              <wp:positionV relativeFrom="page">
                <wp:posOffset>588645</wp:posOffset>
              </wp:positionV>
              <wp:extent cx="2218690" cy="106680"/>
              <wp:wrapNone/>
              <wp:docPr id="45" name="Shape 4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57.pt;margin-top:46.350000000000001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706755</wp:posOffset>
              </wp:positionH>
              <wp:positionV relativeFrom="page">
                <wp:posOffset>588645</wp:posOffset>
              </wp:positionV>
              <wp:extent cx="2218690" cy="106680"/>
              <wp:wrapNone/>
              <wp:docPr id="51" name="Shape 5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7" type="#_x0000_t202" style="position:absolute;margin-left:55.649999999999999pt;margin-top:46.350000000000001pt;width:174.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创业软件股份有限公司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7"/>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1">
    <w:name w:val="图片标题_"/>
    <w:basedOn w:val="DefaultParagraphFont"/>
    <w:link w:val="Style50"/>
    <w:rPr>
      <w:rFonts w:ascii="SimSun" w:eastAsia="SimSun" w:hAnsi="SimSun" w:cs="SimSun"/>
      <w:b w:val="0"/>
      <w:bCs w:val="0"/>
      <w:i w:val="0"/>
      <w:iCs w:val="0"/>
      <w:smallCaps w:val="0"/>
      <w:strike w:val="0"/>
      <w:sz w:val="18"/>
      <w:szCs w:val="18"/>
      <w:u w:val="none"/>
      <w:shd w:val="clear" w:color="auto" w:fill="auto"/>
    </w:rPr>
  </w:style>
  <w:style w:type="character" w:customStyle="1" w:styleId="CharStyle55">
    <w:name w:val="其他 (3)_"/>
    <w:basedOn w:val="DefaultParagraphFont"/>
    <w:link w:val="Style54"/>
    <w:rPr>
      <w:rFonts w:ascii="SimHei" w:eastAsia="SimHei" w:hAnsi="SimHei" w:cs="SimHei"/>
      <w:b w:val="0"/>
      <w:bCs w:val="0"/>
      <w:i w:val="0"/>
      <w:iCs w:val="0"/>
      <w:smallCaps w:val="0"/>
      <w:strike w:val="0"/>
      <w:color w:val="881312"/>
      <w:sz w:val="22"/>
      <w:szCs w:val="22"/>
      <w:u w:val="none"/>
      <w:shd w:val="clear" w:color="auto" w:fill="auto"/>
    </w:rPr>
  </w:style>
  <w:style w:type="character" w:customStyle="1" w:styleId="CharStyle68">
    <w:name w:val="正文文本 (8)_"/>
    <w:basedOn w:val="DefaultParagraphFont"/>
    <w:link w:val="Style67"/>
    <w:rPr>
      <w:rFonts w:ascii="SimSun" w:eastAsia="SimSun" w:hAnsi="SimSun" w:cs="SimSun"/>
      <w:b w:val="0"/>
      <w:bCs w:val="0"/>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before="40" w:after="3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4)"/>
    <w:basedOn w:val="Normal"/>
    <w:link w:val="CharStyle12"/>
    <w:pPr>
      <w:widowControl w:val="0"/>
      <w:shd w:val="clear" w:color="auto" w:fill="auto"/>
      <w:spacing w:before="70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3">
    <w:name w:val="正文文本 (5)"/>
    <w:basedOn w:val="Normal"/>
    <w:link w:val="CharStyle14"/>
    <w:pPr>
      <w:widowControl w:val="0"/>
      <w:shd w:val="clear" w:color="auto" w:fill="auto"/>
      <w:spacing w:after="3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52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2"/>
    <w:basedOn w:val="Normal"/>
    <w:link w:val="CharStyle28"/>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3"/>
    <w:basedOn w:val="Normal"/>
    <w:link w:val="CharStyle36"/>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0">
    <w:name w:val="图片标题"/>
    <w:basedOn w:val="Normal"/>
    <w:link w:val="CharStyle5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4">
    <w:name w:val="其他 (3)"/>
    <w:basedOn w:val="Normal"/>
    <w:link w:val="CharStyle55"/>
    <w:pPr>
      <w:widowControl w:val="0"/>
      <w:shd w:val="clear" w:color="auto" w:fill="auto"/>
    </w:pPr>
    <w:rPr>
      <w:rFonts w:ascii="SimHei" w:eastAsia="SimHei" w:hAnsi="SimHei" w:cs="SimHei"/>
      <w:b w:val="0"/>
      <w:bCs w:val="0"/>
      <w:i w:val="0"/>
      <w:iCs w:val="0"/>
      <w:smallCaps w:val="0"/>
      <w:strike w:val="0"/>
      <w:color w:val="881312"/>
      <w:sz w:val="22"/>
      <w:szCs w:val="22"/>
      <w:u w:val="none"/>
      <w:shd w:val="clear" w:color="auto" w:fill="auto"/>
    </w:rPr>
  </w:style>
  <w:style w:type="paragraph" w:customStyle="1" w:styleId="Style67">
    <w:name w:val="正文文本 (8)"/>
    <w:basedOn w:val="Normal"/>
    <w:link w:val="CharStyle68"/>
    <w:pPr>
      <w:widowControl w:val="0"/>
      <w:shd w:val="clear" w:color="auto" w:fill="auto"/>
      <w:spacing w:after="300"/>
    </w:pPr>
    <w:rPr>
      <w:rFonts w:ascii="SimSun" w:eastAsia="SimSun" w:hAnsi="SimSun" w:cs="SimSun"/>
      <w:b w:val="0"/>
      <w:bCs w:val="0"/>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image" Target="media/image4.jpeg"/><Relationship Id="rId28"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