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35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408448" cy="8572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8448" cy="857250"/>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4"/>
        <w:rPr>
          <w:rFonts w:ascii="Times New Roman" w:hAnsi="Times New Roman" w:cs="Times New Roman" w:eastAsia="Times New Roman" w:hint="default"/>
          <w:sz w:val="13"/>
          <w:szCs w:val="13"/>
        </w:rPr>
      </w:pPr>
    </w:p>
    <w:p>
      <w:pPr>
        <w:spacing w:line="501" w:lineRule="exact" w:before="0"/>
        <w:ind w:left="3152" w:right="315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创业软件股份有限公司</w:t>
      </w:r>
      <w:r>
        <w:rPr>
          <w:rFonts w:ascii="Microsoft JhengHei" w:hAnsi="Microsoft JhengHei" w:cs="Microsoft JhengHei" w:eastAsia="Microsoft JhengHei" w:hint="default"/>
          <w:sz w:val="36"/>
          <w:szCs w:val="36"/>
        </w:rPr>
      </w:r>
    </w:p>
    <w:p>
      <w:pPr>
        <w:spacing w:before="259"/>
        <w:ind w:left="3152" w:right="315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before="275"/>
        <w:ind w:left="3152" w:right="3153" w:firstLine="0"/>
        <w:jc w:val="center"/>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公告编号：</w:t>
      </w:r>
      <w:r>
        <w:rPr>
          <w:rFonts w:ascii="Times New Roman" w:hAnsi="Times New Roman" w:cs="Times New Roman" w:eastAsia="Times New Roman" w:hint="default"/>
          <w:b/>
          <w:bCs/>
          <w:sz w:val="28"/>
          <w:szCs w:val="28"/>
        </w:rPr>
        <w:t>2018-017</w:t>
      </w:r>
      <w:r>
        <w:rPr>
          <w:rFonts w:ascii="Times New Roman" w:hAnsi="Times New Roman" w:cs="Times New Roman" w:eastAsia="Times New Roman" w:hint="default"/>
          <w:sz w:val="28"/>
          <w:szCs w:val="28"/>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4"/>
        <w:rPr>
          <w:rFonts w:ascii="Times New Roman" w:hAnsi="Times New Roman" w:cs="Times New Roman" w:eastAsia="Times New Roman" w:hint="default"/>
          <w:b/>
          <w:bCs/>
          <w:sz w:val="29"/>
          <w:szCs w:val="29"/>
        </w:rPr>
      </w:pPr>
    </w:p>
    <w:p>
      <w:pPr>
        <w:spacing w:before="0"/>
        <w:ind w:left="3152" w:right="315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02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2" w:right="99"/>
        <w:jc w:val="left"/>
        <w:rPr>
          <w:b w:val="0"/>
          <w:bCs w:val="0"/>
        </w:rPr>
      </w:pP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255"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6"/>
          <w:sz w:val="28"/>
          <w:szCs w:val="28"/>
        </w:rPr>
        <w:t>实、准确、完整，不存在虚假记载、误导性陈述或重大遗漏，并承担个别和连带</w:t>
      </w:r>
      <w:r>
        <w:rPr>
          <w:rFonts w:ascii="Microsoft JhengHei" w:hAnsi="Microsoft JhengHei" w:cs="Microsoft JhengHei" w:eastAsia="Microsoft JhengHei" w:hint="default"/>
          <w:b/>
          <w:bCs/>
          <w:spacing w:val="-28"/>
          <w:sz w:val="28"/>
          <w:szCs w:val="28"/>
        </w:rPr>
        <w:t> </w:t>
      </w:r>
      <w:r>
        <w:rPr>
          <w:rFonts w:ascii="Microsoft JhengHei" w:hAnsi="Microsoft JhengHei" w:cs="Microsoft JhengHei" w:eastAsia="Microsoft JhengHei" w:hint="default"/>
          <w:b/>
          <w:bCs/>
          <w:spacing w:val="-28"/>
          <w:sz w:val="28"/>
          <w:szCs w:val="28"/>
        </w:rPr>
      </w:r>
      <w:r>
        <w:rPr>
          <w:rFonts w:ascii="Microsoft JhengHei" w:hAnsi="Microsoft JhengHei" w:cs="Microsoft JhengHei" w:eastAsia="Microsoft JhengHei" w:hint="default"/>
          <w:b/>
          <w:bCs/>
          <w:sz w:val="28"/>
          <w:szCs w:val="28"/>
        </w:rPr>
        <w:t>的法律责任。</w:t>
      </w:r>
      <w:r>
        <w:rPr>
          <w:rFonts w:ascii="Microsoft JhengHei" w:hAnsi="Microsoft JhengHei" w:cs="Microsoft JhengHei" w:eastAsia="Microsoft JhengHei" w:hint="default"/>
          <w:sz w:val="28"/>
          <w:szCs w:val="28"/>
        </w:rPr>
      </w:r>
    </w:p>
    <w:p>
      <w:pPr>
        <w:spacing w:line="307" w:lineRule="auto" w:before="133"/>
        <w:ind w:left="152" w:right="2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公司负责人葛航、主管会计工作负责人郁燕萍及会计机构负责人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李军声明：保证年度报告中财务报告的真实、准确、完整。</w:t>
      </w:r>
      <w:r>
        <w:rPr>
          <w:rFonts w:ascii="Microsoft JhengHei" w:hAnsi="Microsoft JhengHei" w:cs="Microsoft JhengHei" w:eastAsia="Microsoft JhengHei" w:hint="default"/>
          <w:sz w:val="28"/>
          <w:szCs w:val="28"/>
        </w:rPr>
      </w:r>
    </w:p>
    <w:p>
      <w:pPr>
        <w:spacing w:before="133"/>
        <w:ind w:left="714" w:right="9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sz w:val="28"/>
          <w:szCs w:val="28"/>
        </w:rPr>
      </w:r>
    </w:p>
    <w:p>
      <w:pPr>
        <w:spacing w:line="357" w:lineRule="auto" w:before="235"/>
        <w:ind w:left="714" w:right="99"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z w:val="28"/>
          <w:szCs w:val="28"/>
        </w:rPr>
        <w:t>1</w:t>
      </w:r>
      <w:r>
        <w:rPr>
          <w:rFonts w:ascii="Microsoft JhengHei" w:hAnsi="Microsoft JhengHei" w:cs="Microsoft JhengHei" w:eastAsia="Microsoft JhengHei" w:hint="default"/>
          <w:b/>
          <w:bCs/>
          <w:sz w:val="28"/>
          <w:szCs w:val="28"/>
        </w:rPr>
        <w:t>、技术与产品开发风险</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pacing w:val="-62"/>
          <w:sz w:val="28"/>
          <w:szCs w:val="28"/>
        </w:rPr>
      </w:r>
      <w:r>
        <w:rPr>
          <w:rFonts w:ascii="Microsoft JhengHei" w:hAnsi="Microsoft JhengHei" w:cs="Microsoft JhengHei" w:eastAsia="Microsoft JhengHei" w:hint="default"/>
          <w:b/>
          <w:bCs/>
          <w:spacing w:val="2"/>
          <w:sz w:val="28"/>
          <w:szCs w:val="28"/>
        </w:rPr>
        <w:t>软件产品和技术不断加速的更新换代决定了产品和技术的开发创新是一个</w:t>
      </w:r>
      <w:r>
        <w:rPr>
          <w:rFonts w:ascii="Microsoft JhengHei" w:hAnsi="Microsoft JhengHei" w:cs="Microsoft JhengHei" w:eastAsia="Microsoft JhengHei" w:hint="default"/>
          <w:spacing w:val="2"/>
          <w:sz w:val="28"/>
          <w:szCs w:val="28"/>
        </w:rPr>
      </w:r>
    </w:p>
    <w:p>
      <w:pPr>
        <w:spacing w:line="442" w:lineRule="exact" w:before="0"/>
        <w:ind w:left="152" w:right="9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持续、繁杂的系统性工程，其间涉及的不确定因素较多，公司如不能准确把握技</w:t>
      </w:r>
      <w:r>
        <w:rPr>
          <w:rFonts w:ascii="Microsoft JhengHei" w:hAnsi="Microsoft JhengHei" w:cs="Microsoft JhengHei" w:eastAsia="Microsoft JhengHei" w:hint="default"/>
          <w:spacing w:val="-6"/>
          <w:sz w:val="28"/>
          <w:szCs w:val="28"/>
        </w:rPr>
      </w:r>
    </w:p>
    <w:p>
      <w:pPr>
        <w:spacing w:line="307" w:lineRule="auto" w:before="136"/>
        <w:ind w:left="152" w:right="9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术发展趋势和市场需求变化情况，从而导致技术和产品开发推广决策出现失误，</w:t>
      </w:r>
      <w:r>
        <w:rPr>
          <w:rFonts w:ascii="Microsoft JhengHei" w:hAnsi="Microsoft JhengHei" w:cs="Microsoft JhengHei" w:eastAsia="Microsoft JhengHei" w:hint="default"/>
          <w:b/>
          <w:bCs/>
          <w:spacing w:val="-24"/>
          <w:sz w:val="28"/>
          <w:szCs w:val="28"/>
        </w:rPr>
        <w:t> </w:t>
      </w:r>
      <w:r>
        <w:rPr>
          <w:rFonts w:ascii="Microsoft JhengHei" w:hAnsi="Microsoft JhengHei" w:cs="Microsoft JhengHei" w:eastAsia="Microsoft JhengHei" w:hint="default"/>
          <w:b/>
          <w:bCs/>
          <w:spacing w:val="-24"/>
          <w:sz w:val="28"/>
          <w:szCs w:val="28"/>
        </w:rPr>
      </w:r>
      <w:r>
        <w:rPr>
          <w:rFonts w:ascii="Microsoft JhengHei" w:hAnsi="Microsoft JhengHei" w:cs="Microsoft JhengHei" w:eastAsia="Microsoft JhengHei" w:hint="default"/>
          <w:b/>
          <w:bCs/>
          <w:sz w:val="28"/>
          <w:szCs w:val="28"/>
        </w:rPr>
        <w:t>将可能导致公司丧失技术和市场优势，使公司面临技术与产品开发的风险。</w:t>
      </w:r>
      <w:r>
        <w:rPr>
          <w:rFonts w:ascii="Microsoft JhengHei" w:hAnsi="Microsoft JhengHei" w:cs="Microsoft JhengHei" w:eastAsia="Microsoft JhengHei" w:hint="default"/>
          <w:sz w:val="28"/>
          <w:szCs w:val="28"/>
        </w:rPr>
      </w:r>
    </w:p>
    <w:p>
      <w:pPr>
        <w:spacing w:line="307" w:lineRule="auto" w:before="133"/>
        <w:ind w:left="152" w:right="253"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应对措施：拟从研发人力、资金投入和市场调研、开发力度等方面加大力</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6"/>
          <w:sz w:val="28"/>
          <w:szCs w:val="28"/>
        </w:rPr>
        <w:t>度，同时加强与国内外著名高校和科研机构的合作，共同研制开发新产品，从而</w:t>
      </w:r>
      <w:r>
        <w:rPr>
          <w:rFonts w:ascii="Microsoft JhengHei" w:hAnsi="Microsoft JhengHei" w:cs="Microsoft JhengHei" w:eastAsia="Microsoft JhengHei" w:hint="default"/>
          <w:b/>
          <w:bCs/>
          <w:spacing w:val="-26"/>
          <w:sz w:val="28"/>
          <w:szCs w:val="28"/>
        </w:rPr>
        <w:t> </w:t>
      </w:r>
      <w:r>
        <w:rPr>
          <w:rFonts w:ascii="Microsoft JhengHei" w:hAnsi="Microsoft JhengHei" w:cs="Microsoft JhengHei" w:eastAsia="Microsoft JhengHei" w:hint="default"/>
          <w:b/>
          <w:bCs/>
          <w:spacing w:val="-26"/>
          <w:sz w:val="28"/>
          <w:szCs w:val="28"/>
        </w:rPr>
      </w:r>
      <w:r>
        <w:rPr>
          <w:rFonts w:ascii="Microsoft JhengHei" w:hAnsi="Microsoft JhengHei" w:cs="Microsoft JhengHei" w:eastAsia="Microsoft JhengHei" w:hint="default"/>
          <w:b/>
          <w:bCs/>
          <w:spacing w:val="2"/>
          <w:sz w:val="28"/>
          <w:szCs w:val="28"/>
        </w:rPr>
        <w:t>保证了强大的技术后盾。对于已形成产业化的产品进行深度开发，加快其升级</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换代，保持技术优势。</w:t>
      </w:r>
      <w:r>
        <w:rPr>
          <w:rFonts w:ascii="Microsoft JhengHei" w:hAnsi="Microsoft JhengHei" w:cs="Microsoft JhengHei" w:eastAsia="Microsoft JhengHei" w:hint="default"/>
          <w:sz w:val="28"/>
          <w:szCs w:val="28"/>
        </w:rPr>
      </w:r>
    </w:p>
    <w:p>
      <w:pPr>
        <w:spacing w:line="357" w:lineRule="auto" w:before="130"/>
        <w:ind w:left="714" w:right="99"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z w:val="28"/>
          <w:szCs w:val="28"/>
        </w:rPr>
        <w:t>2</w:t>
      </w:r>
      <w:r>
        <w:rPr>
          <w:rFonts w:ascii="Microsoft JhengHei" w:hAnsi="Microsoft JhengHei" w:cs="Microsoft JhengHei" w:eastAsia="Microsoft JhengHei" w:hint="default"/>
          <w:b/>
          <w:bCs/>
          <w:sz w:val="28"/>
          <w:szCs w:val="28"/>
        </w:rPr>
        <w:t>、业务拓展风险</w:t>
      </w:r>
      <w:r>
        <w:rPr>
          <w:rFonts w:ascii="Microsoft JhengHei" w:hAnsi="Microsoft JhengHei" w:cs="Microsoft JhengHei" w:eastAsia="Microsoft JhengHei" w:hint="default"/>
          <w:b/>
          <w:bCs/>
          <w:spacing w:val="-64"/>
          <w:sz w:val="28"/>
          <w:szCs w:val="28"/>
        </w:rPr>
        <w:t> </w:t>
      </w:r>
      <w:r>
        <w:rPr>
          <w:rFonts w:ascii="Microsoft JhengHei" w:hAnsi="Microsoft JhengHei" w:cs="Microsoft JhengHei" w:eastAsia="Microsoft JhengHei" w:hint="default"/>
          <w:b/>
          <w:bCs/>
          <w:spacing w:val="-64"/>
          <w:sz w:val="28"/>
          <w:szCs w:val="28"/>
        </w:rPr>
      </w:r>
      <w:r>
        <w:rPr>
          <w:rFonts w:ascii="Microsoft JhengHei" w:hAnsi="Microsoft JhengHei" w:cs="Microsoft JhengHei" w:eastAsia="Microsoft JhengHei" w:hint="default"/>
          <w:b/>
          <w:bCs/>
          <w:spacing w:val="2"/>
          <w:sz w:val="28"/>
          <w:szCs w:val="28"/>
        </w:rPr>
        <w:t>为适应国内医疗健康服务市场需求的不断变化，公司主营业务将从以应用</w:t>
      </w:r>
      <w:r>
        <w:rPr>
          <w:rFonts w:ascii="Microsoft JhengHei" w:hAnsi="Microsoft JhengHei" w:cs="Microsoft JhengHei" w:eastAsia="Microsoft JhengHei" w:hint="default"/>
          <w:spacing w:val="2"/>
          <w:sz w:val="28"/>
          <w:szCs w:val="28"/>
        </w:rPr>
      </w:r>
    </w:p>
    <w:p>
      <w:pPr>
        <w:spacing w:line="442" w:lineRule="exact" w:before="0"/>
        <w:ind w:left="152" w:right="9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软件产品开发销售为主导逐渐向以信息系统的运维服务和区域医疗健康平台运</w:t>
      </w:r>
      <w:r>
        <w:rPr>
          <w:rFonts w:ascii="Microsoft JhengHei" w:hAnsi="Microsoft JhengHei" w:cs="Microsoft JhengHei" w:eastAsia="Microsoft JhengHei" w:hint="default"/>
          <w:spacing w:val="2"/>
          <w:sz w:val="28"/>
          <w:szCs w:val="28"/>
        </w:rPr>
      </w:r>
    </w:p>
    <w:p>
      <w:pPr>
        <w:spacing w:before="137"/>
        <w:ind w:left="152" w:right="9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营服务领域拓展，这需要公司从经营思路、营运模式、人员结构、产品开发等诸</w:t>
      </w:r>
      <w:r>
        <w:rPr>
          <w:rFonts w:ascii="Microsoft JhengHei" w:hAnsi="Microsoft JhengHei" w:cs="Microsoft JhengHei" w:eastAsia="Microsoft JhengHei" w:hint="default"/>
          <w:spacing w:val="-6"/>
          <w:sz w:val="28"/>
          <w:szCs w:val="28"/>
        </w:rPr>
      </w:r>
    </w:p>
    <w:p>
      <w:pPr>
        <w:spacing w:after="0"/>
        <w:jc w:val="left"/>
        <w:rPr>
          <w:rFonts w:ascii="Microsoft JhengHei" w:hAnsi="Microsoft JhengHei" w:cs="Microsoft JhengHei" w:eastAsia="Microsoft JhengHei" w:hint="default"/>
          <w:sz w:val="28"/>
          <w:szCs w:val="28"/>
        </w:rPr>
        <w:sectPr>
          <w:footerReference w:type="default" r:id="rId8"/>
          <w:pgSz w:w="11910" w:h="16840"/>
          <w:pgMar w:footer="979" w:header="745" w:top="1060" w:bottom="1160" w:left="980" w:right="8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5"/>
        <w:rPr>
          <w:rFonts w:ascii="Microsoft JhengHei" w:hAnsi="Microsoft JhengHei" w:cs="Microsoft JhengHei" w:eastAsia="Microsoft JhengHei" w:hint="default"/>
          <w:b/>
          <w:bCs/>
          <w:sz w:val="22"/>
          <w:szCs w:val="22"/>
        </w:rPr>
      </w:pPr>
    </w:p>
    <w:p>
      <w:pPr>
        <w:spacing w:line="413"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多方面进行相应的调整和提升。近年来，公司已在局部地区和特定项目上对业</w:t>
      </w:r>
      <w:r>
        <w:rPr>
          <w:rFonts w:ascii="Microsoft JhengHei" w:hAnsi="Microsoft JhengHei" w:cs="Microsoft JhengHei" w:eastAsia="Microsoft JhengHei" w:hint="default"/>
          <w:spacing w:val="2"/>
          <w:sz w:val="28"/>
          <w:szCs w:val="28"/>
        </w:rPr>
      </w:r>
    </w:p>
    <w:p>
      <w:pPr>
        <w:spacing w:line="307" w:lineRule="auto"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务转型进行了积极探索，并取得了有益的经验，有效降低了业务拓展过程中可</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能产生的风险。</w:t>
      </w:r>
      <w:r>
        <w:rPr>
          <w:rFonts w:ascii="Microsoft JhengHei" w:hAnsi="Microsoft JhengHei" w:cs="Microsoft JhengHei" w:eastAsia="Microsoft JhengHei" w:hint="default"/>
          <w:sz w:val="28"/>
          <w:szCs w:val="28"/>
        </w:rPr>
      </w:r>
    </w:p>
    <w:p>
      <w:pPr>
        <w:spacing w:line="307" w:lineRule="auto" w:before="133"/>
        <w:ind w:left="152" w:right="155"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应对措施：产品及研发部预研各种技术，进行概念验证和典型用户示范，并</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6"/>
          <w:sz w:val="28"/>
          <w:szCs w:val="28"/>
        </w:rPr>
        <w:t>与各高等院校、专业研究机构、客户及政府部门合作，将新技术、新需求有效应</w:t>
      </w:r>
      <w:r>
        <w:rPr>
          <w:rFonts w:ascii="Microsoft JhengHei" w:hAnsi="Microsoft JhengHei" w:cs="Microsoft JhengHei" w:eastAsia="Microsoft JhengHei" w:hint="default"/>
          <w:b/>
          <w:bCs/>
          <w:spacing w:val="-29"/>
          <w:sz w:val="28"/>
          <w:szCs w:val="28"/>
        </w:rPr>
        <w:t> </w:t>
      </w:r>
      <w:r>
        <w:rPr>
          <w:rFonts w:ascii="Microsoft JhengHei" w:hAnsi="Microsoft JhengHei" w:cs="Microsoft JhengHei" w:eastAsia="Microsoft JhengHei" w:hint="default"/>
          <w:b/>
          <w:bCs/>
          <w:spacing w:val="-29"/>
          <w:sz w:val="28"/>
          <w:szCs w:val="28"/>
        </w:rPr>
      </w:r>
      <w:r>
        <w:rPr>
          <w:rFonts w:ascii="Microsoft JhengHei" w:hAnsi="Microsoft JhengHei" w:cs="Microsoft JhengHei" w:eastAsia="Microsoft JhengHei" w:hint="default"/>
          <w:b/>
          <w:bCs/>
          <w:spacing w:val="2"/>
          <w:sz w:val="28"/>
          <w:szCs w:val="28"/>
        </w:rPr>
        <w:t>用于各个示范应用点，然后争取得到行业权威机构的支持和认可，进一步扩大</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推广应用范围。</w:t>
      </w:r>
      <w:r>
        <w:rPr>
          <w:rFonts w:ascii="Microsoft JhengHei" w:hAnsi="Microsoft JhengHei" w:cs="Microsoft JhengHei" w:eastAsia="Microsoft JhengHei" w:hint="default"/>
          <w:sz w:val="28"/>
          <w:szCs w:val="28"/>
        </w:rPr>
      </w:r>
    </w:p>
    <w:p>
      <w:pPr>
        <w:spacing w:line="357" w:lineRule="auto" w:before="130"/>
        <w:ind w:left="714" w:right="0"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z w:val="28"/>
          <w:szCs w:val="28"/>
        </w:rPr>
        <w:t>3</w:t>
      </w:r>
      <w:r>
        <w:rPr>
          <w:rFonts w:ascii="Microsoft JhengHei" w:hAnsi="Microsoft JhengHei" w:cs="Microsoft JhengHei" w:eastAsia="Microsoft JhengHei" w:hint="default"/>
          <w:b/>
          <w:bCs/>
          <w:sz w:val="28"/>
          <w:szCs w:val="28"/>
        </w:rPr>
        <w:t>、市场竞争加剧的风险</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pacing w:val="-62"/>
          <w:sz w:val="28"/>
          <w:szCs w:val="28"/>
        </w:rPr>
      </w:r>
      <w:r>
        <w:rPr>
          <w:rFonts w:ascii="Microsoft JhengHei" w:hAnsi="Microsoft JhengHei" w:cs="Microsoft JhengHei" w:eastAsia="Microsoft JhengHei" w:hint="default"/>
          <w:b/>
          <w:bCs/>
          <w:spacing w:val="2"/>
          <w:sz w:val="28"/>
          <w:szCs w:val="28"/>
        </w:rPr>
        <w:t>近年来由于医疗卫生体制改革的深入推进，医疗卫生信息化领域市场空间</w:t>
      </w:r>
      <w:r>
        <w:rPr>
          <w:rFonts w:ascii="Microsoft JhengHei" w:hAnsi="Microsoft JhengHei" w:cs="Microsoft JhengHei" w:eastAsia="Microsoft JhengHei" w:hint="default"/>
          <w:spacing w:val="2"/>
          <w:sz w:val="28"/>
          <w:szCs w:val="28"/>
        </w:rPr>
      </w:r>
    </w:p>
    <w:p>
      <w:pPr>
        <w:spacing w:line="442"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不断扩大，一方面吸引了大量新的市场竞争者进入这一领域，加剧了市场竞争；</w:t>
      </w:r>
      <w:r>
        <w:rPr>
          <w:rFonts w:ascii="Microsoft JhengHei" w:hAnsi="Microsoft JhengHei" w:cs="Microsoft JhengHei" w:eastAsia="Microsoft JhengHei" w:hint="default"/>
          <w:spacing w:val="-6"/>
          <w:sz w:val="28"/>
          <w:szCs w:val="28"/>
        </w:rPr>
      </w:r>
    </w:p>
    <w:p>
      <w:pPr>
        <w:spacing w:line="307" w:lineRule="auto" w:before="137"/>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另一方面原行业内的企业，特别是上市企业，依托资本市场的优势，通过业务重</w:t>
      </w:r>
      <w:r>
        <w:rPr>
          <w:rFonts w:ascii="Microsoft JhengHei" w:hAnsi="Microsoft JhengHei" w:cs="Microsoft JhengHei" w:eastAsia="Microsoft JhengHei" w:hint="default"/>
          <w:b/>
          <w:bCs/>
          <w:spacing w:val="-28"/>
          <w:sz w:val="28"/>
          <w:szCs w:val="28"/>
        </w:rPr>
        <w:t> </w:t>
      </w:r>
      <w:r>
        <w:rPr>
          <w:rFonts w:ascii="Microsoft JhengHei" w:hAnsi="Microsoft JhengHei" w:cs="Microsoft JhengHei" w:eastAsia="Microsoft JhengHei" w:hint="default"/>
          <w:b/>
          <w:bCs/>
          <w:spacing w:val="-28"/>
          <w:sz w:val="28"/>
          <w:szCs w:val="28"/>
        </w:rPr>
      </w:r>
      <w:r>
        <w:rPr>
          <w:rFonts w:ascii="Microsoft JhengHei" w:hAnsi="Microsoft JhengHei" w:cs="Microsoft JhengHei" w:eastAsia="Microsoft JhengHei" w:hint="default"/>
          <w:b/>
          <w:bCs/>
          <w:sz w:val="28"/>
          <w:szCs w:val="28"/>
        </w:rPr>
        <w:t>组、企业并购等方式在区域医疗卫生信息化领域展开激烈竞争。</w:t>
      </w:r>
      <w:r>
        <w:rPr>
          <w:rFonts w:ascii="Microsoft JhengHei" w:hAnsi="Microsoft JhengHei" w:cs="Microsoft JhengHei" w:eastAsia="Microsoft JhengHei" w:hint="default"/>
          <w:sz w:val="28"/>
          <w:szCs w:val="28"/>
        </w:rPr>
      </w:r>
    </w:p>
    <w:p>
      <w:pPr>
        <w:spacing w:line="307" w:lineRule="auto" w:before="133"/>
        <w:ind w:left="152" w:right="155"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应对措施：公司需采取更加积极的经营管理措施，加大研发投入，密切跟踪</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行业发展趋势和前沿创新技术，并积极关注行业竞争所带来的整合机遇，从而</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维持并加强公司在用户数量、用户粘性及技术方面的核心竞争优势，促进公司</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持续健康发展。</w:t>
      </w:r>
      <w:r>
        <w:rPr>
          <w:rFonts w:ascii="Microsoft JhengHei" w:hAnsi="Microsoft JhengHei" w:cs="Microsoft JhengHei" w:eastAsia="Microsoft JhengHei" w:hint="default"/>
          <w:sz w:val="28"/>
          <w:szCs w:val="28"/>
        </w:rPr>
      </w:r>
    </w:p>
    <w:p>
      <w:pPr>
        <w:spacing w:line="357" w:lineRule="auto" w:before="130"/>
        <w:ind w:left="714" w:right="0"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z w:val="28"/>
          <w:szCs w:val="28"/>
        </w:rPr>
        <w:t>4</w:t>
      </w:r>
      <w:r>
        <w:rPr>
          <w:rFonts w:ascii="Microsoft JhengHei" w:hAnsi="Microsoft JhengHei" w:cs="Microsoft JhengHei" w:eastAsia="Microsoft JhengHei" w:hint="default"/>
          <w:b/>
          <w:bCs/>
          <w:sz w:val="28"/>
          <w:szCs w:val="28"/>
        </w:rPr>
        <w:t>、公司经营季节性波动的风险</w:t>
      </w:r>
      <w:r>
        <w:rPr>
          <w:rFonts w:ascii="Microsoft JhengHei" w:hAnsi="Microsoft JhengHei" w:cs="Microsoft JhengHei" w:eastAsia="Microsoft JhengHei" w:hint="default"/>
          <w:b/>
          <w:bCs/>
          <w:spacing w:val="-58"/>
          <w:sz w:val="28"/>
          <w:szCs w:val="28"/>
        </w:rPr>
        <w:t> </w:t>
      </w:r>
      <w:r>
        <w:rPr>
          <w:rFonts w:ascii="Microsoft JhengHei" w:hAnsi="Microsoft JhengHei" w:cs="Microsoft JhengHei" w:eastAsia="Microsoft JhengHei" w:hint="default"/>
          <w:b/>
          <w:bCs/>
          <w:spacing w:val="-58"/>
          <w:sz w:val="28"/>
          <w:szCs w:val="28"/>
        </w:rPr>
      </w:r>
      <w:r>
        <w:rPr>
          <w:rFonts w:ascii="Microsoft JhengHei" w:hAnsi="Microsoft JhengHei" w:cs="Microsoft JhengHei" w:eastAsia="Microsoft JhengHei" w:hint="default"/>
          <w:b/>
          <w:bCs/>
          <w:spacing w:val="2"/>
          <w:sz w:val="28"/>
          <w:szCs w:val="28"/>
        </w:rPr>
        <w:t>公司的客户主要为公立医院、卫生管理部门，这些客户执行严格的预算管</w:t>
      </w:r>
      <w:r>
        <w:rPr>
          <w:rFonts w:ascii="Microsoft JhengHei" w:hAnsi="Microsoft JhengHei" w:cs="Microsoft JhengHei" w:eastAsia="Microsoft JhengHei" w:hint="default"/>
          <w:spacing w:val="2"/>
          <w:sz w:val="28"/>
          <w:szCs w:val="28"/>
        </w:rPr>
      </w:r>
    </w:p>
    <w:p>
      <w:pPr>
        <w:spacing w:line="442"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理和集中采购制度。由于政府财政预算体制的原因，客户的信息化产品采购需</w:t>
      </w:r>
      <w:r>
        <w:rPr>
          <w:rFonts w:ascii="Microsoft JhengHei" w:hAnsi="Microsoft JhengHei" w:cs="Microsoft JhengHei" w:eastAsia="Microsoft JhengHei" w:hint="default"/>
          <w:spacing w:val="2"/>
          <w:sz w:val="28"/>
          <w:szCs w:val="28"/>
        </w:rPr>
      </w:r>
    </w:p>
    <w:p>
      <w:pPr>
        <w:spacing w:line="307" w:lineRule="auto"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要经过立项、审批、招标等流程。一般项目的验收和回款主要集中在每年下半</w:t>
      </w:r>
      <w:r>
        <w:rPr>
          <w:rFonts w:ascii="Microsoft JhengHei" w:hAnsi="Microsoft JhengHei" w:cs="Microsoft JhengHei" w:eastAsia="Microsoft JhengHei" w:hint="default"/>
          <w:b/>
          <w:bCs/>
          <w:spacing w:val="-30"/>
          <w:sz w:val="28"/>
          <w:szCs w:val="28"/>
        </w:rPr>
        <w:t> </w:t>
      </w:r>
      <w:r>
        <w:rPr>
          <w:rFonts w:ascii="Microsoft JhengHei" w:hAnsi="Microsoft JhengHei" w:cs="Microsoft JhengHei" w:eastAsia="Microsoft JhengHei" w:hint="default"/>
          <w:b/>
          <w:bCs/>
          <w:spacing w:val="-30"/>
          <w:sz w:val="28"/>
          <w:szCs w:val="28"/>
        </w:rPr>
      </w:r>
      <w:r>
        <w:rPr>
          <w:rFonts w:ascii="Microsoft JhengHei" w:hAnsi="Microsoft JhengHei" w:cs="Microsoft JhengHei" w:eastAsia="Microsoft JhengHei" w:hint="default"/>
          <w:b/>
          <w:bCs/>
          <w:spacing w:val="-6"/>
          <w:sz w:val="28"/>
          <w:szCs w:val="28"/>
        </w:rPr>
        <w:t>年，尤其在第四季度更为集中。由于公司的人力成本、差旅费用和研发投入等费</w:t>
      </w:r>
      <w:r>
        <w:rPr>
          <w:rFonts w:ascii="Microsoft JhengHei" w:hAnsi="Microsoft JhengHei" w:cs="Microsoft JhengHei" w:eastAsia="Microsoft JhengHei" w:hint="default"/>
          <w:spacing w:val="-6"/>
          <w:sz w:val="28"/>
          <w:szCs w:val="28"/>
        </w:rPr>
      </w:r>
    </w:p>
    <w:p>
      <w:pPr>
        <w:spacing w:after="0" w:line="307" w:lineRule="auto"/>
        <w:jc w:val="left"/>
        <w:rPr>
          <w:rFonts w:ascii="Microsoft JhengHei" w:hAnsi="Microsoft JhengHei" w:cs="Microsoft JhengHei" w:eastAsia="Microsoft JhengHei" w:hint="default"/>
          <w:sz w:val="28"/>
          <w:szCs w:val="28"/>
        </w:rPr>
        <w:sectPr>
          <w:pgSz w:w="11910" w:h="16840"/>
          <w:pgMar w:header="745" w:footer="979" w:top="1060" w:bottom="1160" w:left="980" w:right="980"/>
        </w:sectPr>
      </w:pPr>
    </w:p>
    <w:p>
      <w:pPr>
        <w:spacing w:line="240" w:lineRule="auto" w:before="10"/>
        <w:rPr>
          <w:rFonts w:ascii="Microsoft JhengHei" w:hAnsi="Microsoft JhengHei" w:cs="Microsoft JhengHei" w:eastAsia="Microsoft JhengHei" w:hint="default"/>
          <w:b/>
          <w:bCs/>
          <w:sz w:val="25"/>
          <w:szCs w:val="25"/>
        </w:rPr>
      </w:pPr>
    </w:p>
    <w:p>
      <w:pPr>
        <w:spacing w:line="413" w:lineRule="exact" w:before="0"/>
        <w:ind w:left="152" w:right="9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用在年度内较为均衡地发生，造成公司的经营指标呈现明显的季节性波动。</w:t>
      </w:r>
      <w:r>
        <w:rPr>
          <w:rFonts w:ascii="Microsoft JhengHei" w:hAnsi="Microsoft JhengHei" w:cs="Microsoft JhengHei" w:eastAsia="Microsoft JhengHei" w:hint="default"/>
          <w:sz w:val="28"/>
          <w:szCs w:val="28"/>
        </w:rPr>
      </w:r>
    </w:p>
    <w:p>
      <w:pPr>
        <w:spacing w:line="307" w:lineRule="auto" w:before="237"/>
        <w:ind w:left="152" w:right="253"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应对措施：公司将加大市场工作力度，及时了解、掌握和引导客户的投资计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划，在不违反相关规定的前提下尽早介入项目前期规划工作，同时合理调配人</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力资源，使得项目实施尽量能够均衡开展，减少因自身因素造成的项目实施时</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sz w:val="28"/>
          <w:szCs w:val="28"/>
        </w:rPr>
        <w:t>间集中问题；同时，加大收款考核力度，与客户保持及时有效沟通，减少因人为</w:t>
      </w:r>
      <w:r>
        <w:rPr>
          <w:rFonts w:ascii="Microsoft JhengHei" w:hAnsi="Microsoft JhengHei" w:cs="Microsoft JhengHei" w:eastAsia="Microsoft JhengHei" w:hint="default"/>
          <w:b/>
          <w:bCs/>
          <w:spacing w:val="-29"/>
          <w:sz w:val="28"/>
          <w:szCs w:val="28"/>
        </w:rPr>
        <w:t> </w:t>
      </w:r>
      <w:r>
        <w:rPr>
          <w:rFonts w:ascii="Microsoft JhengHei" w:hAnsi="Microsoft JhengHei" w:cs="Microsoft JhengHei" w:eastAsia="Microsoft JhengHei" w:hint="default"/>
          <w:b/>
          <w:bCs/>
          <w:spacing w:val="-29"/>
          <w:sz w:val="28"/>
          <w:szCs w:val="28"/>
        </w:rPr>
      </w:r>
      <w:r>
        <w:rPr>
          <w:rFonts w:ascii="Microsoft JhengHei" w:hAnsi="Microsoft JhengHei" w:cs="Microsoft JhengHei" w:eastAsia="Microsoft JhengHei" w:hint="default"/>
          <w:b/>
          <w:bCs/>
          <w:sz w:val="28"/>
          <w:szCs w:val="28"/>
        </w:rPr>
        <w:t>因素造成的收款时间集中问题。</w:t>
      </w:r>
      <w:r>
        <w:rPr>
          <w:rFonts w:ascii="Microsoft JhengHei" w:hAnsi="Microsoft JhengHei" w:cs="Microsoft JhengHei" w:eastAsia="Microsoft JhengHei" w:hint="default"/>
          <w:sz w:val="28"/>
          <w:szCs w:val="28"/>
        </w:rPr>
      </w:r>
    </w:p>
    <w:p>
      <w:pPr>
        <w:spacing w:before="130"/>
        <w:ind w:left="714" w:right="99"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z w:val="28"/>
          <w:szCs w:val="28"/>
        </w:rPr>
        <w:t>5</w:t>
      </w:r>
      <w:r>
        <w:rPr>
          <w:rFonts w:ascii="Microsoft JhengHei" w:hAnsi="Microsoft JhengHei" w:cs="Microsoft JhengHei" w:eastAsia="Microsoft JhengHei" w:hint="default"/>
          <w:b/>
          <w:bCs/>
          <w:sz w:val="28"/>
          <w:szCs w:val="28"/>
        </w:rPr>
        <w:t>、人才流失的风险</w:t>
      </w:r>
      <w:r>
        <w:rPr>
          <w:rFonts w:ascii="Microsoft JhengHei" w:hAnsi="Microsoft JhengHei" w:cs="Microsoft JhengHei" w:eastAsia="Microsoft JhengHei" w:hint="default"/>
          <w:sz w:val="28"/>
          <w:szCs w:val="28"/>
        </w:rPr>
      </w:r>
    </w:p>
    <w:p>
      <w:pPr>
        <w:spacing w:line="307" w:lineRule="auto" w:before="237"/>
        <w:ind w:left="152" w:right="253"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医疗卫生信息化行业需要大量具有医疗卫生与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44"/>
          <w:sz w:val="28"/>
          <w:szCs w:val="28"/>
        </w:rPr>
        <w:t> </w:t>
      </w:r>
      <w:r>
        <w:rPr>
          <w:rFonts w:ascii="Microsoft JhengHei" w:hAnsi="Microsoft JhengHei" w:cs="Microsoft JhengHei" w:eastAsia="Microsoft JhengHei" w:hint="default"/>
          <w:b/>
          <w:bCs/>
          <w:sz w:val="28"/>
          <w:szCs w:val="28"/>
        </w:rPr>
        <w:t>双重知识背景的技术人</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才，培养一名优秀的了解医疗卫生知识的软件开发人才是一个较漫长的过程。</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sz w:val="28"/>
          <w:szCs w:val="28"/>
        </w:rPr>
        <w:t>同时，医疗卫生信息化行业的人才竞争非常激烈，人员流动较为频繁。因此，若</w:t>
      </w:r>
      <w:r>
        <w:rPr>
          <w:rFonts w:ascii="Microsoft JhengHei" w:hAnsi="Microsoft JhengHei" w:cs="Microsoft JhengHei" w:eastAsia="Microsoft JhengHei" w:hint="default"/>
          <w:b/>
          <w:bCs/>
          <w:spacing w:val="-26"/>
          <w:sz w:val="28"/>
          <w:szCs w:val="28"/>
        </w:rPr>
        <w:t> </w:t>
      </w:r>
      <w:r>
        <w:rPr>
          <w:rFonts w:ascii="Microsoft JhengHei" w:hAnsi="Microsoft JhengHei" w:cs="Microsoft JhengHei" w:eastAsia="Microsoft JhengHei" w:hint="default"/>
          <w:b/>
          <w:bCs/>
          <w:spacing w:val="-26"/>
          <w:sz w:val="28"/>
          <w:szCs w:val="28"/>
        </w:rPr>
      </w:r>
      <w:r>
        <w:rPr>
          <w:rFonts w:ascii="Microsoft JhengHei" w:hAnsi="Microsoft JhengHei" w:cs="Microsoft JhengHei" w:eastAsia="Microsoft JhengHei" w:hint="default"/>
          <w:b/>
          <w:bCs/>
          <w:spacing w:val="2"/>
          <w:sz w:val="28"/>
          <w:szCs w:val="28"/>
        </w:rPr>
        <w:t>出现核心技术人员外流情况，将可能在一定程度上影响公司的产品研发能力和</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技术创新能力。高质量的软件产品是医疗卫生信息化行业竞争力的主要决定因</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6"/>
          <w:sz w:val="28"/>
          <w:szCs w:val="28"/>
        </w:rPr>
        <w:t>素。同时，要将高质量的产品介绍给用户，使其真正转换为公司的竞争力，形成</w:t>
      </w:r>
      <w:r>
        <w:rPr>
          <w:rFonts w:ascii="Microsoft JhengHei" w:hAnsi="Microsoft JhengHei" w:cs="Microsoft JhengHei" w:eastAsia="Microsoft JhengHei" w:hint="default"/>
          <w:b/>
          <w:bCs/>
          <w:spacing w:val="-27"/>
          <w:sz w:val="28"/>
          <w:szCs w:val="28"/>
        </w:rPr>
        <w:t> </w:t>
      </w:r>
      <w:r>
        <w:rPr>
          <w:rFonts w:ascii="Microsoft JhengHei" w:hAnsi="Microsoft JhengHei" w:cs="Microsoft JhengHei" w:eastAsia="Microsoft JhengHei" w:hint="default"/>
          <w:b/>
          <w:bCs/>
          <w:spacing w:val="-27"/>
          <w:sz w:val="28"/>
          <w:szCs w:val="28"/>
        </w:rPr>
      </w:r>
      <w:r>
        <w:rPr>
          <w:rFonts w:ascii="Microsoft JhengHei" w:hAnsi="Microsoft JhengHei" w:cs="Microsoft JhengHei" w:eastAsia="Microsoft JhengHei" w:hint="default"/>
          <w:b/>
          <w:bCs/>
          <w:spacing w:val="-6"/>
          <w:sz w:val="28"/>
          <w:szCs w:val="28"/>
        </w:rPr>
        <w:t>公司的营业收入和利润，市场营销的作用非常重要。因此，营销人才队伍，尤其</w:t>
      </w:r>
      <w:r>
        <w:rPr>
          <w:rFonts w:ascii="Microsoft JhengHei" w:hAnsi="Microsoft JhengHei" w:cs="Microsoft JhengHei" w:eastAsia="Microsoft JhengHei" w:hint="default"/>
          <w:b/>
          <w:bCs/>
          <w:spacing w:val="-28"/>
          <w:sz w:val="28"/>
          <w:szCs w:val="28"/>
        </w:rPr>
        <w:t> </w:t>
      </w:r>
      <w:r>
        <w:rPr>
          <w:rFonts w:ascii="Microsoft JhengHei" w:hAnsi="Microsoft JhengHei" w:cs="Microsoft JhengHei" w:eastAsia="Microsoft JhengHei" w:hint="default"/>
          <w:b/>
          <w:bCs/>
          <w:spacing w:val="-28"/>
          <w:sz w:val="28"/>
          <w:szCs w:val="28"/>
        </w:rPr>
      </w:r>
      <w:r>
        <w:rPr>
          <w:rFonts w:ascii="Microsoft JhengHei" w:hAnsi="Microsoft JhengHei" w:cs="Microsoft JhengHei" w:eastAsia="Microsoft JhengHei" w:hint="default"/>
          <w:b/>
          <w:bCs/>
          <w:spacing w:val="2"/>
          <w:sz w:val="28"/>
          <w:szCs w:val="28"/>
        </w:rPr>
        <w:t>是核心营销人才队伍的稳定对公司的持续发展非常重要，公司可能面临竞争对</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手争夺核心营销人才的风险。</w:t>
      </w:r>
      <w:r>
        <w:rPr>
          <w:rFonts w:ascii="Microsoft JhengHei" w:hAnsi="Microsoft JhengHei" w:cs="Microsoft JhengHei" w:eastAsia="Microsoft JhengHei" w:hint="default"/>
          <w:sz w:val="28"/>
          <w:szCs w:val="28"/>
        </w:rPr>
      </w:r>
    </w:p>
    <w:p>
      <w:pPr>
        <w:spacing w:line="307" w:lineRule="auto" w:before="133"/>
        <w:ind w:left="152" w:right="99" w:firstLine="562"/>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应对措施：人力资源一直是公司的核心战略资源，未来公司将继续坚持</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以</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人为本</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的人才方针，根据发展战略和业务需要，不断完善人力资源建设计划，</w:t>
      </w:r>
      <w:r>
        <w:rPr>
          <w:rFonts w:ascii="Microsoft JhengHei" w:hAnsi="Microsoft JhengHei" w:cs="Microsoft JhengHei" w:eastAsia="Microsoft JhengHei" w:hint="default"/>
          <w:b/>
          <w:bCs/>
          <w:spacing w:val="-35"/>
          <w:sz w:val="28"/>
          <w:szCs w:val="28"/>
        </w:rPr>
        <w:t> </w:t>
      </w:r>
      <w:r>
        <w:rPr>
          <w:rFonts w:ascii="Microsoft JhengHei" w:hAnsi="Microsoft JhengHei" w:cs="Microsoft JhengHei" w:eastAsia="Microsoft JhengHei" w:hint="default"/>
          <w:b/>
          <w:bCs/>
          <w:spacing w:val="-35"/>
          <w:sz w:val="28"/>
          <w:szCs w:val="28"/>
        </w:rPr>
      </w:r>
      <w:r>
        <w:rPr>
          <w:rFonts w:ascii="Microsoft JhengHei" w:hAnsi="Microsoft JhengHei" w:cs="Microsoft JhengHei" w:eastAsia="Microsoft JhengHei" w:hint="default"/>
          <w:b/>
          <w:bCs/>
          <w:spacing w:val="-6"/>
          <w:w w:val="100"/>
          <w:sz w:val="28"/>
          <w:szCs w:val="28"/>
        </w:rPr>
        <w:t>重点做好高端人才的培养与引进工作，继续开展与全国</w:t>
      </w:r>
      <w:r>
        <w:rPr>
          <w:rFonts w:ascii="Microsoft JhengHei" w:hAnsi="Microsoft JhengHei" w:cs="Microsoft JhengHei" w:eastAsia="Microsoft JhengHei" w:hint="default"/>
          <w:b/>
          <w:bCs/>
          <w:w w:val="100"/>
          <w:sz w:val="28"/>
          <w:szCs w:val="28"/>
        </w:rPr>
        <w:t> </w:t>
      </w:r>
      <w:r>
        <w:rPr>
          <w:rFonts w:ascii="Times New Roman" w:hAnsi="Times New Roman" w:cs="Times New Roman" w:eastAsia="Times New Roman" w:hint="default"/>
          <w:b/>
          <w:bCs/>
          <w:spacing w:val="-1"/>
          <w:w w:val="100"/>
          <w:sz w:val="28"/>
          <w:szCs w:val="28"/>
        </w:rPr>
        <w:t>20</w:t>
      </w:r>
      <w:r>
        <w:rPr>
          <w:rFonts w:ascii="Times New Roman" w:hAnsi="Times New Roman" w:cs="Times New Roman" w:eastAsia="Times New Roman" w:hint="default"/>
          <w:b/>
          <w:bCs/>
          <w:w w:val="100"/>
          <w:sz w:val="28"/>
          <w:szCs w:val="28"/>
        </w:rPr>
        <w:t> </w:t>
      </w:r>
      <w:r>
        <w:rPr>
          <w:rFonts w:ascii="Microsoft JhengHei" w:hAnsi="Microsoft JhengHei" w:cs="Microsoft JhengHei" w:eastAsia="Microsoft JhengHei" w:hint="default"/>
          <w:b/>
          <w:bCs/>
          <w:w w:val="100"/>
          <w:sz w:val="28"/>
          <w:szCs w:val="28"/>
        </w:rPr>
        <w:t>多所高等院校的校企</w:t>
      </w:r>
      <w:r>
        <w:rPr>
          <w:rFonts w:ascii="Microsoft JhengHei" w:hAnsi="Microsoft JhengHei" w:cs="Microsoft JhengHei" w:eastAsia="Microsoft JhengHei" w:hint="default"/>
          <w:b/>
          <w:bCs/>
          <w:spacing w:val="-45"/>
          <w:w w:val="100"/>
          <w:sz w:val="28"/>
          <w:szCs w:val="28"/>
        </w:rPr>
        <w:t> </w:t>
      </w:r>
      <w:r>
        <w:rPr>
          <w:rFonts w:ascii="Microsoft JhengHei" w:hAnsi="Microsoft JhengHei" w:cs="Microsoft JhengHei" w:eastAsia="Microsoft JhengHei" w:hint="default"/>
          <w:b/>
          <w:bCs/>
          <w:spacing w:val="-45"/>
          <w:w w:val="100"/>
          <w:sz w:val="28"/>
          <w:szCs w:val="28"/>
        </w:rPr>
      </w:r>
      <w:r>
        <w:rPr>
          <w:rFonts w:ascii="Microsoft JhengHei" w:hAnsi="Microsoft JhengHei" w:cs="Microsoft JhengHei" w:eastAsia="Microsoft JhengHei" w:hint="default"/>
          <w:b/>
          <w:bCs/>
          <w:sz w:val="28"/>
          <w:szCs w:val="28"/>
        </w:rPr>
        <w:t>人才合作，进一步优化人员结构，并积极探索新形势下员工激励机制。</w:t>
      </w:r>
      <w:r>
        <w:rPr>
          <w:rFonts w:ascii="Microsoft JhengHei" w:hAnsi="Microsoft JhengHei" w:cs="Microsoft JhengHei" w:eastAsia="Microsoft JhengHei" w:hint="default"/>
          <w:sz w:val="28"/>
          <w:szCs w:val="28"/>
        </w:rPr>
      </w:r>
    </w:p>
    <w:p>
      <w:pPr>
        <w:spacing w:before="131"/>
        <w:ind w:left="714" w:right="99"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z w:val="28"/>
          <w:szCs w:val="28"/>
        </w:rPr>
        <w:t>6</w:t>
      </w:r>
      <w:r>
        <w:rPr>
          <w:rFonts w:ascii="Microsoft JhengHei" w:hAnsi="Microsoft JhengHei" w:cs="Microsoft JhengHei" w:eastAsia="Microsoft JhengHei" w:hint="default"/>
          <w:b/>
          <w:bCs/>
          <w:sz w:val="28"/>
          <w:szCs w:val="28"/>
        </w:rPr>
        <w:t>、对外并购重组所形成商誉的减值风险</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pgSz w:w="11910" w:h="16840"/>
          <w:pgMar w:header="745" w:footer="979" w:top="1060" w:bottom="1160" w:left="980" w:right="880"/>
        </w:sectPr>
      </w:pPr>
    </w:p>
    <w:p>
      <w:pPr>
        <w:spacing w:line="240" w:lineRule="auto" w:before="10"/>
        <w:rPr>
          <w:rFonts w:ascii="Microsoft JhengHei" w:hAnsi="Microsoft JhengHei" w:cs="Microsoft JhengHei" w:eastAsia="Microsoft JhengHei" w:hint="default"/>
          <w:b/>
          <w:bCs/>
          <w:sz w:val="25"/>
          <w:szCs w:val="25"/>
        </w:rPr>
      </w:pPr>
    </w:p>
    <w:p>
      <w:pPr>
        <w:spacing w:line="413" w:lineRule="exact" w:before="0"/>
        <w:ind w:left="152" w:right="0"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公司上市后进行了收购、并购等外延式拓展，形成了多家非同一控制下的</w:t>
      </w:r>
      <w:r>
        <w:rPr>
          <w:rFonts w:ascii="Microsoft JhengHei" w:hAnsi="Microsoft JhengHei" w:cs="Microsoft JhengHei" w:eastAsia="Microsoft JhengHei" w:hint="default"/>
          <w:spacing w:val="2"/>
          <w:sz w:val="28"/>
          <w:szCs w:val="28"/>
        </w:rPr>
      </w:r>
    </w:p>
    <w:p>
      <w:pPr>
        <w:spacing w:line="307" w:lineRule="auto" w:before="136"/>
        <w:ind w:left="152" w:right="152"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企业合并的情况。截止报告期末，公司商誉金额为</w:t>
      </w:r>
      <w:r>
        <w:rPr>
          <w:rFonts w:ascii="Microsoft JhengHei" w:hAnsi="Microsoft JhengHei" w:cs="Microsoft JhengHei" w:eastAsia="Microsoft JhengHei" w:hint="default"/>
          <w:b/>
          <w:bCs/>
          <w:spacing w:val="25"/>
          <w:sz w:val="28"/>
          <w:szCs w:val="28"/>
        </w:rPr>
        <w:t> </w:t>
      </w:r>
      <w:r>
        <w:rPr>
          <w:rFonts w:ascii="Times New Roman" w:hAnsi="Times New Roman" w:cs="Times New Roman" w:eastAsia="Times New Roman" w:hint="default"/>
          <w:b/>
          <w:bCs/>
          <w:spacing w:val="-3"/>
          <w:sz w:val="28"/>
          <w:szCs w:val="28"/>
        </w:rPr>
        <w:t>110,800.44</w:t>
      </w:r>
      <w:r>
        <w:rPr>
          <w:rFonts w:ascii="Times New Roman" w:hAnsi="Times New Roman" w:cs="Times New Roman" w:eastAsia="Times New Roman" w:hint="default"/>
          <w:b/>
          <w:bCs/>
          <w:spacing w:val="22"/>
          <w:sz w:val="28"/>
          <w:szCs w:val="28"/>
        </w:rPr>
        <w:t> </w:t>
      </w:r>
      <w:r>
        <w:rPr>
          <w:rFonts w:ascii="Microsoft JhengHei" w:hAnsi="Microsoft JhengHei" w:cs="Microsoft JhengHei" w:eastAsia="Microsoft JhengHei" w:hint="default"/>
          <w:b/>
          <w:bCs/>
          <w:spacing w:val="-8"/>
          <w:sz w:val="28"/>
          <w:szCs w:val="28"/>
        </w:rPr>
        <w:t>万元，若未来宏观</w:t>
      </w:r>
      <w:r>
        <w:rPr>
          <w:rFonts w:ascii="Microsoft JhengHei" w:hAnsi="Microsoft JhengHei" w:cs="Microsoft JhengHei" w:eastAsia="Microsoft JhengHei" w:hint="default"/>
          <w:b/>
          <w:bCs/>
          <w:spacing w:val="-64"/>
          <w:sz w:val="28"/>
          <w:szCs w:val="28"/>
        </w:rPr>
        <w:t> </w:t>
      </w:r>
      <w:r>
        <w:rPr>
          <w:rFonts w:ascii="Microsoft JhengHei" w:hAnsi="Microsoft JhengHei" w:cs="Microsoft JhengHei" w:eastAsia="Microsoft JhengHei" w:hint="default"/>
          <w:b/>
          <w:bCs/>
          <w:spacing w:val="-64"/>
          <w:sz w:val="28"/>
          <w:szCs w:val="28"/>
        </w:rPr>
      </w:r>
      <w:r>
        <w:rPr>
          <w:rFonts w:ascii="Microsoft JhengHei" w:hAnsi="Microsoft JhengHei" w:cs="Microsoft JhengHei" w:eastAsia="Microsoft JhengHei" w:hint="default"/>
          <w:b/>
          <w:bCs/>
          <w:spacing w:val="-6"/>
          <w:sz w:val="28"/>
          <w:szCs w:val="28"/>
        </w:rPr>
        <w:t>经济形势变化，或被合并企业经营出现不利变化，则存在商誉减值的风险，这也</w:t>
      </w:r>
      <w:r>
        <w:rPr>
          <w:rFonts w:ascii="Microsoft JhengHei" w:hAnsi="Microsoft JhengHei" w:cs="Microsoft JhengHei" w:eastAsia="Microsoft JhengHei" w:hint="default"/>
          <w:b/>
          <w:bCs/>
          <w:spacing w:val="-26"/>
          <w:sz w:val="28"/>
          <w:szCs w:val="28"/>
        </w:rPr>
        <w:t> </w:t>
      </w:r>
      <w:r>
        <w:rPr>
          <w:rFonts w:ascii="Microsoft JhengHei" w:hAnsi="Microsoft JhengHei" w:cs="Microsoft JhengHei" w:eastAsia="Microsoft JhengHei" w:hint="default"/>
          <w:b/>
          <w:bCs/>
          <w:spacing w:val="-26"/>
          <w:sz w:val="28"/>
          <w:szCs w:val="28"/>
        </w:rPr>
      </w:r>
      <w:r>
        <w:rPr>
          <w:rFonts w:ascii="Microsoft JhengHei" w:hAnsi="Microsoft JhengHei" w:cs="Microsoft JhengHei" w:eastAsia="Microsoft JhengHei" w:hint="default"/>
          <w:b/>
          <w:bCs/>
          <w:sz w:val="28"/>
          <w:szCs w:val="28"/>
        </w:rPr>
        <w:t>将会对上市公司当期的损益造成不利影响。</w:t>
      </w:r>
      <w:r>
        <w:rPr>
          <w:rFonts w:ascii="Microsoft JhengHei" w:hAnsi="Microsoft JhengHei" w:cs="Microsoft JhengHei" w:eastAsia="Microsoft JhengHei" w:hint="default"/>
          <w:sz w:val="28"/>
          <w:szCs w:val="28"/>
        </w:rPr>
      </w:r>
    </w:p>
    <w:p>
      <w:pPr>
        <w:spacing w:line="307" w:lineRule="auto" w:before="133"/>
        <w:ind w:left="152" w:right="1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应对措施：公司将对被合并企业施行完善的投后管理，并与被合并企业进</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行资源整合，以发挥公司间的协同增益效果，保证被合并企业的市场竞争力及</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持续稳定发展，以最大限度地降低商誉减值风险。</w:t>
      </w:r>
      <w:r>
        <w:rPr>
          <w:rFonts w:ascii="Microsoft JhengHei" w:hAnsi="Microsoft JhengHei" w:cs="Microsoft JhengHei" w:eastAsia="Microsoft JhengHei" w:hint="default"/>
          <w:sz w:val="28"/>
          <w:szCs w:val="28"/>
        </w:rPr>
      </w:r>
    </w:p>
    <w:p>
      <w:pPr>
        <w:spacing w:line="357" w:lineRule="auto" w:before="130"/>
        <w:ind w:left="714" w:right="0"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z w:val="28"/>
          <w:szCs w:val="28"/>
        </w:rPr>
        <w:t>7</w:t>
      </w:r>
      <w:r>
        <w:rPr>
          <w:rFonts w:ascii="Microsoft JhengHei" w:hAnsi="Microsoft JhengHei" w:cs="Microsoft JhengHei" w:eastAsia="Microsoft JhengHei" w:hint="default"/>
          <w:b/>
          <w:bCs/>
          <w:sz w:val="28"/>
          <w:szCs w:val="28"/>
        </w:rPr>
        <w:t>、外延式收购整合导致的上市公司经营管理风险</w:t>
      </w:r>
      <w:r>
        <w:rPr>
          <w:rFonts w:ascii="Microsoft JhengHei" w:hAnsi="Microsoft JhengHei" w:cs="Microsoft JhengHei" w:eastAsia="Microsoft JhengHei" w:hint="default"/>
          <w:b/>
          <w:bCs/>
          <w:spacing w:val="-49"/>
          <w:sz w:val="28"/>
          <w:szCs w:val="28"/>
        </w:rPr>
        <w:t> </w:t>
      </w:r>
      <w:r>
        <w:rPr>
          <w:rFonts w:ascii="Microsoft JhengHei" w:hAnsi="Microsoft JhengHei" w:cs="Microsoft JhengHei" w:eastAsia="Microsoft JhengHei" w:hint="default"/>
          <w:b/>
          <w:bCs/>
          <w:spacing w:val="-49"/>
          <w:sz w:val="28"/>
          <w:szCs w:val="28"/>
        </w:rPr>
      </w:r>
      <w:r>
        <w:rPr>
          <w:rFonts w:ascii="Microsoft JhengHei" w:hAnsi="Microsoft JhengHei" w:cs="Microsoft JhengHei" w:eastAsia="Microsoft JhengHei" w:hint="default"/>
          <w:b/>
          <w:bCs/>
          <w:spacing w:val="2"/>
          <w:sz w:val="28"/>
          <w:szCs w:val="28"/>
        </w:rPr>
        <w:t>公司上市后，并购扩张已成为公司长期战略之一，公司利用资本市场进行</w:t>
      </w:r>
      <w:r>
        <w:rPr>
          <w:rFonts w:ascii="Microsoft JhengHei" w:hAnsi="Microsoft JhengHei" w:cs="Microsoft JhengHei" w:eastAsia="Microsoft JhengHei" w:hint="default"/>
          <w:spacing w:val="2"/>
          <w:sz w:val="28"/>
          <w:szCs w:val="28"/>
        </w:rPr>
      </w:r>
    </w:p>
    <w:p>
      <w:pPr>
        <w:spacing w:line="442" w:lineRule="exact" w:before="0"/>
        <w:ind w:left="152"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并购重组，与产业链上下游的优势企业进行整合，使公司在经营规模上快速扩</w:t>
      </w:r>
      <w:r>
        <w:rPr>
          <w:rFonts w:ascii="Microsoft JhengHei" w:hAnsi="Microsoft JhengHei" w:cs="Microsoft JhengHei" w:eastAsia="Microsoft JhengHei" w:hint="default"/>
          <w:spacing w:val="2"/>
          <w:sz w:val="28"/>
          <w:szCs w:val="28"/>
        </w:rPr>
      </w:r>
    </w:p>
    <w:p>
      <w:pPr>
        <w:spacing w:line="307" w:lineRule="auto" w:before="137"/>
        <w:ind w:left="152" w:right="153"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大，自然对公司的综合管理水平提出了更大挑战。报告期内，公司通过收购、并</w:t>
      </w:r>
      <w:r>
        <w:rPr>
          <w:rFonts w:ascii="Microsoft JhengHei" w:hAnsi="Microsoft JhengHei" w:cs="Microsoft JhengHei" w:eastAsia="Microsoft JhengHei" w:hint="default"/>
          <w:b/>
          <w:bCs/>
          <w:spacing w:val="-25"/>
          <w:sz w:val="28"/>
          <w:szCs w:val="28"/>
        </w:rPr>
        <w:t> </w:t>
      </w:r>
      <w:r>
        <w:rPr>
          <w:rFonts w:ascii="Microsoft JhengHei" w:hAnsi="Microsoft JhengHei" w:cs="Microsoft JhengHei" w:eastAsia="Microsoft JhengHei" w:hint="default"/>
          <w:b/>
          <w:bCs/>
          <w:spacing w:val="-25"/>
          <w:sz w:val="28"/>
          <w:szCs w:val="28"/>
        </w:rPr>
      </w:r>
      <w:r>
        <w:rPr>
          <w:rFonts w:ascii="Microsoft JhengHei" w:hAnsi="Microsoft JhengHei" w:cs="Microsoft JhengHei" w:eastAsia="Microsoft JhengHei" w:hint="default"/>
          <w:b/>
          <w:bCs/>
          <w:spacing w:val="2"/>
          <w:sz w:val="28"/>
          <w:szCs w:val="28"/>
        </w:rPr>
        <w:t>购合并了一些企业，从公司整体的角度来看，上市公司的资产规模和业务范围</w:t>
      </w:r>
      <w:r>
        <w:rPr>
          <w:rFonts w:ascii="Microsoft JhengHei" w:hAnsi="Microsoft JhengHei" w:cs="Microsoft JhengHei" w:eastAsia="Microsoft JhengHei" w:hint="default"/>
          <w:b/>
          <w:bCs/>
          <w:spacing w:val="-37"/>
          <w:sz w:val="28"/>
          <w:szCs w:val="28"/>
        </w:rPr>
        <w:t> </w:t>
      </w:r>
      <w:r>
        <w:rPr>
          <w:rFonts w:ascii="Microsoft JhengHei" w:hAnsi="Microsoft JhengHei" w:cs="Microsoft JhengHei" w:eastAsia="Microsoft JhengHei" w:hint="default"/>
          <w:b/>
          <w:bCs/>
          <w:spacing w:val="-37"/>
          <w:sz w:val="28"/>
          <w:szCs w:val="28"/>
        </w:rPr>
      </w:r>
      <w:r>
        <w:rPr>
          <w:rFonts w:ascii="Microsoft JhengHei" w:hAnsi="Microsoft JhengHei" w:cs="Microsoft JhengHei" w:eastAsia="Microsoft JhengHei" w:hint="default"/>
          <w:b/>
          <w:bCs/>
          <w:spacing w:val="2"/>
          <w:sz w:val="28"/>
          <w:szCs w:val="28"/>
        </w:rPr>
        <w:t>都将得到扩大，公司和被合并企业之间能否通过整合既保证公司对被合并企业</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的控制力又保持被合并企业原有竞争优势并充分发挥本次交易的协同效应，具</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pacing w:val="2"/>
          <w:sz w:val="28"/>
          <w:szCs w:val="28"/>
        </w:rPr>
        <w:t>有不确定性，整合结果可能未能充分发挥本次交易的协同效应，并可能会对标</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的公司的经营产生不利影响，从而给公司及股东利益造成一定的影响。</w:t>
      </w:r>
      <w:r>
        <w:rPr>
          <w:rFonts w:ascii="Microsoft JhengHei" w:hAnsi="Microsoft JhengHei" w:cs="Microsoft JhengHei" w:eastAsia="Microsoft JhengHei" w:hint="default"/>
          <w:sz w:val="28"/>
          <w:szCs w:val="28"/>
        </w:rPr>
      </w:r>
    </w:p>
    <w:p>
      <w:pPr>
        <w:spacing w:line="307" w:lineRule="auto" w:before="133"/>
        <w:ind w:left="152" w:right="155"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应对措施：公司将进一步完善管理制度，整合科研、生产、人才、市场、技</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6"/>
          <w:sz w:val="28"/>
          <w:szCs w:val="28"/>
        </w:rPr>
        <w:t>术和财务等各个方面资源，积累经营管理经验，使公司管理水平得到整体提升。</w:t>
      </w:r>
      <w:r>
        <w:rPr>
          <w:rFonts w:ascii="Microsoft JhengHei" w:hAnsi="Microsoft JhengHei" w:cs="Microsoft JhengHei" w:eastAsia="Microsoft JhengHei" w:hint="default"/>
          <w:b/>
          <w:bCs/>
          <w:spacing w:val="-27"/>
          <w:sz w:val="28"/>
          <w:szCs w:val="28"/>
        </w:rPr>
        <w:t> </w:t>
      </w:r>
      <w:r>
        <w:rPr>
          <w:rFonts w:ascii="Microsoft JhengHei" w:hAnsi="Microsoft JhengHei" w:cs="Microsoft JhengHei" w:eastAsia="Microsoft JhengHei" w:hint="default"/>
          <w:b/>
          <w:bCs/>
          <w:spacing w:val="-27"/>
          <w:sz w:val="28"/>
          <w:szCs w:val="28"/>
        </w:rPr>
      </w:r>
      <w:r>
        <w:rPr>
          <w:rFonts w:ascii="Microsoft JhengHei" w:hAnsi="Microsoft JhengHei" w:cs="Microsoft JhengHei" w:eastAsia="Microsoft JhengHei" w:hint="default"/>
          <w:b/>
          <w:bCs/>
          <w:spacing w:val="2"/>
          <w:sz w:val="28"/>
          <w:szCs w:val="28"/>
        </w:rPr>
        <w:t>并拟向被合并企业增派董事、财务负责人等高级管理人员，同时维持被合并企</w:t>
      </w:r>
      <w:r>
        <w:rPr>
          <w:rFonts w:ascii="Microsoft JhengHei" w:hAnsi="Microsoft JhengHei" w:cs="Microsoft JhengHei" w:eastAsia="Microsoft JhengHei" w:hint="default"/>
          <w:b/>
          <w:bCs/>
          <w:spacing w:val="-33"/>
          <w:sz w:val="28"/>
          <w:szCs w:val="28"/>
        </w:rPr>
        <w:t> </w:t>
      </w:r>
      <w:r>
        <w:rPr>
          <w:rFonts w:ascii="Microsoft JhengHei" w:hAnsi="Microsoft JhengHei" w:cs="Microsoft JhengHei" w:eastAsia="Microsoft JhengHei" w:hint="default"/>
          <w:b/>
          <w:bCs/>
          <w:spacing w:val="-33"/>
          <w:sz w:val="28"/>
          <w:szCs w:val="28"/>
        </w:rPr>
      </w:r>
      <w:r>
        <w:rPr>
          <w:rFonts w:ascii="Microsoft JhengHei" w:hAnsi="Microsoft JhengHei" w:cs="Microsoft JhengHei" w:eastAsia="Microsoft JhengHei" w:hint="default"/>
          <w:b/>
          <w:bCs/>
          <w:spacing w:val="2"/>
          <w:sz w:val="28"/>
          <w:szCs w:val="28"/>
        </w:rPr>
        <w:t>业目前管理层与治理层的基本稳定，以保障被合并企业后续经营的平稳发展，</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通过完善管理来降低经营管理风险。</w:t>
      </w:r>
      <w:r>
        <w:rPr>
          <w:rFonts w:ascii="Microsoft JhengHei" w:hAnsi="Microsoft JhengHei" w:cs="Microsoft JhengHei" w:eastAsia="Microsoft JhengHei" w:hint="default"/>
          <w:sz w:val="28"/>
          <w:szCs w:val="28"/>
        </w:rPr>
      </w:r>
    </w:p>
    <w:p>
      <w:pPr>
        <w:spacing w:after="0" w:line="307" w:lineRule="auto"/>
        <w:jc w:val="both"/>
        <w:rPr>
          <w:rFonts w:ascii="Microsoft JhengHei" w:hAnsi="Microsoft JhengHei" w:cs="Microsoft JhengHei" w:eastAsia="Microsoft JhengHei" w:hint="default"/>
          <w:sz w:val="28"/>
          <w:szCs w:val="28"/>
        </w:rPr>
        <w:sectPr>
          <w:pgSz w:w="11910" w:h="16840"/>
          <w:pgMar w:header="745" w:footer="979" w:top="1060" w:bottom="1160" w:left="980" w:right="980"/>
        </w:sectPr>
      </w:pPr>
    </w:p>
    <w:p>
      <w:pPr>
        <w:spacing w:line="240" w:lineRule="auto" w:before="10"/>
        <w:rPr>
          <w:rFonts w:ascii="Microsoft JhengHei" w:hAnsi="Microsoft JhengHei" w:cs="Microsoft JhengHei" w:eastAsia="Microsoft JhengHei" w:hint="default"/>
          <w:b/>
          <w:bCs/>
          <w:sz w:val="25"/>
          <w:szCs w:val="25"/>
        </w:rPr>
      </w:pPr>
    </w:p>
    <w:p>
      <w:pPr>
        <w:spacing w:line="413" w:lineRule="exact" w:before="0"/>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242,801,887</w:t>
      </w:r>
      <w:r>
        <w:rPr>
          <w:rFonts w:ascii="Times New Roman" w:hAnsi="Times New Roman" w:cs="Times New Roman" w:eastAsia="Times New Roman" w:hint="default"/>
          <w:b/>
          <w:bCs/>
          <w:spacing w:val="-8"/>
          <w:sz w:val="28"/>
          <w:szCs w:val="28"/>
        </w:rPr>
        <w:t> </w:t>
      </w:r>
      <w:r>
        <w:rPr>
          <w:rFonts w:ascii="Microsoft JhengHei" w:hAnsi="Microsoft JhengHei" w:cs="Microsoft JhengHei" w:eastAsia="Microsoft JhengHei" w:hint="default"/>
          <w:b/>
          <w:bCs/>
          <w:spacing w:val="-5"/>
          <w:sz w:val="28"/>
          <w:szCs w:val="28"/>
        </w:rPr>
        <w:t>为基数，向</w:t>
      </w:r>
      <w:r>
        <w:rPr>
          <w:rFonts w:ascii="Microsoft JhengHei" w:hAnsi="Microsoft JhengHei" w:cs="Microsoft JhengHei" w:eastAsia="Microsoft JhengHei" w:hint="default"/>
          <w:spacing w:val="-5"/>
          <w:sz w:val="28"/>
          <w:szCs w:val="28"/>
        </w:rPr>
      </w:r>
    </w:p>
    <w:p>
      <w:pPr>
        <w:spacing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全体</w:t>
      </w:r>
      <w:r>
        <w:rPr>
          <w:rFonts w:ascii="Microsoft JhengHei" w:hAnsi="Microsoft JhengHei" w:cs="Microsoft JhengHei" w:eastAsia="Microsoft JhengHei" w:hint="default"/>
          <w:b/>
          <w:bCs/>
          <w:spacing w:val="2"/>
          <w:w w:val="100"/>
          <w:sz w:val="28"/>
          <w:szCs w:val="28"/>
        </w:rPr>
        <w:t>股</w:t>
      </w:r>
      <w:r>
        <w:rPr>
          <w:rFonts w:ascii="Microsoft JhengHei" w:hAnsi="Microsoft JhengHei" w:cs="Microsoft JhengHei" w:eastAsia="Microsoft JhengHei" w:hint="default"/>
          <w:b/>
          <w:bCs/>
          <w:w w:val="100"/>
          <w:sz w:val="28"/>
          <w:szCs w:val="28"/>
        </w:rPr>
        <w:t>东每</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股派发现</w:t>
      </w:r>
      <w:r>
        <w:rPr>
          <w:rFonts w:ascii="Microsoft JhengHei" w:hAnsi="Microsoft JhengHei" w:cs="Microsoft JhengHei" w:eastAsia="Microsoft JhengHei" w:hint="default"/>
          <w:b/>
          <w:bCs/>
          <w:spacing w:val="2"/>
          <w:w w:val="100"/>
          <w:sz w:val="28"/>
          <w:szCs w:val="28"/>
        </w:rPr>
        <w:t>金</w:t>
      </w:r>
      <w:r>
        <w:rPr>
          <w:rFonts w:ascii="Microsoft JhengHei" w:hAnsi="Microsoft JhengHei" w:cs="Microsoft JhengHei" w:eastAsia="Microsoft JhengHei" w:hint="default"/>
          <w:b/>
          <w:bCs/>
          <w:w w:val="100"/>
          <w:sz w:val="28"/>
          <w:szCs w:val="28"/>
        </w:rPr>
        <w:t>红利</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32"/>
          <w:w w:val="100"/>
          <w:sz w:val="28"/>
          <w:szCs w:val="28"/>
        </w:rPr>
        <w:t>元</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送红股</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pacing w:val="-32"/>
          <w:w w:val="100"/>
          <w:sz w:val="28"/>
          <w:szCs w:val="28"/>
        </w:rPr>
        <w:t>股</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以资本公</w:t>
      </w:r>
      <w:r>
        <w:rPr>
          <w:rFonts w:ascii="Microsoft JhengHei" w:hAnsi="Microsoft JhengHei" w:cs="Microsoft JhengHei" w:eastAsia="Microsoft JhengHei" w:hint="default"/>
          <w:w w:val="100"/>
          <w:sz w:val="28"/>
          <w:szCs w:val="28"/>
        </w:rPr>
      </w:r>
    </w:p>
    <w:p>
      <w:pPr>
        <w:spacing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3"/>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8"/>
          <w:szCs w:val="18"/>
        </w:rPr>
      </w:pPr>
    </w:p>
    <w:p>
      <w:pPr>
        <w:spacing w:line="501" w:lineRule="exact" w:before="0"/>
        <w:ind w:left="3152" w:right="315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43"/>
              </w:rPr>
              <w:t> </w:t>
            </w:r>
            <w:r>
              <w:rPr/>
              <w:t>重要提示、目录和释义</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43"/>
              </w:rPr>
              <w:t> </w:t>
            </w:r>
            <w:r>
              <w:rPr/>
              <w:t>公司简介和主要财务指标</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43"/>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43"/>
              </w:rPr>
              <w:t> </w:t>
            </w:r>
            <w:r>
              <w:rPr/>
              <w:t>经营情况讨论与分析</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43"/>
              </w:rPr>
              <w:t> </w:t>
            </w:r>
            <w:r>
              <w:rPr/>
              <w:t>重要事项</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43"/>
              </w:rPr>
              <w:t> </w:t>
            </w:r>
            <w:r>
              <w:rPr/>
              <w:t>股份变动及股东情况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43"/>
              </w:rPr>
              <w:t> </w:t>
            </w:r>
            <w:r>
              <w:rPr/>
              <w:t>优先股相关情况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43"/>
              </w:rPr>
              <w:t> </w:t>
            </w:r>
            <w:r>
              <w:rPr/>
              <w:t>董事、监事、高级管理人员和员工情况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43"/>
              </w:rPr>
              <w:t> </w:t>
            </w:r>
            <w:r>
              <w:rPr/>
              <w:t>公司治理</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43"/>
              </w:rPr>
              <w:t> </w:t>
            </w:r>
            <w:r>
              <w:rPr/>
              <w:t>公司债券相关情况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44"/>
              </w:rPr>
              <w:t> </w:t>
            </w:r>
            <w:r>
              <w:rPr/>
              <w:t>财务报告</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44"/>
              </w:rPr>
              <w:t> </w:t>
            </w:r>
            <w:r>
              <w:rPr/>
              <w:t>备查文件目录</w:t>
            </w:r>
            <w:r>
              <w:rPr>
                <w:rFonts w:ascii="Times New Roman" w:hAnsi="Times New Roman" w:cs="Times New Roman" w:eastAsia="Times New Roman" w:hint="default"/>
              </w:rPr>
              <w:tab/>
              <w:t>184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before="843"/>
        <w:ind w:left="3152" w:right="315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81"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本公司、公司、股份公司、创业软件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创业软件股份有限公司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国元证券、主承销商、保荐人、独立财务顾 问</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会计师、天健会计师事务所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律师、北京天元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北京市天元律师事务所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博泰服务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杭州博泰信息技术服务有限公司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鑫粟科技、鑫粟投资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杭州鑫粟科技有限公司，原杭州鑫粟投资管理有限公司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铜粟投资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杭州铜粟投资管理有限公司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阜康投资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杭州阜康投资有限公司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中拓信息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广东中拓信息技术有限公司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杭州惟勤</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杭州惟勤科技有限公司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新疆创什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新疆创什信息科技有限公司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创业亿康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苏州创业亿康信息科技有限公司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重庆创易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重庆创易康软件有限公司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天津创津</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天津创津科技有限公司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创业南京</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创业软件南京有限公司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中山杭创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中山市杭创科技有限公司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合美物业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杭州合美物业管理有限公司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蓝天电脑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中山市蓝天电脑有限公司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杭州卓腾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杭州卓腾信息技术有限公司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MDT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Multi-Discipline treatment</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多学科诊疗</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GDPCloud</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多学科远程诊断平台</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创业软件股份有限公司发行股份及支付现金购买博泰服务</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创业软件股份有限公司股东大会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创业软件股份有限公司董事会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创业软件股份有限公司监事会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10"/>
        <w:gridCol w:w="5436"/>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《创业软件股份有限公司章程》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642" w:right="0"/>
        <w:jc w:val="left"/>
        <w:rPr>
          <w:b w:val="0"/>
          <w:bCs w:val="0"/>
        </w:rPr>
      </w:pPr>
      <w:bookmarkStart w:name="_bookmark0" w:id="1"/>
      <w:bookmarkEnd w:id="1"/>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2283"/>
        <w:gridCol w:w="2955"/>
        <w:gridCol w:w="2155"/>
        <w:gridCol w:w="2177"/>
      </w:tblGrid>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创业软件</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300451</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创业软件股份有限公司</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创业软件</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B-SOFT</w:t>
            </w:r>
            <w:r>
              <w:rPr>
                <w:rFonts w:ascii="Times New Roman"/>
                <w:spacing w:val="-7"/>
                <w:sz w:val="18"/>
              </w:rPr>
              <w:t> </w:t>
            </w:r>
            <w:r>
              <w:rPr>
                <w:rFonts w:ascii="Times New Roman"/>
                <w:sz w:val="18"/>
              </w:rPr>
              <w:t>Co.,Ltd.</w:t>
            </w:r>
          </w:p>
        </w:tc>
      </w:tr>
      <w:tr>
        <w:trPr>
          <w:trHeight w:val="715"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67"/>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B-SOFT</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葛航</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浙江省杭州市滨江区长河街道越达巷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号创业智慧大厦五楼</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310052</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浙江省杭州市滨江区长河街道越达巷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号创业智慧大厦五楼</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310052</w:t>
            </w:r>
          </w:p>
        </w:tc>
      </w:tr>
      <w:tr>
        <w:trPr>
          <w:trHeight w:val="40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9">
              <w:r>
                <w:rPr>
                  <w:rFonts w:ascii="Times New Roman"/>
                  <w:sz w:val="18"/>
                </w:rPr>
                <w:t>www.bsoft.com.cn</w:t>
              </w:r>
            </w:hyperlink>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0">
              <w:r>
                <w:rPr>
                  <w:rFonts w:ascii="Times New Roman"/>
                  <w:sz w:val="18"/>
                </w:rPr>
                <w:t>bsoft@bsoft.com.cn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93" w:type="dxa"/>
        <w:tblLayout w:type="fixed"/>
        <w:tblCellMar>
          <w:top w:w="0" w:type="dxa"/>
          <w:left w:w="0" w:type="dxa"/>
          <w:bottom w:w="0" w:type="dxa"/>
          <w:right w:w="0" w:type="dxa"/>
        </w:tblCellMar>
        <w:tblLook w:val="01E0"/>
      </w:tblPr>
      <w:tblGrid>
        <w:gridCol w:w="3179"/>
        <w:gridCol w:w="3190"/>
        <w:gridCol w:w="3190"/>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徐胜</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180"/>
              <w:jc w:val="left"/>
              <w:rPr>
                <w:rFonts w:ascii="宋体" w:hAnsi="宋体" w:cs="宋体" w:eastAsia="宋体" w:hint="default"/>
                <w:sz w:val="18"/>
                <w:szCs w:val="18"/>
              </w:rPr>
            </w:pPr>
            <w:r>
              <w:rPr>
                <w:rFonts w:ascii="宋体" w:hAnsi="宋体" w:cs="宋体" w:eastAsia="宋体" w:hint="default"/>
                <w:sz w:val="18"/>
                <w:szCs w:val="18"/>
              </w:rPr>
              <w:t>杭州市滨江区长河街道越达巷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 业智慧大厦五楼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80"/>
              <w:jc w:val="left"/>
              <w:rPr>
                <w:rFonts w:ascii="宋体" w:hAnsi="宋体" w:cs="宋体" w:eastAsia="宋体" w:hint="default"/>
                <w:sz w:val="18"/>
                <w:szCs w:val="18"/>
              </w:rPr>
            </w:pPr>
            <w:r>
              <w:rPr>
                <w:rFonts w:ascii="宋体" w:hAnsi="宋体" w:cs="宋体" w:eastAsia="宋体" w:hint="default"/>
                <w:sz w:val="18"/>
                <w:szCs w:val="18"/>
              </w:rPr>
              <w:t>杭州市滨江区长河街道越达巷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号创 业智慧大厦五楼</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10"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10"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0571-88925701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0571-88925701</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0571-88217703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0571-88217703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huy@bsoft.com.cn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xus@bsoft.com.cn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992"/>
        <w:gridCol w:w="5576"/>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663"/>
        <w:gridCol w:w="6906"/>
      </w:tblGrid>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王强、李鸿霞</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6" w:right="101"/>
              <w:jc w:val="both"/>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徽国际金融中心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座国元证 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戚科仁、甘宁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01"/>
              <w:jc w:val="both"/>
              <w:rPr>
                <w:rFonts w:ascii="宋体" w:hAnsi="宋体" w:cs="宋体" w:eastAsia="宋体" w:hint="default"/>
                <w:sz w:val="18"/>
                <w:szCs w:val="18"/>
              </w:rPr>
            </w:pPr>
            <w:r>
              <w:rPr>
                <w:rFonts w:ascii="宋体" w:hAnsi="宋体" w:cs="宋体" w:eastAsia="宋体" w:hint="default"/>
                <w:sz w:val="18"/>
                <w:szCs w:val="18"/>
              </w:rPr>
              <w:t>安徽省合肥市梅山路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徽国际金融中心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座国元证 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戚科仁，佘超，赵佶阳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93"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1,152,952,938.09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548,645,307.54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110.15%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425,971,560.82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163,244,227.81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63,003,453.15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49,681,720.73</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154,230,633.21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51,891,600.83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46,982,665.30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174,126,341.65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118,987,534.37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18,473,128.16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2,698,990,624.51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1,133,125,134.31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888,451,342.41</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2,037,912,061.46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724,868,612.49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598,583,125.53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六、分季度主要财务指标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598"/>
        <w:gridCol w:w="1751"/>
        <w:gridCol w:w="1738"/>
        <w:gridCol w:w="1741"/>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239,745,598.13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255,860,375.70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263,638,797.88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393,708,166.38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20,750,328.84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11,935,890.55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34,702,051.68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95,855,956.74</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20,724,026.87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11,887,937.90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33,459,247.70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88,159,420.74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-161,609,781.29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-7,070,799.93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20,101,484.04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322,705,438.83</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273"/>
        <w:gridCol w:w="1530"/>
        <w:gridCol w:w="1522"/>
        <w:gridCol w:w="1522"/>
        <w:gridCol w:w="1709"/>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359,795.05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-121,489.00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183,842.01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303,280.35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9,025,781.87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10,880,705.53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3,857,292.27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1,161,069.00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1,723,274.33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-516,484.79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-253,030.48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-541,008.61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1,159,239.42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1,299,490.57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495,739.23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41,169.12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239,486.84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9,013,594.60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11,111,852.32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2,699,055.43</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0"/>
        <w:ind w:right="23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235"/>
        <w:jc w:val="left"/>
      </w:pPr>
      <w:r>
        <w:rPr/>
        <w:t>公司报告期不存在将根据《公开发行证券的公司信息披露解释性公告第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非经常性损益》定义、列举的非经常性损 益项目界定为经常性损益的项目的情形。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570"/>
        <w:jc w:val="center"/>
        <w:rPr>
          <w:b w:val="0"/>
          <w:bCs w:val="0"/>
        </w:rPr>
      </w:pPr>
      <w:bookmarkStart w:name="_bookmark1" w:id="2"/>
      <w:bookmarkEnd w:id="2"/>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854"/>
        <w:jc w:val="left"/>
      </w:pPr>
      <w:r>
        <w:rPr/>
        <w:t>公司是否需要遵守特殊行业的披露要求 否</w:t>
      </w:r>
    </w:p>
    <w:p>
      <w:pPr>
        <w:pStyle w:val="BodyText"/>
        <w:spacing w:line="319" w:lineRule="auto" w:before="25"/>
        <w:ind w:right="288" w:firstLine="360"/>
        <w:jc w:val="both"/>
      </w:pPr>
      <w:r>
        <w:rPr/>
        <w:t>公司一直专注于医疗卫生行业的信息化建设业务，主要业务分为医疗卫生信息化应用软件和基于信息技术的系统集成 </w:t>
      </w:r>
      <w:r>
        <w:rPr>
          <w:spacing w:val="-2"/>
        </w:rPr>
        <w:t>业务。随着公司完成对博泰服务的资源整合，公司在金融自助设备和医疗产业的技术运维服务领域实现进一步拓展，</w:t>
      </w:r>
      <w:r>
        <w:rPr>
          <w:rFonts w:ascii="宋体" w:hAnsi="宋体" w:cs="宋体" w:eastAsia="宋体" w:hint="default"/>
          <w:spacing w:val="-2"/>
        </w:rPr>
        <w:t>IT</w:t>
      </w:r>
      <w:r>
        <w:rPr>
          <w:spacing w:val="-2"/>
        </w:rPr>
        <w:t>运维</w:t>
      </w:r>
      <w:r>
        <w:rPr>
          <w:spacing w:val="-60"/>
        </w:rPr>
        <w:t> </w:t>
      </w:r>
      <w:r>
        <w:rPr/>
        <w:t>服务已经成为公司业务的重要组成部分。</w:t>
      </w:r>
    </w:p>
    <w:p>
      <w:pPr>
        <w:pStyle w:val="BodyText"/>
        <w:spacing w:line="300" w:lineRule="auto" w:before="17"/>
        <w:ind w:left="513" w:right="0"/>
        <w:jc w:val="left"/>
      </w:pPr>
      <w:r>
        <w:rPr>
          <w:rFonts w:ascii="Times New Roman" w:hAnsi="Times New Roman" w:cs="Times New Roman" w:eastAsia="Times New Roman" w:hint="default"/>
        </w:rPr>
        <w:t>1</w:t>
      </w:r>
      <w:r>
        <w:rPr/>
        <w:t>、医疗卫生信息化应用软件业务 </w:t>
      </w:r>
      <w:r>
        <w:rPr>
          <w:spacing w:val="-2"/>
        </w:rPr>
        <w:t>医疗卫生信息化应用软件是将信息技术运用到医院与公共卫生的管理系统和各项业务功能系统中，对医院、公共卫生系</w:t>
      </w:r>
    </w:p>
    <w:p>
      <w:pPr>
        <w:pStyle w:val="BodyText"/>
        <w:spacing w:line="316" w:lineRule="auto" w:before="31"/>
        <w:ind w:right="0"/>
        <w:jc w:val="left"/>
      </w:pPr>
      <w:r>
        <w:rPr>
          <w:spacing w:val="-2"/>
        </w:rPr>
        <w:t>统进行流程化管理，实现特定的业务功能，提高医疗卫生机构的工作效率和医疗服务质量。具体包括医院信息化应用软件和</w:t>
      </w:r>
      <w:r>
        <w:rPr>
          <w:spacing w:val="-63"/>
        </w:rPr>
        <w:t> </w:t>
      </w:r>
      <w:r>
        <w:rPr>
          <w:spacing w:val="-63"/>
        </w:rPr>
      </w:r>
      <w:r>
        <w:rPr/>
        <w:t>公共卫生信息化应用软件。</w:t>
      </w:r>
    </w:p>
    <w:p>
      <w:pPr>
        <w:pStyle w:val="BodyText"/>
        <w:spacing w:line="316" w:lineRule="auto" w:before="19"/>
        <w:ind w:right="202" w:firstLine="360"/>
        <w:jc w:val="both"/>
      </w:pPr>
      <w:r>
        <w:rPr/>
        <w:t>医院信息化应用软件是以电子病历为核心，通过信息技术实现医院管理信息和医院临床信息的数据采集、处理、存储、 传输和共享，实现病人信息数字化、医疗过程数字化、管理流程数字化、医疗服务数字化、信息交互数字化。</w:t>
      </w:r>
    </w:p>
    <w:p>
      <w:pPr>
        <w:pStyle w:val="BodyText"/>
        <w:spacing w:line="316" w:lineRule="auto" w:before="19"/>
        <w:ind w:right="291" w:firstLine="360"/>
        <w:jc w:val="both"/>
      </w:pPr>
      <w:r>
        <w:rPr>
          <w:spacing w:val="-2"/>
        </w:rPr>
        <w:t>公共卫生信息化应用软件是以居民电子健康档案为核心，以区域医疗资源共享为目标，以社区和农村居民基层医疗卫生</w:t>
      </w:r>
      <w:r>
        <w:rPr/>
        <w:t> 服务为重点，运用信息化的手段，为国内公共卫生领域信息化建设提供全面解决方案。</w:t>
      </w:r>
    </w:p>
    <w:p>
      <w:pPr>
        <w:pStyle w:val="BodyText"/>
        <w:spacing w:line="309" w:lineRule="auto" w:before="19"/>
        <w:ind w:left="441" w:right="0" w:firstLine="72"/>
        <w:jc w:val="left"/>
      </w:pPr>
      <w:r>
        <w:rPr>
          <w:rFonts w:ascii="Times New Roman" w:hAnsi="Times New Roman" w:cs="Times New Roman" w:eastAsia="Times New Roman" w:hint="default"/>
        </w:rPr>
        <w:t>2</w:t>
      </w:r>
      <w:r>
        <w:rPr/>
        <w:t>、基于信息技术的系统集成业务 公司系统集成业务主要包含两类：计算机信息设备系统集成业务、智能化网络布线工程集成业务。 </w:t>
      </w:r>
      <w:r>
        <w:rPr>
          <w:spacing w:val="-1"/>
        </w:rPr>
        <w:t>计算机信息设备系统集成业务是公司根据客户的业务特点和个性化需求，向客户提供计算机硬件设备、第三方软件及系</w:t>
      </w:r>
    </w:p>
    <w:p>
      <w:pPr>
        <w:pStyle w:val="BodyText"/>
        <w:spacing w:line="316" w:lineRule="auto" w:before="24"/>
        <w:ind w:left="441" w:right="0" w:hanging="289"/>
        <w:jc w:val="left"/>
      </w:pPr>
      <w:r>
        <w:rPr/>
        <w:t>统架构的集成服务，帮助客户构建一套整体的计算机软硬件信息系统环境，用于客户的信息化办公和业务运行管理。 </w:t>
      </w:r>
      <w:r>
        <w:rPr>
          <w:spacing w:val="-1"/>
        </w:rPr>
        <w:t>智能化网络布线工程集成业务是基于公司的信息技术优势，为智能化办公楼宇和建筑项目提供网络布线工程的方案设计、</w:t>
      </w:r>
    </w:p>
    <w:p>
      <w:pPr>
        <w:pStyle w:val="BodyText"/>
        <w:spacing w:line="240" w:lineRule="auto" w:before="19"/>
        <w:ind w:right="0"/>
        <w:jc w:val="left"/>
      </w:pPr>
      <w:r>
        <w:rPr/>
        <w:t>施工组装、集成调试等服务，属于建筑智能化、办公智能化、业务智能化的基础性工程。</w:t>
      </w:r>
    </w:p>
    <w:p>
      <w:pPr>
        <w:pStyle w:val="BodyText"/>
        <w:spacing w:line="240" w:lineRule="auto" w:before="76"/>
        <w:ind w:left="441" w:right="0"/>
        <w:jc w:val="left"/>
      </w:pPr>
      <w:r>
        <w:rPr>
          <w:rFonts w:ascii="Times New Roman" w:hAnsi="Times New Roman" w:cs="Times New Roman" w:eastAsia="Times New Roman" w:hint="default"/>
        </w:rPr>
        <w:t>3</w:t>
      </w:r>
      <w:r>
        <w:rPr/>
        <w:t>、</w:t>
      </w:r>
      <w:r>
        <w:rPr>
          <w:rFonts w:ascii="宋体" w:hAnsi="宋体" w:cs="宋体" w:eastAsia="宋体" w:hint="default"/>
        </w:rPr>
        <w:t>I</w:t>
      </w:r>
      <w:r>
        <w:rPr>
          <w:rFonts w:ascii="Times New Roman" w:hAnsi="Times New Roman" w:cs="Times New Roman" w:eastAsia="Times New Roman" w:hint="default"/>
        </w:rPr>
        <w:t>T</w:t>
      </w:r>
      <w:r>
        <w:rPr/>
        <w:t>运维服务业务</w:t>
      </w:r>
    </w:p>
    <w:p>
      <w:pPr>
        <w:pStyle w:val="BodyText"/>
        <w:spacing w:line="309" w:lineRule="auto" w:before="63"/>
        <w:ind w:right="193" w:firstLine="216"/>
        <w:jc w:val="left"/>
      </w:pPr>
      <w:r>
        <w:rPr>
          <w:spacing w:val="-3"/>
          <w:w w:val="99"/>
        </w:rPr>
        <w:t>（</w:t>
      </w:r>
      <w:r>
        <w:rPr>
          <w:rFonts w:ascii="Times New Roman" w:hAnsi="Times New Roman" w:cs="Times New Roman" w:eastAsia="Times New Roman" w:hint="default"/>
          <w:spacing w:val="-3"/>
          <w:w w:val="99"/>
        </w:rPr>
        <w:t>1</w:t>
      </w:r>
      <w:r>
        <w:rPr>
          <w:spacing w:val="-3"/>
          <w:w w:val="99"/>
        </w:rPr>
        <w:t>）金融自助设备专业技术服务业务，体现为为银行和</w:t>
      </w:r>
      <w:r>
        <w:rPr>
          <w:rFonts w:ascii="Times New Roman" w:hAnsi="Times New Roman" w:cs="Times New Roman" w:eastAsia="Times New Roman" w:hint="default"/>
          <w:spacing w:val="-3"/>
          <w:w w:val="99"/>
        </w:rPr>
        <w:t>ATM</w:t>
      </w:r>
      <w:r>
        <w:rPr>
          <w:spacing w:val="-3"/>
          <w:w w:val="99"/>
        </w:rPr>
        <w:t>供应商等客户提供的专业技术服务包括设备的健康档案管理、</w:t>
      </w:r>
      <w:r>
        <w:rPr/>
        <w:t> </w:t>
      </w:r>
      <w:r>
        <w:rPr>
          <w:spacing w:val="-2"/>
        </w:rPr>
        <w:t>数据分析、维护保养、故障处理、软硬件集成维护、软硬件一体化升级、人员培训、选址安装、报废评估等全周期一体化解</w:t>
      </w:r>
      <w:r>
        <w:rPr>
          <w:spacing w:val="-73"/>
        </w:rPr>
        <w:t> </w:t>
      </w:r>
      <w:r>
        <w:rPr>
          <w:spacing w:val="-73"/>
        </w:rPr>
      </w:r>
      <w:r>
        <w:rPr/>
        <w:t>决方案。</w:t>
      </w:r>
    </w:p>
    <w:p>
      <w:pPr>
        <w:pStyle w:val="BodyText"/>
        <w:spacing w:line="300" w:lineRule="auto" w:before="24"/>
        <w:ind w:right="0" w:firstLine="271"/>
        <w:jc w:val="left"/>
      </w:pPr>
      <w:r>
        <w:rPr>
          <w:spacing w:val="-2"/>
        </w:rPr>
        <w:t>（</w:t>
      </w:r>
      <w:r>
        <w:rPr>
          <w:rFonts w:ascii="Times New Roman" w:hAnsi="Times New Roman" w:cs="Times New Roman" w:eastAsia="Times New Roman" w:hint="default"/>
          <w:spacing w:val="-2"/>
        </w:rPr>
        <w:t>2</w:t>
      </w:r>
      <w:r>
        <w:rPr>
          <w:spacing w:val="-2"/>
        </w:rPr>
        <w:t>）医疗产业的维保技术服务业务，体现为为医疗机构、卫生监督管理部门等提供多层次、多环节、宽领域的信息技术</w:t>
      </w:r>
      <w:r>
        <w:rPr/>
        <w:t> 的诊断、硬件集成维护、软件升级服务等全面解决方案。</w:t>
      </w:r>
    </w:p>
    <w:p>
      <w:pPr>
        <w:spacing w:line="240" w:lineRule="auto" w:before="0"/>
        <w:rPr>
          <w:rFonts w:ascii="宋体" w:hAnsi="宋体" w:cs="宋体" w:eastAsia="宋体" w:hint="default"/>
          <w:sz w:val="16"/>
          <w:szCs w:val="16"/>
        </w:rPr>
      </w:pPr>
    </w:p>
    <w:p>
      <w:pPr>
        <w:pStyle w:val="Heading2"/>
        <w:spacing w:line="240" w:lineRule="auto"/>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051"/>
        <w:gridCol w:w="6517"/>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本期公司新增投资浙江大健康产业股权投资基金（有限合伙）等单位共计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15250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7" w:right="181"/>
              <w:jc w:val="left"/>
              <w:rPr>
                <w:rFonts w:ascii="宋体" w:hAnsi="宋体" w:cs="宋体" w:eastAsia="宋体" w:hint="default"/>
                <w:sz w:val="18"/>
                <w:szCs w:val="18"/>
              </w:rPr>
            </w:pPr>
            <w:r>
              <w:rPr>
                <w:rFonts w:ascii="宋体" w:hAnsi="宋体" w:cs="宋体" w:eastAsia="宋体" w:hint="default"/>
                <w:sz w:val="18"/>
                <w:szCs w:val="18"/>
              </w:rPr>
              <w:t>本期公司合并报表范围增加杭州博泰信息技术服务有限公司等公司，增加固定资 产原值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7334.81 </w:t>
            </w:r>
            <w:r>
              <w:rPr>
                <w:rFonts w:ascii="宋体" w:hAnsi="宋体" w:cs="宋体" w:eastAsia="宋体" w:hint="default"/>
                <w:sz w:val="18"/>
                <w:szCs w:val="18"/>
              </w:rPr>
              <w:t>万元。</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79" w:top="1060" w:bottom="1160" w:left="980" w:right="8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3051"/>
        <w:gridCol w:w="6517"/>
      </w:tblGrid>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1"/>
              <w:jc w:val="left"/>
              <w:rPr>
                <w:rFonts w:ascii="宋体" w:hAnsi="宋体" w:cs="宋体" w:eastAsia="宋体" w:hint="default"/>
                <w:sz w:val="18"/>
                <w:szCs w:val="18"/>
              </w:rPr>
            </w:pPr>
            <w:r>
              <w:rPr>
                <w:rFonts w:ascii="宋体" w:hAnsi="宋体" w:cs="宋体" w:eastAsia="宋体" w:hint="default"/>
                <w:sz w:val="18"/>
                <w:szCs w:val="18"/>
              </w:rPr>
              <w:t>本期公司合并报表范围增加杭州博泰信息技术服务有限公司等公司，增加无形资 产原值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2471.29 </w:t>
            </w:r>
            <w:r>
              <w:rPr>
                <w:rFonts w:ascii="宋体" w:hAnsi="宋体" w:cs="宋体" w:eastAsia="宋体" w:hint="default"/>
                <w:sz w:val="18"/>
                <w:szCs w:val="18"/>
              </w:rPr>
              <w:t>万元。</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本期公司增加中山市区域卫生信息平台建设运营项目投资额共计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2425.09 </w:t>
            </w:r>
            <w:r>
              <w:rPr>
                <w:rFonts w:ascii="宋体" w:hAnsi="宋体" w:cs="宋体" w:eastAsia="宋体" w:hint="default"/>
                <w:sz w:val="18"/>
                <w:szCs w:val="18"/>
              </w:rPr>
              <w:t>万元。</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6714"/>
        <w:jc w:val="left"/>
      </w:pPr>
      <w:r>
        <w:rPr/>
        <w:t>公司是否需要遵守特殊行业的披露要求 否 </w:t>
      </w:r>
      <w:r>
        <w:rPr>
          <w:rFonts w:ascii="Times New Roman" w:hAnsi="Times New Roman" w:cs="Times New Roman" w:eastAsia="Times New Roman" w:hint="default"/>
        </w:rPr>
        <w:t>1</w:t>
      </w:r>
      <w:r>
        <w:rPr/>
        <w:t>、领先的行业地位和丰富的行业经验</w:t>
      </w:r>
    </w:p>
    <w:p>
      <w:pPr>
        <w:pStyle w:val="BodyText"/>
        <w:spacing w:line="314" w:lineRule="auto" w:before="1"/>
        <w:ind w:right="144" w:firstLine="360"/>
        <w:jc w:val="left"/>
      </w:pPr>
      <w:r>
        <w:rPr/>
        <w:t>公司是国内较早进入医疗卫生信息化的软件供应商之一，成立至今一直专注于医疗卫生信息化领域，目前拥有成熟的 技术体系、较强的自主研发能力、丰富的产品种类，能够满足不同客户的个性化需求，在医疗卫生信息化行业跻身前列。 公司参与了卫生部健康档案基本架构与数据标准、电子病历基本架构与数据标准、基于健康档案的区域卫生信息平台建设 指南及基于健康档案的区域卫生信息平台建设技术解决方案等国家卫生信息标准和规范的研发和编制，体现了公司在行业 内的技术水平具有领先优势。目前公司医疗卫生信息化产品种类较为完备，拥有医院信息化和公共卫生信息化二大系列产 品，涉及数字化医院、数字化社区卫生、数字化卫生行政管理、数字化卫生监督、数字化疾病控制、数字化药店管理、数 字化社会保险、信息集成平台等多个医疗卫生业务领域。报告期内，公司新增申请</w:t>
      </w:r>
      <w:r>
        <w:rPr>
          <w:rFonts w:ascii="Times New Roman" w:hAnsi="Times New Roman" w:cs="Times New Roman" w:eastAsia="Times New Roman" w:hint="default"/>
        </w:rPr>
        <w:t>3</w:t>
      </w:r>
      <w:r>
        <w:rPr/>
        <w:t>项发明专利，</w:t>
      </w:r>
      <w:r>
        <w:rPr>
          <w:rFonts w:ascii="Times New Roman" w:hAnsi="Times New Roman" w:cs="Times New Roman" w:eastAsia="Times New Roman" w:hint="default"/>
        </w:rPr>
        <w:t>20</w:t>
      </w:r>
      <w:r>
        <w:rPr/>
        <w:t>项软件著作权，在项目 研发上完成了</w:t>
      </w:r>
      <w:r>
        <w:rPr>
          <w:rFonts w:ascii="Times New Roman" w:hAnsi="Times New Roman" w:cs="Times New Roman" w:eastAsia="Times New Roman" w:hint="default"/>
        </w:rPr>
        <w:t>9</w:t>
      </w:r>
      <w:r>
        <w:rPr/>
        <w:t>项新产品的研发和</w:t>
      </w:r>
      <w:r>
        <w:rPr>
          <w:rFonts w:ascii="Times New Roman" w:hAnsi="Times New Roman" w:cs="Times New Roman" w:eastAsia="Times New Roman" w:hint="default"/>
        </w:rPr>
        <w:t>5</w:t>
      </w:r>
      <w:r>
        <w:rPr/>
        <w:t>项项目技术升级，所有项目都按计划要求完成，成效显著。</w:t>
      </w:r>
    </w:p>
    <w:p>
      <w:pPr>
        <w:pStyle w:val="BodyText"/>
        <w:spacing w:line="312" w:lineRule="auto" w:before="42"/>
        <w:ind w:right="250" w:firstLine="360"/>
        <w:jc w:val="both"/>
      </w:pPr>
      <w:r>
        <w:rPr/>
        <w:t>经过多年发展，公司已累计实施了一万多个医疗卫生信息化建设项目，涉及医院、社区卫生服务中心、农村合作医疗 机构、疾控中心、药店、社保卫生管理部门等各类医疗卫生机构的信息化建设，积累了丰富的经验，特别是在大型数字化 医院建设和区域卫生信息化平台建设方面，公司先后实施了北京、上海、成都、杭州等多个医疗卫生信息化示范项目，深 化了对行业与客户需求的理解，积累了大型项目实施经验，服务水平得到显著提升。报告期内，首个区域医疗信息平台建 设的运营项目</w:t>
      </w:r>
      <w:r>
        <w:rPr>
          <w:rFonts w:ascii="Times New Roman" w:hAnsi="Times New Roman" w:cs="Times New Roman" w:eastAsia="Times New Roman" w:hint="default"/>
        </w:rPr>
        <w:t>——</w:t>
      </w:r>
      <w:r>
        <w:rPr/>
        <w:t>中山市区域卫生信息平台的基础架构已经搭建完成，项目取得了阶段性突破，为公司从医疗信息化建设 企业发展成集建设，服务，运营为一体的医疗信息化，健康产业化集成企业迈出了重要的一步，展现了创业软件股份有限 公司作为国内领先的医疗卫生信息化集成供应商的强大实力，同时作为国内首个医疗卫生信息化的</w:t>
      </w:r>
      <w:r>
        <w:rPr>
          <w:rFonts w:ascii="Times New Roman" w:hAnsi="Times New Roman" w:cs="Times New Roman" w:eastAsia="Times New Roman" w:hint="default"/>
        </w:rPr>
        <w:t>PPP</w:t>
      </w:r>
      <w:r>
        <w:rPr/>
        <w:t>项目，其运作的成 功经验也为同行和其他地市的医疗卫生信息化的建设树立典范。</w:t>
      </w:r>
    </w:p>
    <w:p>
      <w:pPr>
        <w:pStyle w:val="BodyText"/>
        <w:spacing w:line="338" w:lineRule="auto" w:before="63"/>
        <w:ind w:left="441" w:right="225"/>
        <w:jc w:val="left"/>
      </w:pPr>
      <w:r>
        <w:rPr>
          <w:rFonts w:ascii="Times New Roman" w:hAnsi="Times New Roman" w:cs="Times New Roman" w:eastAsia="Times New Roman" w:hint="default"/>
        </w:rPr>
        <w:t>2</w:t>
      </w:r>
      <w:r>
        <w:rPr/>
        <w:t>、具有创新和谐的企业文化和高素质人才优势 多年来，公司致力于培育创新和谐的企业文化，提倡</w:t>
      </w:r>
      <w:r>
        <w:rPr>
          <w:rFonts w:ascii="Times New Roman" w:hAnsi="Times New Roman" w:cs="Times New Roman" w:eastAsia="Times New Roman" w:hint="default"/>
        </w:rPr>
        <w:t>“</w:t>
      </w:r>
      <w:r>
        <w:rPr/>
        <w:t>让员工干自己最愿意干的工作，让员工干自己最具特长的工作；</w:t>
      </w:r>
    </w:p>
    <w:p>
      <w:pPr>
        <w:pStyle w:val="BodyText"/>
        <w:spacing w:line="231" w:lineRule="exact"/>
        <w:ind w:right="0"/>
        <w:jc w:val="left"/>
      </w:pPr>
      <w:r>
        <w:rPr/>
        <w:t>实现企业价值与员工个人价值和社会价值最大化</w:t>
      </w:r>
      <w:r>
        <w:rPr>
          <w:rFonts w:ascii="Times New Roman" w:hAnsi="Times New Roman" w:cs="Times New Roman" w:eastAsia="Times New Roman" w:hint="default"/>
        </w:rPr>
        <w:t>”</w:t>
      </w:r>
      <w:r>
        <w:rPr/>
        <w:t>，围绕建设中国一流软件企业的发展目标，逐渐形成了</w:t>
      </w:r>
      <w:r>
        <w:rPr>
          <w:rFonts w:ascii="Times New Roman" w:hAnsi="Times New Roman" w:cs="Times New Roman" w:eastAsia="Times New Roman" w:hint="default"/>
        </w:rPr>
        <w:t>“</w:t>
      </w:r>
      <w:r>
        <w:rPr/>
        <w:t>团结创新、领先</w:t>
      </w:r>
    </w:p>
    <w:p>
      <w:pPr>
        <w:pStyle w:val="BodyText"/>
        <w:spacing w:line="300" w:lineRule="auto" w:before="63"/>
        <w:ind w:right="154"/>
        <w:jc w:val="left"/>
      </w:pPr>
      <w:r>
        <w:rPr/>
        <w:t>一步、服务用户、共同进步</w:t>
      </w:r>
      <w:r>
        <w:rPr>
          <w:rFonts w:ascii="Times New Roman" w:hAnsi="Times New Roman" w:cs="Times New Roman" w:eastAsia="Times New Roman" w:hint="default"/>
        </w:rPr>
        <w:t>”</w:t>
      </w:r>
      <w:r>
        <w:rPr/>
        <w:t>的企业文化，拥有一支高素质的核心管理团队和优秀的技术团队，整体技术水平与创新能力居 行业前列。</w:t>
      </w:r>
    </w:p>
    <w:p>
      <w:pPr>
        <w:pStyle w:val="BodyText"/>
        <w:spacing w:line="340" w:lineRule="auto" w:before="72"/>
        <w:ind w:left="441" w:right="305"/>
        <w:jc w:val="left"/>
      </w:pPr>
      <w:r>
        <w:rPr>
          <w:rFonts w:ascii="Times New Roman" w:hAnsi="Times New Roman" w:cs="Times New Roman" w:eastAsia="Times New Roman" w:hint="default"/>
        </w:rPr>
        <w:t>3</w:t>
      </w:r>
      <w:r>
        <w:rPr/>
        <w:t>、先进的技术水平和持续的创新能力 作为高新技术企业，公司一贯坚持技术领先的企业发展战略，紧跟国际信息技术的发展潮流，紧密结合我国医疗卫生</w:t>
      </w:r>
    </w:p>
    <w:p>
      <w:pPr>
        <w:pStyle w:val="BodyText"/>
        <w:spacing w:line="309" w:lineRule="auto" w:before="1"/>
        <w:ind w:right="154"/>
        <w:jc w:val="left"/>
      </w:pPr>
      <w:r>
        <w:rPr/>
        <w:t>信息化建设的实际情况，始终重视自主研发和科技创新活动。经过多年的研发与积累，公司掌握了一批较为领先的核心技 术，同时取得了多项科技成果，形成了功能较为完善的医疗卫生信息化应用软件。自</w:t>
      </w:r>
      <w:r>
        <w:rPr>
          <w:rFonts w:ascii="Times New Roman" w:hAnsi="Times New Roman" w:cs="Times New Roman" w:eastAsia="Times New Roman" w:hint="default"/>
        </w:rPr>
        <w:t>2010</w:t>
      </w:r>
      <w:r>
        <w:rPr/>
        <w:t>年以来，公司被连续认定为</w:t>
      </w:r>
      <w:r>
        <w:rPr>
          <w:rFonts w:ascii="Times New Roman" w:hAnsi="Times New Roman" w:cs="Times New Roman" w:eastAsia="Times New Roman" w:hint="default"/>
        </w:rPr>
        <w:t>“</w:t>
      </w:r>
      <w:r>
        <w:rPr/>
        <w:t>国家 火炬计划重点高新技术企业</w:t>
      </w:r>
      <w:r>
        <w:rPr>
          <w:rFonts w:ascii="Times New Roman" w:hAnsi="Times New Roman" w:cs="Times New Roman" w:eastAsia="Times New Roman" w:hint="default"/>
        </w:rPr>
        <w:t>”</w:t>
      </w:r>
      <w:r>
        <w:rPr/>
        <w:t>。</w:t>
      </w:r>
    </w:p>
    <w:p>
      <w:pPr>
        <w:pStyle w:val="BodyText"/>
        <w:spacing w:line="319" w:lineRule="auto" w:before="43"/>
        <w:ind w:right="234" w:firstLine="288"/>
        <w:jc w:val="left"/>
      </w:pPr>
      <w:r>
        <w:rPr/>
        <w:t>历年来，公司凭借其积累的技术开发能力，先后承担了包括国家科技支撑计划项目、国家电子信息产业发展基金项 目、国家高新技术产业化项目、国家火炬计划项目、国家重点创新基金项目等在内的多项政府科技开发项目，其中国家级 项目</w:t>
      </w:r>
      <w:r>
        <w:rPr>
          <w:rFonts w:ascii="Times New Roman" w:hAnsi="Times New Roman" w:cs="Times New Roman" w:eastAsia="Times New Roman" w:hint="default"/>
        </w:rPr>
        <w:t>19</w:t>
      </w:r>
      <w:r>
        <w:rPr/>
        <w:t>项、省市级项目</w:t>
      </w:r>
      <w:r>
        <w:rPr>
          <w:rFonts w:ascii="Times New Roman" w:hAnsi="Times New Roman" w:cs="Times New Roman" w:eastAsia="Times New Roman" w:hint="default"/>
        </w:rPr>
        <w:t>50</w:t>
      </w:r>
      <w:r>
        <w:rPr/>
        <w:t>余项。</w:t>
      </w:r>
    </w:p>
    <w:p>
      <w:pPr>
        <w:pStyle w:val="BodyText"/>
        <w:spacing w:line="240" w:lineRule="auto" w:before="38"/>
        <w:ind w:left="441" w:right="0"/>
        <w:jc w:val="left"/>
      </w:pPr>
      <w:r>
        <w:rPr>
          <w:rFonts w:ascii="Times New Roman" w:hAnsi="Times New Roman" w:cs="Times New Roman" w:eastAsia="Times New Roman" w:hint="default"/>
        </w:rPr>
        <w:t>4</w:t>
      </w:r>
      <w:r>
        <w:rPr/>
        <w:t>、具有完善的营销网络和稳固的客户资源</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4" w:lineRule="auto" w:before="44"/>
        <w:ind w:right="291" w:firstLine="288"/>
        <w:jc w:val="both"/>
      </w:pPr>
      <w:r>
        <w:rPr/>
        <w:t>公司自设立以来一直致力于产品和服务的市场品牌建设和推广，注重销售团队的建设和营销网络的建设。截至目前， 公司累计用户达</w:t>
      </w:r>
      <w:r>
        <w:rPr>
          <w:rFonts w:ascii="Times New Roman" w:hAnsi="Times New Roman" w:cs="Times New Roman" w:eastAsia="Times New Roman" w:hint="default"/>
        </w:rPr>
        <w:t>6000</w:t>
      </w:r>
      <w:r>
        <w:rPr/>
        <w:t>多家，其中包括国内著名大型三甲医院以及各级卫生行政管理部门。公司坚持</w:t>
      </w:r>
      <w:r>
        <w:rPr>
          <w:rFonts w:ascii="Times New Roman" w:hAnsi="Times New Roman" w:cs="Times New Roman" w:eastAsia="Times New Roman" w:hint="default"/>
        </w:rPr>
        <w:t>“</w:t>
      </w:r>
      <w:r>
        <w:rPr/>
        <w:t>合作双赢、共同进步</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的经营方针，与主要客户建立紧密的合作关系，在合作中共同发展。为构建与客户之间良好的伙伴关系，公司采取了灵活 机动的沟通方式，运用信息化手段，建立了客户服务中心，开发了客户信息化服务平台，实现了与客户之间的及时沟通， 从而为公司业务持续快速增长奠定了良好的基础。</w:t>
      </w:r>
    </w:p>
    <w:p>
      <w:pPr>
        <w:pStyle w:val="BodyText"/>
        <w:spacing w:line="338" w:lineRule="auto" w:before="61"/>
        <w:ind w:left="441" w:right="94"/>
        <w:jc w:val="left"/>
      </w:pPr>
      <w:r>
        <w:rPr>
          <w:rFonts w:ascii="Times New Roman" w:hAnsi="Times New Roman" w:cs="Times New Roman" w:eastAsia="Times New Roman" w:hint="default"/>
        </w:rPr>
        <w:t>5</w:t>
      </w:r>
      <w:r>
        <w:rPr/>
        <w:t>、具有良好的品牌形象和高等级的专业资质优势 </w:t>
      </w:r>
      <w:r>
        <w:rPr>
          <w:spacing w:val="-1"/>
        </w:rPr>
        <w:t>随着客户数量的增加以及示范工程项目的推广，公司的品牌知名度不断提升。同时，随着市场秩序的日趋完善，业务专</w:t>
      </w:r>
    </w:p>
    <w:p>
      <w:pPr>
        <w:pStyle w:val="BodyText"/>
        <w:spacing w:line="304" w:lineRule="auto" w:before="2"/>
        <w:ind w:right="94"/>
        <w:jc w:val="left"/>
      </w:pPr>
      <w:r>
        <w:rPr/>
        <w:t>项资质已成为衡量一个软件企业管理水平和综合实力的一项重要指标，也成为软件企业参与各类招标项目的一项必备条件。</w:t>
      </w:r>
      <w:r>
        <w:rPr>
          <w:spacing w:val="-83"/>
        </w:rPr>
        <w:t> </w:t>
      </w:r>
      <w:r>
        <w:rPr>
          <w:spacing w:val="-83"/>
        </w:rPr>
      </w:r>
      <w:r>
        <w:rPr/>
        <w:t>经过多年的努力，公司已取得了如</w:t>
      </w:r>
      <w:r>
        <w:rPr>
          <w:rFonts w:ascii="Times New Roman" w:hAnsi="Times New Roman" w:cs="Times New Roman" w:eastAsia="Times New Roman" w:hint="default"/>
        </w:rPr>
        <w:t>“</w:t>
      </w:r>
      <w:r>
        <w:rPr/>
        <w:t>软件能力成熟度模型集成五级（</w:t>
      </w:r>
      <w:r>
        <w:rPr>
          <w:rFonts w:ascii="Times New Roman" w:hAnsi="Times New Roman" w:cs="Times New Roman" w:eastAsia="Times New Roman" w:hint="default"/>
        </w:rPr>
        <w:t>CMMI5</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计算机信息系统集成壹级资质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建筑智</w:t>
      </w:r>
      <w:r>
        <w:rPr>
          <w:spacing w:val="-85"/>
        </w:rPr>
        <w:t> </w:t>
      </w:r>
      <w:r>
        <w:rPr>
          <w:spacing w:val="-85"/>
        </w:rPr>
      </w:r>
      <w:r>
        <w:rPr/>
        <w:t>能化工程设计与施工壹级资质</w:t>
      </w:r>
      <w:r>
        <w:rPr>
          <w:rFonts w:ascii="Times New Roman" w:hAnsi="Times New Roman" w:cs="Times New Roman" w:eastAsia="Times New Roman" w:hint="default"/>
        </w:rPr>
        <w:t>”</w:t>
      </w:r>
      <w:r>
        <w:rPr/>
        <w:t>、安全生产许可证、医疗器械产品经营企业许可证、医疗器械生产企业许可证等含金量较高</w:t>
      </w:r>
      <w:r>
        <w:rPr>
          <w:spacing w:val="-76"/>
        </w:rPr>
        <w:t> </w:t>
      </w:r>
      <w:r>
        <w:rPr>
          <w:spacing w:val="-76"/>
        </w:rPr>
      </w:r>
      <w:r>
        <w:rPr>
          <w:spacing w:val="-2"/>
        </w:rPr>
        <w:t>的资质证书，使公司在激烈的市场竞争中占有独特的比较优势。报告期内，公司被评为</w:t>
      </w:r>
      <w:r>
        <w:rPr>
          <w:rFonts w:ascii="Times New Roman" w:hAnsi="Times New Roman" w:cs="Times New Roman" w:eastAsia="Times New Roman" w:hint="default"/>
          <w:spacing w:val="-2"/>
        </w:rPr>
        <w:t>“</w:t>
      </w:r>
      <w:r>
        <w:rPr>
          <w:spacing w:val="-2"/>
        </w:rPr>
        <w:t>中国互联网</w:t>
      </w:r>
      <w:r>
        <w:rPr>
          <w:rFonts w:ascii="Times New Roman" w:hAnsi="Times New Roman" w:cs="Times New Roman" w:eastAsia="Times New Roman" w:hint="default"/>
          <w:spacing w:val="-2"/>
        </w:rPr>
        <w:t>+</w:t>
      </w:r>
      <w:r>
        <w:rPr>
          <w:spacing w:val="-2"/>
        </w:rPr>
        <w:t>医疗行业最具影响力企</w:t>
      </w:r>
      <w:r>
        <w:rPr>
          <w:spacing w:val="-66"/>
        </w:rPr>
        <w:t> </w:t>
      </w:r>
      <w:r>
        <w:rPr/>
        <w:t>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浙江省健康产业重点企业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浙江省信用管理示范企业</w:t>
      </w:r>
      <w:r>
        <w:rPr>
          <w:rFonts w:ascii="Times New Roman" w:hAnsi="Times New Roman" w:cs="Times New Roman" w:eastAsia="Times New Roman" w:hint="default"/>
        </w:rPr>
        <w:t>”</w:t>
      </w:r>
      <w:r>
        <w:rPr/>
        <w:t>。</w:t>
      </w:r>
    </w:p>
    <w:p>
      <w:pPr>
        <w:spacing w:after="0" w:line="304"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0"/>
        <w:jc w:val="left"/>
        <w:rPr>
          <w:b w:val="0"/>
          <w:bCs w:val="0"/>
        </w:rPr>
      </w:pPr>
      <w:bookmarkStart w:name="_bookmark2" w:id="3"/>
      <w:bookmarkEnd w:id="3"/>
      <w:r>
        <w:rPr>
          <w:b w:val="0"/>
          <w:bCs w:val="0"/>
        </w:rPr>
      </w:r>
      <w:r>
        <w:rPr/>
        <w:t>第四节 </w:t>
      </w:r>
      <w:r>
        <w:rPr>
          <w:spacing w:val="11"/>
        </w:rPr>
        <w:t> </w:t>
      </w:r>
      <w:r>
        <w:rPr/>
        <w:t>经营情况讨论与分析</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Heading5"/>
        <w:spacing w:line="300" w:lineRule="exact"/>
        <w:ind w:left="152" w:right="0"/>
        <w:jc w:val="both"/>
        <w:rPr>
          <w:b w:val="0"/>
          <w:bCs w:val="0"/>
        </w:rPr>
      </w:pPr>
      <w:r>
        <w:rPr/>
        <w:t>一、概述</w:t>
      </w:r>
      <w:r>
        <w:rPr>
          <w:b w:val="0"/>
          <w:bCs w:val="0"/>
        </w:rPr>
      </w:r>
    </w:p>
    <w:p>
      <w:pPr>
        <w:spacing w:line="240" w:lineRule="auto" w:before="8"/>
        <w:rPr>
          <w:rFonts w:ascii="Microsoft JhengHei" w:hAnsi="Microsoft JhengHei" w:cs="Microsoft JhengHei" w:eastAsia="Microsoft JhengHei" w:hint="default"/>
          <w:b/>
          <w:bCs/>
          <w:sz w:val="20"/>
          <w:szCs w:val="20"/>
        </w:rPr>
      </w:pPr>
    </w:p>
    <w:p>
      <w:pPr>
        <w:pStyle w:val="BodyText"/>
        <w:spacing w:line="312" w:lineRule="auto"/>
        <w:ind w:right="150" w:firstLine="360"/>
        <w:jc w:val="both"/>
      </w:pPr>
      <w:r>
        <w:rPr>
          <w:rFonts w:ascii="Times New Roman" w:hAnsi="Times New Roman" w:cs="Times New Roman" w:eastAsia="Times New Roman" w:hint="default"/>
          <w:spacing w:val="-2"/>
        </w:rPr>
        <w:t>2017</w:t>
      </w:r>
      <w:r>
        <w:rPr>
          <w:spacing w:val="-2"/>
        </w:rPr>
        <w:t>年是公司成立的第</w:t>
      </w:r>
      <w:r>
        <w:rPr>
          <w:rFonts w:ascii="Times New Roman" w:hAnsi="Times New Roman" w:cs="Times New Roman" w:eastAsia="Times New Roman" w:hint="default"/>
          <w:spacing w:val="-2"/>
        </w:rPr>
        <w:t>20</w:t>
      </w:r>
      <w:r>
        <w:rPr>
          <w:spacing w:val="-2"/>
        </w:rPr>
        <w:t>个年头，在这一年里公司经营管理层在董事会的领导下，持续以市场开拓为核心，以业务协同</w:t>
      </w:r>
      <w:r>
        <w:rPr/>
        <w:t> </w:t>
      </w:r>
      <w:r>
        <w:rPr>
          <w:spacing w:val="-2"/>
        </w:rPr>
        <w:t>整合为主线，以资本运作为手段，明晰发展思路，上下齐心协力，努力践行公司长期发展战略和年度经营计划，强化公司核</w:t>
      </w:r>
      <w:r>
        <w:rPr>
          <w:spacing w:val="-67"/>
        </w:rPr>
        <w:t> </w:t>
      </w:r>
      <w:r>
        <w:rPr>
          <w:spacing w:val="-67"/>
        </w:rPr>
      </w:r>
      <w:r>
        <w:rPr>
          <w:spacing w:val="-2"/>
        </w:rPr>
        <w:t>心竞争力，努力提升公司产品和服务品质，稳步推进各项业务顺利开展，使公司在经营业绩、市场服务、技术研发和企业管</w:t>
      </w:r>
      <w:r>
        <w:rPr>
          <w:spacing w:val="-67"/>
        </w:rPr>
        <w:t> </w:t>
      </w:r>
      <w:r>
        <w:rPr>
          <w:spacing w:val="-67"/>
        </w:rPr>
      </w:r>
      <w:r>
        <w:rPr/>
        <w:t>理水平等各方面都取得了良好的成绩，公司经营业绩保持稳健上升的发展态势。</w:t>
      </w:r>
    </w:p>
    <w:p>
      <w:pPr>
        <w:spacing w:line="240" w:lineRule="auto" w:before="0"/>
        <w:rPr>
          <w:rFonts w:ascii="宋体" w:hAnsi="宋体" w:cs="宋体" w:eastAsia="宋体" w:hint="default"/>
          <w:sz w:val="6"/>
          <w:szCs w:val="6"/>
        </w:rPr>
      </w:pPr>
    </w:p>
    <w:p>
      <w:pPr>
        <w:spacing w:line="4857" w:lineRule="exact"/>
        <w:ind w:left="1112"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255203" cy="308457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255203" cy="3084576"/>
                    </a:xfrm>
                    <a:prstGeom prst="rect">
                      <a:avLst/>
                    </a:prstGeom>
                  </pic:spPr>
                </pic:pic>
              </a:graphicData>
            </a:graphic>
          </wp:inline>
        </w:drawing>
      </w:r>
      <w:r>
        <w:rPr>
          <w:rFonts w:ascii="宋体" w:hAnsi="宋体" w:cs="宋体" w:eastAsia="宋体" w:hint="default"/>
          <w:position w:val="-96"/>
          <w:sz w:val="20"/>
          <w:szCs w:val="20"/>
        </w:rPr>
      </w:r>
    </w:p>
    <w:p>
      <w:pPr>
        <w:pStyle w:val="BodyText"/>
        <w:spacing w:line="316" w:lineRule="auto" w:before="79"/>
        <w:ind w:right="146" w:firstLine="562"/>
        <w:jc w:val="both"/>
        <w:rPr>
          <w:rFonts w:ascii="宋体" w:hAnsi="宋体" w:cs="宋体" w:eastAsia="宋体" w:hint="default"/>
        </w:rPr>
      </w:pPr>
      <w:r>
        <w:rPr>
          <w:spacing w:val="-1"/>
        </w:rPr>
        <w:t>报告期内，在董事会的领导和全体员工的共同努力下，公司实现营业收入</w:t>
      </w:r>
      <w:r>
        <w:rPr>
          <w:rFonts w:ascii="宋体" w:hAnsi="宋体" w:cs="宋体" w:eastAsia="宋体" w:hint="default"/>
          <w:spacing w:val="-1"/>
        </w:rPr>
        <w:t>115,295.29</w:t>
      </w:r>
      <w:r>
        <w:rPr>
          <w:spacing w:val="-1"/>
        </w:rPr>
        <w:t>万元，同比增长</w:t>
      </w:r>
      <w:r>
        <w:rPr>
          <w:rFonts w:ascii="宋体" w:hAnsi="宋体" w:cs="宋体" w:eastAsia="宋体" w:hint="default"/>
          <w:spacing w:val="-1"/>
        </w:rPr>
        <w:t>110.15%</w:t>
      </w:r>
      <w:r>
        <w:rPr>
          <w:spacing w:val="-1"/>
        </w:rPr>
        <w:t>，实现</w:t>
      </w:r>
      <w:r>
        <w:rPr/>
        <w:t> </w:t>
      </w:r>
      <w:r>
        <w:rPr>
          <w:spacing w:val="2"/>
        </w:rPr>
        <w:t>利润总额</w:t>
      </w:r>
      <w:r>
        <w:rPr>
          <w:rFonts w:ascii="宋体" w:hAnsi="宋体" w:cs="宋体" w:eastAsia="宋体" w:hint="default"/>
          <w:spacing w:val="2"/>
        </w:rPr>
        <w:t>20,064.07</w:t>
      </w:r>
      <w:r>
        <w:rPr>
          <w:spacing w:val="2"/>
        </w:rPr>
        <w:t>万元，比上年同期增长</w:t>
      </w:r>
      <w:r>
        <w:rPr>
          <w:rFonts w:ascii="宋体" w:hAnsi="宋体" w:cs="宋体" w:eastAsia="宋体" w:hint="default"/>
          <w:spacing w:val="2"/>
        </w:rPr>
        <w:t>171.66%</w:t>
      </w:r>
      <w:r>
        <w:rPr>
          <w:spacing w:val="2"/>
        </w:rPr>
        <w:t>；实现归属于上市公司股东的净利润</w:t>
      </w:r>
      <w:r>
        <w:rPr>
          <w:rFonts w:ascii="宋体" w:hAnsi="宋体" w:cs="宋体" w:eastAsia="宋体" w:hint="default"/>
          <w:spacing w:val="2"/>
        </w:rPr>
        <w:t>16,324.42</w:t>
      </w:r>
      <w:r>
        <w:rPr>
          <w:spacing w:val="2"/>
        </w:rPr>
        <w:t>万元，比上年同期增长</w:t>
      </w:r>
      <w:r>
        <w:rPr>
          <w:spacing w:val="-67"/>
        </w:rPr>
        <w:t> </w:t>
      </w:r>
      <w:r>
        <w:rPr>
          <w:spacing w:val="-67"/>
        </w:rPr>
      </w:r>
      <w:r>
        <w:rPr>
          <w:rFonts w:ascii="宋体" w:hAnsi="宋体" w:cs="宋体" w:eastAsia="宋体" w:hint="default"/>
        </w:rPr>
        <w:t>159.10%</w:t>
      </w:r>
      <w:r>
        <w:rPr/>
        <w:t>。公司总体经营情况如下：</w:t>
      </w:r>
      <w:r>
        <w:rPr>
          <w:rFonts w:ascii="宋体" w:hAnsi="宋体" w:cs="宋体" w:eastAsia="宋体" w:hint="default"/>
        </w:rPr>
        <w:t> </w:t>
      </w:r>
    </w:p>
    <w:p>
      <w:pPr>
        <w:pStyle w:val="Heading5"/>
        <w:spacing w:line="275" w:lineRule="exact"/>
        <w:ind w:right="0"/>
        <w:jc w:val="left"/>
        <w:rPr>
          <w:b w:val="0"/>
          <w:bCs w:val="0"/>
        </w:rPr>
      </w:pPr>
      <w:r>
        <w:rPr/>
        <w:t>（一）立足医疗卫生信息化行业，持续扩大综合优势，提高市场占有率，推进业务布局</w:t>
      </w:r>
      <w:r>
        <w:rPr>
          <w:b w:val="0"/>
          <w:bCs w:val="0"/>
        </w:rPr>
      </w:r>
    </w:p>
    <w:p>
      <w:pPr>
        <w:pStyle w:val="BodyText"/>
        <w:spacing w:line="307" w:lineRule="auto" w:before="56"/>
        <w:ind w:right="150" w:firstLine="360"/>
        <w:jc w:val="both"/>
      </w:pPr>
      <w:r>
        <w:rPr>
          <w:spacing w:val="-2"/>
        </w:rPr>
        <w:t>报告期内，公司继续坚持立足医疗卫生信息化行业，持续扩大综合优势提高市场占有率，与往年相比公司与医疗机构的</w:t>
      </w:r>
      <w:r>
        <w:rPr/>
        <w:t> </w:t>
      </w:r>
      <w:r>
        <w:rPr>
          <w:spacing w:val="-2"/>
        </w:rPr>
        <w:t>千万级大项目订单数量有显著增加；同时，公司重点加强地市级和区县级营销网络的建设，目前营销网络已遍及全国</w:t>
      </w:r>
      <w:r>
        <w:rPr>
          <w:rFonts w:ascii="Times New Roman" w:hAnsi="Times New Roman" w:cs="Times New Roman" w:eastAsia="Times New Roman" w:hint="default"/>
          <w:spacing w:val="-2"/>
        </w:rPr>
        <w:t>30</w:t>
      </w:r>
      <w:r>
        <w:rPr>
          <w:spacing w:val="-2"/>
        </w:rPr>
        <w:t>多个</w:t>
      </w:r>
      <w:r>
        <w:rPr>
          <w:spacing w:val="-63"/>
        </w:rPr>
        <w:t> </w:t>
      </w:r>
      <w:r>
        <w:rPr>
          <w:spacing w:val="-1"/>
        </w:rPr>
        <w:t>省、自治区、直辖，市，用户数量增长到</w:t>
      </w:r>
      <w:r>
        <w:rPr>
          <w:rFonts w:ascii="Times New Roman" w:hAnsi="Times New Roman" w:cs="Times New Roman" w:eastAsia="Times New Roman" w:hint="default"/>
          <w:spacing w:val="-1"/>
        </w:rPr>
        <w:t>6,000</w:t>
      </w:r>
      <w:r>
        <w:rPr>
          <w:spacing w:val="-1"/>
        </w:rPr>
        <w:t>多家，公共卫生项目遍及全国</w:t>
      </w:r>
      <w:r>
        <w:rPr>
          <w:rFonts w:ascii="Times New Roman" w:hAnsi="Times New Roman" w:cs="Times New Roman" w:eastAsia="Times New Roman" w:hint="default"/>
          <w:spacing w:val="-1"/>
        </w:rPr>
        <w:t>200</w:t>
      </w:r>
      <w:r>
        <w:rPr>
          <w:spacing w:val="-1"/>
        </w:rPr>
        <w:t>多个区县；在客户拓展方面分别在福建、甘</w:t>
      </w:r>
      <w:r>
        <w:rPr>
          <w:spacing w:val="-74"/>
        </w:rPr>
        <w:t> </w:t>
      </w:r>
      <w:r>
        <w:rPr>
          <w:spacing w:val="-74"/>
        </w:rPr>
      </w:r>
      <w:r>
        <w:rPr/>
        <w:t>肃、贵州等往年公司相对较为薄弱的区域有了可喜的业务突破和布局渗透。</w:t>
      </w:r>
    </w:p>
    <w:p>
      <w:pPr>
        <w:pStyle w:val="BodyText"/>
        <w:spacing w:line="316" w:lineRule="auto" w:before="26"/>
        <w:ind w:right="152" w:firstLine="360"/>
        <w:jc w:val="both"/>
      </w:pPr>
      <w:r>
        <w:rPr>
          <w:spacing w:val="-2"/>
        </w:rPr>
        <w:t>另外，报告期内，公司通过外延式扩张方式收购博泰服务、美诺泰科、杭州卓腾，控股梅清数码，新设了医康数据，进</w:t>
      </w:r>
      <w:r>
        <w:rPr/>
        <w:t> </w:t>
      </w:r>
      <w:r>
        <w:rPr>
          <w:spacing w:val="-2"/>
        </w:rPr>
        <w:t>一步扩展和完善了公司业务布局，丰富了产品体系，提高了医疗健康信息化领域的市场份额，夯实了公司客户资源基础，提</w:t>
      </w:r>
      <w:r>
        <w:rPr>
          <w:spacing w:val="-66"/>
        </w:rPr>
        <w:t> </w:t>
      </w:r>
      <w:r>
        <w:rPr>
          <w:spacing w:val="-66"/>
        </w:rPr>
      </w:r>
      <w:r>
        <w:rPr>
          <w:spacing w:val="-2"/>
        </w:rPr>
        <w:t>升了公司产品服务模式和服务质量。博泰服务的</w:t>
      </w:r>
      <w:r>
        <w:rPr>
          <w:rFonts w:ascii="宋体" w:hAnsi="宋体" w:cs="宋体" w:eastAsia="宋体" w:hint="default"/>
          <w:spacing w:val="-2"/>
        </w:rPr>
        <w:t>IT</w:t>
      </w:r>
      <w:r>
        <w:rPr>
          <w:spacing w:val="-2"/>
        </w:rPr>
        <w:t>运维服务已经成为公司业务的重要组成部分，使公司业务在金融自助设备</w:t>
      </w:r>
      <w:r>
        <w:rPr>
          <w:spacing w:val="-62"/>
        </w:rPr>
        <w:t> </w:t>
      </w:r>
      <w:r>
        <w:rPr>
          <w:spacing w:val="-62"/>
        </w:rPr>
      </w:r>
      <w:r>
        <w:rPr/>
        <w:t>和医疗产业的技术运维服务领域实现进一步拓展。</w:t>
      </w:r>
    </w:p>
    <w:p>
      <w:pPr>
        <w:spacing w:line="468" w:lineRule="exact" w:before="10"/>
        <w:ind w:left="513" w:right="0" w:firstLine="201"/>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（二）公司健康城市大数据</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互联网产品获得突破，成果喜人 </w:t>
      </w:r>
      <w:r>
        <w:rPr>
          <w:rFonts w:ascii="宋体" w:hAnsi="宋体" w:cs="宋体" w:eastAsia="宋体" w:hint="default"/>
          <w:spacing w:val="-1"/>
          <w:sz w:val="18"/>
          <w:szCs w:val="18"/>
        </w:rPr>
        <w:t>报告期内，公司继续秉承</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创造数字医卫、服务健康事业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的企业愿景并结合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健康</w:t>
      </w:r>
      <w:r>
        <w:rPr>
          <w:rFonts w:ascii="Times New Roman" w:hAnsi="Times New Roman" w:cs="Times New Roman" w:eastAsia="Times New Roman" w:hint="default"/>
          <w:spacing w:val="-1"/>
          <w:sz w:val="18"/>
          <w:szCs w:val="18"/>
        </w:rPr>
        <w:t>2030”</w:t>
      </w:r>
      <w:r>
        <w:rPr>
          <w:rFonts w:ascii="宋体" w:hAnsi="宋体" w:cs="宋体" w:eastAsia="宋体" w:hint="default"/>
          <w:spacing w:val="-1"/>
          <w:sz w:val="18"/>
          <w:szCs w:val="18"/>
        </w:rPr>
        <w:t>的新形势，认真研究和思考了智</w:t>
      </w:r>
    </w:p>
    <w:p>
      <w:pPr>
        <w:pStyle w:val="BodyText"/>
        <w:spacing w:line="319" w:lineRule="auto" w:before="8"/>
        <w:ind w:right="150"/>
        <w:jc w:val="both"/>
      </w:pPr>
      <w:r>
        <w:rPr>
          <w:spacing w:val="-2"/>
        </w:rPr>
        <w:t>慧医疗、区域卫生、健康城市、健康数据、人工智能等新产品、新市场的潜在空间、竞争格局、产品化程度等多种因素，已</w:t>
      </w:r>
      <w:r>
        <w:rPr>
          <w:spacing w:val="-65"/>
        </w:rPr>
        <w:t> </w:t>
      </w:r>
      <w:r>
        <w:rPr>
          <w:spacing w:val="-65"/>
        </w:rPr>
      </w:r>
      <w:r>
        <w:rPr>
          <w:spacing w:val="-2"/>
        </w:rPr>
        <w:t>决定将大数据人工智能应用的智能医疗信息系统（智慧医疗）和区域医疗健康运维服务（健康城市）领域作为未来重点拓展</w:t>
      </w:r>
      <w:r>
        <w:rPr>
          <w:spacing w:val="-64"/>
        </w:rPr>
        <w:t> </w:t>
      </w:r>
      <w:r>
        <w:rPr>
          <w:spacing w:val="-64"/>
        </w:rPr>
      </w:r>
      <w:r>
        <w:rPr/>
        <w:t>方向。</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279" w:firstLine="360"/>
        <w:jc w:val="left"/>
      </w:pPr>
      <w:r>
        <w:rPr>
          <w:spacing w:val="-5"/>
        </w:rPr>
        <w:t>报告期内，公司基于大数据的区域卫生平台、临床科研和诊断平台产品研发已进入成熟期，公司大数据产品获得了突破，</w:t>
      </w:r>
      <w:r>
        <w:rPr/>
        <w:t> 进入了产业化市场推广的重要阶段。同时，公司中山健康城市项目也获得了突破，树立区域平台典范。</w:t>
      </w:r>
    </w:p>
    <w:p>
      <w:pPr>
        <w:pStyle w:val="Heading5"/>
        <w:spacing w:line="275" w:lineRule="exact"/>
        <w:ind w:left="513" w:right="0"/>
        <w:jc w:val="left"/>
        <w:rPr>
          <w:b w:val="0"/>
          <w:bCs w:val="0"/>
        </w:rPr>
      </w:pPr>
      <w:r>
        <w:rPr>
          <w:rFonts w:ascii="Times New Roman" w:hAnsi="Times New Roman" w:cs="Times New Roman" w:eastAsia="Times New Roman" w:hint="default"/>
        </w:rPr>
        <w:t>1</w:t>
      </w:r>
      <w:r>
        <w:rPr/>
        <w:t>、健康城市大数据</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医疗服务模式项目落地</w:t>
      </w:r>
      <w:r>
        <w:rPr>
          <w:b w:val="0"/>
          <w:bCs w:val="0"/>
        </w:rPr>
      </w:r>
    </w:p>
    <w:p>
      <w:pPr>
        <w:pStyle w:val="BodyText"/>
        <w:spacing w:line="304" w:lineRule="auto" w:before="56"/>
        <w:ind w:right="0" w:firstLine="360"/>
        <w:jc w:val="left"/>
      </w:pPr>
      <w:r>
        <w:rPr/>
        <w:t>在</w:t>
      </w:r>
      <w:r>
        <w:rPr>
          <w:rFonts w:ascii="Times New Roman" w:hAnsi="Times New Roman" w:cs="Times New Roman" w:eastAsia="Times New Roman" w:hint="default"/>
        </w:rPr>
        <w:t>2017</w:t>
      </w:r>
      <w:r>
        <w:rPr/>
        <w:t>年内公司相继承建了</w:t>
      </w:r>
      <w:r>
        <w:rPr>
          <w:rFonts w:ascii="Times New Roman" w:hAnsi="Times New Roman" w:cs="Times New Roman" w:eastAsia="Times New Roman" w:hint="default"/>
        </w:rPr>
        <w:t>“</w:t>
      </w:r>
      <w:r>
        <w:rPr/>
        <w:t>南京市浦口区区域卫生大数据项目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桐乡市区域卫生大数据项目</w:t>
      </w:r>
      <w:r>
        <w:rPr>
          <w:rFonts w:ascii="Times New Roman" w:hAnsi="Times New Roman" w:cs="Times New Roman" w:eastAsia="Times New Roman" w:hint="default"/>
        </w:rPr>
        <w:t>”</w:t>
      </w:r>
      <w:r>
        <w:rPr/>
        <w:t>，建立起了人口健康大 数据中心样板城市，通过大数据平台和分析技术，对现有的区域卫生信息平台、区域医疗平台及互联网</w:t>
      </w:r>
      <w:r>
        <w:rPr>
          <w:rFonts w:ascii="Times New Roman" w:hAnsi="Times New Roman" w:cs="Times New Roman" w:eastAsia="Times New Roman" w:hint="default"/>
        </w:rPr>
        <w:t>APP</w:t>
      </w:r>
      <w:r>
        <w:rPr/>
        <w:t>进行业务整合，</w:t>
      </w:r>
      <w:r>
        <w:rPr>
          <w:spacing w:val="-56"/>
        </w:rPr>
        <w:t> </w:t>
      </w:r>
      <w:r>
        <w:rPr/>
        <w:t>实现了全新的健康城市大数据</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医疗服务模式，通过互联网应用完善整合资源，居民通过手机等终端设备可享受全</w:t>
      </w:r>
      <w:r>
        <w:rPr>
          <w:spacing w:val="-24"/>
        </w:rPr>
        <w:t> </w:t>
      </w:r>
      <w:r>
        <w:rPr>
          <w:spacing w:val="-24"/>
        </w:rPr>
      </w:r>
      <w:r>
        <w:rPr>
          <w:spacing w:val="-2"/>
        </w:rPr>
        <w:t>流程的实时医疗卫生服务，包括智能导诊、预约挂号、在线付费、候诊、检查检验结果推送、诊后回访及服务态度及质量评</w:t>
      </w:r>
      <w:r>
        <w:rPr>
          <w:spacing w:val="-68"/>
        </w:rPr>
        <w:t> </w:t>
      </w:r>
      <w:r>
        <w:rPr>
          <w:spacing w:val="-68"/>
        </w:rPr>
      </w:r>
      <w:r>
        <w:rPr/>
        <w:t>价等，为居民提供便捷的就医帮助、精确高效的健康管理等服务。</w:t>
      </w:r>
    </w:p>
    <w:p>
      <w:pPr>
        <w:pStyle w:val="Heading5"/>
        <w:spacing w:line="284" w:lineRule="exact"/>
        <w:ind w:left="513" w:right="0"/>
        <w:jc w:val="left"/>
        <w:rPr>
          <w:b w:val="0"/>
          <w:bCs w:val="0"/>
        </w:rPr>
      </w:pPr>
      <w:r>
        <w:rPr>
          <w:rFonts w:ascii="Times New Roman" w:hAnsi="Times New Roman" w:cs="Times New Roman" w:eastAsia="Times New Roman" w:hint="default"/>
        </w:rPr>
        <w:t>2</w:t>
      </w:r>
      <w:r>
        <w:rPr/>
        <w:t>、互联网健康医疗协同大数据技术产品进行应用实践</w:t>
      </w:r>
      <w:r>
        <w:rPr>
          <w:b w:val="0"/>
          <w:bCs w:val="0"/>
        </w:rPr>
      </w:r>
    </w:p>
    <w:p>
      <w:pPr>
        <w:pStyle w:val="BodyText"/>
        <w:spacing w:line="300" w:lineRule="auto" w:before="56"/>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月，公司中标福建医科大学附属协和医院</w:t>
      </w:r>
      <w:r>
        <w:rPr>
          <w:rFonts w:ascii="Times New Roman" w:hAnsi="Times New Roman" w:cs="Times New Roman" w:eastAsia="Times New Roman" w:hint="default"/>
          <w:spacing w:val="-2"/>
        </w:rPr>
        <w:t>“</w:t>
      </w:r>
      <w:r>
        <w:rPr>
          <w:spacing w:val="-2"/>
        </w:rPr>
        <w:t>医疗大数据挖掘分析平台</w:t>
      </w:r>
      <w:r>
        <w:rPr>
          <w:rFonts w:ascii="Times New Roman" w:hAnsi="Times New Roman" w:cs="Times New Roman" w:eastAsia="Times New Roman" w:hint="default"/>
          <w:spacing w:val="-2"/>
        </w:rPr>
        <w:t>”</w:t>
      </w:r>
      <w:r>
        <w:rPr>
          <w:spacing w:val="-2"/>
        </w:rPr>
        <w:t>项目，该项目系国内首个真正意义上能够</w:t>
      </w:r>
      <w:r>
        <w:rPr/>
        <w:t> 实现实时大数据分析的医疗大数据产品的落地，是公司互联网健康医疗协同大数据技术基础研究的重要应用实践。</w:t>
      </w:r>
    </w:p>
    <w:p>
      <w:pPr>
        <w:pStyle w:val="BodyText"/>
        <w:spacing w:line="314" w:lineRule="auto" w:before="32"/>
        <w:ind w:right="290" w:firstLine="360"/>
        <w:jc w:val="both"/>
      </w:pPr>
      <w:r>
        <w:rPr/>
        <w:t>该大数据平台采用了大数据、人工智能和知识图谱等最新的技术手段，医生和科研人员通过该平台实现对文本电子病 </w:t>
      </w:r>
      <w:r>
        <w:rPr>
          <w:spacing w:val="-2"/>
        </w:rPr>
        <w:t>历、数值检查检验、医学影像等结构化、非结构化数据进行深度挖掘和科学分析，使得医疗科研手段和方法、效率和准确性</w:t>
      </w:r>
      <w:r>
        <w:rPr>
          <w:spacing w:val="-67"/>
        </w:rPr>
        <w:t> </w:t>
      </w:r>
      <w:r>
        <w:rPr>
          <w:spacing w:val="-67"/>
        </w:rPr>
      </w:r>
      <w:r>
        <w:rPr>
          <w:spacing w:val="-1"/>
        </w:rPr>
        <w:t>大为提高。项目将实现一个支持海量</w:t>
      </w:r>
      <w:r>
        <w:rPr>
          <w:rFonts w:ascii="Times New Roman" w:hAnsi="Times New Roman" w:cs="Times New Roman" w:eastAsia="Times New Roman" w:hint="default"/>
          <w:spacing w:val="-1"/>
        </w:rPr>
        <w:t>PB</w:t>
      </w:r>
      <w:r>
        <w:rPr>
          <w:spacing w:val="-1"/>
        </w:rPr>
        <w:t>级别（</w:t>
      </w:r>
      <w:r>
        <w:rPr>
          <w:rFonts w:ascii="Times New Roman" w:hAnsi="Times New Roman" w:cs="Times New Roman" w:eastAsia="Times New Roman" w:hint="default"/>
          <w:spacing w:val="-1"/>
        </w:rPr>
        <w:t>1PB=1024TB</w:t>
      </w:r>
      <w:r>
        <w:rPr>
          <w:spacing w:val="-1"/>
        </w:rPr>
        <w:t>）医疗历史数据实时结构化语义检索、响应效率高的医疗大数据</w:t>
      </w:r>
      <w:r>
        <w:rPr>
          <w:spacing w:val="-81"/>
        </w:rPr>
        <w:t> </w:t>
      </w:r>
      <w:r>
        <w:rPr>
          <w:spacing w:val="-81"/>
        </w:rPr>
      </w:r>
      <w:r>
        <w:rPr>
          <w:spacing w:val="-2"/>
        </w:rPr>
        <w:t>挖掘分析平台，针对医生的科研和临床需求，提供病历精准检索、导出，数据统计分析、人工智能挖掘分析、精准医疗辅助</w:t>
      </w:r>
      <w:r>
        <w:rPr>
          <w:spacing w:val="-70"/>
        </w:rPr>
        <w:t> </w:t>
      </w:r>
      <w:r>
        <w:rPr>
          <w:spacing w:val="-70"/>
        </w:rPr>
      </w:r>
      <w:r>
        <w:rPr/>
        <w:t>等全面科研、临床辅助诊断服务平台，提升科研效率，共享科研成果。</w:t>
      </w:r>
    </w:p>
    <w:p>
      <w:pPr>
        <w:pStyle w:val="Heading5"/>
        <w:spacing w:line="277" w:lineRule="exact"/>
        <w:ind w:left="513" w:right="0"/>
        <w:jc w:val="left"/>
        <w:rPr>
          <w:b w:val="0"/>
          <w:bCs w:val="0"/>
        </w:rPr>
      </w:pPr>
      <w:r>
        <w:rPr>
          <w:rFonts w:ascii="Times New Roman" w:hAnsi="Times New Roman" w:cs="Times New Roman" w:eastAsia="Times New Roman" w:hint="default"/>
        </w:rPr>
        <w:t>3</w:t>
      </w:r>
      <w:r>
        <w:rPr/>
        <w:t>、中山健康城市项目取得阶段性突破，树立区域平台典范</w:t>
      </w:r>
      <w:r>
        <w:rPr>
          <w:b w:val="0"/>
          <w:bCs w:val="0"/>
        </w:rPr>
      </w:r>
    </w:p>
    <w:p>
      <w:pPr>
        <w:pStyle w:val="BodyText"/>
        <w:spacing w:line="316" w:lineRule="auto" w:before="56"/>
        <w:ind w:right="194" w:firstLine="360"/>
        <w:jc w:val="left"/>
      </w:pPr>
      <w:r>
        <w:rPr/>
        <w:pict>
          <v:shape style="position:absolute;margin-left:105.599998pt;margin-top:64.861717pt;width:384pt;height:280.56pt;mso-position-horizontal-relative:page;mso-position-vertical-relative:paragraph;z-index:-979648" type="#_x0000_t75" stroked="false">
            <v:imagedata r:id="rId15" o:title=""/>
          </v:shape>
        </w:pict>
      </w:r>
      <w:r>
        <w:rPr>
          <w:spacing w:val="-2"/>
        </w:rPr>
        <w:t>公司开展的中山健康城市项目是促成区域级医疗机构、药店、保险、健康服务、支付等医疗健康服务业务协同，有效的</w:t>
      </w:r>
      <w:r>
        <w:rPr/>
        <w:t> </w:t>
      </w:r>
      <w:r>
        <w:rPr>
          <w:spacing w:val="-2"/>
        </w:rPr>
        <w:t>展开区域医疗合作的重要探索和示范项目。未来，公司将促成基于中山健康城市项目产业生态圈的形成，形成一个由医疗机</w:t>
      </w:r>
      <w:r>
        <w:rPr>
          <w:spacing w:val="-66"/>
        </w:rPr>
        <w:t> </w:t>
      </w:r>
      <w:r>
        <w:rPr>
          <w:spacing w:val="-66"/>
        </w:rPr>
      </w:r>
      <w:r>
        <w:rPr/>
        <w:t>构、线下药店、个人健康服务、保险服务、聚合支付业务大产业联盟。为公司从医疗信息化建设企业发展成集建设，服务，</w:t>
      </w:r>
      <w:r>
        <w:rPr>
          <w:spacing w:val="-83"/>
        </w:rPr>
        <w:t> </w:t>
      </w:r>
      <w:r>
        <w:rPr>
          <w:spacing w:val="-83"/>
        </w:rPr>
      </w:r>
      <w:r>
        <w:rPr/>
        <w:t>运营为一体的医疗信息化，健康产业化集成企业迈出了重要的一步。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83" w:lineRule="auto" w:before="161"/>
        <w:ind w:left="513" w:right="0" w:firstLine="3946"/>
        <w:jc w:val="left"/>
      </w:pPr>
      <w:r>
        <w:rPr>
          <w:rFonts w:ascii="Microsoft JhengHei" w:hAnsi="Microsoft JhengHei" w:cs="Microsoft JhengHei" w:eastAsia="Microsoft JhengHei" w:hint="default"/>
          <w:b/>
          <w:bCs/>
          <w:w w:val="105"/>
        </w:rPr>
        <w:t>△中山大项目构架</w:t>
      </w:r>
      <w:r>
        <w:rPr>
          <w:rFonts w:ascii="Microsoft JhengHei" w:hAnsi="Microsoft JhengHei" w:cs="Microsoft JhengHei" w:eastAsia="Microsoft JhengHei" w:hint="default"/>
          <w:b/>
          <w:bCs/>
        </w:rPr>
        <w:t> </w:t>
      </w:r>
      <w:r>
        <w:rPr>
          <w:spacing w:val="-2"/>
        </w:rPr>
        <w:t>报告期内，中山市区域卫生信息平台建设营运项目按照合同要求，在进一步完善区域卫生信息平台的基础上，全面启动</w:t>
      </w:r>
    </w:p>
    <w:p>
      <w:pPr>
        <w:pStyle w:val="BodyText"/>
        <w:spacing w:line="319" w:lineRule="auto" w:before="44"/>
        <w:ind w:right="0"/>
        <w:jc w:val="left"/>
      </w:pPr>
      <w:r>
        <w:rPr/>
        <w:t>了基于平台的六大类应用系统建设。中山市区域卫生信息平台的基础架构已经搭建完成，基于平台的六大类业务管理系统建 设正全面推进，平台作为全市健康数据汇聚和业务协同的枢纽、各项医改政策落地和惠民便民应用的有力抓手及工具的整体 </w:t>
      </w:r>
      <w:r>
        <w:rPr>
          <w:spacing w:val="-3"/>
        </w:rPr>
        <w:t>功能和效用逐步显现。中山市医疗数据在区域卫生信息平台上已实现互联互通，基于</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移动医疗</w:t>
      </w:r>
      <w:r>
        <w:rPr>
          <w:rFonts w:ascii="Times New Roman" w:hAnsi="Times New Roman" w:cs="Times New Roman" w:eastAsia="Times New Roman" w:hint="default"/>
          <w:spacing w:val="-3"/>
        </w:rPr>
        <w:t>”</w:t>
      </w:r>
      <w:r>
        <w:rPr>
          <w:spacing w:val="-3"/>
        </w:rPr>
        <w:t>理念的健康中山</w:t>
      </w:r>
      <w:r>
        <w:rPr>
          <w:rFonts w:ascii="Times New Roman" w:hAnsi="Times New Roman" w:cs="Times New Roman" w:eastAsia="Times New Roman" w:hint="default"/>
          <w:spacing w:val="-3"/>
        </w:rPr>
        <w:t>APP</w:t>
      </w:r>
      <w:r>
        <w:rPr>
          <w:spacing w:val="-3"/>
        </w:rPr>
        <w:t>、</w:t>
      </w:r>
    </w:p>
    <w:p>
      <w:pPr>
        <w:spacing w:after="0" w:line="319" w:lineRule="auto"/>
        <w:jc w:val="left"/>
        <w:sectPr>
          <w:pgSz w:w="11910" w:h="16840"/>
          <w:pgMar w:header="745" w:footer="979" w:top="1060" w:bottom="1160" w:left="980" w:right="8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健康微信公众服务号等应用都已对公众开放。截至报告期，公司中山健康城市项目已取得了以下成果：</w:t>
      </w:r>
    </w:p>
    <w:p>
      <w:pPr>
        <w:pStyle w:val="BodyText"/>
        <w:spacing w:line="300" w:lineRule="auto" w:before="76"/>
        <w:ind w:right="151" w:firstLine="360"/>
        <w:jc w:val="both"/>
      </w:pPr>
      <w:r>
        <w:rPr>
          <w:spacing w:val="-3"/>
        </w:rPr>
        <w:t>（</w:t>
      </w:r>
      <w:r>
        <w:rPr>
          <w:rFonts w:ascii="Times New Roman" w:hAnsi="Times New Roman" w:cs="Times New Roman" w:eastAsia="Times New Roman" w:hint="default"/>
          <w:spacing w:val="-3"/>
        </w:rPr>
        <w:t>1</w:t>
      </w:r>
      <w:r>
        <w:rPr>
          <w:spacing w:val="-3"/>
        </w:rPr>
        <w:t>）大数据采集与沉淀：中山平台运行以来，共采集诊疗数据</w:t>
      </w:r>
      <w:r>
        <w:rPr>
          <w:rFonts w:ascii="Times New Roman" w:hAnsi="Times New Roman" w:cs="Times New Roman" w:eastAsia="Times New Roman" w:hint="default"/>
          <w:spacing w:val="-3"/>
        </w:rPr>
        <w:t>3.15</w:t>
      </w:r>
      <w:r>
        <w:rPr>
          <w:spacing w:val="-3"/>
        </w:rPr>
        <w:t>亿条，医生坐诊时调阅健康档案</w:t>
      </w:r>
      <w:r>
        <w:rPr>
          <w:rFonts w:ascii="Times New Roman" w:hAnsi="Times New Roman" w:cs="Times New Roman" w:eastAsia="Times New Roman" w:hint="default"/>
          <w:spacing w:val="-3"/>
        </w:rPr>
        <w:t>10</w:t>
      </w:r>
      <w:r>
        <w:rPr>
          <w:spacing w:val="-3"/>
        </w:rPr>
        <w:t>多万次，为实现下</w:t>
      </w:r>
      <w:r>
        <w:rPr/>
        <w:t> 一阶段大数据应用及智慧医疗奠定了基础。</w:t>
      </w:r>
    </w:p>
    <w:p>
      <w:pPr>
        <w:pStyle w:val="BodyText"/>
        <w:spacing w:line="300" w:lineRule="auto" w:before="31"/>
        <w:ind w:right="152" w:firstLine="360"/>
        <w:jc w:val="both"/>
      </w:pPr>
      <w:r>
        <w:rPr/>
        <w:t>（</w:t>
      </w:r>
      <w:r>
        <w:rPr>
          <w:rFonts w:ascii="Times New Roman" w:hAnsi="Times New Roman" w:cs="Times New Roman" w:eastAsia="Times New Roman" w:hint="default"/>
        </w:rPr>
        <w:t>2</w:t>
      </w:r>
      <w:r>
        <w:rPr/>
        <w:t>）城市级医疗就诊结算互联互通：基于信息平台的城市</w:t>
      </w:r>
      <w:r>
        <w:rPr>
          <w:rFonts w:ascii="Times New Roman" w:hAnsi="Times New Roman" w:cs="Times New Roman" w:eastAsia="Times New Roman" w:hint="default"/>
        </w:rPr>
        <w:t>“</w:t>
      </w:r>
      <w:r>
        <w:rPr/>
        <w:t>健康一卡通</w:t>
      </w:r>
      <w:r>
        <w:rPr>
          <w:rFonts w:ascii="Times New Roman" w:hAnsi="Times New Roman" w:cs="Times New Roman" w:eastAsia="Times New Roman" w:hint="default"/>
        </w:rPr>
        <w:t>”</w:t>
      </w:r>
      <w:r>
        <w:rPr/>
        <w:t>工程、统一的预约挂号平台以及聚合支付在健 康中山</w:t>
      </w:r>
      <w:r>
        <w:rPr>
          <w:rFonts w:ascii="Times New Roman" w:hAnsi="Times New Roman" w:cs="Times New Roman" w:eastAsia="Times New Roman" w:hint="default"/>
        </w:rPr>
        <w:t>APP</w:t>
      </w:r>
      <w:r>
        <w:rPr/>
        <w:t>的部署，中山市三甲医院、各镇区医院和社区卫生服务中心的医生和居民已开始享受到信息共享带来的便利。</w:t>
      </w:r>
    </w:p>
    <w:p>
      <w:pPr>
        <w:pStyle w:val="BodyText"/>
        <w:spacing w:line="300" w:lineRule="auto" w:before="13"/>
        <w:ind w:right="151" w:firstLine="360"/>
        <w:jc w:val="both"/>
      </w:pPr>
      <w:r>
        <w:rPr/>
        <w:t>（</w:t>
      </w:r>
      <w:r>
        <w:rPr>
          <w:rFonts w:ascii="Times New Roman" w:hAnsi="Times New Roman" w:cs="Times New Roman" w:eastAsia="Times New Roman" w:hint="default"/>
        </w:rPr>
        <w:t>3</w:t>
      </w:r>
      <w:r>
        <w:rPr/>
        <w:t>）商保线上理赔和家庭医生服务管理项目顺利开展：商保线上理赔系统完成了试点工作，并在全市进行推广，为今 </w:t>
      </w:r>
      <w:r>
        <w:rPr>
          <w:spacing w:val="-1"/>
        </w:rPr>
        <w:t>后商保理赔结算等运营模式打下了坚实的基础和保障；家庭医生服务管理项目有近万名居民通过</w:t>
      </w:r>
      <w:r>
        <w:rPr>
          <w:rFonts w:ascii="Times New Roman" w:hAnsi="Times New Roman" w:cs="Times New Roman" w:eastAsia="Times New Roman" w:hint="default"/>
          <w:spacing w:val="-1"/>
        </w:rPr>
        <w:t>APP</w:t>
      </w:r>
      <w:r>
        <w:rPr>
          <w:spacing w:val="-1"/>
        </w:rPr>
        <w:t>成功完成签约并接受家</w:t>
      </w:r>
      <w:r>
        <w:rPr/>
        <w:t> 庭医生管理服务。</w:t>
      </w:r>
    </w:p>
    <w:p>
      <w:pPr>
        <w:pStyle w:val="Heading5"/>
        <w:spacing w:line="287" w:lineRule="exact"/>
        <w:ind w:left="513" w:right="0"/>
        <w:jc w:val="left"/>
        <w:rPr>
          <w:b w:val="0"/>
          <w:bCs w:val="0"/>
        </w:rPr>
      </w:pPr>
      <w:r>
        <w:rPr/>
        <w:t>（三）加强对外合作整合资源配置，稳步推进健康城市、大数据、人工智能应用战略部署</w:t>
      </w:r>
      <w:r>
        <w:rPr>
          <w:b w:val="0"/>
          <w:bCs w:val="0"/>
        </w:rPr>
      </w:r>
    </w:p>
    <w:p>
      <w:pPr>
        <w:pStyle w:val="BodyText"/>
        <w:spacing w:line="319" w:lineRule="auto" w:before="56"/>
        <w:ind w:right="149" w:firstLine="360"/>
        <w:jc w:val="both"/>
      </w:pPr>
      <w:r>
        <w:rPr>
          <w:spacing w:val="-2"/>
        </w:rPr>
        <w:t>报告期内，公司围绕大数据、智慧医疗（城市级）、健康大数据产品开展了积极的产业布局，已分别与华为、网易、荣</w:t>
      </w:r>
      <w:r>
        <w:rPr/>
        <w:t> </w:t>
      </w:r>
      <w:r>
        <w:rPr>
          <w:spacing w:val="-5"/>
        </w:rPr>
        <w:t>之联、浙江大学等在大数据、智慧医疗、健康数据产业方面有显著优势的单位达成了合作并签署了有关协议，通过强强联合、</w:t>
      </w:r>
      <w:r>
        <w:rPr>
          <w:spacing w:val="-78"/>
        </w:rPr>
        <w:t> </w:t>
      </w:r>
      <w:r>
        <w:rPr>
          <w:spacing w:val="-78"/>
        </w:rPr>
      </w:r>
      <w:r>
        <w:rPr>
          <w:spacing w:val="-5"/>
        </w:rPr>
        <w:t>资源整合，公司的大数据、人工智能应用战略部署不断落地，日益清晰，助力大数据应用产品成为公司未来业绩新的增长点。</w:t>
      </w:r>
      <w:r>
        <w:rPr>
          <w:spacing w:val="-78"/>
        </w:rPr>
        <w:t> </w:t>
      </w:r>
      <w:r>
        <w:rPr>
          <w:spacing w:val="-78"/>
        </w:rPr>
      </w:r>
      <w:r>
        <w:rPr/>
        <w:t>具体合作签约情况如下：</w:t>
      </w:r>
    </w:p>
    <w:p>
      <w:pPr>
        <w:pStyle w:val="BodyText"/>
        <w:spacing w:line="312" w:lineRule="auto" w:before="17"/>
        <w:ind w:right="15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月，公司与华为达成合作，双方将基于华为云开发上层应用，共同打造健康服务平台。该平台通过医疗云服务 </w:t>
      </w:r>
      <w:r>
        <w:rPr>
          <w:spacing w:val="-2"/>
        </w:rPr>
        <w:t>体系，与区域内各个卫生信息平台及各级医疗机构的业务平台对接，实现医疗机构间数据互联互通，打通健康城市</w:t>
      </w:r>
      <w:r>
        <w:rPr>
          <w:rFonts w:ascii="Times New Roman" w:hAnsi="Times New Roman" w:cs="Times New Roman" w:eastAsia="Times New Roman" w:hint="default"/>
          <w:spacing w:val="-2"/>
        </w:rPr>
        <w:t>O2O</w:t>
      </w:r>
      <w:r>
        <w:rPr>
          <w:spacing w:val="-2"/>
        </w:rPr>
        <w:t>业务</w:t>
      </w:r>
      <w:r>
        <w:rPr>
          <w:spacing w:val="-52"/>
        </w:rPr>
        <w:t> </w:t>
      </w:r>
      <w:r>
        <w:rPr>
          <w:spacing w:val="-2"/>
        </w:rPr>
        <w:t>服务通道，形成居民端、医生端、医院端等业务产品，全面升级现有的服务模式，形成及时高效的医疗卫生运营机制，为广</w:t>
      </w:r>
      <w:r>
        <w:rPr>
          <w:spacing w:val="-68"/>
        </w:rPr>
        <w:t> </w:t>
      </w:r>
      <w:r>
        <w:rPr>
          <w:spacing w:val="-68"/>
        </w:rPr>
      </w:r>
      <w:r>
        <w:rPr>
          <w:spacing w:val="-2"/>
        </w:rPr>
        <w:t>大居民提供更为优质的医疗服务。实现病患和医生的全联接，个人健康数据和临床诊疗数据的全联接，以及医院及医疗监管</w:t>
      </w:r>
      <w:r>
        <w:rPr>
          <w:spacing w:val="-63"/>
        </w:rPr>
        <w:t> </w:t>
      </w:r>
      <w:r>
        <w:rPr>
          <w:spacing w:val="-63"/>
        </w:rPr>
      </w:r>
      <w:r>
        <w:rPr>
          <w:spacing w:val="-2"/>
        </w:rPr>
        <w:t>机构各种业务系统的全联接，激发传统医疗模式不断创新、医院医疗服务水平不断提升，推进了新型健康城市的建设，助力</w:t>
      </w:r>
      <w:r>
        <w:rPr>
          <w:spacing w:val="-65"/>
        </w:rPr>
        <w:t> </w:t>
      </w:r>
      <w:r>
        <w:rPr>
          <w:spacing w:val="-65"/>
        </w:rPr>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2030”</w:t>
      </w:r>
      <w:r>
        <w:rPr/>
        <w:t>规划落地。</w:t>
      </w:r>
    </w:p>
    <w:p>
      <w:pPr>
        <w:pStyle w:val="BodyText"/>
        <w:spacing w:line="309" w:lineRule="auto" w:before="3"/>
        <w:ind w:right="15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月，公司与网易达成战略合作关系，双方将基于网易云的智慧医疗云服务平台及解决方案，共同重点研发基于</w:t>
      </w:r>
      <w:r>
        <w:rPr/>
        <w:t> </w:t>
      </w:r>
      <w:r>
        <w:rPr>
          <w:spacing w:val="-2"/>
        </w:rPr>
        <w:t>云计算的医疗行业领域的产品，主要涉及虚拟家庭医生、疾病预测、智能语音交互系统、智能居家监测、基于大数据的癌症</w:t>
      </w:r>
      <w:r>
        <w:rPr>
          <w:spacing w:val="-67"/>
        </w:rPr>
        <w:t> </w:t>
      </w:r>
      <w:r>
        <w:rPr>
          <w:spacing w:val="-67"/>
        </w:rPr>
      </w:r>
      <w:r>
        <w:rPr/>
        <w:t>预测、区域群体健康评估、科研病例数据挖掘等产品、技术领域。</w:t>
      </w:r>
    </w:p>
    <w:p>
      <w:pPr>
        <w:pStyle w:val="BodyText"/>
        <w:spacing w:line="300" w:lineRule="auto" w:before="24"/>
        <w:ind w:right="148"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月，公司与荣之联（</w:t>
      </w:r>
      <w:r>
        <w:rPr>
          <w:rFonts w:ascii="Times New Roman" w:hAnsi="Times New Roman" w:cs="Times New Roman" w:eastAsia="Times New Roman" w:hint="default"/>
          <w:spacing w:val="-2"/>
        </w:rPr>
        <w:t>SZ.002642</w:t>
      </w:r>
      <w:r>
        <w:rPr>
          <w:spacing w:val="-2"/>
        </w:rPr>
        <w:t>）达成合作，双方将通过在政府指导下建立产业联盟的方式为全国</w:t>
      </w:r>
      <w:r>
        <w:rPr>
          <w:rFonts w:ascii="Times New Roman" w:hAnsi="Times New Roman" w:cs="Times New Roman" w:eastAsia="Times New Roman" w:hint="default"/>
          <w:spacing w:val="-2"/>
        </w:rPr>
        <w:t>1</w:t>
      </w:r>
      <w:r>
        <w:rPr>
          <w:spacing w:val="-2"/>
        </w:rPr>
        <w:t>亿居民电子</w:t>
      </w:r>
      <w:r>
        <w:rPr/>
        <w:t> 健康档案大数据增加基因数据库，实现居民电子健康档案的</w:t>
      </w:r>
      <w:r>
        <w:rPr>
          <w:rFonts w:ascii="Times New Roman" w:hAnsi="Times New Roman" w:cs="Times New Roman" w:eastAsia="Times New Roman" w:hint="default"/>
        </w:rPr>
        <w:t>7+</w:t>
      </w:r>
      <w:r>
        <w:rPr/>
        <w:t>级标准。</w:t>
      </w:r>
    </w:p>
    <w:p>
      <w:pPr>
        <w:pStyle w:val="BodyText"/>
        <w:spacing w:line="300" w:lineRule="auto" w:before="13"/>
        <w:ind w:right="154"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月，公司获批设立了</w:t>
      </w:r>
      <w:r>
        <w:rPr>
          <w:rFonts w:ascii="Times New Roman" w:hAnsi="Times New Roman" w:cs="Times New Roman" w:eastAsia="Times New Roman" w:hint="default"/>
          <w:spacing w:val="-2"/>
        </w:rPr>
        <w:t>“</w:t>
      </w:r>
      <w:r>
        <w:rPr>
          <w:spacing w:val="-2"/>
        </w:rPr>
        <w:t>浙江省博士后工作站</w:t>
      </w:r>
      <w:r>
        <w:rPr>
          <w:rFonts w:ascii="Times New Roman" w:hAnsi="Times New Roman" w:cs="Times New Roman" w:eastAsia="Times New Roman" w:hint="default"/>
          <w:spacing w:val="-2"/>
        </w:rPr>
        <w:t>”</w:t>
      </w:r>
      <w:r>
        <w:rPr>
          <w:spacing w:val="-2"/>
        </w:rPr>
        <w:t>，公司将与浙江大学等省内外高校逐步建立和完善联合培养博士后</w:t>
      </w:r>
      <w:r>
        <w:rPr/>
        <w:t> 研究人员的合作机制，在基于医疗卫生、健康服务领域的大数据和人工智能关键技术应用等开展一系列深入研究。</w:t>
      </w:r>
    </w:p>
    <w:p>
      <w:pPr>
        <w:pStyle w:val="Heading5"/>
        <w:spacing w:line="287" w:lineRule="exact"/>
        <w:ind w:left="513" w:right="0"/>
        <w:jc w:val="left"/>
        <w:rPr>
          <w:b w:val="0"/>
          <w:bCs w:val="0"/>
        </w:rPr>
      </w:pPr>
      <w:r>
        <w:rPr/>
        <w:t>（四）持续加强传统软件产品技术研发，保障新产品开发与技术升级有序进行</w:t>
      </w:r>
      <w:r>
        <w:rPr>
          <w:b w:val="0"/>
          <w:bCs w:val="0"/>
        </w:rPr>
      </w:r>
    </w:p>
    <w:p>
      <w:pPr>
        <w:pStyle w:val="BodyText"/>
        <w:spacing w:line="316" w:lineRule="auto" w:before="56"/>
        <w:ind w:right="150" w:firstLine="360"/>
        <w:jc w:val="both"/>
      </w:pPr>
      <w:r>
        <w:rPr>
          <w:spacing w:val="-2"/>
        </w:rPr>
        <w:t>报告期内，公司始终坚持以技术驱动核心竞争力的运营思路，密切跟踪行业发展趋势，积极关注新医改的发展机遇，适</w:t>
      </w:r>
      <w:r>
        <w:rPr/>
        <w:t> </w:t>
      </w:r>
      <w:r>
        <w:rPr>
          <w:spacing w:val="-2"/>
        </w:rPr>
        <w:t>应市场需求，对传统的医疗卫生信息化领域产品，着力针对新产品的开发和老产品的升级换代加大研发投入，保障了新产品</w:t>
      </w:r>
      <w:r>
        <w:rPr>
          <w:spacing w:val="-63"/>
        </w:rPr>
        <w:t> </w:t>
      </w:r>
      <w:r>
        <w:rPr>
          <w:spacing w:val="-63"/>
        </w:rPr>
      </w:r>
      <w:r>
        <w:rPr/>
        <w:t>开发与技术升级有序进行。</w:t>
      </w:r>
      <w:r>
        <w:rPr>
          <w:rFonts w:ascii="宋体" w:hAnsi="宋体" w:cs="宋体" w:eastAsia="宋体" w:hint="default"/>
        </w:rPr>
        <w:t>2017</w:t>
      </w:r>
      <w:r>
        <w:rPr/>
        <w:t>年度，公司发生的研发费用</w:t>
      </w:r>
      <w:r>
        <w:rPr>
          <w:rFonts w:ascii="宋体" w:hAnsi="宋体" w:cs="宋体" w:eastAsia="宋体" w:hint="default"/>
        </w:rPr>
        <w:t>11,572.52</w:t>
      </w:r>
      <w:r>
        <w:rPr/>
        <w:t>万元，同比增长</w:t>
      </w:r>
      <w:r>
        <w:rPr>
          <w:rFonts w:ascii="宋体" w:hAnsi="宋体" w:cs="宋体" w:eastAsia="宋体" w:hint="default"/>
        </w:rPr>
        <w:t>36.90%</w:t>
      </w:r>
      <w:r>
        <w:rPr/>
        <w:t>。</w:t>
      </w:r>
    </w:p>
    <w:p>
      <w:pPr>
        <w:pStyle w:val="Heading5"/>
        <w:spacing w:line="275" w:lineRule="exact"/>
        <w:ind w:left="513" w:right="0"/>
        <w:jc w:val="left"/>
        <w:rPr>
          <w:b w:val="0"/>
          <w:bCs w:val="0"/>
        </w:rPr>
      </w:pPr>
      <w:r>
        <w:rPr>
          <w:rFonts w:ascii="Times New Roman" w:hAnsi="Times New Roman" w:cs="Times New Roman" w:eastAsia="Times New Roman" w:hint="default"/>
        </w:rPr>
        <w:t>1</w:t>
      </w:r>
      <w:r>
        <w:rPr/>
        <w:t>、公司新产品、重点项目研发成果情况</w:t>
      </w:r>
      <w:r>
        <w:rPr>
          <w:b w:val="0"/>
          <w:bCs w:val="0"/>
        </w:rPr>
      </w:r>
    </w:p>
    <w:p>
      <w:pPr>
        <w:pStyle w:val="BodyText"/>
        <w:spacing w:line="319" w:lineRule="auto" w:before="56"/>
        <w:ind w:right="153" w:firstLine="360"/>
        <w:jc w:val="both"/>
      </w:pPr>
      <w:r>
        <w:rPr>
          <w:spacing w:val="-2"/>
        </w:rPr>
        <w:t>报告期内，公司加速了产品升级换代和技术升级，增强解决方案开发能力，提升公司整体竞争力，所有项目都按计划要</w:t>
      </w:r>
      <w:r>
        <w:rPr/>
        <w:t> 求完成，取得了良好效果。具体情况如下：</w:t>
      </w:r>
    </w:p>
    <w:tbl>
      <w:tblPr>
        <w:tblW w:w="0" w:type="auto"/>
        <w:jc w:val="left"/>
        <w:tblInd w:w="169" w:type="dxa"/>
        <w:tblLayout w:type="fixed"/>
        <w:tblCellMar>
          <w:top w:w="0" w:type="dxa"/>
          <w:left w:w="0" w:type="dxa"/>
          <w:bottom w:w="0" w:type="dxa"/>
          <w:right w:w="0" w:type="dxa"/>
        </w:tblCellMar>
        <w:tblLook w:val="01E0"/>
      </w:tblPr>
      <w:tblGrid>
        <w:gridCol w:w="248"/>
        <w:gridCol w:w="3085"/>
        <w:gridCol w:w="6277"/>
      </w:tblGrid>
      <w:tr>
        <w:trPr>
          <w:trHeight w:val="654" w:hRule="exact"/>
        </w:trPr>
        <w:tc>
          <w:tcPr>
            <w:tcW w:w="24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68" w:lineRule="exact"/>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w:t>
            </w:r>
            <w:r>
              <w:rPr>
                <w:rFonts w:ascii="Microsoft JhengHei" w:hAnsi="Microsoft JhengHei" w:cs="Microsoft JhengHei" w:eastAsia="Microsoft JhengHei" w:hint="default"/>
                <w:sz w:val="18"/>
                <w:szCs w:val="18"/>
              </w:rPr>
            </w:r>
          </w:p>
          <w:p>
            <w:pPr>
              <w:pStyle w:val="TableParagraph"/>
              <w:spacing w:line="313" w:lineRule="exact"/>
              <w:ind w:left="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号</w:t>
            </w:r>
            <w:r>
              <w:rPr>
                <w:rFonts w:ascii="Microsoft JhengHei" w:hAnsi="Microsoft JhengHei" w:cs="Microsoft JhengHei" w:eastAsia="Microsoft JhengHei" w:hint="default"/>
                <w:sz w:val="18"/>
                <w:szCs w:val="18"/>
              </w:rPr>
            </w:r>
          </w:p>
        </w:tc>
        <w:tc>
          <w:tcPr>
            <w:tcW w:w="308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69" w:lineRule="exact"/>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重点新产品及研发项目</w:t>
            </w:r>
            <w:r>
              <w:rPr>
                <w:rFonts w:ascii="Microsoft JhengHei" w:hAnsi="Microsoft JhengHei" w:cs="Microsoft JhengHei" w:eastAsia="Microsoft JhengHei" w:hint="default"/>
                <w:sz w:val="18"/>
                <w:szCs w:val="18"/>
              </w:rPr>
            </w:r>
          </w:p>
        </w:tc>
        <w:tc>
          <w:tcPr>
            <w:tcW w:w="627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69" w:lineRule="exact"/>
              <w:ind w:left="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项目应用及实施成果</w:t>
            </w:r>
            <w:r>
              <w:rPr>
                <w:rFonts w:ascii="Microsoft JhengHei" w:hAnsi="Microsoft JhengHei" w:cs="Microsoft JhengHei" w:eastAsia="Microsoft JhengHei" w:hint="default"/>
                <w:sz w:val="18"/>
                <w:szCs w:val="18"/>
              </w:rPr>
            </w:r>
          </w:p>
        </w:tc>
      </w:tr>
      <w:tr>
        <w:trPr>
          <w:trHeight w:val="659"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1</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基于（内嵌）医院信息集成平台的智慧 一体化医院信息系统</w:t>
            </w:r>
            <w:r>
              <w:rPr>
                <w:rFonts w:ascii="Times New Roman" w:hAnsi="Times New Roman" w:cs="Times New Roman" w:eastAsia="Times New Roman" w:hint="default"/>
                <w:sz w:val="18"/>
                <w:szCs w:val="18"/>
              </w:rPr>
              <w:t>V5.6</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在福建协和医院，大连中心医院等大型医疗机构上线成功</w:t>
            </w:r>
          </w:p>
        </w:tc>
      </w:tr>
      <w:tr>
        <w:trPr>
          <w:trHeight w:val="348"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基于统一云部署的基层医卫产品</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整合了广东省业务模式和深圳模式并在广东</w:t>
            </w:r>
            <w:r>
              <w:rPr>
                <w:rFonts w:ascii="Times New Roman" w:hAnsi="Times New Roman" w:cs="Times New Roman" w:eastAsia="Times New Roman" w:hint="default"/>
                <w:sz w:val="18"/>
                <w:szCs w:val="18"/>
              </w:rPr>
              <w:t>13</w:t>
            </w:r>
            <w:r>
              <w:rPr>
                <w:rFonts w:ascii="宋体" w:hAnsi="宋体" w:cs="宋体" w:eastAsia="宋体" w:hint="default"/>
                <w:sz w:val="18"/>
                <w:szCs w:val="18"/>
              </w:rPr>
              <w:t>个地市和深圳宝安区上线</w:t>
            </w:r>
          </w:p>
        </w:tc>
      </w:tr>
      <w:tr>
        <w:trPr>
          <w:trHeight w:val="658"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3</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54"/>
              <w:jc w:val="left"/>
              <w:rPr>
                <w:rFonts w:ascii="宋体" w:hAnsi="宋体" w:cs="宋体" w:eastAsia="宋体" w:hint="default"/>
                <w:sz w:val="18"/>
                <w:szCs w:val="18"/>
              </w:rPr>
            </w:pPr>
            <w:r>
              <w:rPr>
                <w:rFonts w:ascii="宋体" w:hAnsi="宋体" w:cs="宋体" w:eastAsia="宋体" w:hint="default"/>
                <w:sz w:val="18"/>
                <w:szCs w:val="18"/>
              </w:rPr>
              <w:t>整合了</w:t>
            </w:r>
            <w:r>
              <w:rPr>
                <w:rFonts w:ascii="Times New Roman" w:hAnsi="Times New Roman" w:cs="Times New Roman" w:eastAsia="Times New Roman" w:hint="default"/>
                <w:sz w:val="18"/>
                <w:szCs w:val="18"/>
              </w:rPr>
              <w:t>HADOOP</w:t>
            </w:r>
            <w:r>
              <w:rPr>
                <w:rFonts w:ascii="宋体" w:hAnsi="宋体" w:cs="宋体" w:eastAsia="宋体" w:hint="default"/>
                <w:sz w:val="18"/>
                <w:szCs w:val="18"/>
              </w:rPr>
              <w:t>大数据存储架构的区 域平台</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在浙江省厅上线。</w:t>
            </w:r>
          </w:p>
        </w:tc>
      </w:tr>
      <w:tr>
        <w:trPr>
          <w:trHeight w:val="348"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4</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分级诊疗平台产品升级</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已实现在江苏省中医院和中山上线</w:t>
            </w:r>
          </w:p>
        </w:tc>
      </w:tr>
      <w:tr>
        <w:trPr>
          <w:trHeight w:val="346"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5</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城市级健康云平台</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在广东中山，深圳，武汉，北京朝阳等</w:t>
            </w:r>
            <w:r>
              <w:rPr>
                <w:rFonts w:ascii="Times New Roman" w:hAnsi="Times New Roman" w:cs="Times New Roman" w:eastAsia="Times New Roman" w:hint="default"/>
                <w:sz w:val="18"/>
                <w:szCs w:val="18"/>
              </w:rPr>
              <w:t>20</w:t>
            </w:r>
            <w:r>
              <w:rPr>
                <w:rFonts w:ascii="宋体" w:hAnsi="宋体" w:cs="宋体" w:eastAsia="宋体" w:hint="default"/>
                <w:sz w:val="18"/>
                <w:szCs w:val="18"/>
              </w:rPr>
              <w:t>多个区域上线成功</w:t>
            </w:r>
          </w:p>
        </w:tc>
      </w:tr>
      <w:tr>
        <w:trPr>
          <w:trHeight w:val="348"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6</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医技一体化云平台</w:t>
            </w:r>
            <w:r>
              <w:rPr>
                <w:rFonts w:ascii="Times New Roman" w:hAnsi="Times New Roman" w:cs="Times New Roman" w:eastAsia="Times New Roman" w:hint="default"/>
                <w:sz w:val="18"/>
                <w:szCs w:val="18"/>
              </w:rPr>
              <w:t>GDPcloud</w:t>
            </w:r>
            <w:r>
              <w:rPr>
                <w:rFonts w:ascii="宋体" w:hAnsi="宋体" w:cs="宋体" w:eastAsia="宋体" w:hint="default"/>
                <w:sz w:val="18"/>
                <w:szCs w:val="18"/>
              </w:rPr>
              <w:t>、多学科</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目前有国家肾病医学中心等</w:t>
            </w:r>
            <w:r>
              <w:rPr>
                <w:rFonts w:ascii="Times New Roman" w:hAnsi="Times New Roman" w:cs="Times New Roman" w:eastAsia="Times New Roman" w:hint="default"/>
                <w:sz w:val="18"/>
                <w:szCs w:val="18"/>
              </w:rPr>
              <w:t>20</w:t>
            </w:r>
            <w:r>
              <w:rPr>
                <w:rFonts w:ascii="宋体" w:hAnsi="宋体" w:cs="宋体" w:eastAsia="宋体" w:hint="default"/>
                <w:sz w:val="18"/>
                <w:szCs w:val="18"/>
              </w:rPr>
              <w:t>余个高端医联体已经在</w:t>
            </w:r>
            <w:r>
              <w:rPr>
                <w:rFonts w:ascii="Times New Roman" w:hAnsi="Times New Roman" w:cs="Times New Roman" w:eastAsia="Times New Roman" w:hint="default"/>
                <w:sz w:val="18"/>
                <w:szCs w:val="18"/>
              </w:rPr>
              <w:t>GDPcloud</w:t>
            </w:r>
            <w:r>
              <w:rPr>
                <w:rFonts w:ascii="宋体" w:hAnsi="宋体" w:cs="宋体" w:eastAsia="宋体" w:hint="default"/>
                <w:sz w:val="18"/>
                <w:szCs w:val="18"/>
              </w:rPr>
              <w:t>线上运行，为疑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9" w:type="dxa"/>
        <w:tblLayout w:type="fixed"/>
        <w:tblCellMar>
          <w:top w:w="0" w:type="dxa"/>
          <w:left w:w="0" w:type="dxa"/>
          <w:bottom w:w="0" w:type="dxa"/>
          <w:right w:w="0" w:type="dxa"/>
        </w:tblCellMar>
        <w:tblLook w:val="01E0"/>
      </w:tblPr>
      <w:tblGrid>
        <w:gridCol w:w="248"/>
        <w:gridCol w:w="3085"/>
        <w:gridCol w:w="6277"/>
      </w:tblGrid>
      <w:tr>
        <w:trPr>
          <w:trHeight w:val="348" w:hRule="exact"/>
        </w:trPr>
        <w:tc>
          <w:tcPr>
            <w:tcW w:w="248" w:type="dxa"/>
            <w:tcBorders>
              <w:top w:val="single" w:sz="6" w:space="0" w:color="000000"/>
              <w:left w:val="single" w:sz="6" w:space="0" w:color="000000"/>
              <w:bottom w:val="single" w:sz="6" w:space="0" w:color="000000"/>
              <w:right w:val="single" w:sz="6" w:space="0" w:color="000000"/>
            </w:tcBorders>
          </w:tcPr>
          <w:p>
            <w:pP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远程诊断平台</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难危重病提供了高效的多学科远程诊断手段</w:t>
            </w:r>
          </w:p>
        </w:tc>
      </w:tr>
      <w:tr>
        <w:trPr>
          <w:trHeight w:val="1282"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7</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5"/>
              <w:jc w:val="both"/>
              <w:rPr>
                <w:rFonts w:ascii="宋体" w:hAnsi="宋体" w:cs="宋体" w:eastAsia="宋体" w:hint="default"/>
                <w:sz w:val="18"/>
                <w:szCs w:val="18"/>
              </w:rPr>
            </w:pPr>
            <w:r>
              <w:rPr>
                <w:rFonts w:ascii="宋体" w:hAnsi="宋体" w:cs="宋体" w:eastAsia="宋体" w:hint="default"/>
                <w:sz w:val="18"/>
                <w:szCs w:val="18"/>
              </w:rPr>
              <w:t>健康医疗大数据平台产品研发及应用， 实现了区域卫生、临床科研以及区域影 像等传统产品的大数据架构升级</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2" w:right="138"/>
              <w:jc w:val="both"/>
              <w:rPr>
                <w:rFonts w:ascii="宋体" w:hAnsi="宋体" w:cs="宋体" w:eastAsia="宋体" w:hint="default"/>
                <w:sz w:val="18"/>
                <w:szCs w:val="18"/>
              </w:rPr>
            </w:pPr>
            <w:r>
              <w:rPr>
                <w:rFonts w:ascii="宋体" w:hAnsi="宋体" w:cs="宋体" w:eastAsia="宋体" w:hint="default"/>
                <w:sz w:val="18"/>
                <w:szCs w:val="18"/>
              </w:rPr>
              <w:t>完成了大数据平台南京浦口区、浙江桐乡市上线运行，形成了公司人口健康大 数据产品应用的样板城市。同时，由公司自主研发的国内首个真正意义上实现 实时大数据分析的医疗大数据产品在福建协和医院</w:t>
            </w:r>
            <w:r>
              <w:rPr>
                <w:rFonts w:ascii="Times New Roman" w:hAnsi="Times New Roman" w:cs="Times New Roman" w:eastAsia="Times New Roman" w:hint="default"/>
                <w:sz w:val="18"/>
                <w:szCs w:val="18"/>
              </w:rPr>
              <w:t>“</w:t>
            </w:r>
            <w:r>
              <w:rPr>
                <w:rFonts w:ascii="宋体" w:hAnsi="宋体" w:cs="宋体" w:eastAsia="宋体" w:hint="default"/>
                <w:sz w:val="18"/>
                <w:szCs w:val="18"/>
              </w:rPr>
              <w:t>医疗大数据挖掘分析平台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项目中中标。</w:t>
            </w:r>
          </w:p>
        </w:tc>
      </w:tr>
      <w:tr>
        <w:trPr>
          <w:trHeight w:val="1284"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8</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基于大数据的</w:t>
            </w:r>
            <w:r>
              <w:rPr>
                <w:rFonts w:ascii="Times New Roman" w:hAnsi="Times New Roman" w:cs="Times New Roman" w:eastAsia="Times New Roman" w:hint="default"/>
                <w:sz w:val="18"/>
                <w:szCs w:val="18"/>
              </w:rPr>
              <w:t>DRGs</w:t>
            </w:r>
            <w:r>
              <w:rPr>
                <w:rFonts w:ascii="宋体" w:hAnsi="宋体" w:cs="宋体" w:eastAsia="宋体" w:hint="default"/>
                <w:sz w:val="18"/>
                <w:szCs w:val="18"/>
              </w:rPr>
              <w:t>区域卫生云决策支 持系统，并给出评价督导，也为下阶段 的单病种收费改革提供了理论和数据支 撑</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37"/>
              <w:jc w:val="both"/>
              <w:rPr>
                <w:rFonts w:ascii="宋体" w:hAnsi="宋体" w:cs="宋体" w:eastAsia="宋体" w:hint="default"/>
                <w:sz w:val="18"/>
                <w:szCs w:val="18"/>
              </w:rPr>
            </w:pPr>
            <w:r>
              <w:rPr>
                <w:rFonts w:ascii="宋体" w:hAnsi="宋体" w:cs="宋体" w:eastAsia="宋体" w:hint="default"/>
                <w:sz w:val="18"/>
                <w:szCs w:val="18"/>
              </w:rPr>
              <w:t>建立了医院现代管理理论模式，配套升级后的卫生综合管理系统的应用，实现 了无论是从桌面端还是移动端都随时可以掌控相关的关注数据和分析结果，及 时知晓辖区内各级医疗卫生机构的经营现状，目前已经成功在上海市闵行区中 心医院，古美社区等医疗机构进行了原型试点上线</w:t>
            </w:r>
          </w:p>
        </w:tc>
      </w:tr>
      <w:tr>
        <w:trPr>
          <w:trHeight w:val="658"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9</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5"/>
              <w:jc w:val="left"/>
              <w:rPr>
                <w:rFonts w:ascii="宋体" w:hAnsi="宋体" w:cs="宋体" w:eastAsia="宋体" w:hint="default"/>
                <w:sz w:val="18"/>
                <w:szCs w:val="18"/>
              </w:rPr>
            </w:pPr>
            <w:r>
              <w:rPr>
                <w:rFonts w:ascii="宋体" w:hAnsi="宋体" w:cs="宋体" w:eastAsia="宋体" w:hint="default"/>
                <w:sz w:val="18"/>
                <w:szCs w:val="18"/>
              </w:rPr>
              <w:t>台州恩泽医疗中心（集团）浙江省台州 医院项目</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正式通过</w:t>
            </w:r>
            <w:r>
              <w:rPr>
                <w:rFonts w:ascii="Times New Roman" w:hAnsi="Times New Roman" w:cs="Times New Roman" w:eastAsia="Times New Roman" w:hint="default"/>
                <w:sz w:val="18"/>
                <w:szCs w:val="18"/>
              </w:rPr>
              <w:t>HIMSS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EMRAM</w:t>
            </w:r>
            <w:r>
              <w:rPr>
                <w:rFonts w:ascii="宋体" w:hAnsi="宋体" w:cs="宋体" w:eastAsia="宋体" w:hint="default"/>
                <w:sz w:val="18"/>
                <w:szCs w:val="18"/>
              </w:rPr>
              <w:t>（住院）六级现场评审</w:t>
            </w:r>
          </w:p>
        </w:tc>
      </w:tr>
      <w:tr>
        <w:trPr>
          <w:trHeight w:val="660"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5"/>
              <w:jc w:val="left"/>
              <w:rPr>
                <w:rFonts w:ascii="宋体" w:hAnsi="宋体" w:cs="宋体" w:eastAsia="宋体" w:hint="default"/>
                <w:sz w:val="18"/>
                <w:szCs w:val="18"/>
              </w:rPr>
            </w:pPr>
            <w:r>
              <w:rPr>
                <w:rFonts w:ascii="宋体" w:hAnsi="宋体" w:cs="宋体" w:eastAsia="宋体" w:hint="default"/>
                <w:sz w:val="18"/>
                <w:szCs w:val="18"/>
              </w:rPr>
              <w:t>昆明北市区首家大型三级甲等医院</w:t>
            </w:r>
            <w:r>
              <w:rPr>
                <w:rFonts w:ascii="Times New Roman" w:hAnsi="Times New Roman" w:cs="Times New Roman" w:eastAsia="Times New Roman" w:hint="default"/>
                <w:sz w:val="18"/>
                <w:szCs w:val="18"/>
              </w:rPr>
              <w:t>—— </w:t>
            </w:r>
            <w:r>
              <w:rPr>
                <w:rFonts w:ascii="宋体" w:hAnsi="宋体" w:cs="宋体" w:eastAsia="宋体" w:hint="default"/>
                <w:sz w:val="18"/>
                <w:szCs w:val="18"/>
              </w:rPr>
              <w:t>昆明市第一人民医院甘美国际医院项目</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通过</w:t>
            </w:r>
            <w:r>
              <w:rPr>
                <w:rFonts w:ascii="Times New Roman" w:hAnsi="Times New Roman" w:cs="Times New Roman" w:eastAsia="Times New Roman" w:hint="default"/>
                <w:sz w:val="18"/>
                <w:szCs w:val="18"/>
              </w:rPr>
              <w:t>JCI</w:t>
            </w:r>
            <w:r>
              <w:rPr>
                <w:rFonts w:ascii="宋体" w:hAnsi="宋体" w:cs="宋体" w:eastAsia="宋体" w:hint="default"/>
                <w:sz w:val="18"/>
                <w:szCs w:val="18"/>
              </w:rPr>
              <w:t>评审</w:t>
            </w:r>
          </w:p>
        </w:tc>
      </w:tr>
      <w:tr>
        <w:trPr>
          <w:trHeight w:val="348" w:hRule="exact"/>
        </w:trPr>
        <w:tc>
          <w:tcPr>
            <w:tcW w:w="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11</w:t>
            </w:r>
          </w:p>
        </w:tc>
        <w:tc>
          <w:tcPr>
            <w:tcW w:w="3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首都医科大学附属北京儿童医院项目</w:t>
            </w:r>
          </w:p>
        </w:tc>
        <w:tc>
          <w:tcPr>
            <w:tcW w:w="6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通过国家医疗健康信息互联互通成熟度</w:t>
            </w:r>
            <w:r>
              <w:rPr>
                <w:rFonts w:ascii="Times New Roman" w:hAnsi="Times New Roman" w:cs="Times New Roman" w:eastAsia="Times New Roman" w:hint="default"/>
                <w:sz w:val="18"/>
                <w:szCs w:val="18"/>
              </w:rPr>
              <w:t>“</w:t>
            </w:r>
            <w:r>
              <w:rPr>
                <w:rFonts w:ascii="宋体" w:hAnsi="宋体" w:cs="宋体" w:eastAsia="宋体" w:hint="default"/>
                <w:sz w:val="18"/>
                <w:szCs w:val="18"/>
              </w:rPr>
              <w:t>四级甲等</w:t>
            </w:r>
            <w:r>
              <w:rPr>
                <w:rFonts w:ascii="Times New Roman" w:hAnsi="Times New Roman" w:cs="Times New Roman" w:eastAsia="Times New Roman" w:hint="default"/>
                <w:sz w:val="18"/>
                <w:szCs w:val="18"/>
              </w:rPr>
              <w:t>”</w:t>
            </w:r>
            <w:r>
              <w:rPr>
                <w:rFonts w:ascii="宋体" w:hAnsi="宋体" w:cs="宋体" w:eastAsia="宋体" w:hint="default"/>
                <w:sz w:val="18"/>
                <w:szCs w:val="18"/>
              </w:rPr>
              <w:t>认证</w:t>
            </w:r>
          </w:p>
        </w:tc>
      </w:tr>
    </w:tbl>
    <w:p>
      <w:pPr>
        <w:spacing w:line="240" w:lineRule="auto" w:before="2"/>
        <w:rPr>
          <w:rFonts w:ascii="宋体" w:hAnsi="宋体" w:cs="宋体" w:eastAsia="宋体" w:hint="default"/>
          <w:sz w:val="9"/>
          <w:szCs w:val="9"/>
        </w:rPr>
      </w:pPr>
    </w:p>
    <w:p>
      <w:pPr>
        <w:pStyle w:val="Heading5"/>
        <w:spacing w:line="300" w:lineRule="exact"/>
        <w:ind w:right="0"/>
        <w:jc w:val="left"/>
        <w:rPr>
          <w:b w:val="0"/>
          <w:bCs w:val="0"/>
        </w:rPr>
      </w:pPr>
      <w:r>
        <w:rPr>
          <w:rFonts w:ascii="Times New Roman" w:hAnsi="Times New Roman" w:cs="Times New Roman" w:eastAsia="Times New Roman" w:hint="default"/>
        </w:rPr>
        <w:t>2</w:t>
      </w:r>
      <w:r>
        <w:rPr/>
        <w:t>、新增专利和软件著作权情况</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240" w:lineRule="auto"/>
        <w:ind w:left="712" w:right="0"/>
        <w:jc w:val="left"/>
      </w:pPr>
      <w:r>
        <w:rPr/>
        <w:t>报告期内，公司申请了</w:t>
      </w:r>
      <w:r>
        <w:rPr>
          <w:rFonts w:ascii="Times New Roman" w:hAnsi="Times New Roman" w:cs="Times New Roman" w:eastAsia="Times New Roman" w:hint="default"/>
        </w:rPr>
        <w:t>3</w:t>
      </w:r>
      <w:r>
        <w:rPr/>
        <w:t>项发明专利，具体如下：</w:t>
      </w:r>
    </w:p>
    <w:p>
      <w:pPr>
        <w:spacing w:line="240" w:lineRule="auto" w:before="2"/>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521"/>
        <w:gridCol w:w="1682"/>
        <w:gridCol w:w="6162"/>
        <w:gridCol w:w="1260"/>
      </w:tblGrid>
      <w:tr>
        <w:trPr>
          <w:trHeight w:val="346" w:hRule="exact"/>
        </w:trPr>
        <w:tc>
          <w:tcPr>
            <w:tcW w:w="52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4" w:lineRule="exact"/>
              <w:ind w:left="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68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4" w:lineRule="exact"/>
              <w:ind w:right="38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申请专利号</w:t>
            </w:r>
            <w:r>
              <w:rPr>
                <w:rFonts w:ascii="Microsoft JhengHei" w:hAnsi="Microsoft JhengHei" w:cs="Microsoft JhengHei" w:eastAsia="Microsoft JhengHei" w:hint="default"/>
                <w:sz w:val="18"/>
                <w:szCs w:val="18"/>
              </w:rPr>
            </w:r>
          </w:p>
        </w:tc>
        <w:tc>
          <w:tcPr>
            <w:tcW w:w="616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发明名称</w:t>
            </w:r>
            <w:r>
              <w:rPr>
                <w:rFonts w:ascii="Microsoft JhengHei" w:hAnsi="Microsoft JhengHei" w:cs="Microsoft JhengHei" w:eastAsia="Microsoft JhengHei"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4" w:lineRule="exact"/>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受理公告日</w:t>
            </w:r>
            <w:r>
              <w:rPr>
                <w:rFonts w:ascii="Microsoft JhengHei" w:hAnsi="Microsoft JhengHei" w:cs="Microsoft JhengHei" w:eastAsia="Microsoft JhengHei" w:hint="default"/>
                <w:sz w:val="18"/>
                <w:szCs w:val="18"/>
              </w:rPr>
            </w:r>
          </w:p>
        </w:tc>
      </w:tr>
      <w:tr>
        <w:trPr>
          <w:trHeight w:val="348" w:hRule="exact"/>
        </w:trPr>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pacing w:val="-1"/>
                <w:sz w:val="18"/>
              </w:rPr>
              <w:t>201711307752.2</w:t>
            </w:r>
          </w:p>
        </w:tc>
        <w:tc>
          <w:tcPr>
            <w:tcW w:w="6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一种用于治未病的医疗数据挖掘方法</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2017/12/11</w:t>
            </w:r>
          </w:p>
        </w:tc>
      </w:tr>
      <w:tr>
        <w:trPr>
          <w:trHeight w:val="346" w:hRule="exact"/>
        </w:trPr>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49"/>
              <w:jc w:val="right"/>
              <w:rPr>
                <w:rFonts w:ascii="Times New Roman" w:hAnsi="Times New Roman" w:cs="Times New Roman" w:eastAsia="Times New Roman" w:hint="default"/>
                <w:sz w:val="18"/>
                <w:szCs w:val="18"/>
              </w:rPr>
            </w:pPr>
            <w:r>
              <w:rPr>
                <w:rFonts w:ascii="Times New Roman"/>
                <w:spacing w:val="-1"/>
                <w:sz w:val="18"/>
              </w:rPr>
              <w:t>201711307048.7</w:t>
            </w:r>
          </w:p>
        </w:tc>
        <w:tc>
          <w:tcPr>
            <w:tcW w:w="6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一种基于数据融合的社区医疗站点部署方法</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2017/12/11</w:t>
            </w:r>
          </w:p>
        </w:tc>
      </w:tr>
      <w:tr>
        <w:trPr>
          <w:trHeight w:val="348" w:hRule="exact"/>
        </w:trPr>
        <w:tc>
          <w:tcPr>
            <w:tcW w:w="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49"/>
              <w:jc w:val="right"/>
              <w:rPr>
                <w:rFonts w:ascii="Times New Roman" w:hAnsi="Times New Roman" w:cs="Times New Roman" w:eastAsia="Times New Roman" w:hint="default"/>
                <w:sz w:val="18"/>
                <w:szCs w:val="18"/>
              </w:rPr>
            </w:pPr>
            <w:r>
              <w:rPr>
                <w:rFonts w:ascii="Times New Roman"/>
                <w:spacing w:val="-1"/>
                <w:sz w:val="18"/>
              </w:rPr>
              <w:t>201711307736.3</w:t>
            </w:r>
          </w:p>
        </w:tc>
        <w:tc>
          <w:tcPr>
            <w:tcW w:w="6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用于治未病的医疗数据挖掘过程中均线趋势参数确定方法</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2017/12/11</w:t>
            </w:r>
          </w:p>
        </w:tc>
      </w:tr>
    </w:tbl>
    <w:p>
      <w:pPr>
        <w:spacing w:line="240" w:lineRule="auto" w:before="2"/>
        <w:rPr>
          <w:rFonts w:ascii="宋体" w:hAnsi="宋体" w:cs="宋体" w:eastAsia="宋体" w:hint="default"/>
          <w:sz w:val="9"/>
          <w:szCs w:val="9"/>
        </w:rPr>
      </w:pPr>
    </w:p>
    <w:p>
      <w:pPr>
        <w:pStyle w:val="BodyText"/>
        <w:spacing w:line="240" w:lineRule="auto" w:before="44"/>
        <w:ind w:left="712" w:right="0"/>
        <w:jc w:val="left"/>
        <w:rPr>
          <w:rFonts w:ascii="宋体" w:hAnsi="宋体" w:cs="宋体" w:eastAsia="宋体" w:hint="default"/>
        </w:rPr>
      </w:pPr>
      <w:r>
        <w:rPr/>
        <w:t>报告期内，公司申请获得</w:t>
      </w:r>
      <w:r>
        <w:rPr>
          <w:rFonts w:ascii="Times New Roman" w:hAnsi="Times New Roman" w:cs="Times New Roman" w:eastAsia="Times New Roman" w:hint="default"/>
        </w:rPr>
        <w:t>20</w:t>
      </w:r>
      <w:r>
        <w:rPr/>
        <w:t>项计算机软件著作权，具体明细如下：</w:t>
      </w:r>
      <w:r>
        <w:rPr>
          <w:rFonts w:ascii="宋体" w:hAnsi="宋体" w:cs="宋体" w:eastAsia="宋体" w:hint="default"/>
        </w:rPr>
        <w:t> </w:t>
      </w:r>
    </w:p>
    <w:p>
      <w:pPr>
        <w:spacing w:line="240" w:lineRule="auto" w:before="1"/>
        <w:rPr>
          <w:rFonts w:ascii="宋体" w:hAnsi="宋体" w:cs="宋体" w:eastAsia="宋体" w:hint="default"/>
          <w:sz w:val="16"/>
          <w:szCs w:val="16"/>
        </w:rPr>
      </w:pPr>
    </w:p>
    <w:tbl>
      <w:tblPr>
        <w:tblW w:w="0" w:type="auto"/>
        <w:jc w:val="left"/>
        <w:tblInd w:w="152" w:type="dxa"/>
        <w:tblLayout w:type="fixed"/>
        <w:tblCellMar>
          <w:top w:w="0" w:type="dxa"/>
          <w:left w:w="0" w:type="dxa"/>
          <w:bottom w:w="0" w:type="dxa"/>
          <w:right w:w="0" w:type="dxa"/>
        </w:tblCellMar>
        <w:tblLook w:val="01E0"/>
      </w:tblPr>
      <w:tblGrid>
        <w:gridCol w:w="572"/>
        <w:gridCol w:w="1692"/>
        <w:gridCol w:w="4967"/>
        <w:gridCol w:w="980"/>
        <w:gridCol w:w="1416"/>
      </w:tblGrid>
      <w:tr>
        <w:trPr>
          <w:trHeight w:val="336" w:hRule="exact"/>
        </w:trPr>
        <w:tc>
          <w:tcPr>
            <w:tcW w:w="57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6"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169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登记号</w:t>
            </w:r>
            <w:r>
              <w:rPr>
                <w:rFonts w:ascii="Microsoft JhengHei" w:hAnsi="Microsoft JhengHei" w:cs="Microsoft JhengHei" w:eastAsia="Microsoft JhengHei" w:hint="default"/>
                <w:sz w:val="18"/>
                <w:szCs w:val="18"/>
              </w:rPr>
            </w:r>
          </w:p>
        </w:tc>
        <w:tc>
          <w:tcPr>
            <w:tcW w:w="496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98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6" w:lineRule="exact"/>
              <w:ind w:right="29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版本</w:t>
            </w:r>
            <w:r>
              <w:rPr>
                <w:rFonts w:ascii="Microsoft JhengHei" w:hAnsi="Microsoft JhengHei" w:cs="Microsoft JhengHei" w:eastAsia="Microsoft JhengHei"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登记日</w:t>
            </w:r>
            <w:r>
              <w:rPr>
                <w:rFonts w:ascii="Microsoft JhengHei" w:hAnsi="Microsoft JhengHei" w:cs="Microsoft JhengHei" w:eastAsia="Microsoft JhengHei" w:hint="default"/>
                <w:sz w:val="18"/>
                <w:szCs w:val="18"/>
              </w:rPr>
            </w:r>
          </w:p>
        </w:tc>
      </w:tr>
      <w:tr>
        <w:trPr>
          <w:trHeight w:val="559"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2017SR029781</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创业移动健康随访系统软件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300"/>
              <w:jc w:val="right"/>
              <w:rPr>
                <w:rFonts w:ascii="Times New Roman" w:hAnsi="Times New Roman" w:cs="Times New Roman" w:eastAsia="Times New Roman" w:hint="default"/>
                <w:sz w:val="18"/>
                <w:szCs w:val="18"/>
              </w:rPr>
            </w:pPr>
            <w:r>
              <w:rPr>
                <w:rFonts w:ascii="Times New Roman"/>
                <w:spacing w:val="-1"/>
                <w:sz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2017/2/4</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2017SR225940</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创业医疗云平台软件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0"/>
              <w:jc w:val="right"/>
              <w:rPr>
                <w:rFonts w:ascii="Times New Roman" w:hAnsi="Times New Roman" w:cs="Times New Roman" w:eastAsia="Times New Roman" w:hint="default"/>
                <w:sz w:val="18"/>
                <w:szCs w:val="18"/>
              </w:rPr>
            </w:pPr>
            <w:r>
              <w:rPr>
                <w:rFonts w:ascii="Times New Roman"/>
                <w:spacing w:val="-1"/>
                <w:sz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2017/6/2</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2017SR225545</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创业掌上社区系统软件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0"/>
              <w:jc w:val="right"/>
              <w:rPr>
                <w:rFonts w:ascii="Times New Roman" w:hAnsi="Times New Roman" w:cs="Times New Roman" w:eastAsia="Times New Roman" w:hint="default"/>
                <w:sz w:val="18"/>
                <w:szCs w:val="18"/>
              </w:rPr>
            </w:pPr>
            <w:r>
              <w:rPr>
                <w:rFonts w:ascii="Times New Roman"/>
                <w:spacing w:val="-1"/>
                <w:sz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2017/6/2</w:t>
            </w:r>
          </w:p>
        </w:tc>
      </w:tr>
      <w:tr>
        <w:trPr>
          <w:trHeight w:val="5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2017SR346330</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创业电子护理记录系统软件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V5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2017/7/5</w:t>
            </w:r>
          </w:p>
        </w:tc>
      </w:tr>
      <w:tr>
        <w:trPr>
          <w:trHeight w:val="545"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2017SR372723</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创业多功能自助管理系统软件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V5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2017/7/14</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2017SR372755</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创业分布式远程医疗系统软件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V3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2017/7/14</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2017SR372779</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创业急诊临床信息系统软件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V5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2017/7/14</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2017SR372797</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创业物品供应链管理系统软件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V1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2017/7/14</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2017SR372770</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创业医院管理决策支持系统软件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V3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2017/7/14</w:t>
            </w:r>
          </w:p>
        </w:tc>
      </w:tr>
      <w:tr>
        <w:trPr>
          <w:trHeight w:val="5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10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2017SR371750</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创业医院临床数据中心软件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V3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2017/7/14</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2017SR372788</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创业医院信息集成平台软件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V3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2017/7/14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572"/>
        <w:gridCol w:w="1692"/>
        <w:gridCol w:w="4967"/>
        <w:gridCol w:w="980"/>
        <w:gridCol w:w="1416"/>
      </w:tblGrid>
      <w:tr>
        <w:trPr>
          <w:trHeight w:val="5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2017SR372635</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创业医院战略绩效管理系统软件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V3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6" w:right="0"/>
              <w:jc w:val="left"/>
              <w:rPr>
                <w:rFonts w:ascii="Times New Roman" w:hAnsi="Times New Roman" w:cs="Times New Roman" w:eastAsia="Times New Roman" w:hint="default"/>
                <w:sz w:val="18"/>
                <w:szCs w:val="18"/>
              </w:rPr>
            </w:pPr>
            <w:r>
              <w:rPr>
                <w:rFonts w:ascii="Times New Roman"/>
                <w:sz w:val="18"/>
              </w:rPr>
              <w:t>2017/7/14</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2017SR432722</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创业医院信息平台软件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V3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81" w:right="0"/>
              <w:jc w:val="left"/>
              <w:rPr>
                <w:rFonts w:ascii="Times New Roman" w:hAnsi="Times New Roman" w:cs="Times New Roman" w:eastAsia="Times New Roman" w:hint="default"/>
                <w:sz w:val="18"/>
                <w:szCs w:val="18"/>
              </w:rPr>
            </w:pPr>
            <w:r>
              <w:rPr>
                <w:rFonts w:ascii="Times New Roman"/>
                <w:sz w:val="18"/>
              </w:rPr>
              <w:t>2017/8/8</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2017SR436842</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创业多学科会诊系统软件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6" w:right="0"/>
              <w:jc w:val="left"/>
              <w:rPr>
                <w:rFonts w:ascii="Times New Roman" w:hAnsi="Times New Roman" w:cs="Times New Roman" w:eastAsia="Times New Roman" w:hint="default"/>
                <w:sz w:val="18"/>
                <w:szCs w:val="18"/>
              </w:rPr>
            </w:pPr>
            <w:r>
              <w:rPr>
                <w:rFonts w:ascii="Times New Roman"/>
                <w:sz w:val="18"/>
              </w:rPr>
              <w:t>2017/8/10</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2017SR442183</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创业医疗质量管理系列软件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V5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6" w:right="0"/>
              <w:jc w:val="left"/>
              <w:rPr>
                <w:rFonts w:ascii="Times New Roman" w:hAnsi="Times New Roman" w:cs="Times New Roman" w:eastAsia="Times New Roman" w:hint="default"/>
                <w:sz w:val="18"/>
                <w:szCs w:val="18"/>
              </w:rPr>
            </w:pPr>
            <w:r>
              <w:rPr>
                <w:rFonts w:ascii="Times New Roman"/>
                <w:sz w:val="18"/>
              </w:rPr>
              <w:t>2017/8/11</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2017SR442185</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创业临床药学管理系列软件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V5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6" w:right="0"/>
              <w:jc w:val="left"/>
              <w:rPr>
                <w:rFonts w:ascii="Times New Roman" w:hAnsi="Times New Roman" w:cs="Times New Roman" w:eastAsia="Times New Roman" w:hint="default"/>
                <w:sz w:val="18"/>
                <w:szCs w:val="18"/>
              </w:rPr>
            </w:pPr>
            <w:r>
              <w:rPr>
                <w:rFonts w:ascii="Times New Roman"/>
                <w:sz w:val="18"/>
              </w:rPr>
              <w:t>2017/8/11</w:t>
            </w:r>
          </w:p>
        </w:tc>
      </w:tr>
      <w:tr>
        <w:trPr>
          <w:trHeight w:val="545"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82"/>
              <w:jc w:val="right"/>
              <w:rPr>
                <w:rFonts w:ascii="Times New Roman" w:hAnsi="Times New Roman" w:cs="Times New Roman" w:eastAsia="Times New Roman" w:hint="default"/>
                <w:sz w:val="18"/>
                <w:szCs w:val="18"/>
              </w:rPr>
            </w:pPr>
            <w:r>
              <w:rPr>
                <w:rFonts w:ascii="Times New Roman"/>
                <w:sz w:val="18"/>
              </w:rPr>
              <w:t>17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2017SR441905</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创业全院预约管理系统软件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V5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6" w:right="0"/>
              <w:jc w:val="left"/>
              <w:rPr>
                <w:rFonts w:ascii="Times New Roman" w:hAnsi="Times New Roman" w:cs="Times New Roman" w:eastAsia="Times New Roman" w:hint="default"/>
                <w:sz w:val="18"/>
                <w:szCs w:val="18"/>
              </w:rPr>
            </w:pPr>
            <w:r>
              <w:rPr>
                <w:rFonts w:ascii="Times New Roman"/>
                <w:sz w:val="18"/>
              </w:rPr>
              <w:t>2017/8/11</w:t>
            </w:r>
          </w:p>
        </w:tc>
      </w:tr>
      <w:tr>
        <w:trPr>
          <w:trHeight w:val="548"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82"/>
              <w:jc w:val="right"/>
              <w:rPr>
                <w:rFonts w:ascii="Times New Roman" w:hAnsi="Times New Roman" w:cs="Times New Roman" w:eastAsia="Times New Roman" w:hint="default"/>
                <w:sz w:val="18"/>
                <w:szCs w:val="18"/>
              </w:rPr>
            </w:pPr>
            <w:r>
              <w:rPr>
                <w:rFonts w:ascii="Times New Roman"/>
                <w:sz w:val="18"/>
              </w:rPr>
              <w:t>18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2017SR553953</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创业母子健康手册系统软件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Times New Roman" w:hAnsi="Times New Roman" w:cs="Times New Roman" w:eastAsia="Times New Roman" w:hint="default"/>
                <w:sz w:val="18"/>
                <w:szCs w:val="18"/>
              </w:rPr>
            </w:pPr>
            <w:r>
              <w:rPr>
                <w:rFonts w:ascii="Times New Roman"/>
                <w:sz w:val="18"/>
              </w:rPr>
              <w:t>V1.0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6" w:right="0"/>
              <w:jc w:val="left"/>
              <w:rPr>
                <w:rFonts w:ascii="Times New Roman" w:hAnsi="Times New Roman" w:cs="Times New Roman" w:eastAsia="Times New Roman" w:hint="default"/>
                <w:sz w:val="18"/>
                <w:szCs w:val="18"/>
              </w:rPr>
            </w:pPr>
            <w:r>
              <w:rPr>
                <w:rFonts w:ascii="Times New Roman"/>
                <w:sz w:val="18"/>
              </w:rPr>
              <w:t>2017/9/28</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2"/>
              <w:jc w:val="right"/>
              <w:rPr>
                <w:rFonts w:ascii="Times New Roman" w:hAnsi="Times New Roman" w:cs="Times New Roman" w:eastAsia="Times New Roman" w:hint="default"/>
                <w:sz w:val="18"/>
                <w:szCs w:val="18"/>
              </w:rPr>
            </w:pPr>
            <w:r>
              <w:rPr>
                <w:rFonts w:ascii="Times New Roman"/>
                <w:sz w:val="18"/>
              </w:rPr>
              <w:t>19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2017SR538405</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创业医疗聚合支付平台</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6" w:right="0"/>
              <w:jc w:val="left"/>
              <w:rPr>
                <w:rFonts w:ascii="Times New Roman" w:hAnsi="Times New Roman" w:cs="Times New Roman" w:eastAsia="Times New Roman" w:hint="default"/>
                <w:sz w:val="18"/>
                <w:szCs w:val="18"/>
              </w:rPr>
            </w:pPr>
            <w:r>
              <w:rPr>
                <w:rFonts w:ascii="Times New Roman"/>
                <w:sz w:val="18"/>
              </w:rPr>
              <w:t>2017/9/22</w:t>
            </w:r>
          </w:p>
        </w:tc>
      </w:tr>
      <w:tr>
        <w:trPr>
          <w:trHeight w:val="547" w:hRule="exact"/>
        </w:trPr>
        <w:tc>
          <w:tcPr>
            <w:tcW w:w="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82"/>
              <w:jc w:val="right"/>
              <w:rPr>
                <w:rFonts w:ascii="Times New Roman" w:hAnsi="Times New Roman" w:cs="Times New Roman" w:eastAsia="Times New Roman" w:hint="default"/>
                <w:sz w:val="18"/>
                <w:szCs w:val="18"/>
              </w:rPr>
            </w:pPr>
            <w:r>
              <w:rPr>
                <w:rFonts w:ascii="Times New Roman"/>
                <w:sz w:val="18"/>
              </w:rPr>
              <w:t>20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2017SR625266</w:t>
            </w:r>
          </w:p>
        </w:tc>
        <w:tc>
          <w:tcPr>
            <w:tcW w:w="4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创业区域卫生信息平台数据质量控制系统软件</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V2.0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90" w:right="0"/>
              <w:jc w:val="left"/>
              <w:rPr>
                <w:rFonts w:ascii="Times New Roman" w:hAnsi="Times New Roman" w:cs="Times New Roman" w:eastAsia="Times New Roman" w:hint="default"/>
                <w:sz w:val="18"/>
                <w:szCs w:val="18"/>
              </w:rPr>
            </w:pPr>
            <w:r>
              <w:rPr>
                <w:rFonts w:ascii="Times New Roman"/>
                <w:sz w:val="18"/>
              </w:rPr>
              <w:t>2017/11/14</w:t>
            </w:r>
          </w:p>
        </w:tc>
      </w:tr>
    </w:tbl>
    <w:p>
      <w:pPr>
        <w:pStyle w:val="Heading5"/>
        <w:spacing w:line="264" w:lineRule="exact"/>
        <w:ind w:left="513"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顺利启动非公开发行股票事宜，助力公司持续健康发展</w:t>
      </w:r>
      <w:r>
        <w:rPr>
          <w:b w:val="0"/>
          <w:bCs w:val="0"/>
        </w:rPr>
      </w:r>
    </w:p>
    <w:p>
      <w:pPr>
        <w:pStyle w:val="BodyText"/>
        <w:spacing w:line="316" w:lineRule="auto" w:before="56"/>
        <w:ind w:right="153" w:firstLine="360"/>
        <w:jc w:val="both"/>
      </w:pPr>
      <w:r>
        <w:rPr>
          <w:spacing w:val="-2"/>
        </w:rPr>
        <w:t>报告期内，公司顺利启动了非公开发行股票事宜，已正式由中国证监会受理，目前正处于反馈意见回复阶段，公司有关</w:t>
      </w:r>
      <w:r>
        <w:rPr/>
        <w:t> 部门正积极组织反馈意见答复。</w:t>
      </w:r>
    </w:p>
    <w:p>
      <w:pPr>
        <w:pStyle w:val="Heading5"/>
        <w:spacing w:line="275" w:lineRule="exact"/>
        <w:ind w:left="590" w:right="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加大公司品牌宣传，提升公司品牌知名度和行业影响力</w:t>
      </w:r>
      <w:r>
        <w:rPr>
          <w:b w:val="0"/>
          <w:bCs w:val="0"/>
        </w:rPr>
      </w:r>
    </w:p>
    <w:p>
      <w:pPr>
        <w:pStyle w:val="BodyText"/>
        <w:spacing w:line="316" w:lineRule="auto" w:before="56"/>
        <w:ind w:right="145" w:firstLine="360"/>
        <w:jc w:val="both"/>
      </w:pPr>
      <w:r>
        <w:rPr/>
        <w:t>公司始终坚持通过对外宣传和现场交流方式向业内及与会者展示公司自主研发的最新研究成果和信息技术产品，收获</w:t>
      </w:r>
      <w:r>
        <w:rPr>
          <w:spacing w:val="2"/>
        </w:rPr>
        <w:t> </w:t>
      </w:r>
      <w:r>
        <w:rPr/>
        <w:t>了业内的广泛好评和认可，增加公司产品对潜在客户的吸引力，极大地提升公司品牌知名度和行业影响力。</w:t>
      </w:r>
    </w:p>
    <w:p>
      <w:pPr>
        <w:pStyle w:val="BodyText"/>
        <w:spacing w:line="300" w:lineRule="auto" w:before="19"/>
        <w:ind w:right="146" w:firstLine="360"/>
        <w:jc w:val="both"/>
      </w:pPr>
      <w:r>
        <w:rPr>
          <w:spacing w:val="-2"/>
        </w:rPr>
        <w:t>报告期内，公司承办健康中国智慧医疗发展西湖高峰论坛，相继亮相第九届健康中国智慧创新高峰论坛、</w:t>
      </w:r>
      <w:r>
        <w:rPr>
          <w:rFonts w:ascii="Times New Roman" w:hAnsi="Times New Roman" w:cs="Times New Roman" w:eastAsia="Times New Roman" w:hint="default"/>
          <w:spacing w:val="-2"/>
        </w:rPr>
        <w:t>2017</w:t>
      </w:r>
      <w:r>
        <w:rPr>
          <w:spacing w:val="-2"/>
        </w:rPr>
        <w:t>华为中国</w:t>
      </w:r>
      <w:r>
        <w:rPr/>
        <w:t> </w:t>
      </w:r>
      <w:r>
        <w:rPr>
          <w:spacing w:val="-4"/>
        </w:rPr>
        <w:t>生态伙伴大会、</w:t>
      </w:r>
      <w:r>
        <w:rPr>
          <w:rFonts w:ascii="Times New Roman" w:hAnsi="Times New Roman" w:cs="Times New Roman" w:eastAsia="Times New Roman" w:hint="default"/>
          <w:spacing w:val="-4"/>
        </w:rPr>
        <w:t>2017</w:t>
      </w:r>
      <w:r>
        <w:rPr>
          <w:spacing w:val="-4"/>
        </w:rPr>
        <w:t>年华南医院信息网络大会、</w:t>
      </w:r>
      <w:r>
        <w:rPr>
          <w:rFonts w:ascii="Times New Roman" w:hAnsi="Times New Roman" w:cs="Times New Roman" w:eastAsia="Times New Roman" w:hint="default"/>
          <w:spacing w:val="-4"/>
        </w:rPr>
        <w:t>2017</w:t>
      </w:r>
      <w:r>
        <w:rPr>
          <w:spacing w:val="-4"/>
        </w:rPr>
        <w:t>年度</w:t>
      </w:r>
      <w:r>
        <w:rPr>
          <w:rFonts w:ascii="Times New Roman" w:hAnsi="Times New Roman" w:cs="Times New Roman" w:eastAsia="Times New Roman" w:hint="default"/>
          <w:spacing w:val="-4"/>
        </w:rPr>
        <w:t>ISO\TC215</w:t>
      </w:r>
      <w:r>
        <w:rPr>
          <w:spacing w:val="-4"/>
        </w:rPr>
        <w:t>全会及工作组会议暨国际健康信息标准化高峰论坛、</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2"/>
        </w:rPr>
        <w:t>中国卫生信息技术交流大会、</w:t>
      </w:r>
      <w:r>
        <w:rPr>
          <w:rFonts w:ascii="Times New Roman" w:hAnsi="Times New Roman" w:cs="Times New Roman" w:eastAsia="Times New Roman" w:hint="default"/>
          <w:spacing w:val="-2"/>
        </w:rPr>
        <w:t>2017</w:t>
      </w:r>
      <w:r>
        <w:rPr>
          <w:spacing w:val="-2"/>
        </w:rPr>
        <w:t>浙江省基层卫生信息化论坛、</w:t>
      </w:r>
      <w:r>
        <w:rPr>
          <w:rFonts w:ascii="Times New Roman" w:hAnsi="Times New Roman" w:cs="Times New Roman" w:eastAsia="Times New Roman" w:hint="default"/>
          <w:spacing w:val="-2"/>
        </w:rPr>
        <w:t>2017</w:t>
      </w:r>
      <w:r>
        <w:rPr>
          <w:spacing w:val="-2"/>
        </w:rPr>
        <w:t>年中国医院协会信息网络大会、第三届浙江国际健康产</w:t>
      </w:r>
      <w:r>
        <w:rPr>
          <w:spacing w:val="-57"/>
        </w:rPr>
        <w:t> </w:t>
      </w:r>
      <w:r>
        <w:rPr>
          <w:spacing w:val="-57"/>
        </w:rPr>
      </w:r>
      <w:r>
        <w:rPr/>
        <w:t>业博览会、第三节中国（广东）国际</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博览会、</w:t>
      </w:r>
      <w:r>
        <w:rPr>
          <w:rFonts w:ascii="Times New Roman" w:hAnsi="Times New Roman" w:cs="Times New Roman" w:eastAsia="Times New Roman" w:hint="default"/>
        </w:rPr>
        <w:t>2017</w:t>
      </w:r>
      <w:r>
        <w:rPr/>
        <w:t>北京国际服务贸易交易会等。</w:t>
      </w:r>
    </w:p>
    <w:p>
      <w:pPr>
        <w:pStyle w:val="BodyText"/>
        <w:spacing w:line="300" w:lineRule="auto" w:before="13"/>
        <w:ind w:right="149" w:firstLine="360"/>
        <w:jc w:val="both"/>
      </w:pPr>
      <w:r>
        <w:rPr/>
        <w:t>报告期内，公司认证通过了</w:t>
      </w:r>
      <w:r>
        <w:rPr>
          <w:rFonts w:ascii="Times New Roman" w:hAnsi="Times New Roman" w:cs="Times New Roman" w:eastAsia="Times New Roman" w:hint="default"/>
        </w:rPr>
        <w:t>“</w:t>
      </w:r>
      <w:r>
        <w:rPr/>
        <w:t>信息安全管理体系</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信息技术服务管理体系</w:t>
      </w:r>
      <w:r>
        <w:rPr>
          <w:rFonts w:ascii="Times New Roman" w:hAnsi="Times New Roman" w:cs="Times New Roman" w:eastAsia="Times New Roman" w:hint="default"/>
        </w:rPr>
        <w:t>”</w:t>
      </w:r>
      <w:r>
        <w:rPr/>
        <w:t>；被杭州市市场监督管理局评为</w:t>
      </w:r>
      <w:r>
        <w:rPr>
          <w:rFonts w:ascii="Times New Roman" w:hAnsi="Times New Roman" w:cs="Times New Roman" w:eastAsia="Times New Roman" w:hint="default"/>
        </w:rPr>
        <w:t>“2017</w:t>
      </w:r>
      <w:r>
        <w:rPr/>
        <w:t>年度 杭州市信用管理示范企业</w:t>
      </w:r>
      <w:r>
        <w:rPr>
          <w:rFonts w:ascii="Times New Roman" w:hAnsi="Times New Roman" w:cs="Times New Roman" w:eastAsia="Times New Roman" w:hint="default"/>
        </w:rPr>
        <w:t>”</w:t>
      </w:r>
      <w:r>
        <w:rPr/>
        <w:t>；被浙江省软件行业协会授予</w:t>
      </w:r>
      <w:r>
        <w:rPr>
          <w:spacing w:val="-31"/>
        </w:rPr>
        <w:t> </w:t>
      </w:r>
      <w:r>
        <w:rPr>
          <w:rFonts w:ascii="Times New Roman" w:hAnsi="Times New Roman" w:cs="Times New Roman" w:eastAsia="Times New Roman" w:hint="default"/>
        </w:rPr>
        <w:t>“</w:t>
      </w:r>
      <w:r>
        <w:rPr/>
        <w:t>浙江最佳创新软件产品</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浙江最佳创新软件企业</w:t>
      </w:r>
      <w:r>
        <w:rPr>
          <w:rFonts w:ascii="Times New Roman" w:hAnsi="Times New Roman" w:cs="Times New Roman" w:eastAsia="Times New Roman" w:hint="default"/>
        </w:rPr>
        <w:t>”</w:t>
      </w:r>
      <w:r>
        <w:rPr/>
        <w:t>；被浙江省企 </w:t>
      </w:r>
      <w:r>
        <w:rPr>
          <w:spacing w:val="-2"/>
        </w:rPr>
        <w:t>业信用促进会授予</w:t>
      </w:r>
      <w:r>
        <w:rPr>
          <w:rFonts w:ascii="Times New Roman" w:hAnsi="Times New Roman" w:cs="Times New Roman" w:eastAsia="Times New Roman" w:hint="default"/>
          <w:spacing w:val="-2"/>
        </w:rPr>
        <w:t>“2017</w:t>
      </w:r>
      <w:r>
        <w:rPr>
          <w:spacing w:val="-2"/>
        </w:rPr>
        <w:t>年度浙江省信用管理示范企业</w:t>
      </w:r>
      <w:r>
        <w:rPr>
          <w:rFonts w:ascii="Times New Roman" w:hAnsi="Times New Roman" w:cs="Times New Roman" w:eastAsia="Times New Roman" w:hint="default"/>
          <w:spacing w:val="-2"/>
        </w:rPr>
        <w:t>”</w:t>
      </w:r>
      <w:r>
        <w:rPr>
          <w:spacing w:val="-2"/>
        </w:rPr>
        <w:t>；被国家信息产业公共服务平台授予</w:t>
      </w:r>
      <w:r>
        <w:rPr>
          <w:rFonts w:ascii="Times New Roman" w:hAnsi="Times New Roman" w:cs="Times New Roman" w:eastAsia="Times New Roman" w:hint="default"/>
          <w:spacing w:val="-2"/>
        </w:rPr>
        <w:t>“2017</w:t>
      </w:r>
      <w:r>
        <w:rPr>
          <w:spacing w:val="-2"/>
        </w:rPr>
        <w:t>年度中国互联网</w:t>
      </w:r>
      <w:r>
        <w:rPr>
          <w:rFonts w:ascii="Times New Roman" w:hAnsi="Times New Roman" w:cs="Times New Roman" w:eastAsia="Times New Roman" w:hint="default"/>
          <w:spacing w:val="-2"/>
        </w:rPr>
        <w:t>+</w:t>
      </w:r>
      <w:r>
        <w:rPr>
          <w:spacing w:val="-2"/>
        </w:rPr>
        <w:t>医疗行业</w:t>
      </w:r>
      <w:r>
        <w:rPr>
          <w:spacing w:val="-38"/>
        </w:rPr>
        <w:t> </w:t>
      </w:r>
      <w:r>
        <w:rPr/>
        <w:t>最具影响力企业奖</w:t>
      </w:r>
      <w:r>
        <w:rPr>
          <w:rFonts w:ascii="Times New Roman" w:hAnsi="Times New Roman" w:cs="Times New Roman" w:eastAsia="Times New Roman" w:hint="default"/>
        </w:rPr>
        <w:t>”</w:t>
      </w:r>
      <w:r>
        <w:rPr/>
        <w:t>。</w:t>
      </w:r>
    </w:p>
    <w:p>
      <w:pPr>
        <w:pStyle w:val="Heading5"/>
        <w:spacing w:line="269" w:lineRule="exact"/>
        <w:ind w:left="513" w:right="0"/>
        <w:jc w:val="left"/>
        <w:rPr>
          <w:b w:val="0"/>
          <w:bCs w:val="0"/>
        </w:rPr>
      </w:pPr>
      <w:r>
        <w:rPr/>
        <w:t>（七）增强内部管理控制，提升精细化内部管理</w:t>
      </w:r>
      <w:r>
        <w:rPr>
          <w:b w:val="0"/>
          <w:bCs w:val="0"/>
        </w:rPr>
      </w:r>
    </w:p>
    <w:p>
      <w:pPr>
        <w:pStyle w:val="BodyText"/>
        <w:spacing w:line="319" w:lineRule="auto" w:before="56"/>
        <w:ind w:right="150" w:firstLine="360"/>
        <w:jc w:val="both"/>
      </w:pPr>
      <w:r>
        <w:rPr>
          <w:spacing w:val="-2"/>
        </w:rPr>
        <w:t>报告期内，公司明确界定了公司各部门的目标、职责和权限相应的授权、检查和问责制度，确保其在授权范围内履行职</w:t>
      </w:r>
      <w:r>
        <w:rPr/>
        <w:t> </w:t>
      </w:r>
      <w:r>
        <w:rPr>
          <w:spacing w:val="-2"/>
        </w:rPr>
        <w:t>责，通过搭建科学的经营决策体系，公司内部组织机构能够按照公司制订的管理制度，在各经营管理层的领导下有效执行和</w:t>
      </w:r>
      <w:r>
        <w:rPr>
          <w:spacing w:val="-63"/>
        </w:rPr>
        <w:t> </w:t>
      </w:r>
      <w:r>
        <w:rPr>
          <w:spacing w:val="-63"/>
        </w:rPr>
      </w:r>
      <w:r>
        <w:rPr/>
        <w:t>运作。为保障公司决策科学性、提高公司执行力、发挥部门间协同性起到重要作用。</w:t>
      </w:r>
    </w:p>
    <w:p>
      <w:pPr>
        <w:pStyle w:val="BodyText"/>
        <w:spacing w:line="300" w:lineRule="auto" w:before="17"/>
        <w:ind w:right="151" w:firstLine="360"/>
        <w:jc w:val="both"/>
      </w:pPr>
      <w:r>
        <w:rPr>
          <w:spacing w:val="-1"/>
        </w:rPr>
        <w:t>报告期内，公司全面推行人员任职资格和绩效考核，实现了全员年底考评增加绩效（</w:t>
      </w:r>
      <w:r>
        <w:rPr>
          <w:rFonts w:ascii="Times New Roman" w:hAnsi="Times New Roman" w:cs="Times New Roman" w:eastAsia="Times New Roman" w:hint="default"/>
          <w:spacing w:val="-1"/>
        </w:rPr>
        <w:t>A-E</w:t>
      </w:r>
      <w:r>
        <w:rPr>
          <w:spacing w:val="-1"/>
        </w:rPr>
        <w:t>）等级，并开展项目经理、产</w:t>
      </w:r>
      <w:r>
        <w:rPr>
          <w:w w:val="99"/>
        </w:rPr>
        <w:t> </w:t>
      </w:r>
      <w:r>
        <w:rPr>
          <w:spacing w:val="-2"/>
        </w:rPr>
        <w:t>品经理、管理者通用能力培训，在公司倡导的</w:t>
      </w:r>
      <w:r>
        <w:rPr>
          <w:rFonts w:ascii="Times New Roman" w:hAnsi="Times New Roman" w:cs="Times New Roman" w:eastAsia="Times New Roman" w:hint="default"/>
          <w:spacing w:val="-2"/>
        </w:rPr>
        <w:t>“</w:t>
      </w:r>
      <w:r>
        <w:rPr>
          <w:spacing w:val="-2"/>
        </w:rPr>
        <w:t>精细化的管理模式</w:t>
      </w:r>
      <w:r>
        <w:rPr>
          <w:rFonts w:ascii="Times New Roman" w:hAnsi="Times New Roman" w:cs="Times New Roman" w:eastAsia="Times New Roman" w:hint="default"/>
          <w:spacing w:val="-2"/>
        </w:rPr>
        <w:t>”</w:t>
      </w:r>
      <w:r>
        <w:rPr>
          <w:spacing w:val="-2"/>
        </w:rPr>
        <w:t>也持续提升了内控体系的健全性、合理性和遵循性，有助</w:t>
      </w:r>
      <w:r>
        <w:rPr>
          <w:spacing w:val="-45"/>
        </w:rPr>
        <w:t> </w:t>
      </w:r>
      <w:r>
        <w:rPr>
          <w:spacing w:val="-45"/>
        </w:rPr>
      </w:r>
      <w:r>
        <w:rPr/>
        <w:t>于完善公司现代化经营管理模式和决策体系。</w:t>
      </w:r>
    </w:p>
    <w:p>
      <w:pPr>
        <w:pStyle w:val="BodyText"/>
        <w:spacing w:line="316" w:lineRule="auto" w:before="31"/>
        <w:ind w:right="150" w:firstLine="360"/>
        <w:jc w:val="both"/>
      </w:pPr>
      <w:r>
        <w:rPr>
          <w:spacing w:val="-2"/>
        </w:rPr>
        <w:t>报告期内，公司建立与落实全员岗位资格认证体系，在原有人员职级基础上，开展了研发、工程、服务等岗位类别员工</w:t>
      </w:r>
      <w:r>
        <w:rPr/>
        <w:t> </w:t>
      </w:r>
      <w:r>
        <w:rPr>
          <w:spacing w:val="-2"/>
        </w:rPr>
        <w:t>的岗位资格认证工作。该体系的实施为加快员工的职业化进程，加强员工的职业生涯通道管理夯实了基础，在调动员工工作</w:t>
      </w:r>
      <w:r>
        <w:rPr>
          <w:spacing w:val="-63"/>
        </w:rPr>
        <w:t> </w:t>
      </w:r>
      <w:r>
        <w:rPr>
          <w:spacing w:val="-63"/>
        </w:rPr>
      </w:r>
      <w:r>
        <w:rPr/>
        <w:t>积极性，进一步细化责任，优化人员配置等方面发挥了良好作用。</w:t>
      </w:r>
    </w:p>
    <w:p>
      <w:pPr>
        <w:pStyle w:val="BodyText"/>
        <w:spacing w:line="319" w:lineRule="auto" w:before="19"/>
        <w:ind w:right="150" w:firstLine="360"/>
        <w:jc w:val="both"/>
      </w:pPr>
      <w:r>
        <w:rPr>
          <w:spacing w:val="-2"/>
        </w:rPr>
        <w:t>报告期内，制定完善了部分人力资源管理制度和流程，开展了包括项目管理、售前咨询、技术研发等针对性岗位的多种</w:t>
      </w:r>
      <w:r>
        <w:rPr/>
        <w:t> </w:t>
      </w:r>
      <w:r>
        <w:rPr>
          <w:spacing w:val="-2"/>
        </w:rPr>
        <w:t>类型的专项培训，通过外聘、内训、拓展等多种培训形式，实施阶梯式培训课程，逐步提高员工及管理干部的工作技能与产</w:t>
      </w:r>
      <w:r>
        <w:rPr>
          <w:spacing w:val="-67"/>
        </w:rPr>
        <w:t> </w:t>
      </w:r>
      <w:r>
        <w:rPr>
          <w:spacing w:val="-67"/>
        </w:rPr>
      </w:r>
      <w:r>
        <w:rPr/>
        <w:t>品业务能力。</w:t>
      </w:r>
    </w:p>
    <w:p>
      <w:pPr>
        <w:spacing w:after="0" w:line="319" w:lineRule="auto"/>
        <w:jc w:val="both"/>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2" w:right="54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5994"/>
        <w:jc w:val="left"/>
      </w:pPr>
      <w:r>
        <w:rPr/>
        <w:t>公司是否需要遵守光伏产业链相关业的披露要求 否</w:t>
      </w:r>
    </w:p>
    <w:p>
      <w:pPr>
        <w:pStyle w:val="BodyText"/>
        <w:spacing w:line="340" w:lineRule="auto" w:before="25"/>
        <w:ind w:right="41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59"/>
        <w:jc w:val="left"/>
      </w:pPr>
      <w:r>
        <w:rPr/>
        <w:t>公司是否需遵守《深圳证券交易所创业板行业信息披露指引第</w:t>
      </w:r>
      <w:r>
        <w:rPr>
          <w:spacing w:val="-46"/>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68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right="0"/>
        <w:jc w:val="left"/>
      </w:pPr>
      <w:r>
        <w:rPr/>
        <w:t>营业收入整体情况</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9"/>
        <w:gridCol w:w="1594"/>
        <w:gridCol w:w="1591"/>
        <w:gridCol w:w="1597"/>
        <w:gridCol w:w="1588"/>
        <w:gridCol w:w="1599"/>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9"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1,152,952,938.09</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548,645,307.54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110.15%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600,470,639.50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480,695,658.12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87.62%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24.92%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25,273,629.82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21,616,960.95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16.92%</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453,357,252.13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39.32%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73,851,416.64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46,332,688.47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59.39%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医疗卫生信息化应 用软件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522,259,334.67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421,187,855.55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76.77%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126,611,960.69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103,033,728.65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453,357,252.13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39.32%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50,724,390.60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24,423,723.34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497,529,664.04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301,671,264.63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54.98%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190,763,090.44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103,671,626.31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103,913,865.55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46,941,481.18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121.37%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107,351,727.48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33,448,098.03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58,226,241.73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25,172,028.83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131.31%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195,168,348.85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37,740,808.56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6"/>
        <w:gridCol w:w="1366"/>
        <w:gridCol w:w="1368"/>
        <w:gridCol w:w="1366"/>
        <w:gridCol w:w="1373"/>
      </w:tblGrid>
      <w:tr>
        <w:trPr>
          <w:trHeight w:val="714"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600,470,639.50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276,633,263.80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453,357,252.13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237,262,464.33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医疗卫生信息化 应用软件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522,259,334.67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229,215,676.89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126,611,960.69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96,625,258.85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453,357,252.13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237,262,464.33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497,529,664.04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251,751,978.60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64.77%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190,763,090.44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114,918,308.09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产品分类</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医疗卫生信息化 应用软件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119,613,997.14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108,497,843.69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93,410,471.95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76,054,285.59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备件周转服务费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145,487,923.93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11,836,675.67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22,660,433.37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w:t>
            </w:r>
          </w:p>
        </w:tc>
      </w:tr>
    </w:tbl>
    <w:p>
      <w:pPr>
        <w:pStyle w:val="BodyText"/>
        <w:spacing w:line="316" w:lineRule="auto" w:before="49"/>
        <w:ind w:right="234"/>
        <w:jc w:val="left"/>
      </w:pPr>
      <w:r>
        <w:rPr/>
        <w:t>说明：各项营业成本项目占营业成本总额的比重较上年同期变动幅度较大，主要系本年合并范围新增杭州博泰信息技术服 务有限公司，其</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年度营业成本为</w:t>
      </w:r>
      <w:r>
        <w:rPr>
          <w:spacing w:val="-47"/>
        </w:rPr>
        <w:t> </w:t>
      </w:r>
      <w:r>
        <w:rPr>
          <w:rFonts w:ascii="Times New Roman" w:hAnsi="Times New Roman" w:cs="Times New Roman" w:eastAsia="Times New Roman" w:hint="default"/>
        </w:rPr>
        <w:t>240,717,980.98 </w:t>
      </w:r>
      <w:r>
        <w:rPr/>
        <w:t>元。</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9" w:lineRule="auto" w:before="103"/>
        <w:ind w:right="251" w:firstLine="360"/>
        <w:jc w:val="both"/>
      </w:pPr>
      <w:r>
        <w:rPr>
          <w:rFonts w:ascii="Times New Roman" w:hAnsi="Times New Roman" w:cs="Times New Roman" w:eastAsia="Times New Roman" w:hint="default"/>
        </w:rPr>
        <w:t>2017</w:t>
      </w:r>
      <w:r>
        <w:rPr/>
        <w:t>年公司新设立子公司杭州合美物业管理有限公司、杭州鼎泰医康科技有限公司、浙江医康数据科技研究院有限公 司；收购杭州博泰信息技术服务有限公司、杭州卓腾信息技术有限公司、杭州梅清数码科技有限公司及杭州美诺泰科科技 有限公司，并于本年纳入合并报表范围；因丧失控制权不再将浙江创源环境科技股份有限公司纳入合并报表范围。</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left="441" w:right="240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公司本报告期收购杭州博泰信息技术服务有限公司</w:t>
      </w:r>
      <w:r>
        <w:rPr>
          <w:rFonts w:ascii="Times New Roman" w:hAnsi="Times New Roman" w:cs="Times New Roman" w:eastAsia="Times New Roman" w:hint="default"/>
        </w:rPr>
        <w:t>100%</w:t>
      </w:r>
      <w:r>
        <w:rPr/>
        <w:t>股权，于本期将其纳入合并范围。</w:t>
      </w:r>
    </w:p>
    <w:p>
      <w:pPr>
        <w:pStyle w:val="BodyText"/>
        <w:spacing w:line="228" w:lineRule="exact"/>
        <w:ind w:left="441" w:right="0"/>
        <w:jc w:val="left"/>
      </w:pPr>
      <w:r>
        <w:rPr/>
        <w:t>杭州博泰信息技术服务有限公司主要业务系为金融机构提供</w:t>
      </w:r>
      <w:r>
        <w:rPr>
          <w:rFonts w:ascii="Times New Roman" w:hAnsi="Times New Roman" w:cs="Times New Roman" w:eastAsia="Times New Roman" w:hint="default"/>
        </w:rPr>
        <w:t>IT</w:t>
      </w:r>
      <w:r>
        <w:rPr/>
        <w:t>运维服务。</w:t>
      </w:r>
      <w:r>
        <w:rPr>
          <w:rFonts w:ascii="Times New Roman" w:hAnsi="Times New Roman" w:cs="Times New Roman" w:eastAsia="Times New Roman" w:hint="default"/>
        </w:rPr>
        <w:t>2017</w:t>
      </w:r>
      <w:r>
        <w:rPr/>
        <w:t>年杭州博泰信息技术服务有限公司实现</w:t>
      </w:r>
    </w:p>
    <w:p>
      <w:pPr>
        <w:pStyle w:val="BodyText"/>
        <w:spacing w:line="240" w:lineRule="auto" w:before="63"/>
        <w:ind w:right="0"/>
        <w:jc w:val="left"/>
      </w:pPr>
      <w:r>
        <w:rPr/>
        <w:t>营业收入</w:t>
      </w:r>
      <w:r>
        <w:rPr>
          <w:rFonts w:ascii="Times New Roman" w:hAnsi="Times New Roman" w:cs="Times New Roman" w:eastAsia="Times New Roman" w:hint="default"/>
        </w:rPr>
        <w:t>45,814.19</w:t>
      </w:r>
      <w:r>
        <w:rPr/>
        <w:t>万元，净利润</w:t>
      </w:r>
      <w:r>
        <w:rPr>
          <w:rFonts w:ascii="Times New Roman" w:hAnsi="Times New Roman" w:cs="Times New Roman" w:eastAsia="Times New Roman" w:hint="default"/>
        </w:rPr>
        <w:t>10,597.59</w:t>
      </w:r>
      <w:r>
        <w:rPr/>
        <w:t>万元。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170,076,571.86</w:t>
            </w:r>
          </w:p>
        </w:tc>
      </w:tr>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14.75%</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93" w:type="dxa"/>
        <w:tblLayout w:type="fixed"/>
        <w:tblCellMar>
          <w:top w:w="0" w:type="dxa"/>
          <w:left w:w="0" w:type="dxa"/>
          <w:bottom w:w="0" w:type="dxa"/>
          <w:right w:w="0" w:type="dxa"/>
        </w:tblCellMar>
        <w:tblLook w:val="01E0"/>
      </w:tblPr>
      <w:tblGrid>
        <w:gridCol w:w="779"/>
        <w:gridCol w:w="3311"/>
        <w:gridCol w:w="2324"/>
        <w:gridCol w:w="3142"/>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41,783,193.89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39,213,207.40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33,628,699.96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32,294,121.39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23,157,349.22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802"/>
        <w:gridCol w:w="3290"/>
        <w:gridCol w:w="2334"/>
        <w:gridCol w:w="3142"/>
      </w:tblGrid>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8" w:right="0"/>
              <w:jc w:val="left"/>
              <w:rPr>
                <w:rFonts w:ascii="Times New Roman" w:hAnsi="Times New Roman" w:cs="Times New Roman" w:eastAsia="Times New Roman" w:hint="default"/>
                <w:sz w:val="18"/>
                <w:szCs w:val="18"/>
              </w:rPr>
            </w:pPr>
            <w:r>
              <w:rPr>
                <w:rFonts w:ascii="Times New Roman"/>
                <w:sz w:val="18"/>
              </w:rPr>
              <w:t>170,076,571.86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14.75%</w:t>
            </w:r>
          </w:p>
        </w:tc>
      </w:tr>
    </w:tbl>
    <w:p>
      <w:pPr>
        <w:pStyle w:val="BodyText"/>
        <w:spacing w:line="240" w:lineRule="auto" w:before="49"/>
        <w:ind w:right="0"/>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167,463,379.25</w:t>
            </w:r>
          </w:p>
        </w:tc>
      </w:tr>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46.56%</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93" w:type="dxa"/>
        <w:tblLayout w:type="fixed"/>
        <w:tblCellMar>
          <w:top w:w="0" w:type="dxa"/>
          <w:left w:w="0" w:type="dxa"/>
          <w:bottom w:w="0" w:type="dxa"/>
          <w:right w:w="0" w:type="dxa"/>
        </w:tblCellMar>
        <w:tblLook w:val="01E0"/>
      </w:tblPr>
      <w:tblGrid>
        <w:gridCol w:w="911"/>
        <w:gridCol w:w="3179"/>
        <w:gridCol w:w="2324"/>
        <w:gridCol w:w="3142"/>
      </w:tblGrid>
      <w:tr>
        <w:trPr>
          <w:trHeight w:val="404"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124,931,845.02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34.74%</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20,074,156.59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9,046,889.75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8,125,215.11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r>
      <w:tr>
        <w:trPr>
          <w:trHeight w:val="401"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5,285,272.78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167,463,379.25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46.56%</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92"/>
        <w:gridCol w:w="1649"/>
        <w:gridCol w:w="1637"/>
        <w:gridCol w:w="1462"/>
        <w:gridCol w:w="2917"/>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108,188,001.84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67,148,558.74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61.12%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主要系合并范围增加所致。</w:t>
            </w:r>
          </w:p>
        </w:tc>
      </w:tr>
      <w:tr>
        <w:trPr>
          <w:trHeight w:val="473"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268,141,153.86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157,712,695.57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70.02%</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主要系本期合并报表范围增加；职 工人数及薪酬增加；研发费用增 加；本期投入使用的创业智慧大厦 运营费用增加所致。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473"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-1,984,408.58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-7,577,225.90</w:t>
            </w:r>
          </w:p>
        </w:tc>
        <w:tc>
          <w:tcPr>
            <w:tcW w:w="1462" w:type="dxa"/>
            <w:vMerge w:val="restart"/>
            <w:tcBorders>
              <w:top w:val="single" w:sz="4" w:space="0" w:color="000000"/>
              <w:left w:val="single" w:sz="4" w:space="0" w:color="000000"/>
              <w:right w:val="single" w:sz="4" w:space="0" w:color="000000"/>
            </w:tcBorders>
          </w:tcPr>
          <w:p>
            <w:pP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62"/>
              <w:jc w:val="left"/>
              <w:rPr>
                <w:rFonts w:ascii="宋体" w:hAnsi="宋体" w:cs="宋体" w:eastAsia="宋体" w:hint="default"/>
                <w:sz w:val="18"/>
                <w:szCs w:val="18"/>
              </w:rPr>
            </w:pPr>
            <w:r>
              <w:rPr>
                <w:rFonts w:ascii="宋体" w:hAnsi="宋体" w:cs="宋体" w:eastAsia="宋体" w:hint="default"/>
                <w:sz w:val="18"/>
                <w:szCs w:val="18"/>
              </w:rPr>
              <w:t>主要系本期银行借款利息增加所 致。</w:t>
            </w:r>
          </w:p>
        </w:tc>
      </w:tr>
      <w:tr>
        <w:trPr>
          <w:trHeight w:val="394"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26" w:lineRule="auto"/>
        <w:ind w:right="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报告期内，公司始终坚持以技术驱动核心竞争力的运营思路，密切跟踪行业发展趋势，积极关注新医改的发展机遇，适应 市场需求，对传统的医疗卫生信息化领域产品，着力针对新产品的开发和老产品的升级换代加大研发投入，保障了新产品 开发与技术升级有序进行。</w:t>
      </w:r>
      <w:r>
        <w:rPr>
          <w:rFonts w:ascii="宋体" w:hAnsi="宋体" w:cs="宋体" w:eastAsia="宋体" w:hint="default"/>
        </w:rPr>
        <w:t>2017</w:t>
      </w:r>
      <w:r>
        <w:rPr/>
        <w:t>年度，公司发生的研发费用</w:t>
      </w:r>
      <w:r>
        <w:rPr>
          <w:rFonts w:ascii="宋体" w:hAnsi="宋体" w:cs="宋体" w:eastAsia="宋体" w:hint="default"/>
        </w:rPr>
        <w:t>11,572.52</w:t>
      </w:r>
      <w:r>
        <w:rPr/>
        <w:t>万元，同比增长</w:t>
      </w:r>
      <w:r>
        <w:rPr>
          <w:rFonts w:ascii="宋体" w:hAnsi="宋体" w:cs="宋体" w:eastAsia="宋体" w:hint="default"/>
        </w:rPr>
        <w:t>36.90%</w:t>
      </w:r>
      <w:r>
        <w:rPr/>
        <w:t>。</w:t>
      </w:r>
    </w:p>
    <w:p>
      <w:pPr>
        <w:pStyle w:val="BodyText"/>
        <w:spacing w:line="240" w:lineRule="auto" w:before="53"/>
        <w:ind w:right="0"/>
        <w:jc w:val="left"/>
      </w:pPr>
      <w:r>
        <w:rPr/>
        <w:t>近三年公司研发投入金额及占营业收入的比例</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2368"/>
        <w:gridCol w:w="2404"/>
        <w:gridCol w:w="2393"/>
        <w:gridCol w:w="2391"/>
      </w:tblGrid>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409</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28.19%</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115,725,190.48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84,530,838.31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56,737,913.35</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13.32%</w:t>
            </w:r>
          </w:p>
        </w:tc>
      </w:tr>
      <w:tr>
        <w:trPr>
          <w:trHeight w:val="715"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84"/>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368"/>
        <w:gridCol w:w="2404"/>
        <w:gridCol w:w="2393"/>
        <w:gridCol w:w="2391"/>
      </w:tblGrid>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1,262,129,481.15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641,213,563.48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96.83%</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1,088,003,139.50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522,226,029.11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108.34%</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174,126,341.65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118,987,534.37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46.34%</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185,915,792.08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141,610,151.84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31.29%</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315,959,611.37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245,692,557.89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28.60%</w:t>
            </w:r>
          </w:p>
        </w:tc>
      </w:tr>
      <w:tr>
        <w:trPr>
          <w:trHeight w:val="716"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-130,043,819.29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-104,082,406.05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191,868,000.00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22,936,890.00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736.50%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192,944,883.02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19,036,079.63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913.57%</w:t>
            </w:r>
          </w:p>
        </w:tc>
      </w:tr>
      <w:tr>
        <w:trPr>
          <w:trHeight w:val="71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4"/>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-1,076,883.02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3,900,810.37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-127.61%</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43,005,639.34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18,805,938.69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128.68%</w:t>
            </w:r>
          </w:p>
        </w:tc>
      </w:tr>
    </w:tbl>
    <w:p>
      <w:pPr>
        <w:pStyle w:val="BodyText"/>
        <w:spacing w:line="240" w:lineRule="auto" w:before="49"/>
        <w:ind w:right="0"/>
        <w:jc w:val="left"/>
      </w:pPr>
      <w:r>
        <w:rPr/>
        <w:t>相关数据同比发生重大变动的主要影响因素说明</w:t>
      </w:r>
    </w:p>
    <w:p>
      <w:pPr>
        <w:pStyle w:val="BodyText"/>
        <w:spacing w:line="326" w:lineRule="auto" w:before="115"/>
        <w:ind w:right="2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经营活动现金流入小计增加，主要系合并范围增加，同时本期销售收款增加所致。 经营活动现金流出小计增加，主要系合并范围增加，同时本期支付的采购款、职工薪酬增加所致。 投资活动现金流入小计增加，主要系合并范围增加所致。</w:t>
      </w:r>
    </w:p>
    <w:p>
      <w:pPr>
        <w:spacing w:after="0" w:line="32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38" w:lineRule="auto" w:before="44"/>
        <w:ind w:right="2934"/>
        <w:jc w:val="left"/>
      </w:pPr>
      <w:r>
        <w:rPr/>
        <w:t>筹资活动现金流入小计增加，主要系本期银行借款增加所致。 筹资活动现金流出小计增加，主要系本期员工持股计划回购股份及偿还银行借款所致。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三、非主营业务情况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四、资产及负债状况</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361,081,959.8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13.38%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317,942,646.44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28.06%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-14.68%</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主要系本期发行股份购买资产，资 产总额增加所致。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447,674,875.1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16.59%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312,970,867.07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27.62%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-11.03%</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主要系本期发行股份购买资产，资 产总额增加所致。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89,824,846.34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44,266,417.58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3,691,834.64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3,913,759.88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42,169,001.69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7,014,395.36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310,211,428.2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11.49%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245,370,858.16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21.65%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-10.16%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主要系本期发行股份购买资产，资 产总额增加所致。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35,404,389.82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9,030,903.39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3.71%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0.53%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3.18%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63"/>
              <w:jc w:val="left"/>
              <w:rPr>
                <w:rFonts w:ascii="宋体" w:hAnsi="宋体" w:cs="宋体" w:eastAsia="宋体" w:hint="default"/>
                <w:sz w:val="18"/>
                <w:szCs w:val="18"/>
              </w:rPr>
            </w:pPr>
            <w:r>
              <w:rPr>
                <w:rFonts w:ascii="宋体" w:hAnsi="宋体" w:cs="宋体" w:eastAsia="宋体" w:hint="default"/>
                <w:sz w:val="18"/>
                <w:szCs w:val="18"/>
              </w:rPr>
              <w:t>主要系本期短期银行借款增加所 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4" w:type="dxa"/>
        <w:tblLayout w:type="fixed"/>
        <w:tblCellMar>
          <w:top w:w="0" w:type="dxa"/>
          <w:left w:w="0" w:type="dxa"/>
          <w:bottom w:w="0" w:type="dxa"/>
          <w:right w:w="0" w:type="dxa"/>
        </w:tblCellMar>
        <w:tblLook w:val="01E0"/>
      </w:tblPr>
      <w:tblGrid>
        <w:gridCol w:w="2838"/>
        <w:gridCol w:w="2372"/>
        <w:gridCol w:w="3312"/>
      </w:tblGrid>
      <w:tr>
        <w:trPr>
          <w:trHeight w:val="34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3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660"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793,674.03</w:t>
            </w:r>
          </w:p>
        </w:tc>
        <w:tc>
          <w:tcPr>
            <w:tcW w:w="3312"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17"/>
              <w:ind w:left="4" w:right="5"/>
              <w:jc w:val="left"/>
              <w:rPr>
                <w:rFonts w:ascii="宋体" w:hAnsi="宋体" w:cs="宋体" w:eastAsia="宋体" w:hint="default"/>
                <w:sz w:val="18"/>
                <w:szCs w:val="18"/>
              </w:rPr>
            </w:pPr>
            <w:r>
              <w:rPr>
                <w:rFonts w:ascii="宋体" w:hAnsi="宋体" w:cs="宋体" w:eastAsia="宋体" w:hint="default"/>
                <w:spacing w:val="-2"/>
                <w:sz w:val="18"/>
                <w:szCs w:val="18"/>
              </w:rPr>
              <w:t>银行承兑汇票保证金</w:t>
            </w:r>
            <w:r>
              <w:rPr>
                <w:rFonts w:ascii="Times New Roman" w:hAnsi="Times New Roman" w:cs="Times New Roman" w:eastAsia="Times New Roman" w:hint="default"/>
                <w:spacing w:val="-2"/>
                <w:sz w:val="18"/>
                <w:szCs w:val="18"/>
              </w:rPr>
              <w:t>188,679.10</w:t>
            </w:r>
            <w:r>
              <w:rPr>
                <w:rFonts w:ascii="宋体" w:hAnsi="宋体" w:cs="宋体" w:eastAsia="宋体" w:hint="default"/>
                <w:spacing w:val="-2"/>
                <w:sz w:val="18"/>
                <w:szCs w:val="18"/>
              </w:rPr>
              <w:t>元、保函保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证金</w:t>
            </w:r>
            <w:r>
              <w:rPr>
                <w:rFonts w:ascii="Times New Roman" w:hAnsi="Times New Roman" w:cs="Times New Roman" w:eastAsia="Times New Roman" w:hint="default"/>
                <w:sz w:val="18"/>
                <w:szCs w:val="18"/>
              </w:rPr>
              <w:t>604,800.00</w:t>
            </w:r>
            <w:r>
              <w:rPr>
                <w:rFonts w:ascii="宋体" w:hAnsi="宋体" w:cs="宋体" w:eastAsia="宋体" w:hint="default"/>
                <w:sz w:val="18"/>
                <w:szCs w:val="18"/>
              </w:rPr>
              <w:t>元和其他存款</w:t>
            </w:r>
            <w:r>
              <w:rPr>
                <w:rFonts w:ascii="Times New Roman" w:hAnsi="Times New Roman" w:cs="Times New Roman" w:eastAsia="Times New Roman" w:hint="default"/>
                <w:sz w:val="18"/>
                <w:szCs w:val="18"/>
              </w:rPr>
              <w:t>194.93</w:t>
            </w:r>
            <w:r>
              <w:rPr>
                <w:rFonts w:ascii="宋体" w:hAnsi="宋体" w:cs="宋体" w:eastAsia="宋体" w:hint="default"/>
                <w:sz w:val="18"/>
                <w:szCs w:val="18"/>
              </w:rPr>
              <w:t>元。</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793,674.03</w:t>
            </w:r>
          </w:p>
        </w:tc>
        <w:tc>
          <w:tcPr>
            <w:tcW w:w="3312"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2"/>
          <w:szCs w:val="12"/>
        </w:rPr>
      </w:pPr>
    </w:p>
    <w:p>
      <w:pPr>
        <w:pStyle w:val="Heading2"/>
        <w:spacing w:line="367" w:lineRule="exact"/>
        <w:ind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1,533,863,553.59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153,390,857.74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6"/>
        <w:gridCol w:w="658"/>
        <w:gridCol w:w="629"/>
        <w:gridCol w:w="739"/>
        <w:gridCol w:w="735"/>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1"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2" w:right="5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0"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92"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杭州博 泰信息 技术服 务有限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1,238,0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发行股 份</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99,500,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105,119,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686.07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4" w:right="44"/>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258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浙江浙 商产融 股权投 资基金 合伙企 业（有 限合 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17"/>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宁波钱 潮涌鑫 投资管 理合伙 企业</w:t>
            </w:r>
          </w:p>
          <w:p>
            <w:pPr>
              <w:pStyle w:val="TableParagraph"/>
              <w:spacing w:line="316"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 等</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24" w:right="44"/>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2276"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浙江大 健康产 业股权 投资基 金（有 限合 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17"/>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杭州灏 赢投资 管理合 伙企业</w:t>
            </w:r>
          </w:p>
          <w:p>
            <w:pPr>
              <w:pStyle w:val="TableParagraph"/>
              <w:spacing w:line="316" w:lineRule="auto" w:before="19"/>
              <w:ind w:left="23" w:right="83"/>
              <w:jc w:val="both"/>
              <w:rPr>
                <w:rFonts w:ascii="宋体" w:hAnsi="宋体" w:cs="宋体" w:eastAsia="宋体" w:hint="default"/>
                <w:sz w:val="18"/>
                <w:szCs w:val="18"/>
              </w:rPr>
            </w:pPr>
            <w:r>
              <w:rPr>
                <w:rFonts w:ascii="宋体" w:hAnsi="宋体" w:cs="宋体" w:eastAsia="宋体" w:hint="default"/>
                <w:sz w:val="18"/>
                <w:szCs w:val="18"/>
              </w:rPr>
              <w:t>（有限 合伙） 等</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4" w:right="44"/>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133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杭州美 诺泰科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7"/>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40,799,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828.00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俞青等</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717,916.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44"/>
              <w:jc w:val="both"/>
              <w:rPr>
                <w:rFonts w:ascii="Times New Roman" w:hAnsi="Times New Roman" w:cs="Times New Roman" w:eastAsia="Times New Roman" w:hint="default"/>
                <w:sz w:val="18"/>
                <w:szCs w:val="18"/>
              </w:rPr>
            </w:pPr>
            <w:r>
              <w:rPr>
                <w:rFonts w:ascii="Times New Roman"/>
                <w:spacing w:val="-2"/>
                <w:sz w:val="18"/>
              </w:rPr>
              <w:t>www.cni</w:t>
            </w:r>
            <w:r>
              <w:rPr>
                <w:rFonts w:ascii="Times New Roman"/>
                <w:sz w:val="18"/>
              </w:rPr>
              <w:t> nfo.com. cn</w:t>
            </w:r>
          </w:p>
        </w:tc>
      </w:tr>
      <w:tr>
        <w:trPr>
          <w:trHeight w:val="40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杭州梅</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医疗器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30,000,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杨梅青</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医疗器</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1,654,38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694"/>
        <w:gridCol w:w="694"/>
        <w:gridCol w:w="662"/>
        <w:gridCol w:w="661"/>
        <w:gridCol w:w="662"/>
        <w:gridCol w:w="662"/>
        <w:gridCol w:w="658"/>
        <w:gridCol w:w="656"/>
        <w:gridCol w:w="658"/>
        <w:gridCol w:w="629"/>
        <w:gridCol w:w="739"/>
        <w:gridCol w:w="735"/>
        <w:gridCol w:w="734"/>
        <w:gridCol w:w="722"/>
      </w:tblGrid>
      <w:tr>
        <w:trPr>
          <w:trHeight w:val="98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8"/>
              <w:jc w:val="both"/>
              <w:rPr>
                <w:rFonts w:ascii="宋体" w:hAnsi="宋体" w:cs="宋体" w:eastAsia="宋体" w:hint="default"/>
                <w:sz w:val="18"/>
                <w:szCs w:val="18"/>
              </w:rPr>
            </w:pPr>
            <w:r>
              <w:rPr>
                <w:rFonts w:ascii="宋体" w:hAnsi="宋体" w:cs="宋体" w:eastAsia="宋体" w:hint="default"/>
                <w:sz w:val="18"/>
                <w:szCs w:val="18"/>
              </w:rPr>
              <w:t>清数码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7"/>
              <w:jc w:val="left"/>
              <w:rPr>
                <w:rFonts w:ascii="宋体" w:hAnsi="宋体" w:cs="宋体" w:eastAsia="宋体" w:hint="default"/>
                <w:sz w:val="18"/>
                <w:szCs w:val="18"/>
              </w:rPr>
            </w:pPr>
            <w:r>
              <w:rPr>
                <w:rFonts w:ascii="宋体" w:hAnsi="宋体" w:cs="宋体" w:eastAsia="宋体" w:hint="default"/>
                <w:sz w:val="18"/>
                <w:szCs w:val="18"/>
              </w:rPr>
              <w:t>械生产 销售</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5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械</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3" w:right="0"/>
              <w:jc w:val="left"/>
              <w:rPr>
                <w:rFonts w:ascii="Times New Roman" w:hAnsi="Times New Roman" w:cs="Times New Roman" w:eastAsia="Times New Roman" w:hint="default"/>
                <w:sz w:val="18"/>
                <w:szCs w:val="18"/>
              </w:rPr>
            </w:pPr>
            <w:r>
              <w:rPr>
                <w:rFonts w:ascii="Times New Roman"/>
                <w:sz w:val="18"/>
              </w:rPr>
              <w:t>3.89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1,458,7</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99,828.</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99,500,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107,491,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986.83</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8,190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8,190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2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实际募集资金金额和资金到账时间经中国证券监督管理委员会证监许可〔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3122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号文核准，并经贵所同意，本</w:t>
            </w:r>
            <w:r>
              <w:rPr>
                <w:rFonts w:ascii="宋体" w:hAnsi="宋体" w:cs="宋体" w:eastAsia="宋体" w:hint="default"/>
                <w:w w:val="99"/>
                <w:sz w:val="18"/>
                <w:szCs w:val="18"/>
              </w:rPr>
              <w:t> </w:t>
            </w:r>
            <w:r>
              <w:rPr>
                <w:rFonts w:ascii="宋体" w:hAnsi="宋体" w:cs="宋体" w:eastAsia="宋体" w:hint="default"/>
                <w:sz w:val="18"/>
                <w:szCs w:val="18"/>
              </w:rPr>
              <w:t>公司由主承销商国元证券股份有限公司采用发行股份购买资产并募集配套资金的方式，向杭州鑫粟投资管理有限公司</w:t>
            </w:r>
          </w:p>
          <w:p>
            <w:pPr>
              <w:pStyle w:val="TableParagraph"/>
              <w:spacing w:line="240" w:lineRule="auto" w:before="31"/>
              <w:ind w:left="24" w:right="0"/>
              <w:jc w:val="both"/>
              <w:rPr>
                <w:rFonts w:ascii="宋体" w:hAnsi="宋体" w:cs="宋体" w:eastAsia="宋体" w:hint="default"/>
                <w:sz w:val="18"/>
                <w:szCs w:val="18"/>
              </w:rPr>
            </w:pPr>
            <w:r>
              <w:rPr>
                <w:rFonts w:ascii="宋体" w:hAnsi="宋体" w:cs="宋体" w:eastAsia="宋体" w:hint="default"/>
                <w:sz w:val="18"/>
                <w:szCs w:val="18"/>
              </w:rPr>
              <w:t>（以下简称鑫粟投资</w:t>
            </w:r>
            <w:r>
              <w:rPr>
                <w:rFonts w:ascii="宋体" w:hAnsi="宋体" w:cs="宋体" w:eastAsia="宋体" w:hint="default"/>
                <w:spacing w:val="-92"/>
                <w:sz w:val="18"/>
                <w:szCs w:val="18"/>
              </w:rPr>
              <w:t>）</w:t>
            </w:r>
            <w:r>
              <w:rPr>
                <w:rFonts w:ascii="宋体" w:hAnsi="宋体" w:cs="宋体" w:eastAsia="宋体" w:hint="default"/>
                <w:sz w:val="18"/>
                <w:szCs w:val="18"/>
              </w:rPr>
              <w:t>、杭州</w:t>
            </w:r>
            <w:r>
              <w:rPr>
                <w:rFonts w:ascii="宋体" w:hAnsi="宋体" w:cs="宋体" w:eastAsia="宋体" w:hint="default"/>
                <w:spacing w:val="2"/>
                <w:sz w:val="18"/>
                <w:szCs w:val="18"/>
              </w:rPr>
              <w:t>铜</w:t>
            </w:r>
            <w:r>
              <w:rPr>
                <w:rFonts w:ascii="宋体" w:hAnsi="宋体" w:cs="宋体" w:eastAsia="宋体" w:hint="default"/>
                <w:sz w:val="18"/>
                <w:szCs w:val="18"/>
              </w:rPr>
              <w:t>粟投资管理有限公司（以下简称铜粟投资）发行人民币普通股</w:t>
            </w:r>
            <w:r>
              <w:rPr>
                <w:rFonts w:ascii="宋体" w:hAnsi="宋体" w:cs="宋体" w:eastAsia="宋体" w:hint="default"/>
                <w:spacing w:val="1"/>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股）股票合计</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29,872,999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股，每股面值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元，发行价为每股人民币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39.37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元，折合人民币共计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117,610.00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万元，收购其所持杭州博泰信</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息技术服务有限公司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以下简称博泰服务</w:t>
            </w:r>
            <w:r>
              <w:rPr>
                <w:rFonts w:ascii="Times New Roman" w:hAnsi="Times New Roman" w:cs="Times New Roman" w:eastAsia="Times New Roman" w:hint="default"/>
                <w:sz w:val="18"/>
                <w:szCs w:val="18"/>
              </w:rPr>
              <w:t>)95%</w:t>
            </w:r>
            <w:r>
              <w:rPr>
                <w:rFonts w:ascii="宋体" w:hAnsi="宋体" w:cs="宋体" w:eastAsia="宋体" w:hint="default"/>
                <w:sz w:val="18"/>
                <w:szCs w:val="18"/>
              </w:rPr>
              <w:t>股权；同时向葛航、周建新发行人民币普通股（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2,080,264</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元，发行价为每股人民币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元，折合人民币共计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8,190.00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万元，坐扣承销和保荐费用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的募集资金为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6,820.00 </w:t>
            </w:r>
            <w:r>
              <w:rPr>
                <w:rFonts w:ascii="宋体" w:hAnsi="宋体" w:cs="宋体" w:eastAsia="宋体" w:hint="default"/>
                <w:sz w:val="18"/>
                <w:szCs w:val="18"/>
              </w:rPr>
              <w:t>万元，已由主承销商国元证券股份有限公司于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另减除律师费、审计费、法定信息披露费等与发行权益性证券直接相关的新增外部费用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万元后，公司本次募集资</w:t>
            </w:r>
          </w:p>
          <w:p>
            <w:pPr>
              <w:pStyle w:val="TableParagraph"/>
              <w:spacing w:line="300" w:lineRule="auto" w:before="63"/>
              <w:ind w:left="24" w:right="167"/>
              <w:jc w:val="both"/>
              <w:rPr>
                <w:rFonts w:ascii="宋体" w:hAnsi="宋体" w:cs="宋体" w:eastAsia="宋体" w:hint="default"/>
                <w:sz w:val="18"/>
                <w:szCs w:val="18"/>
              </w:rPr>
            </w:pPr>
            <w:r>
              <w:rPr>
                <w:rFonts w:ascii="宋体" w:hAnsi="宋体" w:cs="宋体" w:eastAsia="宋体" w:hint="default"/>
                <w:sz w:val="18"/>
                <w:szCs w:val="18"/>
              </w:rPr>
              <w:t>金现金净额为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6,186.80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万元。上述募集资金到位情况业经天健会计师事务所（特殊普通合伙）验证，并由其出具《验资 </w:t>
            </w:r>
            <w:r>
              <w:rPr>
                <w:rFonts w:ascii="宋体" w:hAnsi="宋体" w:cs="宋体" w:eastAsia="宋体" w:hint="default"/>
                <w:spacing w:val="-7"/>
                <w:sz w:val="18"/>
                <w:szCs w:val="18"/>
              </w:rPr>
              <w:t>报告》（天健验〔</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pacing w:val="-16"/>
                <w:sz w:val="18"/>
                <w:szCs w:val="18"/>
              </w:rPr>
              <w:t>号）。</w:t>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二</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募集资金使用和结余情况</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年度实际使用募集资金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8,190.00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万元；累计已使用</w:t>
            </w:r>
            <w:r>
              <w:rPr>
                <w:rFonts w:ascii="宋体" w:hAnsi="宋体" w:cs="宋体" w:eastAsia="宋体" w:hint="default"/>
                <w:spacing w:val="-88"/>
                <w:sz w:val="18"/>
                <w:szCs w:val="18"/>
              </w:rPr>
              <w:t> </w:t>
            </w:r>
            <w:r>
              <w:rPr>
                <w:rFonts w:ascii="宋体" w:hAnsi="宋体" w:cs="宋体" w:eastAsia="宋体" w:hint="default"/>
                <w:sz w:val="18"/>
                <w:szCs w:val="18"/>
              </w:rPr>
              <w:t>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8,190.00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万元，已全部使用完毕。</w:t>
            </w:r>
          </w:p>
        </w:tc>
      </w:tr>
    </w:tbl>
    <w:p>
      <w:pPr>
        <w:spacing w:after="0" w:line="300"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769"/>
        <w:gridCol w:w="780"/>
        <w:gridCol w:w="781"/>
        <w:gridCol w:w="780"/>
        <w:gridCol w:w="778"/>
        <w:gridCol w:w="780"/>
        <w:gridCol w:w="780"/>
        <w:gridCol w:w="780"/>
        <w:gridCol w:w="781"/>
        <w:gridCol w:w="780"/>
        <w:gridCol w:w="780"/>
      </w:tblGrid>
      <w:tr>
        <w:trPr>
          <w:trHeight w:val="133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8"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1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购买博泰服务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股权中的现金对价部 分</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6,190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10,511.97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发行相关费用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8,190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8,193.2</w:t>
            </w:r>
          </w:p>
        </w:tc>
        <w:tc>
          <w:tcPr>
            <w:tcW w:w="78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8,193.2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10,511.97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4"/>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8,190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8,193.2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10,511.97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9"/>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113"/>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4" w:hRule="exact"/>
        </w:trPr>
        <w:tc>
          <w:tcPr>
            <w:tcW w:w="1769"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69"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69"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69"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11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769"/>
        <w:gridCol w:w="7799"/>
      </w:tblGrid>
      <w:tr>
        <w:trPr>
          <w:trHeight w:val="401"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募集资金已全部使用完毕。</w:t>
            </w:r>
          </w:p>
        </w:tc>
      </w:tr>
      <w:tr>
        <w:trPr>
          <w:trHeight w:val="102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六、重大资产和股权出售</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9"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54"/>
        <w:gridCol w:w="1195"/>
        <w:gridCol w:w="1047"/>
        <w:gridCol w:w="1044"/>
        <w:gridCol w:w="1047"/>
        <w:gridCol w:w="1044"/>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杭州博泰信 息技术服务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30,000,000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421,197,057.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306,133,549.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458,141,913.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129,053,448.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105,975,893.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r>
    </w:tbl>
    <w:p>
      <w:pPr>
        <w:pStyle w:val="BodyText"/>
        <w:spacing w:line="300" w:lineRule="auto" w:before="49"/>
        <w:ind w:right="397"/>
        <w:jc w:val="left"/>
      </w:pPr>
      <w:r>
        <w:rPr/>
        <w:t>注：填列范围包括：单个子公司的净利润或单个参股公司的投资收益对公司净利润影响达到</w:t>
      </w:r>
      <w:r>
        <w:rPr>
          <w:spacing w:val="-43"/>
        </w:rPr>
        <w:t> </w:t>
      </w:r>
      <w:r>
        <w:rPr>
          <w:rFonts w:ascii="Times New Roman" w:hAnsi="Times New Roman" w:cs="Times New Roman" w:eastAsia="Times New Roman" w:hint="default"/>
        </w:rPr>
        <w:t>10%</w:t>
      </w:r>
      <w:r>
        <w:rPr/>
        <w:t>以上的子公司和参股公 司。</w:t>
      </w:r>
    </w:p>
    <w:p>
      <w:pPr>
        <w:pStyle w:val="BodyText"/>
        <w:spacing w:line="240" w:lineRule="auto" w:before="70"/>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杭州博泰信息技术服务有限公司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购买日至期末被购买方的净利润</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105,975,893.56 </w:t>
            </w:r>
            <w:r>
              <w:rPr>
                <w:rFonts w:ascii="宋体" w:hAnsi="宋体" w:cs="宋体" w:eastAsia="宋体" w:hint="default"/>
                <w:sz w:val="18"/>
                <w:szCs w:val="18"/>
              </w:rPr>
              <w:t>元</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杭州卓腾信息技术有限公司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购买日至期末被购买方的净利润</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123,080.59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杭州梅清数码科技有限公司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购买日至期末被购买方的净利润</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3,243,889.99 </w:t>
            </w:r>
            <w:r>
              <w:rPr>
                <w:rFonts w:ascii="宋体" w:hAnsi="宋体" w:cs="宋体" w:eastAsia="宋体" w:hint="default"/>
                <w:sz w:val="18"/>
                <w:szCs w:val="18"/>
              </w:rPr>
              <w:t>元</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杭州美诺泰科科技有限公司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购买日至期末被购买方的净利润</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1,407,680.14 </w:t>
            </w:r>
            <w:r>
              <w:rPr>
                <w:rFonts w:ascii="宋体" w:hAnsi="宋体" w:cs="宋体" w:eastAsia="宋体" w:hint="default"/>
                <w:sz w:val="18"/>
                <w:szCs w:val="18"/>
              </w:rPr>
              <w:t>元</w:t>
            </w:r>
          </w:p>
        </w:tc>
      </w:tr>
    </w:tbl>
    <w:p>
      <w:pPr>
        <w:pStyle w:val="BodyText"/>
        <w:spacing w:line="240" w:lineRule="auto" w:before="49"/>
        <w:ind w:right="94"/>
        <w:jc w:val="left"/>
      </w:pPr>
      <w:r>
        <w:rPr/>
        <w:t>主要控股参股公司情况说明</w:t>
      </w:r>
    </w:p>
    <w:p>
      <w:pPr>
        <w:spacing w:line="240" w:lineRule="auto" w:before="3"/>
        <w:rPr>
          <w:rFonts w:ascii="宋体" w:hAnsi="宋体" w:cs="宋体" w:eastAsia="宋体" w:hint="default"/>
          <w:sz w:val="19"/>
          <w:szCs w:val="19"/>
        </w:rPr>
      </w:pPr>
    </w:p>
    <w:p>
      <w:pPr>
        <w:pStyle w:val="Heading2"/>
        <w:spacing w:line="240" w:lineRule="auto"/>
        <w:ind w:right="94"/>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94"/>
        <w:jc w:val="left"/>
        <w:rPr>
          <w:b w:val="0"/>
          <w:bCs w:val="0"/>
        </w:rPr>
      </w:pPr>
      <w:r>
        <w:rPr/>
        <w:t>九、公司未来发展的展望</w:t>
      </w:r>
      <w:r>
        <w:rPr>
          <w:b w:val="0"/>
          <w:bCs w:val="0"/>
        </w:rPr>
      </w:r>
    </w:p>
    <w:p>
      <w:pPr>
        <w:spacing w:line="460" w:lineRule="atLeast" w:before="115"/>
        <w:ind w:left="712" w:right="94" w:hanging="20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（一）公司所处行业格局和趋势</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pacing w:val="-2"/>
          <w:sz w:val="18"/>
          <w:szCs w:val="18"/>
        </w:rPr>
        <w:t>公司自成立以来一直秉持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创造数字医卫、服务健康事业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的愿景，专注于医疗卫生信息化领域的软件开发和整体解决</w:t>
      </w:r>
    </w:p>
    <w:p>
      <w:pPr>
        <w:pStyle w:val="BodyText"/>
        <w:spacing w:line="309" w:lineRule="auto" w:before="63"/>
        <w:ind w:right="94"/>
        <w:jc w:val="left"/>
      </w:pPr>
      <w:r>
        <w:rPr/>
        <w:t>方案，从医保接口系列到医院全面信息化建设，从社区和新农合系统到基于个人健康档案的区域卫生信息平台，截止目前，</w:t>
      </w:r>
      <w:r>
        <w:rPr>
          <w:spacing w:val="-83"/>
        </w:rPr>
        <w:t> </w:t>
      </w:r>
      <w:r>
        <w:rPr>
          <w:spacing w:val="-83"/>
        </w:rPr>
      </w:r>
      <w:r>
        <w:rPr/>
        <w:t>公司已拥有八大系列</w:t>
      </w:r>
      <w:r>
        <w:rPr>
          <w:rFonts w:ascii="Times New Roman" w:hAnsi="Times New Roman" w:cs="Times New Roman" w:eastAsia="Times New Roman" w:hint="default"/>
        </w:rPr>
        <w:t>200</w:t>
      </w:r>
      <w:r>
        <w:rPr/>
        <w:t>多个自主研发产品，用户数量达到</w:t>
      </w:r>
      <w:r>
        <w:rPr>
          <w:rFonts w:ascii="Times New Roman" w:hAnsi="Times New Roman" w:cs="Times New Roman" w:eastAsia="Times New Roman" w:hint="default"/>
        </w:rPr>
        <w:t>6,000</w:t>
      </w:r>
      <w:r>
        <w:rPr/>
        <w:t>多家，公共卫生项目遍及全国</w:t>
      </w:r>
      <w:r>
        <w:rPr>
          <w:rFonts w:ascii="Times New Roman" w:hAnsi="Times New Roman" w:cs="Times New Roman" w:eastAsia="Times New Roman" w:hint="default"/>
        </w:rPr>
        <w:t>200</w:t>
      </w:r>
      <w:r>
        <w:rPr/>
        <w:t>多个区县，市场占有率居</w:t>
      </w:r>
      <w:r>
        <w:rPr>
          <w:spacing w:val="-46"/>
        </w:rPr>
        <w:t> </w:t>
      </w:r>
      <w:r>
        <w:rPr>
          <w:spacing w:val="-46"/>
        </w:rPr>
      </w:r>
      <w:r>
        <w:rPr/>
        <w:t>全国前列。</w:t>
      </w:r>
    </w:p>
    <w:p>
      <w:pPr>
        <w:pStyle w:val="BodyText"/>
        <w:spacing w:line="319" w:lineRule="auto" w:before="24"/>
        <w:ind w:right="191" w:firstLine="559"/>
        <w:jc w:val="both"/>
      </w:pPr>
      <w:r>
        <w:rPr>
          <w:spacing w:val="-3"/>
        </w:rPr>
        <w:t>未来，公司将继续坚持立足医疗卫生信息化行业，持续扩大综合优势提高市场占有率。同时，紧跟产业步伐，拓展新</w:t>
      </w:r>
      <w:r>
        <w:rPr/>
        <w:t> </w:t>
      </w:r>
      <w:r>
        <w:rPr>
          <w:spacing w:val="-2"/>
        </w:rPr>
        <w:t>兴市场，向智慧医疗与健康服务进行拓展整合，以基于互联网云技术、大数据、人工智能应用的智能医疗信息系统和区域医</w:t>
      </w:r>
      <w:r>
        <w:rPr>
          <w:spacing w:val="-64"/>
        </w:rPr>
        <w:t> </w:t>
      </w:r>
      <w:r>
        <w:rPr>
          <w:spacing w:val="-64"/>
        </w:rPr>
      </w:r>
      <w:r>
        <w:rPr>
          <w:spacing w:val="-2"/>
        </w:rPr>
        <w:t>疗健康运维服务领域为拓展方向，形成以大数据应用、智慧医疗、区域卫生、健康城市等为主要模式的公司业务格局。在今</w:t>
      </w:r>
      <w:r>
        <w:rPr>
          <w:spacing w:val="-67"/>
        </w:rPr>
        <w:t> </w:t>
      </w:r>
      <w:r>
        <w:rPr>
          <w:spacing w:val="-67"/>
        </w:rPr>
      </w:r>
      <w:r>
        <w:rPr/>
        <w:t>后的一段时间，公司的发展规划将会重点考虑如下的发展趋势。</w:t>
      </w:r>
    </w:p>
    <w:p>
      <w:pPr>
        <w:pStyle w:val="Heading5"/>
        <w:spacing w:line="273" w:lineRule="exact"/>
        <w:ind w:right="94"/>
        <w:jc w:val="left"/>
        <w:rPr>
          <w:b w:val="0"/>
          <w:bCs w:val="0"/>
        </w:rPr>
      </w:pPr>
      <w:r>
        <w:rPr>
          <w:rFonts w:ascii="Times New Roman" w:hAnsi="Times New Roman" w:cs="Times New Roman" w:eastAsia="Times New Roman" w:hint="default"/>
        </w:rPr>
        <w:t>1</w:t>
      </w:r>
      <w:r>
        <w:rPr/>
        <w:t>、国家发展医疗卫生健康信息化的趋势</w:t>
      </w:r>
      <w:r>
        <w:rPr>
          <w:b w:val="0"/>
          <w:bCs w:val="0"/>
        </w:rPr>
      </w:r>
    </w:p>
    <w:p>
      <w:pPr>
        <w:pStyle w:val="Heading5"/>
        <w:spacing w:line="240" w:lineRule="auto" w:before="154"/>
        <w:ind w:right="94"/>
        <w:jc w:val="left"/>
        <w:rPr>
          <w:b w:val="0"/>
          <w:bCs w:val="0"/>
        </w:rPr>
      </w:pPr>
      <w:r>
        <w:rPr/>
        <w:t>（</w:t>
      </w:r>
      <w:r>
        <w:rPr>
          <w:rFonts w:ascii="Times New Roman" w:hAnsi="Times New Roman" w:cs="Times New Roman" w:eastAsia="Times New Roman" w:hint="default"/>
        </w:rPr>
        <w:t>1</w:t>
      </w:r>
      <w:r>
        <w:rPr/>
        <w:t>）政策背景</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309" w:lineRule="auto"/>
        <w:ind w:right="187" w:firstLine="559"/>
        <w:jc w:val="both"/>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3</w:t>
      </w:r>
      <w:r>
        <w:rPr>
          <w:spacing w:val="-5"/>
        </w:rPr>
        <w:t>月，国务院发布的《全国医疗卫生服务体系规划纲要（</w:t>
      </w:r>
      <w:r>
        <w:rPr>
          <w:rFonts w:ascii="Times New Roman" w:hAnsi="Times New Roman" w:cs="Times New Roman" w:eastAsia="Times New Roman" w:hint="default"/>
          <w:spacing w:val="-5"/>
        </w:rPr>
        <w:t>2015-2020</w:t>
      </w:r>
      <w:r>
        <w:rPr>
          <w:spacing w:val="-5"/>
        </w:rPr>
        <w:t>年）》提出加强人口健康信息化建设，到</w:t>
      </w:r>
      <w:r>
        <w:rPr>
          <w:rFonts w:ascii="Times New Roman" w:hAnsi="Times New Roman" w:cs="Times New Roman" w:eastAsia="Times New Roman" w:hint="default"/>
          <w:spacing w:val="-5"/>
        </w:rPr>
        <w:t>2020</w:t>
      </w:r>
      <w:r>
        <w:rPr>
          <w:rFonts w:ascii="Times New Roman" w:hAnsi="Times New Roman" w:cs="Times New Roman" w:eastAsia="Times New Roman" w:hint="default"/>
        </w:rPr>
        <w:t> </w:t>
      </w:r>
      <w:r>
        <w:rPr>
          <w:spacing w:val="-5"/>
        </w:rPr>
        <w:t>年，实现全员人口信息、电子健康档案和电子病历三大数据库基本覆盖全国人口并信息动态更新，全面建成互联互通的国家、</w:t>
      </w:r>
      <w:r>
        <w:rPr>
          <w:spacing w:val="-79"/>
        </w:rPr>
        <w:t> </w:t>
      </w:r>
      <w:r>
        <w:rPr>
          <w:spacing w:val="-79"/>
        </w:rPr>
      </w:r>
      <w:r>
        <w:rPr/>
        <w:t>省、市、县四级人口健康信息平台。</w:t>
      </w:r>
    </w:p>
    <w:p>
      <w:pPr>
        <w:pStyle w:val="BodyText"/>
        <w:spacing w:line="307" w:lineRule="auto" w:before="24"/>
        <w:ind w:right="188" w:firstLine="559"/>
        <w:jc w:val="both"/>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24</w:t>
      </w:r>
      <w:r>
        <w:rPr>
          <w:spacing w:val="-4"/>
        </w:rPr>
        <w:t>日，国务院办公厅印发《关于促进和规范健康医疗大数据应用发展的指导意见》，意见指出到</w:t>
      </w:r>
      <w:r>
        <w:rPr>
          <w:rFonts w:ascii="Times New Roman" w:hAnsi="Times New Roman" w:cs="Times New Roman" w:eastAsia="Times New Roman" w:hint="default"/>
          <w:spacing w:val="-4"/>
        </w:rPr>
        <w:t>2017</w:t>
      </w:r>
      <w:r>
        <w:rPr>
          <w:spacing w:val="-4"/>
        </w:rPr>
        <w:t>年底，</w:t>
      </w:r>
      <w:r>
        <w:rPr/>
        <w:t> 实现国家和省级人口健康信息平台以及全国药品招标采购业务应用平台互联互通，基本形成跨部门健康医疗数据资源共享</w:t>
      </w:r>
      <w:r>
        <w:rPr>
          <w:spacing w:val="-11"/>
        </w:rPr>
        <w:t> </w:t>
      </w:r>
      <w:r>
        <w:rPr>
          <w:spacing w:val="-11"/>
        </w:rPr>
      </w:r>
      <w:r>
        <w:rPr>
          <w:spacing w:val="-2"/>
        </w:rPr>
        <w:t>共用格局。到</w:t>
      </w:r>
      <w:r>
        <w:rPr>
          <w:rFonts w:ascii="Times New Roman" w:hAnsi="Times New Roman" w:cs="Times New Roman" w:eastAsia="Times New Roman" w:hint="default"/>
          <w:spacing w:val="-2"/>
        </w:rPr>
        <w:t>2020</w:t>
      </w:r>
      <w:r>
        <w:rPr>
          <w:spacing w:val="-2"/>
        </w:rPr>
        <w:t>年，建成国家医疗卫生信息分级开放应用平台；基本实现城乡居民拥有规范化的电子健康档案和功能完备</w:t>
      </w:r>
      <w:r>
        <w:rPr>
          <w:spacing w:val="-64"/>
        </w:rPr>
        <w:t> </w:t>
      </w:r>
      <w:r>
        <w:rPr>
          <w:spacing w:val="-64"/>
        </w:rPr>
      </w:r>
      <w:r>
        <w:rPr/>
        <w:t>的健康卡。</w:t>
      </w:r>
    </w:p>
    <w:p>
      <w:pPr>
        <w:pStyle w:val="BodyText"/>
        <w:spacing w:line="312" w:lineRule="auto" w:before="26"/>
        <w:ind w:right="94" w:firstLine="559"/>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日，国务院办公厅关于推进医疗联合体建设和发展的指导意见。《意见》指出，建设和发展医联体，是 </w:t>
      </w:r>
      <w:r>
        <w:rPr>
          <w:spacing w:val="-2"/>
        </w:rPr>
        <w:t>贯彻以人民为中心的发展思想、落实《政府工作报告》部署的重点任务，是深化医疗医保医药联动改革、合理配置资源、使</w:t>
      </w:r>
      <w:r>
        <w:rPr>
          <w:spacing w:val="-70"/>
        </w:rPr>
        <w:t> </w:t>
      </w:r>
      <w:r>
        <w:rPr>
          <w:spacing w:val="-70"/>
        </w:rPr>
      </w:r>
      <w:r>
        <w:rPr/>
        <w:t>基层群众享受优质便利医疗服务的重要举措，有利于调整优化医疗资源结构布局，促进医疗卫生工作重心下移和资源下沉，</w:t>
      </w:r>
      <w:r>
        <w:rPr>
          <w:spacing w:val="-83"/>
        </w:rPr>
        <w:t> </w:t>
      </w:r>
      <w:r>
        <w:rPr>
          <w:spacing w:val="-83"/>
        </w:rPr>
      </w:r>
      <w:r>
        <w:rPr/>
        <w:t>提升基层服务能力；有利于医疗资源上下贯通，提升医疗服务体系整体效能，更好实施分级诊疗和满足群众健康需求。</w:t>
      </w:r>
    </w:p>
    <w:p>
      <w:pPr>
        <w:pStyle w:val="Heading5"/>
        <w:spacing w:line="278" w:lineRule="exact"/>
        <w:ind w:left="712" w:right="94"/>
        <w:jc w:val="left"/>
        <w:rPr>
          <w:b w:val="0"/>
          <w:bCs w:val="0"/>
        </w:rPr>
      </w:pPr>
      <w:r>
        <w:rPr>
          <w:rFonts w:ascii="宋体" w:hAnsi="宋体" w:cs="宋体" w:eastAsia="宋体" w:hint="default"/>
          <w:b w:val="0"/>
          <w:bCs w:val="0"/>
        </w:rPr>
        <w:t>（</w:t>
      </w:r>
      <w:r>
        <w:rPr>
          <w:rFonts w:ascii="Times New Roman" w:hAnsi="Times New Roman" w:cs="Times New Roman" w:eastAsia="Times New Roman" w:hint="default"/>
          <w:b w:val="0"/>
          <w:bCs w:val="0"/>
        </w:rPr>
        <w:t>2</w:t>
      </w:r>
      <w:r>
        <w:rPr>
          <w:rFonts w:ascii="宋体" w:hAnsi="宋体" w:cs="宋体" w:eastAsia="宋体" w:hint="default"/>
          <w:b w:val="0"/>
          <w:bCs w:val="0"/>
        </w:rPr>
        <w:t>）</w:t>
      </w:r>
      <w:r>
        <w:rPr/>
        <w:t>医疗卫生健康信息化的发展趋势分析</w:t>
      </w:r>
      <w:r>
        <w:rPr>
          <w:b w:val="0"/>
          <w:bCs w:val="0"/>
        </w:rPr>
      </w:r>
    </w:p>
    <w:p>
      <w:pPr>
        <w:pStyle w:val="BodyText"/>
        <w:spacing w:line="307" w:lineRule="auto" w:before="56"/>
        <w:ind w:right="189" w:firstLine="559"/>
        <w:jc w:val="both"/>
      </w:pPr>
      <w:r>
        <w:rPr/>
        <w:t>随着国内经济的快速发展，社会生活水平的提高以及政府公共卫生投入的增加，近年来医疗信息化市场的投资规模 持续扩大，总体市场规模增速明显加快。中投顾问产业研究中心预计，</w:t>
      </w:r>
      <w:r>
        <w:rPr>
          <w:rFonts w:ascii="Times New Roman" w:hAnsi="Times New Roman" w:cs="Times New Roman" w:eastAsia="Times New Roman" w:hint="default"/>
        </w:rPr>
        <w:t>2017</w:t>
      </w:r>
      <w:r>
        <w:rPr/>
        <w:t>年中国医疗信息化行业市场规模将达到 </w:t>
      </w:r>
      <w:r>
        <w:rPr>
          <w:rFonts w:ascii="Times New Roman" w:hAnsi="Times New Roman" w:cs="Times New Roman" w:eastAsia="Times New Roman" w:hint="default"/>
        </w:rPr>
        <w:t>448 </w:t>
      </w:r>
      <w:r>
        <w:rPr/>
        <w:t>亿</w:t>
      </w:r>
      <w:r>
        <w:rPr>
          <w:spacing w:val="-85"/>
        </w:rPr>
        <w:t> </w:t>
      </w:r>
      <w:r>
        <w:rPr/>
        <w:t>元，未来五年</w:t>
      </w:r>
      <w:r>
        <w:rPr>
          <w:rFonts w:ascii="Times New Roman" w:hAnsi="Times New Roman" w:cs="Times New Roman" w:eastAsia="Times New Roman" w:hint="default"/>
        </w:rPr>
        <w:t>(2017-2021)</w:t>
      </w:r>
      <w:r>
        <w:rPr/>
        <w:t>年均复合增长率约为</w:t>
      </w:r>
      <w:r>
        <w:rPr>
          <w:spacing w:val="-8"/>
        </w:rPr>
        <w:t> </w:t>
      </w:r>
      <w:r>
        <w:rPr>
          <w:rFonts w:ascii="Times New Roman" w:hAnsi="Times New Roman" w:cs="Times New Roman" w:eastAsia="Times New Roman" w:hint="default"/>
        </w:rPr>
        <w:t>17.81%</w:t>
      </w:r>
      <w:r>
        <w:rPr/>
        <w:t>，</w:t>
      </w:r>
      <w:r>
        <w:rPr>
          <w:rFonts w:ascii="Times New Roman" w:hAnsi="Times New Roman" w:cs="Times New Roman" w:eastAsia="Times New Roman" w:hint="default"/>
        </w:rPr>
        <w:t>2021</w:t>
      </w:r>
      <w:r>
        <w:rPr/>
        <w:t>年中国医疗信息化行业市场规模将达到</w:t>
      </w:r>
      <w:r>
        <w:rPr>
          <w:rFonts w:ascii="Times New Roman" w:hAnsi="Times New Roman" w:cs="Times New Roman" w:eastAsia="Times New Roman" w:hint="default"/>
        </w:rPr>
        <w:t>863</w:t>
      </w:r>
      <w:r>
        <w:rPr>
          <w:rFonts w:ascii="Times New Roman" w:hAnsi="Times New Roman" w:cs="Times New Roman" w:eastAsia="Times New Roman" w:hint="default"/>
          <w:spacing w:val="38"/>
        </w:rPr>
        <w:t> </w:t>
      </w:r>
      <w:r>
        <w:rPr/>
        <w:t>亿元，未来市场发</w:t>
      </w:r>
      <w:r>
        <w:rPr>
          <w:spacing w:val="-88"/>
        </w:rPr>
        <w:t> </w:t>
      </w:r>
      <w:r>
        <w:rPr>
          <w:spacing w:val="-88"/>
        </w:rPr>
      </w:r>
      <w:r>
        <w:rPr/>
        <w:t>展空间广阔。</w:t>
      </w:r>
    </w:p>
    <w:p>
      <w:pPr>
        <w:pStyle w:val="Heading5"/>
        <w:spacing w:line="282" w:lineRule="exact"/>
        <w:ind w:right="94"/>
        <w:jc w:val="left"/>
        <w:rPr>
          <w:b w:val="0"/>
          <w:bCs w:val="0"/>
        </w:rPr>
      </w:pPr>
      <w:r>
        <w:rPr>
          <w:rFonts w:ascii="Times New Roman" w:hAnsi="Times New Roman" w:cs="Times New Roman" w:eastAsia="Times New Roman" w:hint="default"/>
        </w:rPr>
        <w:t>2</w:t>
      </w:r>
      <w:r>
        <w:rPr/>
        <w:t>、互联网云技术</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医疗的发展趋势</w:t>
      </w:r>
      <w:r>
        <w:rPr>
          <w:b w:val="0"/>
          <w:bCs w:val="0"/>
        </w:rPr>
      </w:r>
    </w:p>
    <w:p>
      <w:pPr>
        <w:pStyle w:val="Heading5"/>
        <w:spacing w:line="313" w:lineRule="exact"/>
        <w:ind w:right="94"/>
        <w:jc w:val="left"/>
        <w:rPr>
          <w:b w:val="0"/>
          <w:bCs w:val="0"/>
        </w:rPr>
      </w:pPr>
      <w:r>
        <w:rPr/>
        <w:t>（</w:t>
      </w:r>
      <w:r>
        <w:rPr>
          <w:rFonts w:ascii="Times New Roman" w:hAnsi="Times New Roman" w:cs="Times New Roman" w:eastAsia="Times New Roman" w:hint="default"/>
        </w:rPr>
        <w:t>1</w:t>
      </w:r>
      <w:r>
        <w:rPr/>
        <w:t>）政策背景</w:t>
      </w:r>
      <w:r>
        <w:rPr>
          <w:b w:val="0"/>
          <w:bCs w:val="0"/>
        </w:rPr>
      </w:r>
    </w:p>
    <w:p>
      <w:pPr>
        <w:pStyle w:val="BodyText"/>
        <w:spacing w:line="240" w:lineRule="auto" w:before="56"/>
        <w:ind w:left="712"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日，为贯彻落实《中华人民共和国国民经济和社会发展第十三个五年规划纲要》和《促进大数据发展行</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91"/>
        <w:jc w:val="both"/>
      </w:pPr>
      <w:r>
        <w:rPr>
          <w:spacing w:val="-3"/>
        </w:rPr>
        <w:t>动纲要》，加快实施国家大数据战略，推动大数据产业健康快速发展，工业和信息化部编制了《大数据产业发展规划（</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rFonts w:ascii="Times New Roman" w:hAnsi="Times New Roman" w:cs="Times New Roman" w:eastAsia="Times New Roman" w:hint="default"/>
          <w:spacing w:val="-2"/>
        </w:rPr>
        <w:t>2020</w:t>
      </w:r>
      <w:r>
        <w:rPr>
          <w:spacing w:val="-2"/>
        </w:rPr>
        <w:t>年）》，（以下简称《规划》）。《规划》提出，信息化代表新的生产力和新的发展方向，已经成为引领创新和驱动转</w:t>
      </w:r>
      <w:r>
        <w:rPr>
          <w:spacing w:val="-69"/>
        </w:rPr>
        <w:t> </w:t>
      </w:r>
      <w:r>
        <w:rPr>
          <w:spacing w:val="-69"/>
        </w:rPr>
      </w:r>
      <w:r>
        <w:rPr/>
        <w:t>型的先导力量。</w:t>
      </w:r>
    </w:p>
    <w:p>
      <w:pPr>
        <w:pStyle w:val="BodyText"/>
        <w:spacing w:line="300" w:lineRule="auto" w:before="31"/>
        <w:ind w:right="189" w:firstLine="55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8</w:t>
      </w:r>
      <w:r>
        <w:rPr>
          <w:spacing w:val="-2"/>
        </w:rPr>
        <w:t>日，国务院关于印发新一代人工智能发展规划的通知。《规划》明确了我国新一代人工智能发展的战略目</w:t>
      </w:r>
      <w:r>
        <w:rPr/>
        <w:t> </w:t>
      </w:r>
      <w:r>
        <w:rPr>
          <w:spacing w:val="-2"/>
        </w:rPr>
        <w:t>标：到</w:t>
      </w:r>
      <w:r>
        <w:rPr>
          <w:rFonts w:ascii="Times New Roman" w:hAnsi="Times New Roman" w:cs="Times New Roman" w:eastAsia="Times New Roman" w:hint="default"/>
          <w:spacing w:val="-2"/>
        </w:rPr>
        <w:t>2020</w:t>
      </w:r>
      <w:r>
        <w:rPr>
          <w:spacing w:val="-2"/>
        </w:rPr>
        <w:t>年，人工智能总体技术和应用与世界先进水平同步，人工智能产业成为新的重要经济增长点，人工智能技术应用</w:t>
      </w:r>
      <w:r>
        <w:rPr>
          <w:spacing w:val="-61"/>
        </w:rPr>
        <w:t> </w:t>
      </w:r>
      <w:r>
        <w:rPr>
          <w:spacing w:val="-61"/>
        </w:rPr>
      </w:r>
      <w:r>
        <w:rPr>
          <w:spacing w:val="-2"/>
        </w:rPr>
        <w:t>成为改善民生的新途径；到</w:t>
      </w:r>
      <w:r>
        <w:rPr>
          <w:rFonts w:ascii="Times New Roman" w:hAnsi="Times New Roman" w:cs="Times New Roman" w:eastAsia="Times New Roman" w:hint="default"/>
          <w:spacing w:val="-2"/>
        </w:rPr>
        <w:t>2025</w:t>
      </w:r>
      <w:r>
        <w:rPr>
          <w:spacing w:val="-2"/>
        </w:rPr>
        <w:t>年，人工智能基础理论实现重大突破，部分技术与应用达到世界领先水平，人工智能成为我</w:t>
      </w:r>
      <w:r>
        <w:rPr>
          <w:spacing w:val="-61"/>
        </w:rPr>
        <w:t> </w:t>
      </w:r>
      <w:r>
        <w:rPr>
          <w:spacing w:val="-61"/>
        </w:rPr>
      </w:r>
      <w:r>
        <w:rPr>
          <w:spacing w:val="-2"/>
        </w:rPr>
        <w:t>国产业升级和经济转型的主要动力，智能社会建设取得积极进展；到</w:t>
      </w:r>
      <w:r>
        <w:rPr>
          <w:rFonts w:ascii="Times New Roman" w:hAnsi="Times New Roman" w:cs="Times New Roman" w:eastAsia="Times New Roman" w:hint="default"/>
          <w:spacing w:val="-2"/>
        </w:rPr>
        <w:t>2030</w:t>
      </w:r>
      <w:r>
        <w:rPr>
          <w:spacing w:val="-2"/>
        </w:rPr>
        <w:t>年，人工智能理论、技术与应用总体达到世界领先</w:t>
      </w:r>
      <w:r>
        <w:rPr>
          <w:spacing w:val="-60"/>
        </w:rPr>
        <w:t> </w:t>
      </w:r>
      <w:r>
        <w:rPr>
          <w:spacing w:val="-60"/>
        </w:rPr>
      </w:r>
      <w:r>
        <w:rPr/>
        <w:t>水平，成为世界主要人工智能创新中心。</w:t>
      </w:r>
    </w:p>
    <w:p>
      <w:pPr>
        <w:pStyle w:val="Heading5"/>
        <w:spacing w:line="287" w:lineRule="exact"/>
        <w:ind w:right="94"/>
        <w:jc w:val="left"/>
        <w:rPr>
          <w:b w:val="0"/>
          <w:bCs w:val="0"/>
        </w:rPr>
      </w:pPr>
      <w:r>
        <w:rPr/>
        <w:t>（</w:t>
      </w:r>
      <w:r>
        <w:rPr>
          <w:rFonts w:ascii="Times New Roman" w:hAnsi="Times New Roman" w:cs="Times New Roman" w:eastAsia="Times New Roman" w:hint="default"/>
        </w:rPr>
        <w:t>2</w:t>
      </w:r>
      <w:r>
        <w:rPr/>
        <w:t>）互联网云技术</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医疗的发展趋势分析</w:t>
      </w:r>
      <w:r>
        <w:rPr>
          <w:b w:val="0"/>
          <w:bCs w:val="0"/>
        </w:rPr>
      </w:r>
    </w:p>
    <w:p>
      <w:pPr>
        <w:pStyle w:val="BodyText"/>
        <w:spacing w:line="304" w:lineRule="auto" w:before="56"/>
        <w:ind w:right="189" w:firstLine="559"/>
        <w:jc w:val="both"/>
      </w:pPr>
      <w:r>
        <w:rPr>
          <w:spacing w:val="-2"/>
        </w:rPr>
        <w:t>国务院于</w:t>
      </w:r>
      <w:r>
        <w:rPr>
          <w:rFonts w:ascii="Times New Roman" w:hAnsi="Times New Roman" w:cs="Times New Roman" w:eastAsia="Times New Roman" w:hint="default"/>
          <w:spacing w:val="-2"/>
        </w:rPr>
        <w:t>2015</w:t>
      </w:r>
      <w:r>
        <w:rPr>
          <w:spacing w:val="-2"/>
        </w:rPr>
        <w:t>年制定了《促进大数据发展行动纲要》，提出十大工程和七大措施，通过打造三位一体的框架，实现五</w:t>
      </w:r>
      <w:r>
        <w:rPr/>
        <w:t> </w:t>
      </w:r>
      <w:r>
        <w:rPr>
          <w:spacing w:val="-2"/>
        </w:rPr>
        <w:t>大目标，加快建设数据强国的步伐；</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规划纲要中提出要实施国家大数据战略，把大数据作为基础性战略资源，全面</w:t>
      </w:r>
      <w:r>
        <w:rPr>
          <w:spacing w:val="-41"/>
        </w:rPr>
        <w:t> </w:t>
      </w:r>
      <w:r>
        <w:rPr>
          <w:spacing w:val="-41"/>
        </w:rPr>
      </w:r>
      <w:r>
        <w:rPr>
          <w:spacing w:val="-2"/>
        </w:rPr>
        <w:t>实施促进大数据发展行动，加快推动数据资源共享开放和开发应用，助力产业转型升级和社会治理创新。可以看出我国政府</w:t>
      </w:r>
      <w:r>
        <w:rPr>
          <w:spacing w:val="-63"/>
        </w:rPr>
        <w:t> </w:t>
      </w:r>
      <w:r>
        <w:rPr>
          <w:spacing w:val="-63"/>
        </w:rPr>
      </w:r>
      <w:r>
        <w:rPr>
          <w:spacing w:val="-1"/>
        </w:rPr>
        <w:t>对大数据发展和应用的重视。基于我国人口基数巨大，未来</w:t>
      </w:r>
      <w:r>
        <w:rPr>
          <w:rFonts w:ascii="Times New Roman" w:hAnsi="Times New Roman" w:cs="Times New Roman" w:eastAsia="Times New Roman" w:hint="default"/>
          <w:spacing w:val="-1"/>
        </w:rPr>
        <w:t>“</w:t>
      </w:r>
      <w:r>
        <w:rPr>
          <w:spacing w:val="-1"/>
        </w:rPr>
        <w:t>互联网云技术</w:t>
      </w:r>
      <w:r>
        <w:rPr>
          <w:rFonts w:ascii="Times New Roman" w:hAnsi="Times New Roman" w:cs="Times New Roman" w:eastAsia="Times New Roman" w:hint="default"/>
          <w:spacing w:val="-1"/>
        </w:rPr>
        <w:t>+</w:t>
      </w:r>
      <w:r>
        <w:rPr>
          <w:spacing w:val="-1"/>
        </w:rPr>
        <w:t>大数据</w:t>
      </w:r>
      <w:r>
        <w:rPr>
          <w:rFonts w:ascii="Times New Roman" w:hAnsi="Times New Roman" w:cs="Times New Roman" w:eastAsia="Times New Roman" w:hint="default"/>
          <w:spacing w:val="-1"/>
        </w:rPr>
        <w:t>+</w:t>
      </w:r>
      <w:r>
        <w:rPr>
          <w:spacing w:val="-1"/>
        </w:rPr>
        <w:t>人工智能</w:t>
      </w:r>
      <w:r>
        <w:rPr>
          <w:rFonts w:ascii="Times New Roman" w:hAnsi="Times New Roman" w:cs="Times New Roman" w:eastAsia="Times New Roman" w:hint="default"/>
          <w:spacing w:val="-1"/>
        </w:rPr>
        <w:t>+</w:t>
      </w:r>
      <w:r>
        <w:rPr>
          <w:spacing w:val="-1"/>
        </w:rPr>
        <w:t>医疗</w:t>
      </w:r>
      <w:r>
        <w:rPr>
          <w:rFonts w:ascii="Times New Roman" w:hAnsi="Times New Roman" w:cs="Times New Roman" w:eastAsia="Times New Roman" w:hint="default"/>
          <w:spacing w:val="-1"/>
        </w:rPr>
        <w:t>”</w:t>
      </w:r>
      <w:r>
        <w:rPr>
          <w:spacing w:val="-1"/>
        </w:rPr>
        <w:t>必然是一种刚需，且与</w:t>
      </w:r>
      <w:r>
        <w:rPr>
          <w:spacing w:val="-44"/>
        </w:rPr>
        <w:t> </w:t>
      </w:r>
      <w:r>
        <w:rPr>
          <w:spacing w:val="-44"/>
        </w:rPr>
      </w:r>
      <w:r>
        <w:rPr/>
        <w:t>智慧城市建设可协同发展，定将成为新的市场增量。</w:t>
      </w:r>
    </w:p>
    <w:p>
      <w:pPr>
        <w:pStyle w:val="Heading5"/>
        <w:spacing w:line="283" w:lineRule="exact"/>
        <w:ind w:right="94"/>
        <w:jc w:val="left"/>
        <w:rPr>
          <w:b w:val="0"/>
          <w:bCs w:val="0"/>
        </w:rPr>
      </w:pPr>
      <w:r>
        <w:rPr>
          <w:rFonts w:ascii="Times New Roman" w:hAnsi="Times New Roman" w:cs="Times New Roman" w:eastAsia="Times New Roman" w:hint="default"/>
        </w:rPr>
        <w:t>3</w:t>
      </w:r>
      <w:r>
        <w:rPr/>
        <w:t>、大健康产业发展趋势</w:t>
      </w:r>
      <w:r>
        <w:rPr>
          <w:b w:val="0"/>
          <w:bCs w:val="0"/>
        </w:rPr>
      </w:r>
    </w:p>
    <w:p>
      <w:pPr>
        <w:pStyle w:val="Heading5"/>
        <w:spacing w:line="313" w:lineRule="exact"/>
        <w:ind w:right="94"/>
        <w:jc w:val="left"/>
        <w:rPr>
          <w:b w:val="0"/>
          <w:bCs w:val="0"/>
        </w:rPr>
      </w:pPr>
      <w:r>
        <w:rPr/>
        <w:t>（</w:t>
      </w:r>
      <w:r>
        <w:rPr>
          <w:rFonts w:ascii="Times New Roman" w:hAnsi="Times New Roman" w:cs="Times New Roman" w:eastAsia="Times New Roman" w:hint="default"/>
        </w:rPr>
        <w:t>1</w:t>
      </w:r>
      <w:r>
        <w:rPr/>
        <w:t>）政策背景</w:t>
      </w:r>
      <w:r>
        <w:rPr>
          <w:b w:val="0"/>
          <w:bCs w:val="0"/>
        </w:rPr>
      </w:r>
    </w:p>
    <w:p>
      <w:pPr>
        <w:pStyle w:val="BodyText"/>
        <w:spacing w:line="300" w:lineRule="auto" w:before="56"/>
        <w:ind w:right="192" w:firstLine="559"/>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日中共中央、国务院又印发了《</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2030”</w:t>
      </w:r>
      <w:r>
        <w:rPr>
          <w:spacing w:val="-2"/>
        </w:rPr>
        <w:t>规划纲要》，首次将有关健康医疗产业的纲要提高至国</w:t>
      </w:r>
      <w:r>
        <w:rPr/>
        <w:t> 家层级的战略，纲要明确提出到</w:t>
      </w:r>
      <w:r>
        <w:rPr>
          <w:rFonts w:ascii="Times New Roman" w:hAnsi="Times New Roman" w:cs="Times New Roman" w:eastAsia="Times New Roman" w:hint="default"/>
        </w:rPr>
        <w:t>2020</w:t>
      </w:r>
      <w:r>
        <w:rPr/>
        <w:t>年健康服务业总规模达到</w:t>
      </w:r>
      <w:r>
        <w:rPr>
          <w:rFonts w:ascii="Times New Roman" w:hAnsi="Times New Roman" w:cs="Times New Roman" w:eastAsia="Times New Roman" w:hint="default"/>
        </w:rPr>
        <w:t>8</w:t>
      </w:r>
      <w:r>
        <w:rPr/>
        <w:t>万亿，到</w:t>
      </w:r>
      <w:r>
        <w:rPr>
          <w:rFonts w:ascii="Times New Roman" w:hAnsi="Times New Roman" w:cs="Times New Roman" w:eastAsia="Times New Roman" w:hint="default"/>
        </w:rPr>
        <w:t>2030</w:t>
      </w:r>
      <w:r>
        <w:rPr/>
        <w:t>年达到</w:t>
      </w:r>
      <w:r>
        <w:rPr>
          <w:rFonts w:ascii="Times New Roman" w:hAnsi="Times New Roman" w:cs="Times New Roman" w:eastAsia="Times New Roman" w:hint="default"/>
        </w:rPr>
        <w:t>16</w:t>
      </w:r>
      <w:r>
        <w:rPr/>
        <w:t>万亿，行业前景极其广阔。</w:t>
      </w:r>
    </w:p>
    <w:p>
      <w:pPr>
        <w:pStyle w:val="BodyText"/>
        <w:spacing w:line="300" w:lineRule="auto" w:before="13"/>
        <w:ind w:right="191" w:firstLine="559"/>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日，国务院关于印发</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卫生与健康规划的通知。《规划》围绕</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时期发展目标，从健康水</w:t>
      </w:r>
      <w:r>
        <w:rPr/>
        <w:t> 平、疾病防控、妇幼健康、医疗服务、计划生育、医疗卫生服务体系、医疗卫生保障等</w:t>
      </w:r>
      <w:r>
        <w:rPr>
          <w:rFonts w:ascii="Times New Roman" w:hAnsi="Times New Roman" w:cs="Times New Roman" w:eastAsia="Times New Roman" w:hint="default"/>
        </w:rPr>
        <w:t>7</w:t>
      </w:r>
      <w:r>
        <w:rPr/>
        <w:t>个方面提出了</w:t>
      </w:r>
      <w:r>
        <w:rPr>
          <w:rFonts w:ascii="Times New Roman" w:hAnsi="Times New Roman" w:cs="Times New Roman" w:eastAsia="Times New Roman" w:hint="default"/>
        </w:rPr>
        <w:t>25</w:t>
      </w:r>
      <w:r>
        <w:rPr/>
        <w:t>项主要发展指标，</w:t>
      </w:r>
      <w:r>
        <w:rPr>
          <w:spacing w:val="-83"/>
        </w:rPr>
        <w:t> </w:t>
      </w:r>
      <w:r>
        <w:rPr/>
        <w:t>将推动加快健康产业发展。</w:t>
      </w:r>
    </w:p>
    <w:p>
      <w:pPr>
        <w:pStyle w:val="BodyText"/>
        <w:spacing w:line="300" w:lineRule="auto" w:before="32"/>
        <w:ind w:right="195" w:firstLine="55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日，十九大报告指出，实施健康中国战略。人民健康是民族昌盛和国家富强的重要标志。要完善国民健</w:t>
      </w:r>
      <w:r>
        <w:rPr/>
        <w:t> 康政策，为人民群众提供全方位全周期健康服务。</w:t>
      </w:r>
    </w:p>
    <w:p>
      <w:pPr>
        <w:spacing w:line="287" w:lineRule="exact" w:before="0"/>
        <w:ind w:left="712" w:right="94" w:firstLine="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Microsoft JhengHei" w:hAnsi="Microsoft JhengHei" w:cs="Microsoft JhengHei" w:eastAsia="Microsoft JhengHei" w:hint="default"/>
          <w:b/>
          <w:bCs/>
          <w:sz w:val="18"/>
          <w:szCs w:val="18"/>
        </w:rPr>
        <w:t>大健康产业发展趋势分析</w:t>
      </w:r>
      <w:r>
        <w:rPr>
          <w:rFonts w:ascii="Microsoft JhengHei" w:hAnsi="Microsoft JhengHei" w:cs="Microsoft JhengHei" w:eastAsia="Microsoft JhengHei" w:hint="default"/>
          <w:sz w:val="18"/>
          <w:szCs w:val="18"/>
        </w:rPr>
      </w:r>
    </w:p>
    <w:p>
      <w:pPr>
        <w:pStyle w:val="BodyText"/>
        <w:spacing w:line="307" w:lineRule="auto" w:before="56"/>
        <w:ind w:right="190" w:firstLine="559"/>
        <w:jc w:val="both"/>
      </w:pPr>
      <w:r>
        <w:rPr>
          <w:spacing w:val="-2"/>
        </w:rPr>
        <w:t>伴随</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规划建议落地，健康中国正式升级至</w:t>
      </w:r>
      <w:r>
        <w:rPr>
          <w:rFonts w:ascii="Times New Roman" w:hAnsi="Times New Roman" w:cs="Times New Roman" w:eastAsia="Times New Roman" w:hint="default"/>
          <w:spacing w:val="-2"/>
        </w:rPr>
        <w:t>“</w:t>
      </w:r>
      <w:r>
        <w:rPr>
          <w:spacing w:val="-2"/>
        </w:rPr>
        <w:t>国家战略</w:t>
      </w:r>
      <w:r>
        <w:rPr>
          <w:rFonts w:ascii="Times New Roman" w:hAnsi="Times New Roman" w:cs="Times New Roman" w:eastAsia="Times New Roman" w:hint="default"/>
          <w:spacing w:val="-2"/>
        </w:rPr>
        <w:t>”</w:t>
      </w:r>
      <w:r>
        <w:rPr>
          <w:spacing w:val="-2"/>
        </w:rPr>
        <w:t>。国家正在努力的将大健康产业作为国民经济的重要支</w:t>
      </w:r>
      <w:r>
        <w:rPr/>
        <w:t> </w:t>
      </w:r>
      <w:r>
        <w:rPr>
          <w:spacing w:val="-2"/>
        </w:rPr>
        <w:t>柱产业，力争在新经济常态下稳步发展，构建健康中国。到</w:t>
      </w:r>
      <w:r>
        <w:rPr>
          <w:rFonts w:ascii="Times New Roman" w:hAnsi="Times New Roman" w:cs="Times New Roman" w:eastAsia="Times New Roman" w:hint="default"/>
          <w:spacing w:val="-2"/>
        </w:rPr>
        <w:t>2020</w:t>
      </w:r>
      <w:r>
        <w:rPr>
          <w:spacing w:val="-2"/>
        </w:rPr>
        <w:t>年要基本建立覆盖全生命周期、内涵丰富、结构合理的健康</w:t>
      </w:r>
      <w:r>
        <w:rPr>
          <w:spacing w:val="-62"/>
        </w:rPr>
        <w:t> </w:t>
      </w:r>
      <w:r>
        <w:rPr>
          <w:spacing w:val="-62"/>
        </w:rPr>
      </w:r>
      <w:r>
        <w:rPr>
          <w:spacing w:val="-2"/>
        </w:rPr>
        <w:t>服务业体系，打造一批知名品牌和良性循环的健康服务产业集群，并形成一定的国际竞争力，基本满足广大人民群众的健康</w:t>
      </w:r>
      <w:r>
        <w:rPr>
          <w:spacing w:val="-63"/>
        </w:rPr>
        <w:t> </w:t>
      </w:r>
      <w:r>
        <w:rPr>
          <w:spacing w:val="-63"/>
        </w:rPr>
      </w:r>
      <w:r>
        <w:rPr/>
        <w:t>服务需求。未来健康服务业总规模达到</w:t>
      </w:r>
      <w:r>
        <w:rPr>
          <w:rFonts w:ascii="Times New Roman" w:hAnsi="Times New Roman" w:cs="Times New Roman" w:eastAsia="Times New Roman" w:hint="default"/>
        </w:rPr>
        <w:t>8</w:t>
      </w:r>
      <w:r>
        <w:rPr/>
        <w:t>万亿元以上，必将成为推动经济社会持续发展的又一重要力量。</w:t>
      </w:r>
    </w:p>
    <w:p>
      <w:pPr>
        <w:pStyle w:val="BodyText"/>
        <w:spacing w:line="300" w:lineRule="auto" w:before="7"/>
        <w:ind w:right="194" w:firstLine="559"/>
        <w:jc w:val="both"/>
      </w:pPr>
      <w:r>
        <w:rPr>
          <w:spacing w:val="-2"/>
        </w:rPr>
        <w:t>上述国家政策通过推动</w:t>
      </w:r>
      <w:r>
        <w:rPr>
          <w:rFonts w:ascii="Times New Roman" w:hAnsi="Times New Roman" w:cs="Times New Roman" w:eastAsia="Times New Roman" w:hint="default"/>
          <w:spacing w:val="-2"/>
        </w:rPr>
        <w:t>“</w:t>
      </w:r>
      <w:r>
        <w:rPr>
          <w:spacing w:val="-2"/>
        </w:rPr>
        <w:t>互联网云技术</w:t>
      </w:r>
      <w:r>
        <w:rPr>
          <w:rFonts w:ascii="Times New Roman" w:hAnsi="Times New Roman" w:cs="Times New Roman" w:eastAsia="Times New Roman" w:hint="default"/>
          <w:spacing w:val="-2"/>
        </w:rPr>
        <w:t>+</w:t>
      </w:r>
      <w:r>
        <w:rPr>
          <w:spacing w:val="-2"/>
        </w:rPr>
        <w:t>健康医疗</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大数据产业</w:t>
      </w:r>
      <w:r>
        <w:rPr>
          <w:rFonts w:ascii="Times New Roman" w:hAnsi="Times New Roman" w:cs="Times New Roman" w:eastAsia="Times New Roman" w:hint="default"/>
          <w:spacing w:val="-2"/>
        </w:rPr>
        <w:t>”“</w:t>
      </w:r>
      <w:r>
        <w:rPr>
          <w:spacing w:val="-2"/>
        </w:rPr>
        <w:t>人工智能</w:t>
      </w:r>
      <w:r>
        <w:rPr>
          <w:rFonts w:ascii="Times New Roman" w:hAnsi="Times New Roman" w:cs="Times New Roman" w:eastAsia="Times New Roman" w:hint="default"/>
          <w:spacing w:val="-2"/>
        </w:rPr>
        <w:t>+</w:t>
      </w:r>
      <w:r>
        <w:rPr>
          <w:spacing w:val="-2"/>
        </w:rPr>
        <w:t>医疗</w:t>
      </w:r>
      <w:r>
        <w:rPr>
          <w:rFonts w:ascii="Times New Roman" w:hAnsi="Times New Roman" w:cs="Times New Roman" w:eastAsia="Times New Roman" w:hint="default"/>
          <w:spacing w:val="-2"/>
        </w:rPr>
        <w:t>”</w:t>
      </w:r>
      <w:r>
        <w:rPr>
          <w:spacing w:val="-2"/>
        </w:rPr>
        <w:t>来推动新的医疗健康卫生服务模式</w:t>
      </w:r>
      <w:r>
        <w:rPr/>
        <w:t> 的探索，部署和培育发展新业态，努力建设人民满意的医疗卫生健康事业，为打造健康中国提供有力支撑。</w:t>
      </w:r>
    </w:p>
    <w:p>
      <w:pPr>
        <w:pStyle w:val="Heading5"/>
        <w:spacing w:line="287" w:lineRule="exact"/>
        <w:ind w:right="9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公司所处行业主要竞争对手</w:t>
      </w:r>
      <w:r>
        <w:rPr>
          <w:b w:val="0"/>
          <w:bCs w:val="0"/>
        </w:rPr>
      </w:r>
    </w:p>
    <w:p>
      <w:pPr>
        <w:pStyle w:val="BodyText"/>
        <w:spacing w:line="319" w:lineRule="auto" w:before="56"/>
        <w:ind w:right="196" w:firstLine="559"/>
        <w:jc w:val="both"/>
      </w:pPr>
      <w:r>
        <w:rPr/>
        <w:t>公司所处的医疗卫生应用软件领域的竞争主要来自于国内主力厂商。国内在应用软件领域已经涌现出一批具有较强 实力的国内企业，占据主要的市场份额。</w:t>
      </w:r>
    </w:p>
    <w:p>
      <w:pPr>
        <w:pStyle w:val="BodyText"/>
        <w:spacing w:line="304" w:lineRule="auto" w:before="17"/>
        <w:ind w:right="188" w:firstLine="559"/>
        <w:jc w:val="both"/>
      </w:pPr>
      <w:r>
        <w:rPr>
          <w:spacing w:val="-3"/>
        </w:rPr>
        <w:t>目前，国内的医疗信息化企业以</w:t>
      </w:r>
      <w:r>
        <w:rPr>
          <w:spacing w:val="1"/>
        </w:rPr>
        <w:t> </w:t>
      </w:r>
      <w:r>
        <w:rPr>
          <w:rFonts w:ascii="Times New Roman" w:hAnsi="Times New Roman" w:cs="Times New Roman" w:eastAsia="Times New Roman" w:hint="default"/>
          <w:spacing w:val="-3"/>
        </w:rPr>
        <w:t>EMR</w:t>
      </w:r>
      <w:r>
        <w:rPr>
          <w:spacing w:val="-3"/>
        </w:rPr>
        <w:t>、</w:t>
      </w:r>
      <w:r>
        <w:rPr>
          <w:rFonts w:ascii="Times New Roman" w:hAnsi="Times New Roman" w:cs="Times New Roman" w:eastAsia="Times New Roman" w:hint="default"/>
          <w:spacing w:val="-3"/>
        </w:rPr>
        <w:t>HIS</w:t>
      </w:r>
      <w:r>
        <w:rPr>
          <w:spacing w:val="-3"/>
        </w:rPr>
        <w:t>、系统集成为主，医疗卫生健康领域医疗信息化及软件生产供应商较多，</w:t>
      </w:r>
      <w:r>
        <w:rPr/>
        <w:t> </w:t>
      </w:r>
      <w:r>
        <w:rPr>
          <w:spacing w:val="-2"/>
        </w:rPr>
        <w:t>约在</w:t>
      </w:r>
      <w:r>
        <w:rPr>
          <w:rFonts w:ascii="Times New Roman" w:hAnsi="Times New Roman" w:cs="Times New Roman" w:eastAsia="Times New Roman" w:hint="default"/>
          <w:spacing w:val="-2"/>
        </w:rPr>
        <w:t>600</w:t>
      </w:r>
      <w:r>
        <w:rPr>
          <w:spacing w:val="-2"/>
        </w:rPr>
        <w:t>家左右，其中大型供应商占比</w:t>
      </w:r>
      <w:r>
        <w:rPr>
          <w:rFonts w:ascii="Times New Roman" w:hAnsi="Times New Roman" w:cs="Times New Roman" w:eastAsia="Times New Roman" w:hint="default"/>
          <w:spacing w:val="-2"/>
        </w:rPr>
        <w:t>15%</w:t>
      </w:r>
      <w:r>
        <w:rPr>
          <w:spacing w:val="-2"/>
        </w:rPr>
        <w:t>，中型占</w:t>
      </w:r>
      <w:r>
        <w:rPr>
          <w:rFonts w:ascii="Times New Roman" w:hAnsi="Times New Roman" w:cs="Times New Roman" w:eastAsia="Times New Roman" w:hint="default"/>
          <w:spacing w:val="-2"/>
        </w:rPr>
        <w:t>60%</w:t>
      </w:r>
      <w:r>
        <w:rPr>
          <w:spacing w:val="-2"/>
        </w:rPr>
        <w:t>，小型占</w:t>
      </w:r>
      <w:r>
        <w:rPr>
          <w:rFonts w:ascii="Times New Roman" w:hAnsi="Times New Roman" w:cs="Times New Roman" w:eastAsia="Times New Roman" w:hint="default"/>
          <w:spacing w:val="-2"/>
        </w:rPr>
        <w:t>25%</w:t>
      </w:r>
      <w:r>
        <w:rPr>
          <w:spacing w:val="-2"/>
        </w:rPr>
        <w:t>。在全国医疗信息化联盟最新的一份调查数据中，在全</w:t>
      </w:r>
      <w:r>
        <w:rPr>
          <w:spacing w:val="-61"/>
        </w:rPr>
        <w:t> </w:t>
      </w:r>
      <w:r>
        <w:rPr>
          <w:spacing w:val="-61"/>
        </w:rPr>
      </w:r>
      <w:r>
        <w:rPr/>
        <w:t>国</w:t>
      </w:r>
      <w:r>
        <w:rPr>
          <w:rFonts w:ascii="Times New Roman" w:hAnsi="Times New Roman" w:cs="Times New Roman" w:eastAsia="Times New Roman" w:hint="default"/>
        </w:rPr>
        <w:t>866</w:t>
      </w:r>
      <w:r>
        <w:rPr/>
        <w:t>项医疗信息化市场中标信息统计中，规模排名前七的企业的占比合计 </w:t>
      </w:r>
      <w:r>
        <w:rPr>
          <w:rFonts w:ascii="Times New Roman" w:hAnsi="Times New Roman" w:cs="Times New Roman" w:eastAsia="Times New Roman" w:hint="default"/>
        </w:rPr>
        <w:t>28.8%</w:t>
      </w:r>
      <w:r>
        <w:rPr/>
        <w:t>，预计前十的规模占比将在</w:t>
      </w:r>
      <w:r>
        <w:rPr>
          <w:spacing w:val="-67"/>
        </w:rPr>
        <w:t> </w:t>
      </w:r>
      <w:r>
        <w:rPr>
          <w:rFonts w:ascii="Times New Roman" w:hAnsi="Times New Roman" w:cs="Times New Roman" w:eastAsia="Times New Roman" w:hint="default"/>
        </w:rPr>
        <w:t>30%</w:t>
      </w:r>
      <w:r>
        <w:rPr/>
        <w:t>左右，依 </w:t>
      </w:r>
      <w:r>
        <w:rPr>
          <w:spacing w:val="-2"/>
        </w:rPr>
        <w:t>然呈现出较低的市场集中度。在如此多的供应商中，以区域性中小厂商为主，能够覆盖全国市场的供应商屈指可数，行业集</w:t>
      </w:r>
      <w:r>
        <w:rPr>
          <w:spacing w:val="-65"/>
        </w:rPr>
        <w:t> </w:t>
      </w:r>
      <w:r>
        <w:rPr>
          <w:spacing w:val="-65"/>
        </w:rPr>
      </w:r>
      <w:r>
        <w:rPr/>
        <w:t>中度有待提升。</w:t>
      </w:r>
    </w:p>
    <w:p>
      <w:pPr>
        <w:pStyle w:val="BodyText"/>
        <w:spacing w:line="316" w:lineRule="auto" w:before="28"/>
        <w:ind w:right="94" w:firstLine="360"/>
        <w:jc w:val="left"/>
      </w:pPr>
      <w:r>
        <w:rPr>
          <w:spacing w:val="-2"/>
        </w:rPr>
        <w:t>目前，已上市的全国性公司有创业软件、东软集团、东华软件、卫宁健康、万达信息、思创医惠等，区域性厂商有荣科</w:t>
      </w:r>
      <w:r>
        <w:rPr/>
        <w:t> </w:t>
      </w:r>
      <w:r>
        <w:rPr>
          <w:spacing w:val="-2"/>
        </w:rPr>
        <w:t>科技等。随着医疗卫生信息化市场的快速增长，这些国内主力厂商将凭借其业已形成的产业基础和雄厚的综合实力，加大对</w:t>
      </w:r>
      <w:r>
        <w:rPr>
          <w:spacing w:val="-63"/>
        </w:rPr>
        <w:t> </w:t>
      </w:r>
      <w:r>
        <w:rPr>
          <w:spacing w:val="-63"/>
        </w:rPr>
      </w:r>
      <w:r>
        <w:rPr/>
        <w:t>该行业的投入，通过合资、并购等方式进一步扩大其经营规模，优化其产品结构和人才结构，抢占更大的市场份额。因此，</w:t>
      </w:r>
      <w:r>
        <w:rPr>
          <w:spacing w:val="-82"/>
        </w:rPr>
        <w:t> </w:t>
      </w:r>
      <w:r>
        <w:rPr>
          <w:spacing w:val="-82"/>
        </w:rPr>
      </w:r>
      <w:r>
        <w:rPr/>
        <w:t>近几年医疗卫生应用软件市场的竞争将继续集中在国内主力厂商间展开。</w:t>
      </w:r>
    </w:p>
    <w:p>
      <w:pPr>
        <w:pStyle w:val="Heading5"/>
        <w:spacing w:line="240" w:lineRule="auto" w:before="118"/>
        <w:ind w:left="635" w:right="9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公司近三年主营业务趋势</w:t>
      </w:r>
      <w:r>
        <w:rPr>
          <w:b w:val="0"/>
          <w:bCs w:val="0"/>
        </w:rPr>
      </w:r>
    </w:p>
    <w:p>
      <w:pPr>
        <w:spacing w:after="0" w:line="240" w:lineRule="auto"/>
        <w:jc w:val="left"/>
        <w:sectPr>
          <w:pgSz w:w="11910" w:h="16840"/>
          <w:pgMar w:header="745" w:footer="979" w:top="1060" w:bottom="1160" w:left="980" w:right="940"/>
        </w:sectPr>
      </w:pP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before="44"/>
        <w:ind w:right="151" w:firstLine="559"/>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2017</w:t>
      </w:r>
      <w:r>
        <w:rPr>
          <w:spacing w:val="-1"/>
        </w:rPr>
        <w:t>年公司营业务收入分别为</w:t>
      </w:r>
      <w:r>
        <w:rPr>
          <w:rFonts w:ascii="Times New Roman" w:hAnsi="Times New Roman" w:cs="Times New Roman" w:eastAsia="Times New Roman" w:hint="default"/>
          <w:spacing w:val="-1"/>
        </w:rPr>
        <w:t>42,597.16</w:t>
      </w:r>
      <w:r>
        <w:rPr>
          <w:spacing w:val="-1"/>
        </w:rPr>
        <w:t>万元、</w:t>
      </w:r>
      <w:r>
        <w:rPr>
          <w:rFonts w:ascii="Times New Roman" w:hAnsi="Times New Roman" w:cs="Times New Roman" w:eastAsia="Times New Roman" w:hint="default"/>
          <w:spacing w:val="-1"/>
        </w:rPr>
        <w:t>54,864.53</w:t>
      </w:r>
      <w:r>
        <w:rPr>
          <w:spacing w:val="-1"/>
        </w:rPr>
        <w:t>万元、</w:t>
      </w:r>
      <w:r>
        <w:rPr>
          <w:rFonts w:ascii="Times New Roman" w:hAnsi="Times New Roman" w:cs="Times New Roman" w:eastAsia="Times New Roman" w:hint="default"/>
          <w:spacing w:val="-1"/>
        </w:rPr>
        <w:t>115,295.29</w:t>
      </w:r>
      <w:r>
        <w:rPr>
          <w:spacing w:val="-1"/>
        </w:rPr>
        <w:t>万元。公司主营业务持续</w:t>
      </w:r>
      <w:r>
        <w:rPr/>
        <w:t> 增长表明公司的持续发展态势 ，产品和服务市场竞争力强，预示着公司主营业务的发展潜力较强、市场前景广阔及公司可</w:t>
      </w:r>
      <w:r>
        <w:rPr>
          <w:spacing w:val="-84"/>
        </w:rPr>
        <w:t> </w:t>
      </w:r>
      <w:r>
        <w:rPr>
          <w:spacing w:val="-84"/>
        </w:rPr>
      </w:r>
      <w:r>
        <w:rPr/>
        <w:t>持续性的盈利能力。</w:t>
      </w:r>
    </w:p>
    <w:p>
      <w:pPr>
        <w:spacing w:line="240" w:lineRule="auto" w:before="0"/>
        <w:rPr>
          <w:rFonts w:ascii="宋体" w:hAnsi="宋体" w:cs="宋体" w:eastAsia="宋体" w:hint="default"/>
          <w:sz w:val="3"/>
          <w:szCs w:val="3"/>
        </w:rPr>
      </w:pPr>
    </w:p>
    <w:p>
      <w:pPr>
        <w:spacing w:line="4320" w:lineRule="exact"/>
        <w:ind w:left="1357"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84191" cy="27432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4584191" cy="2743200"/>
                    </a:xfrm>
                    <a:prstGeom prst="rect">
                      <a:avLst/>
                    </a:prstGeom>
                  </pic:spPr>
                </pic:pic>
              </a:graphicData>
            </a:graphic>
          </wp:inline>
        </w:drawing>
      </w:r>
      <w:r>
        <w:rPr>
          <w:rFonts w:ascii="宋体" w:hAnsi="宋体" w:cs="宋体" w:eastAsia="宋体" w:hint="default"/>
          <w:position w:val="-85"/>
          <w:sz w:val="20"/>
          <w:szCs w:val="20"/>
        </w:rPr>
      </w:r>
    </w:p>
    <w:p>
      <w:pPr>
        <w:spacing w:line="403" w:lineRule="auto" w:before="132"/>
        <w:ind w:left="513" w:right="4193" w:firstLine="12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四</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公司的主要行业优势</w:t>
      </w:r>
      <w:r>
        <w:rPr>
          <w:rFonts w:ascii="Microsoft JhengHei" w:hAnsi="Microsoft JhengHei" w:cs="Microsoft JhengHei" w:eastAsia="Microsoft JhengHei" w:hint="default"/>
          <w:b/>
          <w:bCs/>
          <w:w w:val="99"/>
          <w:sz w:val="18"/>
          <w:szCs w:val="18"/>
        </w:rPr>
        <w:t> </w:t>
      </w:r>
      <w:r>
        <w:rPr>
          <w:rFonts w:ascii="宋体" w:hAnsi="宋体" w:cs="宋体" w:eastAsia="宋体" w:hint="default"/>
          <w:sz w:val="18"/>
          <w:szCs w:val="18"/>
        </w:rPr>
        <w:t>目前在医疗卫生信息化领域领域具有较大的领先优势，主要如下：</w:t>
      </w:r>
    </w:p>
    <w:p>
      <w:pPr>
        <w:pStyle w:val="BodyText"/>
        <w:spacing w:line="203" w:lineRule="exact"/>
        <w:ind w:left="513" w:right="0"/>
        <w:jc w:val="left"/>
      </w:pPr>
      <w:r>
        <w:rPr>
          <w:rFonts w:ascii="Times New Roman" w:hAnsi="Times New Roman" w:cs="Times New Roman" w:eastAsia="Times New Roman" w:hint="default"/>
        </w:rPr>
        <w:t>1</w:t>
      </w:r>
      <w:r>
        <w:rPr/>
        <w:t>、领先的行业地位和丰富的行业经验</w:t>
      </w:r>
    </w:p>
    <w:p>
      <w:pPr>
        <w:pStyle w:val="BodyText"/>
        <w:spacing w:line="312" w:lineRule="auto" w:before="63"/>
        <w:ind w:right="151" w:firstLine="360"/>
        <w:jc w:val="both"/>
      </w:pPr>
      <w:r>
        <w:rPr>
          <w:spacing w:val="-2"/>
        </w:rPr>
        <w:t>公司是国内较早进入医疗卫生信息化的软件供应商之一，成立至今一直专注于医疗卫生信息化领域，目前拥有成熟的技</w:t>
      </w:r>
      <w:r>
        <w:rPr/>
        <w:t> 术体系、较强的自主研发能力、丰富的产品种类，拥有八大系列</w:t>
      </w:r>
      <w:r>
        <w:rPr>
          <w:rFonts w:ascii="Times New Roman" w:hAnsi="Times New Roman" w:cs="Times New Roman" w:eastAsia="Times New Roman" w:hint="default"/>
        </w:rPr>
        <w:t>200</w:t>
      </w:r>
      <w:r>
        <w:rPr/>
        <w:t>多个自主研发产品，这些产品基本涵盖了整个医疗结构</w:t>
      </w:r>
      <w:r>
        <w:rPr>
          <w:spacing w:val="-84"/>
        </w:rPr>
        <w:t> </w:t>
      </w:r>
      <w:r>
        <w:rPr>
          <w:spacing w:val="-84"/>
        </w:rPr>
      </w:r>
      <w:r>
        <w:rPr>
          <w:spacing w:val="-2"/>
        </w:rPr>
        <w:t>的所有业务系统，省市区县乡镇各级卫计委、局、医院、疾控、卫生监督、血站、妇幼保健、牙防所等医疗机构，能够满足</w:t>
      </w:r>
      <w:r>
        <w:rPr>
          <w:spacing w:val="-68"/>
        </w:rPr>
        <w:t> </w:t>
      </w:r>
      <w:r>
        <w:rPr>
          <w:spacing w:val="-68"/>
        </w:rPr>
      </w:r>
      <w:r>
        <w:rPr/>
        <w:t>不同客户的个性化需求，在医疗卫生信息化行业跻身前列。</w:t>
      </w:r>
    </w:p>
    <w:p>
      <w:pPr>
        <w:pStyle w:val="BodyText"/>
        <w:spacing w:line="316" w:lineRule="auto" w:before="22"/>
        <w:ind w:right="150" w:firstLine="360"/>
        <w:jc w:val="both"/>
      </w:pPr>
      <w:r>
        <w:rPr>
          <w:spacing w:val="-2"/>
        </w:rPr>
        <w:t>同时，公司参与了卫生部健康档案基本架构与数据标准、电子病历基本架构与数据标准、基于健康档案的区域卫生信息</w:t>
      </w:r>
      <w:r>
        <w:rPr/>
        <w:t> 平台建设指南及基于健康档案的区域卫生信息平台建设技术解决方案等国家卫生信息标准和规范的研发和编制，体现了公</w:t>
      </w:r>
      <w:r>
        <w:rPr>
          <w:spacing w:val="-11"/>
        </w:rPr>
        <w:t> </w:t>
      </w:r>
      <w:r>
        <w:rPr>
          <w:spacing w:val="-11"/>
        </w:rPr>
      </w:r>
      <w:r>
        <w:rPr/>
        <w:t>司在行业内的技术水平具有领先优势。</w:t>
      </w:r>
    </w:p>
    <w:p>
      <w:pPr>
        <w:spacing w:line="240" w:lineRule="auto" w:before="3"/>
        <w:rPr>
          <w:rFonts w:ascii="宋体" w:hAnsi="宋体" w:cs="宋体" w:eastAsia="宋体" w:hint="default"/>
          <w:sz w:val="10"/>
          <w:szCs w:val="10"/>
        </w:rPr>
      </w:pPr>
    </w:p>
    <w:p>
      <w:pPr>
        <w:spacing w:line="4704" w:lineRule="exact"/>
        <w:ind w:left="1583"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276518" cy="298704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4276518" cy="2987040"/>
                    </a:xfrm>
                    <a:prstGeom prst="rect">
                      <a:avLst/>
                    </a:prstGeom>
                  </pic:spPr>
                </pic:pic>
              </a:graphicData>
            </a:graphic>
          </wp:inline>
        </w:drawing>
      </w:r>
      <w:r>
        <w:rPr>
          <w:rFonts w:ascii="宋体" w:hAnsi="宋体" w:cs="宋体" w:eastAsia="宋体" w:hint="default"/>
          <w:position w:val="-93"/>
          <w:sz w:val="20"/>
          <w:szCs w:val="20"/>
        </w:rPr>
      </w:r>
    </w:p>
    <w:p>
      <w:pPr>
        <w:spacing w:after="0" w:line="4704" w:lineRule="exact"/>
        <w:rPr>
          <w:rFonts w:ascii="宋体" w:hAnsi="宋体" w:cs="宋体" w:eastAsia="宋体" w:hint="default"/>
          <w:sz w:val="20"/>
          <w:szCs w:val="20"/>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4" w:lineRule="auto" w:before="44"/>
        <w:ind w:right="188" w:firstLine="360"/>
        <w:jc w:val="both"/>
      </w:pPr>
      <w:r>
        <w:rPr>
          <w:spacing w:val="-3"/>
        </w:rPr>
        <w:t>经过多年发展，公司已建</w:t>
      </w:r>
      <w:r>
        <w:rPr>
          <w:rFonts w:ascii="Times New Roman" w:hAnsi="Times New Roman" w:cs="Times New Roman" w:eastAsia="Times New Roman" w:hint="default"/>
          <w:spacing w:val="-3"/>
        </w:rPr>
        <w:t>1</w:t>
      </w:r>
      <w:r>
        <w:rPr>
          <w:spacing w:val="-3"/>
        </w:rPr>
        <w:t>亿份（在建</w:t>
      </w:r>
      <w:r>
        <w:rPr>
          <w:rFonts w:ascii="Times New Roman" w:hAnsi="Times New Roman" w:cs="Times New Roman" w:eastAsia="Times New Roman" w:hint="default"/>
          <w:spacing w:val="-3"/>
        </w:rPr>
        <w:t>1.5</w:t>
      </w:r>
      <w:r>
        <w:rPr>
          <w:spacing w:val="-3"/>
        </w:rPr>
        <w:t>亿份）健康档案，已建成</w:t>
      </w:r>
      <w:r>
        <w:rPr>
          <w:rFonts w:ascii="Times New Roman" w:hAnsi="Times New Roman" w:cs="Times New Roman" w:eastAsia="Times New Roman" w:hint="default"/>
          <w:spacing w:val="-3"/>
        </w:rPr>
        <w:t>1</w:t>
      </w:r>
      <w:r>
        <w:rPr>
          <w:spacing w:val="-3"/>
        </w:rPr>
        <w:t>亿份电子病历，累计实施了一万多个医疗卫生信息化</w:t>
      </w:r>
      <w:r>
        <w:rPr/>
        <w:t> </w:t>
      </w:r>
      <w:r>
        <w:rPr>
          <w:spacing w:val="-2"/>
        </w:rPr>
        <w:t>建设项目，涉及医院、社区卫生服务中心、农村合作医疗机构、疾控中心、药店、社保卫生管理部门等各类医疗卫生机构的</w:t>
      </w:r>
      <w:r>
        <w:rPr>
          <w:spacing w:val="-68"/>
        </w:rPr>
        <w:t> </w:t>
      </w:r>
      <w:r>
        <w:rPr>
          <w:spacing w:val="-68"/>
        </w:rPr>
      </w:r>
      <w:r>
        <w:rPr>
          <w:spacing w:val="-2"/>
        </w:rPr>
        <w:t>信息化建设，积累了丰富的经验，特别是在大型数字化医院建设和区域卫生信息化平台建设方面，公司先后实施了北京、上</w:t>
      </w:r>
      <w:r>
        <w:rPr>
          <w:spacing w:val="-64"/>
        </w:rPr>
        <w:t> </w:t>
      </w:r>
      <w:r>
        <w:rPr>
          <w:spacing w:val="-64"/>
        </w:rPr>
      </w:r>
      <w:r>
        <w:rPr>
          <w:spacing w:val="-2"/>
        </w:rPr>
        <w:t>海、成都、广东、杭州等多个医疗卫生信息化示范项目，深化了对行业与客户需求的理解，积累了大型项目实施经验，服务</w:t>
      </w:r>
      <w:r>
        <w:rPr>
          <w:spacing w:val="-68"/>
        </w:rPr>
        <w:t> </w:t>
      </w:r>
      <w:r>
        <w:rPr>
          <w:spacing w:val="-68"/>
        </w:rPr>
      </w:r>
      <w:r>
        <w:rPr/>
        <w:t>水平得到显著提升。</w:t>
      </w:r>
    </w:p>
    <w:p>
      <w:pPr>
        <w:pStyle w:val="BodyText"/>
        <w:spacing w:line="300" w:lineRule="auto" w:before="20"/>
        <w:ind w:right="94" w:firstLine="360"/>
        <w:jc w:val="left"/>
      </w:pPr>
      <w:r>
        <w:rPr/>
        <w:t>报告期内，首个区域医疗信息平台建设的运营项目</w:t>
      </w:r>
      <w:r>
        <w:rPr>
          <w:rFonts w:ascii="Times New Roman" w:hAnsi="Times New Roman" w:cs="Times New Roman" w:eastAsia="Times New Roman" w:hint="default"/>
        </w:rPr>
        <w:t>——</w:t>
      </w:r>
      <w:r>
        <w:rPr/>
        <w:t>中山市区域卫生信息平台建设运营项目基础架构已经搭建完成， 为公司从医疗信息化建设企业发展成集建设，服务，运营为一体的医疗信息化，健康产业化集成企业迈出了重要的一步。</w:t>
      </w:r>
    </w:p>
    <w:p>
      <w:pPr>
        <w:pStyle w:val="BodyText"/>
        <w:spacing w:line="300" w:lineRule="auto" w:before="31"/>
        <w:ind w:left="513" w:right="193"/>
        <w:jc w:val="left"/>
      </w:pPr>
      <w:r>
        <w:rPr>
          <w:rFonts w:ascii="Times New Roman" w:hAnsi="Times New Roman" w:cs="Times New Roman" w:eastAsia="Times New Roman" w:hint="default"/>
        </w:rPr>
        <w:t>2</w:t>
      </w:r>
      <w:r>
        <w:rPr/>
        <w:t>、具有创新和谐的企业文化和高素质人才优势 多年来，公司致力于培育创新和谐的企业文化，提倡</w:t>
      </w:r>
      <w:r>
        <w:rPr>
          <w:rFonts w:ascii="Times New Roman" w:hAnsi="Times New Roman" w:cs="Times New Roman" w:eastAsia="Times New Roman" w:hint="default"/>
        </w:rPr>
        <w:t>“</w:t>
      </w:r>
      <w:r>
        <w:rPr/>
        <w:t>让员工干自己最愿意干的工作，让员工干自己最具特长的工作；</w:t>
      </w:r>
    </w:p>
    <w:p>
      <w:pPr>
        <w:pStyle w:val="BodyText"/>
        <w:spacing w:line="300" w:lineRule="auto" w:before="13"/>
        <w:ind w:right="191"/>
        <w:jc w:val="both"/>
      </w:pPr>
      <w:r>
        <w:rPr>
          <w:spacing w:val="-2"/>
        </w:rPr>
        <w:t>实现企业价值与员工个人价值和社会价值最大化</w:t>
      </w:r>
      <w:r>
        <w:rPr>
          <w:rFonts w:ascii="Times New Roman" w:hAnsi="Times New Roman" w:cs="Times New Roman" w:eastAsia="Times New Roman" w:hint="default"/>
          <w:spacing w:val="-2"/>
        </w:rPr>
        <w:t>”</w:t>
      </w:r>
      <w:r>
        <w:rPr>
          <w:spacing w:val="-2"/>
        </w:rPr>
        <w:t>，围绕建设中国一流软件企业的发展目标，逐渐形成了</w:t>
      </w:r>
      <w:r>
        <w:rPr>
          <w:rFonts w:ascii="Times New Roman" w:hAnsi="Times New Roman" w:cs="Times New Roman" w:eastAsia="Times New Roman" w:hint="default"/>
          <w:spacing w:val="-2"/>
        </w:rPr>
        <w:t>“</w:t>
      </w:r>
      <w:r>
        <w:rPr>
          <w:spacing w:val="-2"/>
        </w:rPr>
        <w:t>团结创新、领先一</w:t>
      </w:r>
      <w:r>
        <w:rPr>
          <w:spacing w:val="-42"/>
        </w:rPr>
        <w:t> </w:t>
      </w:r>
      <w:r>
        <w:rPr>
          <w:spacing w:val="-42"/>
        </w:rPr>
      </w:r>
      <w:r>
        <w:rPr/>
        <w:t>步、服务用户、共同进步</w:t>
      </w:r>
      <w:r>
        <w:rPr>
          <w:rFonts w:ascii="Times New Roman" w:hAnsi="Times New Roman" w:cs="Times New Roman" w:eastAsia="Times New Roman" w:hint="default"/>
        </w:rPr>
        <w:t>”</w:t>
      </w:r>
      <w:r>
        <w:rPr/>
        <w:t>的企业文化，拥有一支高素质的核心管理团队和优秀的技术团队，整体技术水平与创新能力居行</w:t>
      </w:r>
      <w:r>
        <w:rPr>
          <w:spacing w:val="-76"/>
        </w:rPr>
        <w:t> </w:t>
      </w:r>
      <w:r>
        <w:rPr>
          <w:spacing w:val="-76"/>
        </w:rPr>
      </w:r>
      <w:r>
        <w:rPr/>
        <w:t>业前列。</w:t>
      </w:r>
    </w:p>
    <w:p>
      <w:pPr>
        <w:pStyle w:val="BodyText"/>
        <w:spacing w:line="316" w:lineRule="auto" w:before="31"/>
        <w:ind w:right="94" w:firstLine="360"/>
        <w:jc w:val="left"/>
      </w:pPr>
      <w:r>
        <w:rPr/>
        <w:t>报告期内，公司设立博士后工作站后，将与浙江大学等省内外高校逐步建立和完善联合培养博士后研究人员的合作机 制，吸引一批优秀博士毕业人才和研究团队加入公司，在医疗卫生大数据、医疗人工智能等技术领域开展一系列深入研究，</w:t>
      </w:r>
      <w:r>
        <w:rPr>
          <w:spacing w:val="-83"/>
        </w:rPr>
        <w:t> </w:t>
      </w:r>
      <w:r>
        <w:rPr>
          <w:spacing w:val="-83"/>
        </w:rPr>
      </w:r>
      <w:r>
        <w:rPr>
          <w:spacing w:val="-2"/>
        </w:rPr>
        <w:t>不仅对公司的技术提升、产品创新、转化应用起到关键作用，也将切实保障企业在智慧医疗卫生健康领域的技术创新与行业</w:t>
      </w:r>
      <w:r>
        <w:rPr>
          <w:spacing w:val="-63"/>
        </w:rPr>
        <w:t> </w:t>
      </w:r>
      <w:r>
        <w:rPr>
          <w:spacing w:val="-63"/>
        </w:rPr>
      </w:r>
      <w:r>
        <w:rPr/>
        <w:t>领先。工作站将设立</w:t>
      </w:r>
      <w:r>
        <w:rPr>
          <w:rFonts w:ascii="Times New Roman" w:hAnsi="Times New Roman" w:cs="Times New Roman" w:eastAsia="Times New Roman" w:hint="default"/>
        </w:rPr>
        <w:t>“</w:t>
      </w:r>
      <w:r>
        <w:rPr/>
        <w:t>基于医疗卫生、健康服务领域的大数据和人工智能关键技术应用</w:t>
      </w:r>
      <w:r>
        <w:rPr>
          <w:rFonts w:ascii="Times New Roman" w:hAnsi="Times New Roman" w:cs="Times New Roman" w:eastAsia="Times New Roman" w:hint="default"/>
        </w:rPr>
        <w:t>”</w:t>
      </w:r>
      <w:r>
        <w:rPr/>
        <w:t>等研究方向。</w:t>
      </w:r>
    </w:p>
    <w:p>
      <w:pPr>
        <w:pStyle w:val="BodyText"/>
        <w:spacing w:line="300" w:lineRule="auto"/>
        <w:ind w:left="513" w:right="94"/>
        <w:jc w:val="left"/>
      </w:pPr>
      <w:r>
        <w:rPr>
          <w:rFonts w:ascii="Times New Roman" w:hAnsi="Times New Roman" w:cs="Times New Roman" w:eastAsia="Times New Roman" w:hint="default"/>
        </w:rPr>
        <w:t>3</w:t>
      </w:r>
      <w:r>
        <w:rPr/>
        <w:t>、先进的技术水平和持续的创新能力 </w:t>
      </w:r>
      <w:r>
        <w:rPr>
          <w:spacing w:val="-2"/>
        </w:rPr>
        <w:t>作为高新技术企业，公司一贯坚持技术领先的企业发展战略，紧跟国际信息技术的发展潮流，紧密结合我国医疗健康卫</w:t>
      </w:r>
    </w:p>
    <w:p>
      <w:pPr>
        <w:pStyle w:val="BodyText"/>
        <w:spacing w:line="309" w:lineRule="auto" w:before="31"/>
        <w:ind w:right="191"/>
        <w:jc w:val="both"/>
      </w:pPr>
      <w:r>
        <w:rPr>
          <w:spacing w:val="-2"/>
        </w:rPr>
        <w:t>生信息化建设的实际情况，始终重视自主研发和科技创新活动。经过多年的研发与积累，公司掌握了一批较为领先的核心技</w:t>
      </w:r>
      <w:r>
        <w:rPr>
          <w:spacing w:val="-65"/>
        </w:rPr>
        <w:t> </w:t>
      </w:r>
      <w:r>
        <w:rPr>
          <w:spacing w:val="-65"/>
        </w:rPr>
      </w:r>
      <w:r>
        <w:rPr>
          <w:spacing w:val="-3"/>
        </w:rPr>
        <w:t>术，同时取得了多项科技成果，形成了功能较为完善的医疗健康卫生信息化应用软件。自</w:t>
      </w:r>
      <w:r>
        <w:rPr>
          <w:rFonts w:ascii="Times New Roman" w:hAnsi="Times New Roman" w:cs="Times New Roman" w:eastAsia="Times New Roman" w:hint="default"/>
          <w:spacing w:val="-3"/>
        </w:rPr>
        <w:t>2010</w:t>
      </w:r>
      <w:r>
        <w:rPr>
          <w:spacing w:val="-3"/>
        </w:rPr>
        <w:t>年以来，公司被连续认定为</w:t>
      </w:r>
      <w:r>
        <w:rPr>
          <w:rFonts w:ascii="Times New Roman" w:hAnsi="Times New Roman" w:cs="Times New Roman" w:eastAsia="Times New Roman" w:hint="default"/>
          <w:spacing w:val="-3"/>
        </w:rPr>
        <w:t>“</w:t>
      </w:r>
      <w:r>
        <w:rPr>
          <w:spacing w:val="-3"/>
        </w:rPr>
        <w:t>国</w:t>
      </w:r>
      <w:r>
        <w:rPr>
          <w:spacing w:val="-82"/>
        </w:rPr>
        <w:t> </w:t>
      </w:r>
      <w:r>
        <w:rPr/>
        <w:t>家火炬计划重点高新技术企业</w:t>
      </w:r>
      <w:r>
        <w:rPr>
          <w:rFonts w:ascii="Times New Roman" w:hAnsi="Times New Roman" w:cs="Times New Roman" w:eastAsia="Times New Roman" w:hint="default"/>
        </w:rPr>
        <w:t>”</w:t>
      </w:r>
      <w:r>
        <w:rPr/>
        <w:t>。</w:t>
      </w:r>
    </w:p>
    <w:p>
      <w:pPr>
        <w:pStyle w:val="BodyText"/>
        <w:spacing w:line="307" w:lineRule="auto" w:before="5"/>
        <w:ind w:right="94" w:firstLine="360"/>
        <w:jc w:val="left"/>
      </w:pPr>
      <w:r>
        <w:rPr/>
        <w:t>历年来，公司凭借其积累的技术开发能力，先后承担了包括国家科技支撑计划项目、国家电子信息产业发展基金项目、 </w:t>
      </w:r>
      <w:r>
        <w:rPr>
          <w:spacing w:val="-2"/>
        </w:rPr>
        <w:t>国家高新技术产业化项目、国家火炬计划项目、国家重点创新基金项目等在内的多项政府科技开发项目，其中国家级项目</w:t>
      </w:r>
      <w:r>
        <w:rPr>
          <w:rFonts w:ascii="Times New Roman" w:hAnsi="Times New Roman" w:cs="Times New Roman" w:eastAsia="Times New Roman" w:hint="default"/>
          <w:spacing w:val="-2"/>
        </w:rPr>
        <w:t>19</w:t>
      </w:r>
      <w:r>
        <w:rPr>
          <w:rFonts w:ascii="Times New Roman" w:hAnsi="Times New Roman" w:cs="Times New Roman" w:eastAsia="Times New Roman" w:hint="default"/>
          <w:spacing w:val="-12"/>
        </w:rPr>
        <w:t> </w:t>
      </w:r>
      <w:r>
        <w:rPr>
          <w:spacing w:val="-2"/>
        </w:rPr>
        <w:t>项、省市级项目</w:t>
      </w:r>
      <w:r>
        <w:rPr>
          <w:rFonts w:ascii="Times New Roman" w:hAnsi="Times New Roman" w:cs="Times New Roman" w:eastAsia="Times New Roman" w:hint="default"/>
          <w:spacing w:val="-2"/>
        </w:rPr>
        <w:t>50</w:t>
      </w:r>
      <w:r>
        <w:rPr>
          <w:spacing w:val="-2"/>
        </w:rPr>
        <w:t>余项、市级科技开发项目，多项产品荣获中国优秀软件产品、浙江省名牌产品、省市科技，成为行业中产</w:t>
      </w:r>
      <w:r>
        <w:rPr>
          <w:spacing w:val="-64"/>
        </w:rPr>
        <w:t> </w:t>
      </w:r>
      <w:r>
        <w:rPr>
          <w:spacing w:val="-64"/>
        </w:rPr>
      </w:r>
      <w:r>
        <w:rPr/>
        <w:t>品系列最全、产品品种最多、产品质量最优的企业。</w:t>
      </w:r>
    </w:p>
    <w:p>
      <w:pPr>
        <w:pStyle w:val="BodyText"/>
        <w:spacing w:line="300" w:lineRule="auto" w:before="26"/>
        <w:ind w:left="513" w:right="94"/>
        <w:jc w:val="left"/>
      </w:pPr>
      <w:r>
        <w:rPr>
          <w:rFonts w:ascii="Times New Roman" w:hAnsi="Times New Roman" w:cs="Times New Roman" w:eastAsia="Times New Roman" w:hint="default"/>
        </w:rPr>
        <w:t>4</w:t>
      </w:r>
      <w:r>
        <w:rPr/>
        <w:t>、具有完善的营销网络和稳固的客户资源 </w:t>
      </w:r>
      <w:r>
        <w:rPr>
          <w:spacing w:val="-2"/>
        </w:rPr>
        <w:t>公司自设立以来一直致力于产品和服务的市场品牌建设和推广，注重销售团队的建设和营销网络的建设。截至目前，公</w:t>
      </w:r>
    </w:p>
    <w:p>
      <w:pPr>
        <w:pStyle w:val="BodyText"/>
        <w:spacing w:line="312" w:lineRule="auto" w:before="31"/>
        <w:ind w:right="191"/>
        <w:jc w:val="both"/>
      </w:pPr>
      <w:r>
        <w:rPr>
          <w:spacing w:val="-2"/>
        </w:rPr>
        <w:t>司累计用户达</w:t>
      </w:r>
      <w:r>
        <w:rPr>
          <w:rFonts w:ascii="Times New Roman" w:hAnsi="Times New Roman" w:cs="Times New Roman" w:eastAsia="Times New Roman" w:hint="default"/>
          <w:spacing w:val="-2"/>
        </w:rPr>
        <w:t>6000</w:t>
      </w:r>
      <w:r>
        <w:rPr>
          <w:spacing w:val="-2"/>
        </w:rPr>
        <w:t>余家，其中包括国内著名大型三甲医院以及各级卫生行政管理部门。公司坚持</w:t>
      </w:r>
      <w:r>
        <w:rPr>
          <w:rFonts w:ascii="Times New Roman" w:hAnsi="Times New Roman" w:cs="Times New Roman" w:eastAsia="Times New Roman" w:hint="default"/>
          <w:spacing w:val="-2"/>
        </w:rPr>
        <w:t>“</w:t>
      </w:r>
      <w:r>
        <w:rPr>
          <w:spacing w:val="-2"/>
        </w:rPr>
        <w:t>合作双赢，共同进步</w:t>
      </w:r>
      <w:r>
        <w:rPr>
          <w:rFonts w:ascii="Times New Roman" w:hAnsi="Times New Roman" w:cs="Times New Roman" w:eastAsia="Times New Roman" w:hint="default"/>
          <w:spacing w:val="-2"/>
        </w:rPr>
        <w:t>”</w:t>
      </w:r>
      <w:r>
        <w:rPr>
          <w:spacing w:val="-2"/>
        </w:rPr>
        <w:t>的经</w:t>
      </w:r>
      <w:r>
        <w:rPr>
          <w:spacing w:val="-44"/>
        </w:rPr>
        <w:t> </w:t>
      </w:r>
      <w:r>
        <w:rPr>
          <w:spacing w:val="-2"/>
        </w:rPr>
        <w:t>营方针，与主要客户建立紧密的合作关系，在合作中共同发展。为构建与客户之间良好的伙伴关系，公司采取了灵活机动的</w:t>
      </w:r>
      <w:r>
        <w:rPr>
          <w:spacing w:val="-65"/>
        </w:rPr>
        <w:t> </w:t>
      </w:r>
      <w:r>
        <w:rPr>
          <w:spacing w:val="-65"/>
        </w:rPr>
      </w:r>
      <w:r>
        <w:rPr>
          <w:spacing w:val="-2"/>
        </w:rPr>
        <w:t>沟通方式，运用信息化手段，建立了客户服务中心，开发了客户信息化服务平台，实现了与客户之间的及时沟通，从而为公</w:t>
      </w:r>
      <w:r>
        <w:rPr>
          <w:spacing w:val="-67"/>
        </w:rPr>
        <w:t> </w:t>
      </w:r>
      <w:r>
        <w:rPr>
          <w:spacing w:val="-67"/>
        </w:rPr>
      </w:r>
      <w:r>
        <w:rPr/>
        <w:t>司业务持续快速增长奠定了良好的基础。</w:t>
      </w:r>
    </w:p>
    <w:p>
      <w:pPr>
        <w:pStyle w:val="BodyText"/>
        <w:spacing w:line="300" w:lineRule="auto" w:before="22"/>
        <w:ind w:left="513" w:right="94"/>
        <w:jc w:val="left"/>
      </w:pPr>
      <w:r>
        <w:rPr>
          <w:rFonts w:ascii="Times New Roman" w:hAnsi="Times New Roman" w:cs="Times New Roman" w:eastAsia="Times New Roman" w:hint="default"/>
        </w:rPr>
        <w:t>5</w:t>
      </w:r>
      <w:r>
        <w:rPr/>
        <w:t>、具有良好的品牌形象和高等级的专业资质优势 </w:t>
      </w:r>
      <w:r>
        <w:rPr>
          <w:spacing w:val="-2"/>
        </w:rPr>
        <w:t>随着客户数量的增加以及示范工程项目的推广，公司的品牌知名度不断提升。同时，随着市场秩序的日趋完善，业务专</w:t>
      </w:r>
    </w:p>
    <w:p>
      <w:pPr>
        <w:pStyle w:val="BodyText"/>
        <w:spacing w:line="307" w:lineRule="auto" w:before="31"/>
        <w:ind w:right="94"/>
        <w:jc w:val="left"/>
      </w:pPr>
      <w:r>
        <w:rPr/>
        <w:t>项资质已成为衡量一个软件企业管理水平和综合实力的一项重要指标，也成为软件企业参与各类招标项目的一项必备条件。</w:t>
      </w:r>
      <w:r>
        <w:rPr>
          <w:spacing w:val="-83"/>
        </w:rPr>
        <w:t> </w:t>
      </w:r>
      <w:r>
        <w:rPr>
          <w:spacing w:val="-83"/>
        </w:rPr>
      </w:r>
      <w:r>
        <w:rPr/>
        <w:t>经过多年的努力，公司已取得了如</w:t>
      </w:r>
      <w:r>
        <w:rPr>
          <w:rFonts w:ascii="Times New Roman" w:hAnsi="Times New Roman" w:cs="Times New Roman" w:eastAsia="Times New Roman" w:hint="default"/>
        </w:rPr>
        <w:t>“</w:t>
      </w:r>
      <w:r>
        <w:rPr/>
        <w:t>软件能力成熟度模型集成五级（</w:t>
      </w:r>
      <w:r>
        <w:rPr>
          <w:rFonts w:ascii="Times New Roman" w:hAnsi="Times New Roman" w:cs="Times New Roman" w:eastAsia="Times New Roman" w:hint="default"/>
        </w:rPr>
        <w:t>CMMI5</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计算机信息系统集成壹</w:t>
      </w:r>
      <w:r>
        <w:rPr>
          <w:spacing w:val="-85"/>
        </w:rPr>
        <w:t> </w:t>
      </w:r>
      <w:r>
        <w:rPr>
          <w:spacing w:val="-85"/>
        </w:rPr>
      </w:r>
      <w:r>
        <w:rPr/>
        <w:t>级资质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建筑智能化工程设计与施工壹级资质</w:t>
      </w:r>
      <w:r>
        <w:rPr>
          <w:rFonts w:ascii="Times New Roman" w:hAnsi="Times New Roman" w:cs="Times New Roman" w:eastAsia="Times New Roman" w:hint="default"/>
        </w:rPr>
        <w:t>”</w:t>
      </w:r>
      <w:r>
        <w:rPr/>
        <w:t>、安全生产许可证、医疗器械产品经营企业许可证、医疗器械生产企业许</w:t>
      </w:r>
      <w:r>
        <w:rPr>
          <w:spacing w:val="-59"/>
        </w:rPr>
        <w:t> </w:t>
      </w:r>
      <w:r>
        <w:rPr>
          <w:spacing w:val="-59"/>
        </w:rPr>
      </w:r>
      <w:r>
        <w:rPr/>
        <w:t>可证等含金量较高的资质证书，使公司在激烈的市场竞争中占有独特的比较优势。</w:t>
      </w:r>
    </w:p>
    <w:p>
      <w:pPr>
        <w:pStyle w:val="BodyText"/>
        <w:spacing w:line="468" w:lineRule="exact" w:before="18"/>
        <w:ind w:left="513" w:right="94" w:firstLine="122"/>
        <w:jc w:val="left"/>
      </w:pPr>
      <w:r>
        <w:rPr>
          <w:rFonts w:ascii="Times New Roman" w:hAnsi="Times New Roman" w:cs="Times New Roman" w:eastAsia="Times New Roman" w:hint="default"/>
          <w:b/>
          <w:bCs/>
        </w:rPr>
        <w:t>(</w:t>
      </w:r>
      <w:r>
        <w:rPr>
          <w:rFonts w:ascii="Microsoft JhengHei" w:hAnsi="Microsoft JhengHei" w:cs="Microsoft JhengHei" w:eastAsia="Microsoft JhengHei" w:hint="default"/>
          <w:b/>
          <w:bCs/>
        </w:rPr>
        <w:t>六</w:t>
      </w:r>
      <w:r>
        <w:rPr>
          <w:rFonts w:ascii="Times New Roman" w:hAnsi="Times New Roman" w:cs="Times New Roman" w:eastAsia="Times New Roman" w:hint="default"/>
          <w:b/>
          <w:bCs/>
        </w:rPr>
        <w:t>)</w:t>
      </w:r>
      <w:r>
        <w:rPr>
          <w:rFonts w:ascii="Microsoft JhengHei" w:hAnsi="Microsoft JhengHei" w:cs="Microsoft JhengHei" w:eastAsia="Microsoft JhengHei" w:hint="default"/>
          <w:b/>
          <w:bCs/>
        </w:rPr>
        <w:t>公司发展战略</w:t>
      </w:r>
      <w:r>
        <w:rPr>
          <w:rFonts w:ascii="Microsoft JhengHei" w:hAnsi="Microsoft JhengHei" w:cs="Microsoft JhengHei" w:eastAsia="Microsoft JhengHei" w:hint="default"/>
          <w:b/>
          <w:bCs/>
          <w:w w:val="99"/>
        </w:rPr>
        <w:t> </w:t>
      </w:r>
      <w:r>
        <w:rPr>
          <w:spacing w:val="-2"/>
        </w:rPr>
        <w:t>未来将继续秉承</w:t>
      </w:r>
      <w:r>
        <w:rPr>
          <w:rFonts w:ascii="Times New Roman" w:hAnsi="Times New Roman" w:cs="Times New Roman" w:eastAsia="Times New Roman" w:hint="default"/>
          <w:spacing w:val="-2"/>
        </w:rPr>
        <w:t>“</w:t>
      </w:r>
      <w:r>
        <w:rPr>
          <w:spacing w:val="-2"/>
        </w:rPr>
        <w:t>团结创新、领先一步，服务用户、共同进步</w:t>
      </w:r>
      <w:r>
        <w:rPr>
          <w:rFonts w:ascii="Times New Roman" w:hAnsi="Times New Roman" w:cs="Times New Roman" w:eastAsia="Times New Roman" w:hint="default"/>
          <w:spacing w:val="-2"/>
        </w:rPr>
        <w:t>”</w:t>
      </w:r>
      <w:r>
        <w:rPr>
          <w:spacing w:val="-2"/>
        </w:rPr>
        <w:t>的经营理念，顺应国内医疗健康信息化的大趋势，立足医</w:t>
      </w:r>
    </w:p>
    <w:p>
      <w:pPr>
        <w:pStyle w:val="BodyText"/>
        <w:spacing w:line="319" w:lineRule="auto" w:before="8"/>
        <w:ind w:right="94"/>
        <w:jc w:val="left"/>
      </w:pPr>
      <w:r>
        <w:rPr/>
        <w:t>疗卫生健康信息化行业，依托业已形成的综合优势，紧跟产业步伐，拓展新兴市场，向智慧医疗与健康服务进行拓展整合，</w:t>
      </w:r>
      <w:r>
        <w:rPr>
          <w:spacing w:val="-84"/>
        </w:rPr>
        <w:t> </w:t>
      </w:r>
      <w:r>
        <w:rPr>
          <w:spacing w:val="-84"/>
        </w:rPr>
      </w:r>
      <w:r>
        <w:rPr/>
        <w:t>持续提升业绩增长和盈利能力，以基于大数据、人工智能应用的智能医疗信息系统和区域医疗健康运维服务领域为拓展方</w:t>
      </w:r>
      <w:r>
        <w:rPr>
          <w:spacing w:val="-11"/>
        </w:rPr>
        <w:t> </w:t>
      </w:r>
      <w:r>
        <w:rPr>
          <w:spacing w:val="-11"/>
        </w:rPr>
      </w:r>
      <w:r>
        <w:rPr>
          <w:spacing w:val="-2"/>
        </w:rPr>
        <w:t>向，努力为形成以大数据应用、智慧医疗、区域卫生、健康城市等为主要模式的公司业务格局奠定坚实基础，为成为大健康</w:t>
      </w:r>
      <w:r>
        <w:rPr>
          <w:spacing w:val="-65"/>
        </w:rPr>
        <w:t> </w:t>
      </w:r>
      <w:r>
        <w:rPr>
          <w:spacing w:val="-65"/>
        </w:rPr>
      </w:r>
      <w:r>
        <w:rPr/>
        <w:t>全产业链的中国最优秀的医疗健康信息化服务解决方案商和运营商而继续努力。</w:t>
      </w:r>
    </w:p>
    <w:p>
      <w:pPr>
        <w:spacing w:after="0" w:line="319"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t>报告期内，公司的经营模式和业务模式未发生重大变化。</w:t>
      </w:r>
    </w:p>
    <w:p>
      <w:pPr>
        <w:spacing w:line="240" w:lineRule="auto" w:before="5"/>
        <w:rPr>
          <w:rFonts w:ascii="宋体" w:hAnsi="宋体" w:cs="宋体" w:eastAsia="宋体" w:hint="default"/>
          <w:sz w:val="13"/>
          <w:szCs w:val="13"/>
        </w:rPr>
      </w:pPr>
    </w:p>
    <w:p>
      <w:pPr>
        <w:pStyle w:val="Heading5"/>
        <w:spacing w:line="357" w:lineRule="auto"/>
        <w:ind w:left="635" w:right="7041"/>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)2018</w:t>
      </w:r>
      <w:r>
        <w:rPr/>
        <w:t>年度经营计划</w:t>
      </w:r>
      <w:r>
        <w:rPr>
          <w:w w:val="99"/>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年研发体系部署计划</w:t>
      </w:r>
      <w:r>
        <w:rPr>
          <w:b w:val="0"/>
          <w:bCs w:val="0"/>
        </w:rPr>
      </w:r>
    </w:p>
    <w:p>
      <w:pPr>
        <w:pStyle w:val="BodyText"/>
        <w:spacing w:line="316" w:lineRule="auto" w:before="94"/>
        <w:ind w:right="151" w:firstLine="360"/>
        <w:jc w:val="both"/>
      </w:pPr>
      <w:r>
        <w:rPr>
          <w:spacing w:val="-2"/>
        </w:rPr>
        <w:t>未来公司将结合面向医疗健康互联网及数据服务平台的发展规划，积极引进高端研发人员，加强与国内外著名高校和科</w:t>
      </w:r>
      <w:r>
        <w:rPr/>
        <w:t> </w:t>
      </w:r>
      <w:r>
        <w:rPr>
          <w:spacing w:val="-2"/>
        </w:rPr>
        <w:t>研机构的合作，重点开展互联网云技术、医疗大数据应用技术的研发，继续健康城市战略拓展，做好区域信息化业务应用建</w:t>
      </w:r>
      <w:r>
        <w:rPr>
          <w:spacing w:val="-65"/>
        </w:rPr>
        <w:t> </w:t>
      </w:r>
      <w:r>
        <w:rPr>
          <w:spacing w:val="-65"/>
        </w:rPr>
      </w:r>
      <w:r>
        <w:rPr/>
        <w:t>设，对已形成产业化的产品进行整合。</w:t>
      </w:r>
    </w:p>
    <w:p>
      <w:pPr>
        <w:spacing w:line="240" w:lineRule="auto" w:before="8"/>
        <w:rPr>
          <w:rFonts w:ascii="宋体" w:hAnsi="宋体" w:cs="宋体" w:eastAsia="宋体" w:hint="default"/>
          <w:sz w:val="2"/>
          <w:szCs w:val="2"/>
        </w:rPr>
      </w:pPr>
    </w:p>
    <w:p>
      <w:pPr>
        <w:spacing w:line="4301" w:lineRule="exact"/>
        <w:ind w:left="71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605417" cy="2731389"/>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8" cstate="print"/>
                    <a:stretch>
                      <a:fillRect/>
                    </a:stretch>
                  </pic:blipFill>
                  <pic:spPr>
                    <a:xfrm>
                      <a:off x="0" y="0"/>
                      <a:ext cx="5605417" cy="2731389"/>
                    </a:xfrm>
                    <a:prstGeom prst="rect">
                      <a:avLst/>
                    </a:prstGeom>
                  </pic:spPr>
                </pic:pic>
              </a:graphicData>
            </a:graphic>
          </wp:inline>
        </w:drawing>
      </w:r>
      <w:r>
        <w:rPr>
          <w:rFonts w:ascii="宋体" w:hAnsi="宋体" w:cs="宋体" w:eastAsia="宋体" w:hint="default"/>
          <w:position w:val="-85"/>
          <w:sz w:val="20"/>
          <w:szCs w:val="20"/>
        </w:rPr>
      </w:r>
    </w:p>
    <w:p>
      <w:pPr>
        <w:pStyle w:val="BodyText"/>
        <w:spacing w:line="316" w:lineRule="auto" w:before="52"/>
        <w:ind w:right="150" w:firstLine="360"/>
        <w:jc w:val="both"/>
      </w:pPr>
      <w:r>
        <w:rPr>
          <w:spacing w:val="-2"/>
        </w:rPr>
        <w:t>根据公司战略发展目标制定产品研发策略，对已有的产品线按照客户需求研发新产品，服务并满足客户体验，帮助各大</w:t>
      </w:r>
      <w:r>
        <w:rPr/>
        <w:t> </w:t>
      </w:r>
      <w:r>
        <w:rPr>
          <w:spacing w:val="-5"/>
        </w:rPr>
        <w:t>区落地交付。加大新产品研发，积极开拓互联网技术应用产品、大数据应用产品、平台产品，为未来市场扩展提前做好准备。</w:t>
      </w:r>
      <w:r>
        <w:rPr>
          <w:spacing w:val="-78"/>
        </w:rPr>
        <w:t> </w:t>
      </w:r>
      <w:r>
        <w:rPr>
          <w:spacing w:val="-78"/>
        </w:rPr>
      </w:r>
      <w:r>
        <w:rPr>
          <w:spacing w:val="-2"/>
        </w:rPr>
        <w:t>同时，加快研发中心的建设，承担公司前瞻性研发任务，及时推出符合产业发展趋势和技术要求的新产品，继续保持公司的</w:t>
      </w:r>
      <w:r>
        <w:rPr>
          <w:spacing w:val="-64"/>
        </w:rPr>
        <w:t> </w:t>
      </w:r>
      <w:r>
        <w:rPr>
          <w:spacing w:val="-64"/>
        </w:rPr>
      </w:r>
      <w:r>
        <w:rPr/>
        <w:t>技术领先优势。</w:t>
      </w:r>
    </w:p>
    <w:p>
      <w:pPr>
        <w:pStyle w:val="Heading5"/>
        <w:spacing w:line="240" w:lineRule="auto" w:before="117"/>
        <w:ind w:left="635" w:right="0"/>
        <w:jc w:val="left"/>
        <w:rPr>
          <w:b w:val="0"/>
          <w:bCs w:val="0"/>
        </w:rPr>
      </w:pPr>
      <w:r>
        <w:rPr/>
        <w:t>（</w:t>
      </w:r>
      <w:r>
        <w:rPr>
          <w:rFonts w:ascii="Times New Roman" w:hAnsi="Times New Roman" w:cs="Times New Roman" w:eastAsia="Times New Roman" w:hint="default"/>
        </w:rPr>
        <w:t>1</w:t>
      </w:r>
      <w:r>
        <w:rPr/>
        <w:t>）开拓互联网技术应用产品、大数据应用产品、健康城市产品</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300" w:lineRule="auto"/>
        <w:ind w:right="148" w:firstLine="360"/>
        <w:jc w:val="both"/>
      </w:pPr>
      <w:r>
        <w:rPr>
          <w:rFonts w:ascii="Times New Roman" w:hAnsi="Times New Roman" w:cs="Times New Roman" w:eastAsia="Times New Roman" w:hint="default"/>
        </w:rPr>
        <w:t>2017</w:t>
      </w:r>
      <w:r>
        <w:rPr/>
        <w:t>年公司已完成的</w:t>
      </w:r>
      <w:r>
        <w:rPr>
          <w:rFonts w:ascii="Times New Roman" w:hAnsi="Times New Roman" w:cs="Times New Roman" w:eastAsia="Times New Roman" w:hint="default"/>
        </w:rPr>
        <w:t>“</w:t>
      </w:r>
      <w:r>
        <w:rPr/>
        <w:t>健康城市</w:t>
      </w:r>
      <w:r>
        <w:rPr>
          <w:rFonts w:ascii="Times New Roman" w:hAnsi="Times New Roman" w:cs="Times New Roman" w:eastAsia="Times New Roman" w:hint="default"/>
        </w:rPr>
        <w:t>+</w:t>
      </w:r>
      <w:r>
        <w:rPr/>
        <w:t>大数据管理应用</w:t>
      </w:r>
      <w:r>
        <w:rPr>
          <w:rFonts w:ascii="Times New Roman" w:hAnsi="Times New Roman" w:cs="Times New Roman" w:eastAsia="Times New Roman" w:hint="default"/>
        </w:rPr>
        <w:t>”</w:t>
      </w:r>
      <w:r>
        <w:rPr/>
        <w:t>的产品技术设计，计划</w:t>
      </w:r>
      <w:r>
        <w:rPr>
          <w:rFonts w:ascii="Times New Roman" w:hAnsi="Times New Roman" w:cs="Times New Roman" w:eastAsia="Times New Roman" w:hint="default"/>
        </w:rPr>
        <w:t>2018</w:t>
      </w:r>
      <w:r>
        <w:rPr/>
        <w:t>年度将全面启动，预计在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月完成 面向医院、小微诊所等医疗机构的</w:t>
      </w:r>
      <w:r>
        <w:rPr>
          <w:rFonts w:ascii="Times New Roman" w:hAnsi="Times New Roman" w:cs="Times New Roman" w:eastAsia="Times New Roman" w:hint="default"/>
        </w:rPr>
        <w:t>“</w:t>
      </w:r>
      <w:r>
        <w:rPr/>
        <w:t>公有云</w:t>
      </w:r>
      <w:r>
        <w:rPr>
          <w:rFonts w:ascii="Times New Roman" w:hAnsi="Times New Roman" w:cs="Times New Roman" w:eastAsia="Times New Roman" w:hint="default"/>
        </w:rPr>
        <w:t>HIS”</w:t>
      </w:r>
      <w:r>
        <w:rPr/>
        <w:t>产品的落地。</w:t>
      </w:r>
    </w:p>
    <w:p>
      <w:pPr>
        <w:pStyle w:val="BodyText"/>
        <w:spacing w:line="316" w:lineRule="auto" w:before="13"/>
        <w:ind w:right="152" w:firstLine="360"/>
        <w:jc w:val="both"/>
      </w:pPr>
      <w:r>
        <w:rPr>
          <w:spacing w:val="-2"/>
        </w:rPr>
        <w:t>公司将重点与有标杆性的医疗机构，开展基于大数据人工智能的医疗辅助产品的应用，使公司解决方案从数字化医院解</w:t>
      </w:r>
      <w:r>
        <w:rPr/>
        <w:t> 决方案</w:t>
      </w:r>
      <w:r>
        <w:rPr>
          <w:rFonts w:ascii="Times New Roman" w:hAnsi="Times New Roman" w:cs="Times New Roman" w:eastAsia="Times New Roman" w:hint="default"/>
        </w:rPr>
        <w:t>——</w:t>
      </w:r>
      <w:r>
        <w:rPr/>
        <w:t>向智能化医院解决方案进行转变。</w:t>
      </w:r>
    </w:p>
    <w:p>
      <w:pPr>
        <w:pStyle w:val="BodyText"/>
        <w:spacing w:line="300" w:lineRule="auto"/>
        <w:ind w:right="153" w:firstLine="360"/>
        <w:jc w:val="both"/>
      </w:pPr>
      <w:r>
        <w:rPr/>
        <w:t>公司继续健康城市战略拓展，基于</w:t>
      </w:r>
      <w:r>
        <w:rPr>
          <w:rFonts w:ascii="Times New Roman" w:hAnsi="Times New Roman" w:cs="Times New Roman" w:eastAsia="Times New Roman" w:hint="default"/>
        </w:rPr>
        <w:t>“</w:t>
      </w:r>
      <w:r>
        <w:rPr/>
        <w:t>医疗、公卫</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新概念，做好区域信息化业务应用建设，通过加载大数据业务 应用技术，支撑公司健康服务运维业务拓展。</w:t>
      </w:r>
    </w:p>
    <w:p>
      <w:pPr>
        <w:pStyle w:val="BodyText"/>
        <w:spacing w:line="240" w:lineRule="auto" w:before="31"/>
        <w:ind w:left="513" w:right="0"/>
        <w:jc w:val="left"/>
      </w:pPr>
      <w:r>
        <w:rPr/>
        <w:t>公司计划对医技产品系列进行全面整合，以形成一体化解决方案，作为</w:t>
      </w:r>
      <w:r>
        <w:rPr>
          <w:rFonts w:ascii="Times New Roman" w:hAnsi="Times New Roman" w:cs="Times New Roman" w:eastAsia="Times New Roman" w:hint="default"/>
        </w:rPr>
        <w:t>2018</w:t>
      </w:r>
      <w:r>
        <w:rPr/>
        <w:t>年公司全国市场的重点产品系列。</w:t>
      </w:r>
    </w:p>
    <w:p>
      <w:pPr>
        <w:spacing w:line="403" w:lineRule="auto" w:before="5"/>
        <w:ind w:left="712" w:right="4354" w:hanging="77"/>
        <w:jc w:val="left"/>
        <w:rPr>
          <w:rFonts w:ascii="宋体" w:hAnsi="宋体" w:cs="宋体" w:eastAsia="宋体" w:hint="default"/>
          <w:sz w:val="18"/>
          <w:szCs w:val="18"/>
        </w:rPr>
      </w:pPr>
      <w:r>
        <w:rPr/>
        <w:pict>
          <v:shape style="position:absolute;margin-left:56.639999pt;margin-top:41.705265pt;width:482.4pt;height:110.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8366"/>
                  </w:tblGrid>
                  <w:tr>
                    <w:trPr>
                      <w:trHeight w:val="542" w:hRule="exact"/>
                    </w:trPr>
                    <w:tc>
                      <w:tcPr>
                        <w:tcW w:w="126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8366"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76"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研发项目名称</w:t>
                        </w:r>
                        <w:r>
                          <w:rPr>
                            <w:rFonts w:ascii="Microsoft JhengHei" w:hAnsi="Microsoft JhengHei" w:cs="Microsoft JhengHei" w:eastAsia="Microsoft JhengHei" w:hint="default"/>
                            <w:sz w:val="18"/>
                            <w:szCs w:val="18"/>
                          </w:rPr>
                        </w:r>
                      </w:p>
                    </w:tc>
                  </w:tr>
                  <w:tr>
                    <w:trPr>
                      <w:trHeight w:val="552" w:hRule="exact"/>
                    </w:trPr>
                    <w:tc>
                      <w:tcPr>
                        <w:tcW w:w="12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83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医疗大数据挖掘分析平台</w:t>
                        </w:r>
                      </w:p>
                    </w:tc>
                  </w:tr>
                  <w:tr>
                    <w:trPr>
                      <w:trHeight w:val="5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家庭医生人工智能辅助服务平台</w:t>
                        </w:r>
                      </w:p>
                    </w:tc>
                  </w:tr>
                  <w:tr>
                    <w:trPr>
                      <w:trHeight w:val="5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健康城市云平台</w:t>
                        </w:r>
                      </w:p>
                    </w:tc>
                  </w:tr>
                </w:tbl>
                <w:p>
                  <w:pPr/>
                </w:p>
              </w:txbxContent>
            </v:textbox>
            <w10:wrap type="none"/>
          </v:shape>
        </w:pic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）对已形成产业化的产品进行深度开发加快其升级换代</w:t>
      </w:r>
      <w:r>
        <w:rPr>
          <w:rFonts w:ascii="Microsoft JhengHei" w:hAnsi="Microsoft JhengHei" w:cs="Microsoft JhengHei" w:eastAsia="Microsoft JhengHei" w:hint="default"/>
          <w:b/>
          <w:bCs/>
          <w:spacing w:val="-30"/>
          <w:sz w:val="18"/>
          <w:szCs w:val="18"/>
        </w:rPr>
        <w:t> </w:t>
      </w:r>
      <w:r>
        <w:rPr>
          <w:rFonts w:ascii="Microsoft JhengHei" w:hAnsi="Microsoft JhengHei" w:cs="Microsoft JhengHei" w:eastAsia="Microsoft JhengHei" w:hint="default"/>
          <w:b/>
          <w:bCs/>
          <w:spacing w:val="-30"/>
          <w:sz w:val="18"/>
          <w:szCs w:val="18"/>
        </w:rPr>
      </w:r>
      <w:r>
        <w:rPr>
          <w:rFonts w:ascii="宋体" w:hAnsi="宋体" w:cs="宋体" w:eastAsia="宋体" w:hint="default"/>
          <w:sz w:val="18"/>
          <w:szCs w:val="18"/>
        </w:rPr>
        <w:t>截至本报告出具日，公司已经内部立项的研发项目计划如下：</w:t>
      </w:r>
    </w:p>
    <w:p>
      <w:pPr>
        <w:spacing w:after="0" w:line="403"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1260"/>
        <w:gridCol w:w="8366"/>
      </w:tblGrid>
      <w:tr>
        <w:trPr>
          <w:trHeight w:val="548"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75"/>
              <w:jc w:val="right"/>
              <w:rPr>
                <w:rFonts w:ascii="Times New Roman" w:hAnsi="Times New Roman" w:cs="Times New Roman" w:eastAsia="Times New Roman" w:hint="default"/>
                <w:sz w:val="18"/>
                <w:szCs w:val="18"/>
              </w:rPr>
            </w:pPr>
            <w:r>
              <w:rPr>
                <w:rFonts w:ascii="Times New Roman"/>
                <w:sz w:val="18"/>
              </w:rPr>
              <w:t>4</w:t>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智慧一体化医院信息系统</w:t>
            </w:r>
          </w:p>
        </w:tc>
      </w:tr>
      <w:tr>
        <w:trPr>
          <w:trHeight w:val="5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75"/>
              <w:jc w:val="right"/>
              <w:rPr>
                <w:rFonts w:ascii="Times New Roman" w:hAnsi="Times New Roman" w:cs="Times New Roman" w:eastAsia="Times New Roman" w:hint="default"/>
                <w:sz w:val="18"/>
                <w:szCs w:val="18"/>
              </w:rPr>
            </w:pPr>
            <w:r>
              <w:rPr>
                <w:rFonts w:ascii="Times New Roman"/>
                <w:sz w:val="18"/>
              </w:rPr>
              <w:t>5</w:t>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基层医疗卫生信息系统升级</w:t>
            </w:r>
          </w:p>
        </w:tc>
      </w:tr>
      <w:tr>
        <w:trPr>
          <w:trHeight w:val="5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75"/>
              <w:jc w:val="right"/>
              <w:rPr>
                <w:rFonts w:ascii="Times New Roman" w:hAnsi="Times New Roman" w:cs="Times New Roman" w:eastAsia="Times New Roman" w:hint="default"/>
                <w:sz w:val="18"/>
                <w:szCs w:val="18"/>
              </w:rPr>
            </w:pPr>
            <w:r>
              <w:rPr>
                <w:rFonts w:ascii="Times New Roman"/>
                <w:sz w:val="18"/>
              </w:rPr>
              <w:t>6</w:t>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云</w:t>
            </w:r>
            <w:r>
              <w:rPr>
                <w:rFonts w:ascii="Times New Roman" w:hAnsi="Times New Roman" w:cs="Times New Roman" w:eastAsia="Times New Roman" w:hint="default"/>
                <w:sz w:val="18"/>
                <w:szCs w:val="18"/>
              </w:rPr>
              <w:t>HIS</w:t>
            </w:r>
            <w:r>
              <w:rPr>
                <w:rFonts w:ascii="宋体" w:hAnsi="宋体" w:cs="宋体" w:eastAsia="宋体" w:hint="default"/>
                <w:sz w:val="18"/>
                <w:szCs w:val="18"/>
              </w:rPr>
              <w:t>系统</w:t>
            </w:r>
          </w:p>
        </w:tc>
      </w:tr>
      <w:tr>
        <w:trPr>
          <w:trHeight w:val="5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75"/>
              <w:jc w:val="right"/>
              <w:rPr>
                <w:rFonts w:ascii="Times New Roman" w:hAnsi="Times New Roman" w:cs="Times New Roman" w:eastAsia="Times New Roman" w:hint="default"/>
                <w:sz w:val="18"/>
                <w:szCs w:val="18"/>
              </w:rPr>
            </w:pPr>
            <w:r>
              <w:rPr>
                <w:rFonts w:ascii="Times New Roman"/>
                <w:sz w:val="18"/>
              </w:rPr>
              <w:t>7</w:t>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分级诊疗平台</w:t>
            </w:r>
          </w:p>
        </w:tc>
      </w:tr>
      <w:tr>
        <w:trPr>
          <w:trHeight w:val="5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75"/>
              <w:jc w:val="right"/>
              <w:rPr>
                <w:rFonts w:ascii="Times New Roman" w:hAnsi="Times New Roman" w:cs="Times New Roman" w:eastAsia="Times New Roman" w:hint="default"/>
                <w:sz w:val="18"/>
                <w:szCs w:val="18"/>
              </w:rPr>
            </w:pPr>
            <w:r>
              <w:rPr>
                <w:rFonts w:ascii="Times New Roman"/>
                <w:sz w:val="18"/>
              </w:rPr>
              <w:t>8</w:t>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全民健康信息平台</w:t>
            </w:r>
          </w:p>
        </w:tc>
      </w:tr>
      <w:tr>
        <w:trPr>
          <w:trHeight w:val="54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75"/>
              <w:jc w:val="right"/>
              <w:rPr>
                <w:rFonts w:ascii="Times New Roman" w:hAnsi="Times New Roman" w:cs="Times New Roman" w:eastAsia="Times New Roman" w:hint="default"/>
                <w:sz w:val="18"/>
                <w:szCs w:val="18"/>
              </w:rPr>
            </w:pPr>
            <w:r>
              <w:rPr>
                <w:rFonts w:ascii="Times New Roman"/>
                <w:sz w:val="18"/>
              </w:rPr>
              <w:t>9</w:t>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慢病健康管理系统</w:t>
            </w:r>
          </w:p>
        </w:tc>
      </w:tr>
    </w:tbl>
    <w:p>
      <w:pPr>
        <w:spacing w:line="240" w:lineRule="auto" w:before="3"/>
        <w:rPr>
          <w:rFonts w:ascii="宋体" w:hAnsi="宋体" w:cs="宋体" w:eastAsia="宋体" w:hint="default"/>
          <w:sz w:val="9"/>
          <w:szCs w:val="9"/>
        </w:rPr>
      </w:pPr>
    </w:p>
    <w:p>
      <w:pPr>
        <w:pStyle w:val="Heading5"/>
        <w:spacing w:line="300" w:lineRule="exact"/>
        <w:ind w:left="635" w:right="0"/>
        <w:jc w:val="left"/>
        <w:rPr>
          <w:b w:val="0"/>
          <w:bCs w:val="0"/>
        </w:rPr>
      </w:pPr>
      <w:r>
        <w:rPr/>
        <w:t>（</w:t>
      </w:r>
      <w:r>
        <w:rPr>
          <w:rFonts w:ascii="Times New Roman" w:hAnsi="Times New Roman" w:cs="Times New Roman" w:eastAsia="Times New Roman" w:hint="default"/>
        </w:rPr>
        <w:t>3</w:t>
      </w:r>
      <w:r>
        <w:rPr/>
        <w:t>）总部研发中心扩建和北京、上海、深圳、武汉四大区域研究院建设</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316" w:lineRule="auto"/>
        <w:ind w:right="150" w:firstLine="559"/>
        <w:jc w:val="both"/>
      </w:pPr>
      <w:r>
        <w:rPr>
          <w:spacing w:val="-3"/>
        </w:rPr>
        <w:t>目前公司的研发人员、设备、技术配置尚能满足现阶段研发工作的需要，但是随着产业的发展和技术的进步，公司亟</w:t>
      </w:r>
      <w:r>
        <w:rPr/>
        <w:t> </w:t>
      </w:r>
      <w:r>
        <w:rPr>
          <w:spacing w:val="-2"/>
        </w:rPr>
        <w:t>待加快研发中心的建设，承担公司前瞻性研发任务，及时推出符合产业发展趋势和技术要求的新产品，继续保持公司的技术</w:t>
      </w:r>
      <w:r>
        <w:rPr>
          <w:spacing w:val="-63"/>
        </w:rPr>
        <w:t> </w:t>
      </w:r>
      <w:r>
        <w:rPr>
          <w:spacing w:val="-63"/>
        </w:rPr>
      </w:r>
      <w:r>
        <w:rPr>
          <w:spacing w:val="-2"/>
        </w:rPr>
        <w:t>领先优势。同时，研发中心还将支撑云技术开发平台基础研究开发任务和产品更新换代的基础性的技术开发，也对研发人员</w:t>
      </w:r>
      <w:r>
        <w:rPr>
          <w:spacing w:val="-66"/>
        </w:rPr>
        <w:t> </w:t>
      </w:r>
      <w:r>
        <w:rPr>
          <w:spacing w:val="-66"/>
        </w:rPr>
      </w:r>
      <w:r>
        <w:rPr>
          <w:spacing w:val="-2"/>
        </w:rPr>
        <w:t>和研发环境提出了更高的要求。因此，为了有效巩固公司基础性研发能力，在产业技术发展潮流中合理安排研究方向、课题</w:t>
      </w:r>
      <w:r>
        <w:rPr>
          <w:spacing w:val="-64"/>
        </w:rPr>
        <w:t> </w:t>
      </w:r>
      <w:r>
        <w:rPr>
          <w:spacing w:val="-64"/>
        </w:rPr>
      </w:r>
      <w:r>
        <w:rPr>
          <w:spacing w:val="-2"/>
        </w:rPr>
        <w:t>和任务，形成布局全国的研发及技术支持体系，公司拟进行总部研发中心扩建和北京、上海、深圳、武汉四大区域研究院建</w:t>
      </w:r>
      <w:r>
        <w:rPr>
          <w:spacing w:val="-66"/>
        </w:rPr>
        <w:t> </w:t>
      </w:r>
      <w:r>
        <w:rPr>
          <w:spacing w:val="-66"/>
        </w:rPr>
      </w:r>
      <w:r>
        <w:rPr/>
        <w:t>设。</w:t>
      </w:r>
    </w:p>
    <w:p>
      <w:pPr>
        <w:pStyle w:val="BodyText"/>
        <w:spacing w:line="316" w:lineRule="auto" w:before="19"/>
        <w:ind w:right="0" w:firstLine="360"/>
        <w:jc w:val="left"/>
      </w:pPr>
      <w:r>
        <w:rPr>
          <w:spacing w:val="-2"/>
        </w:rPr>
        <w:t>①北京研究院，重点承担国家政策研究、医疗信息化标准规范研究、前瞻性产品研发方向确立、基础性、标准化的产品</w:t>
      </w:r>
      <w:r>
        <w:rPr/>
        <w:t> 研究开发，并主要承担北方区域本地化基础技术支持。</w:t>
      </w:r>
    </w:p>
    <w:p>
      <w:pPr>
        <w:pStyle w:val="BodyText"/>
        <w:spacing w:line="319" w:lineRule="auto" w:before="19"/>
        <w:ind w:right="0" w:firstLine="360"/>
        <w:jc w:val="left"/>
      </w:pPr>
      <w:r>
        <w:rPr>
          <w:spacing w:val="-2"/>
        </w:rPr>
        <w:t>②上海研究院，重点承担基于区域医疗卫生配套产品的基础性、标准化研究开发，并主要承担华东区域本地化基础技术</w:t>
      </w:r>
      <w:r>
        <w:rPr/>
        <w:t> 支持。</w:t>
      </w:r>
    </w:p>
    <w:p>
      <w:pPr>
        <w:pStyle w:val="BodyText"/>
        <w:spacing w:line="316" w:lineRule="auto" w:before="17"/>
        <w:ind w:right="0" w:firstLine="360"/>
        <w:jc w:val="left"/>
      </w:pPr>
      <w:r>
        <w:rPr>
          <w:spacing w:val="-2"/>
        </w:rPr>
        <w:t>③深圳研究院，重点承担基于数字化医院配套产品的基础性、标准化研究开发，并主要承担华南、西南区域本地化基础</w:t>
      </w:r>
      <w:r>
        <w:rPr/>
        <w:t> 技术支持。</w:t>
      </w:r>
    </w:p>
    <w:p>
      <w:pPr>
        <w:pStyle w:val="BodyText"/>
        <w:spacing w:line="316" w:lineRule="auto" w:before="19"/>
        <w:ind w:right="0" w:firstLine="360"/>
        <w:jc w:val="left"/>
      </w:pPr>
      <w:r>
        <w:rPr>
          <w:spacing w:val="-2"/>
        </w:rPr>
        <w:t>④武汉研究院，重点承担基于区域卫生信息平台和大数据应用的基础性、标准化研究开发，并主要承担华中、西部区域</w:t>
      </w:r>
      <w:r>
        <w:rPr/>
        <w:t> 项目本地化基础技术支持。</w:t>
      </w:r>
    </w:p>
    <w:p>
      <w:pPr>
        <w:pStyle w:val="BodyText"/>
        <w:spacing w:line="403" w:lineRule="auto" w:before="117"/>
        <w:ind w:left="513" w:right="0"/>
        <w:jc w:val="left"/>
      </w:pPr>
      <w:r>
        <w:rPr>
          <w:rFonts w:ascii="Arial" w:hAnsi="Arial" w:cs="Arial" w:eastAsia="Arial" w:hint="default"/>
          <w:b/>
          <w:bCs/>
        </w:rPr>
        <w:t>2</w:t>
      </w:r>
      <w:r>
        <w:rPr>
          <w:rFonts w:ascii="Microsoft JhengHei" w:hAnsi="Microsoft JhengHei" w:cs="Microsoft JhengHei" w:eastAsia="Microsoft JhengHei" w:hint="default"/>
          <w:b/>
          <w:bCs/>
        </w:rPr>
        <w:t>、营销服务体系扩建计划 </w:t>
      </w:r>
      <w:r>
        <w:rPr>
          <w:spacing w:val="-2"/>
        </w:rPr>
        <w:t>公司拟结合非公开发行股票事宜，进一步构建多层次、广覆盖的营销网络，新的营销网络将全力支持公司全国范围业务</w:t>
      </w:r>
    </w:p>
    <w:p>
      <w:pPr>
        <w:pStyle w:val="BodyText"/>
        <w:spacing w:line="190" w:lineRule="exact"/>
        <w:ind w:right="0"/>
        <w:jc w:val="left"/>
      </w:pPr>
      <w:r>
        <w:rPr/>
        <w:t>发展的市场布局，并通过引进优秀的营销管理人才，提高营销团队的整体素质。根据市场营销服务体系建设规划，公司拟进</w:t>
      </w:r>
    </w:p>
    <w:p>
      <w:pPr>
        <w:pStyle w:val="BodyText"/>
        <w:spacing w:line="300" w:lineRule="auto" w:before="76"/>
        <w:ind w:right="144"/>
        <w:jc w:val="left"/>
        <w:rPr>
          <w:rFonts w:ascii="宋体" w:hAnsi="宋体" w:cs="宋体" w:eastAsia="宋体" w:hint="default"/>
        </w:rPr>
      </w:pPr>
      <w:r>
        <w:rPr/>
        <w:t>行总部市场营销服务中心扩建、</w:t>
      </w:r>
      <w:r>
        <w:rPr>
          <w:rFonts w:ascii="Times New Roman" w:hAnsi="Times New Roman" w:cs="Times New Roman" w:eastAsia="Times New Roman" w:hint="default"/>
        </w:rPr>
        <w:t>7</w:t>
      </w:r>
      <w:r>
        <w:rPr/>
        <w:t>个大区市场营销服务中心扩建以及</w:t>
      </w:r>
      <w:r>
        <w:rPr>
          <w:rFonts w:ascii="Times New Roman" w:hAnsi="Times New Roman" w:cs="Times New Roman" w:eastAsia="Times New Roman" w:hint="default"/>
        </w:rPr>
        <w:t>15</w:t>
      </w:r>
      <w:r>
        <w:rPr/>
        <w:t>个省级营销服务中心建设，实现公司市场营销服务网</w:t>
      </w:r>
      <w:r>
        <w:rPr>
          <w:spacing w:val="-83"/>
        </w:rPr>
        <w:t> </w:t>
      </w:r>
      <w:r>
        <w:rPr>
          <w:spacing w:val="-83"/>
        </w:rPr>
      </w:r>
      <w:r>
        <w:rPr/>
        <w:t>络的全面升级。具体情况如下：</w:t>
      </w:r>
      <w:r>
        <w:rPr>
          <w:rFonts w:ascii="宋体" w:hAnsi="宋体" w:cs="宋体" w:eastAsia="宋体" w:hint="default"/>
        </w:rPr>
        <w:t> </w:t>
      </w:r>
    </w:p>
    <w:tbl>
      <w:tblPr>
        <w:tblW w:w="0" w:type="auto"/>
        <w:jc w:val="left"/>
        <w:tblInd w:w="152" w:type="dxa"/>
        <w:tblLayout w:type="fixed"/>
        <w:tblCellMar>
          <w:top w:w="0" w:type="dxa"/>
          <w:left w:w="0" w:type="dxa"/>
          <w:bottom w:w="0" w:type="dxa"/>
          <w:right w:w="0" w:type="dxa"/>
        </w:tblCellMar>
        <w:tblLook w:val="01E0"/>
      </w:tblPr>
      <w:tblGrid>
        <w:gridCol w:w="708"/>
        <w:gridCol w:w="1493"/>
        <w:gridCol w:w="1117"/>
        <w:gridCol w:w="6294"/>
      </w:tblGrid>
      <w:tr>
        <w:trPr>
          <w:trHeight w:val="418" w:hRule="exact"/>
        </w:trPr>
        <w:tc>
          <w:tcPr>
            <w:tcW w:w="70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3"/>
              <w:ind w:left="180" w:right="0"/>
              <w:jc w:val="left"/>
              <w:rPr>
                <w:rFonts w:ascii="Arial" w:hAnsi="Arial" w:cs="Arial" w:eastAsia="Arial" w:hint="default"/>
                <w:sz w:val="18"/>
                <w:szCs w:val="18"/>
              </w:rPr>
            </w:pPr>
            <w:r>
              <w:rPr>
                <w:rFonts w:ascii="Microsoft JhengHei" w:hAnsi="Microsoft JhengHei" w:cs="Microsoft JhengHei" w:eastAsia="Microsoft JhengHei" w:hint="default"/>
                <w:b/>
                <w:bCs/>
                <w:spacing w:val="-20"/>
                <w:sz w:val="18"/>
                <w:szCs w:val="18"/>
              </w:rPr>
              <w:t>名称</w:t>
            </w:r>
            <w:r>
              <w:rPr>
                <w:rFonts w:ascii="Arial" w:hAnsi="Arial" w:cs="Arial" w:eastAsia="Arial" w:hint="default"/>
                <w:b/>
                <w:bCs/>
                <w:w w:val="179"/>
                <w:sz w:val="18"/>
                <w:szCs w:val="18"/>
              </w:rPr>
              <w:t> </w:t>
            </w:r>
            <w:r>
              <w:rPr>
                <w:rFonts w:ascii="Arial" w:hAnsi="Arial" w:cs="Arial" w:eastAsia="Arial" w:hint="default"/>
                <w:sz w:val="18"/>
                <w:szCs w:val="18"/>
              </w:rPr>
            </w:r>
          </w:p>
        </w:tc>
        <w:tc>
          <w:tcPr>
            <w:tcW w:w="14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3"/>
              <w:ind w:left="417" w:right="0"/>
              <w:jc w:val="left"/>
              <w:rPr>
                <w:rFonts w:ascii="Arial" w:hAnsi="Arial" w:cs="Arial" w:eastAsia="Arial" w:hint="default"/>
                <w:sz w:val="18"/>
                <w:szCs w:val="18"/>
              </w:rPr>
            </w:pPr>
            <w:r>
              <w:rPr>
                <w:rFonts w:ascii="Microsoft JhengHei" w:hAnsi="Microsoft JhengHei" w:cs="Microsoft JhengHei" w:eastAsia="Microsoft JhengHei" w:hint="default"/>
                <w:b/>
                <w:bCs/>
                <w:spacing w:val="-20"/>
                <w:sz w:val="18"/>
                <w:szCs w:val="18"/>
              </w:rPr>
              <w:t>功能定位</w:t>
            </w:r>
            <w:r>
              <w:rPr>
                <w:rFonts w:ascii="Arial" w:hAnsi="Arial" w:cs="Arial" w:eastAsia="Arial" w:hint="default"/>
                <w:b/>
                <w:bCs/>
                <w:w w:val="179"/>
                <w:sz w:val="18"/>
                <w:szCs w:val="18"/>
              </w:rPr>
              <w:t> </w:t>
            </w:r>
            <w:r>
              <w:rPr>
                <w:rFonts w:ascii="Arial" w:hAnsi="Arial" w:cs="Arial" w:eastAsia="Arial" w:hint="default"/>
                <w:sz w:val="18"/>
                <w:szCs w:val="18"/>
              </w:rPr>
            </w:r>
          </w:p>
        </w:tc>
        <w:tc>
          <w:tcPr>
            <w:tcW w:w="11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3"/>
              <w:ind w:left="388" w:right="0"/>
              <w:jc w:val="left"/>
              <w:rPr>
                <w:rFonts w:ascii="Arial" w:hAnsi="Arial" w:cs="Arial" w:eastAsia="Arial" w:hint="default"/>
                <w:sz w:val="18"/>
                <w:szCs w:val="18"/>
              </w:rPr>
            </w:pPr>
            <w:r>
              <w:rPr>
                <w:rFonts w:ascii="Microsoft JhengHei" w:hAnsi="Microsoft JhengHei" w:cs="Microsoft JhengHei" w:eastAsia="Microsoft JhengHei" w:hint="default"/>
                <w:b/>
                <w:bCs/>
                <w:spacing w:val="-20"/>
                <w:sz w:val="18"/>
                <w:szCs w:val="18"/>
              </w:rPr>
              <w:t>地点</w:t>
            </w:r>
            <w:r>
              <w:rPr>
                <w:rFonts w:ascii="Arial" w:hAnsi="Arial" w:cs="Arial" w:eastAsia="Arial" w:hint="default"/>
                <w:b/>
                <w:bCs/>
                <w:w w:val="179"/>
                <w:sz w:val="18"/>
                <w:szCs w:val="18"/>
              </w:rPr>
              <w:t> </w:t>
            </w:r>
            <w:r>
              <w:rPr>
                <w:rFonts w:ascii="Arial" w:hAnsi="Arial" w:cs="Arial" w:eastAsia="Arial" w:hint="default"/>
                <w:sz w:val="18"/>
                <w:szCs w:val="18"/>
              </w:rPr>
            </w:r>
          </w:p>
        </w:tc>
        <w:tc>
          <w:tcPr>
            <w:tcW w:w="629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3"/>
              <w:ind w:left="97" w:right="0"/>
              <w:jc w:val="center"/>
              <w:rPr>
                <w:rFonts w:ascii="Arial" w:hAnsi="Arial" w:cs="Arial" w:eastAsia="Arial" w:hint="default"/>
                <w:sz w:val="18"/>
                <w:szCs w:val="18"/>
              </w:rPr>
            </w:pPr>
            <w:r>
              <w:rPr>
                <w:rFonts w:ascii="Microsoft JhengHei" w:hAnsi="Microsoft JhengHei" w:cs="Microsoft JhengHei" w:eastAsia="Microsoft JhengHei" w:hint="default"/>
                <w:b/>
                <w:bCs/>
                <w:spacing w:val="-20"/>
                <w:sz w:val="18"/>
                <w:szCs w:val="18"/>
              </w:rPr>
              <w:t>市场定位</w:t>
            </w:r>
            <w:r>
              <w:rPr>
                <w:rFonts w:ascii="Arial" w:hAnsi="Arial" w:cs="Arial" w:eastAsia="Arial" w:hint="default"/>
                <w:b/>
                <w:bCs/>
                <w:w w:val="179"/>
                <w:sz w:val="18"/>
                <w:szCs w:val="18"/>
              </w:rPr>
              <w:t> </w:t>
            </w:r>
            <w:r>
              <w:rPr>
                <w:rFonts w:ascii="Arial" w:hAnsi="Arial" w:cs="Arial" w:eastAsia="Arial" w:hint="default"/>
                <w:sz w:val="18"/>
                <w:szCs w:val="18"/>
              </w:rPr>
            </w:r>
          </w:p>
        </w:tc>
      </w:tr>
      <w:tr>
        <w:trPr>
          <w:trHeight w:val="694" w:hRule="exact"/>
        </w:trPr>
        <w:tc>
          <w:tcPr>
            <w:tcW w:w="708" w:type="dxa"/>
            <w:vMerge w:val="restart"/>
            <w:tcBorders>
              <w:top w:val="single" w:sz="12" w:space="0" w:color="D9D9D9"/>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42"/>
                <w:sz w:val="18"/>
                <w:szCs w:val="18"/>
              </w:rPr>
              <w:t> </w:t>
            </w:r>
            <w:r>
              <w:rPr>
                <w:rFonts w:ascii="宋体" w:hAnsi="宋体" w:cs="宋体" w:eastAsia="宋体" w:hint="default"/>
                <w:sz w:val="18"/>
                <w:szCs w:val="18"/>
              </w:rPr>
              <w:t>销</w:t>
            </w:r>
          </w:p>
          <w:p>
            <w:pPr>
              <w:pStyle w:val="TableParagraph"/>
              <w:spacing w:line="316" w:lineRule="auto" w:before="74"/>
              <w:ind w:left="96" w:right="47"/>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42"/>
                <w:sz w:val="18"/>
                <w:szCs w:val="18"/>
              </w:rPr>
              <w:t> </w:t>
            </w:r>
            <w:r>
              <w:rPr>
                <w:rFonts w:ascii="宋体" w:hAnsi="宋体" w:cs="宋体" w:eastAsia="宋体" w:hint="default"/>
                <w:sz w:val="18"/>
                <w:szCs w:val="18"/>
              </w:rPr>
              <w:t>络</w:t>
            </w:r>
            <w:r>
              <w:rPr>
                <w:rFonts w:ascii="宋体" w:hAnsi="宋体" w:cs="宋体" w:eastAsia="宋体" w:hint="default"/>
                <w:sz w:val="18"/>
                <w:szCs w:val="18"/>
              </w:rPr>
              <w:t> 建设</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493" w:type="dxa"/>
            <w:tcBorders>
              <w:top w:val="single" w:sz="12" w:space="0" w:color="D9D9D9"/>
              <w:left w:val="single" w:sz="6" w:space="0" w:color="000000"/>
              <w:bottom w:val="single" w:sz="6" w:space="0" w:color="000000"/>
              <w:right w:val="single" w:sz="6" w:space="0" w:color="000000"/>
            </w:tcBorders>
          </w:tcPr>
          <w:p>
            <w:pPr>
              <w:pStyle w:val="TableParagraph"/>
              <w:spacing w:line="314" w:lineRule="auto" w:before="58"/>
              <w:ind w:left="103" w:right="96"/>
              <w:jc w:val="left"/>
              <w:rPr>
                <w:rFonts w:ascii="宋体" w:hAnsi="宋体" w:cs="宋体" w:eastAsia="宋体" w:hint="default"/>
                <w:sz w:val="18"/>
                <w:szCs w:val="18"/>
              </w:rPr>
            </w:pPr>
            <w:r>
              <w:rPr>
                <w:rFonts w:ascii="宋体" w:hAnsi="宋体" w:cs="宋体" w:eastAsia="宋体" w:hint="default"/>
                <w:sz w:val="18"/>
                <w:szCs w:val="18"/>
              </w:rPr>
              <w:t>总部市场营销服</w:t>
            </w:r>
            <w:r>
              <w:rPr>
                <w:rFonts w:ascii="宋体" w:hAnsi="宋体" w:cs="宋体" w:eastAsia="宋体" w:hint="default"/>
                <w:spacing w:val="-77"/>
                <w:sz w:val="18"/>
                <w:szCs w:val="18"/>
              </w:rPr>
              <w:t> </w:t>
            </w:r>
            <w:r>
              <w:rPr>
                <w:rFonts w:ascii="宋体" w:hAnsi="宋体" w:cs="宋体" w:eastAsia="宋体" w:hint="default"/>
                <w:sz w:val="18"/>
                <w:szCs w:val="18"/>
              </w:rPr>
              <w:t>务中心</w:t>
            </w:r>
            <w:r>
              <w:rPr>
                <w:rFonts w:ascii="宋体" w:hAnsi="宋体" w:cs="宋体" w:eastAsia="宋体" w:hint="default"/>
                <w:sz w:val="18"/>
                <w:szCs w:val="18"/>
              </w:rPr>
              <w:t> </w:t>
            </w:r>
          </w:p>
        </w:tc>
        <w:tc>
          <w:tcPr>
            <w:tcW w:w="1117" w:type="dxa"/>
            <w:tcBorders>
              <w:top w:val="single" w:sz="12" w:space="0" w:color="D9D9D9"/>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6294" w:type="dxa"/>
            <w:tcBorders>
              <w:top w:val="single" w:sz="12" w:space="0" w:color="D9D9D9"/>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支撑全国市场营销服务网络</w:t>
            </w:r>
            <w:r>
              <w:rPr>
                <w:rFonts w:ascii="宋体" w:hAnsi="宋体" w:cs="宋体" w:eastAsia="宋体" w:hint="default"/>
                <w:sz w:val="18"/>
                <w:szCs w:val="18"/>
              </w:rPr>
              <w:t> </w:t>
            </w:r>
          </w:p>
        </w:tc>
      </w:tr>
      <w:tr>
        <w:trPr>
          <w:trHeight w:val="367" w:hRule="exact"/>
        </w:trPr>
        <w:tc>
          <w:tcPr>
            <w:tcW w:w="708" w:type="dxa"/>
            <w:vMerge/>
            <w:tcBorders>
              <w:left w:val="single" w:sz="12" w:space="0" w:color="000000"/>
              <w:right w:val="single" w:sz="6" w:space="0" w:color="000000"/>
            </w:tcBorders>
          </w:tcPr>
          <w:p>
            <w:pPr/>
          </w:p>
        </w:tc>
        <w:tc>
          <w:tcPr>
            <w:tcW w:w="14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z w:val="18"/>
                <w:szCs w:val="18"/>
              </w:rPr>
              <w:t>大区市场营销服</w:t>
            </w:r>
            <w:r>
              <w:rPr>
                <w:rFonts w:ascii="宋体" w:hAnsi="宋体" w:cs="宋体" w:eastAsia="宋体" w:hint="default"/>
                <w:spacing w:val="-77"/>
                <w:sz w:val="18"/>
                <w:szCs w:val="18"/>
              </w:rPr>
              <w:t> </w:t>
            </w:r>
            <w:r>
              <w:rPr>
                <w:rFonts w:ascii="宋体" w:hAnsi="宋体" w:cs="宋体" w:eastAsia="宋体" w:hint="default"/>
                <w:sz w:val="18"/>
                <w:szCs w:val="18"/>
              </w:rPr>
              <w:t>务中心</w:t>
            </w:r>
            <w:r>
              <w:rPr>
                <w:rFonts w:ascii="宋体" w:hAnsi="宋体" w:cs="宋体" w:eastAsia="宋体" w:hint="default"/>
                <w:sz w:val="18"/>
                <w:szCs w:val="18"/>
              </w:rPr>
              <w:t> </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6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北方大区（东北三省、京津冀、山东、河南）</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377" w:hRule="exact"/>
        </w:trPr>
        <w:tc>
          <w:tcPr>
            <w:tcW w:w="708" w:type="dxa"/>
            <w:vMerge/>
            <w:tcBorders>
              <w:left w:val="single" w:sz="12" w:space="0" w:color="000000"/>
              <w:right w:val="single" w:sz="6" w:space="0" w:color="000000"/>
            </w:tcBorders>
          </w:tcPr>
          <w:p>
            <w:pPr/>
          </w:p>
        </w:tc>
        <w:tc>
          <w:tcPr>
            <w:tcW w:w="1493" w:type="dxa"/>
            <w:vMerge/>
            <w:tcBorders>
              <w:left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6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上海大区（上海、新疆）</w:t>
            </w:r>
            <w:r>
              <w:rPr>
                <w:rFonts w:ascii="宋体" w:hAnsi="宋体" w:cs="宋体" w:eastAsia="宋体" w:hint="default"/>
                <w:sz w:val="18"/>
                <w:szCs w:val="18"/>
              </w:rPr>
              <w:t> </w:t>
            </w:r>
          </w:p>
        </w:tc>
      </w:tr>
      <w:tr>
        <w:trPr>
          <w:trHeight w:val="365" w:hRule="exact"/>
        </w:trPr>
        <w:tc>
          <w:tcPr>
            <w:tcW w:w="708" w:type="dxa"/>
            <w:vMerge/>
            <w:tcBorders>
              <w:left w:val="single" w:sz="12" w:space="0" w:color="000000"/>
              <w:right w:val="single" w:sz="6" w:space="0" w:color="000000"/>
            </w:tcBorders>
          </w:tcPr>
          <w:p>
            <w:pPr/>
          </w:p>
        </w:tc>
        <w:tc>
          <w:tcPr>
            <w:tcW w:w="1493" w:type="dxa"/>
            <w:vMerge/>
            <w:tcBorders>
              <w:left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 </w:t>
            </w:r>
          </w:p>
        </w:tc>
        <w:tc>
          <w:tcPr>
            <w:tcW w:w="6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华南大区（广东、广西、海南）</w:t>
            </w:r>
            <w:r>
              <w:rPr>
                <w:rFonts w:ascii="宋体" w:hAnsi="宋体" w:cs="宋体" w:eastAsia="宋体" w:hint="default"/>
                <w:sz w:val="18"/>
                <w:szCs w:val="18"/>
              </w:rPr>
              <w:t> </w:t>
            </w:r>
          </w:p>
        </w:tc>
      </w:tr>
      <w:tr>
        <w:trPr>
          <w:trHeight w:val="367" w:hRule="exact"/>
        </w:trPr>
        <w:tc>
          <w:tcPr>
            <w:tcW w:w="708" w:type="dxa"/>
            <w:vMerge/>
            <w:tcBorders>
              <w:left w:val="single" w:sz="12" w:space="0" w:color="000000"/>
              <w:right w:val="single" w:sz="6" w:space="0" w:color="000000"/>
            </w:tcBorders>
          </w:tcPr>
          <w:p>
            <w:pPr/>
          </w:p>
        </w:tc>
        <w:tc>
          <w:tcPr>
            <w:tcW w:w="1493" w:type="dxa"/>
            <w:vMerge/>
            <w:tcBorders>
              <w:left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苏州</w:t>
            </w:r>
            <w:r>
              <w:rPr>
                <w:rFonts w:ascii="宋体" w:hAnsi="宋体" w:cs="宋体" w:eastAsia="宋体" w:hint="default"/>
                <w:sz w:val="18"/>
                <w:szCs w:val="18"/>
              </w:rPr>
              <w:t> </w:t>
            </w:r>
          </w:p>
        </w:tc>
        <w:tc>
          <w:tcPr>
            <w:tcW w:w="6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苏皖大区（江苏、安徽）</w:t>
            </w:r>
            <w:r>
              <w:rPr>
                <w:rFonts w:ascii="宋体" w:hAnsi="宋体" w:cs="宋体" w:eastAsia="宋体" w:hint="default"/>
                <w:sz w:val="18"/>
                <w:szCs w:val="18"/>
              </w:rPr>
              <w:t> </w:t>
            </w:r>
          </w:p>
        </w:tc>
      </w:tr>
      <w:tr>
        <w:trPr>
          <w:trHeight w:val="367" w:hRule="exact"/>
        </w:trPr>
        <w:tc>
          <w:tcPr>
            <w:tcW w:w="708" w:type="dxa"/>
            <w:vMerge/>
            <w:tcBorders>
              <w:left w:val="single" w:sz="12" w:space="0" w:color="000000"/>
              <w:right w:val="single" w:sz="6" w:space="0" w:color="000000"/>
            </w:tcBorders>
          </w:tcPr>
          <w:p>
            <w:pPr/>
          </w:p>
        </w:tc>
        <w:tc>
          <w:tcPr>
            <w:tcW w:w="1493" w:type="dxa"/>
            <w:vMerge/>
            <w:tcBorders>
              <w:left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武汉</w:t>
            </w:r>
            <w:r>
              <w:rPr>
                <w:rFonts w:ascii="宋体" w:hAnsi="宋体" w:cs="宋体" w:eastAsia="宋体" w:hint="default"/>
                <w:sz w:val="18"/>
                <w:szCs w:val="18"/>
              </w:rPr>
              <w:t> </w:t>
            </w:r>
          </w:p>
        </w:tc>
        <w:tc>
          <w:tcPr>
            <w:tcW w:w="6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华中大区（湖南、湖北、江西）</w:t>
            </w:r>
            <w:r>
              <w:rPr>
                <w:rFonts w:ascii="宋体" w:hAnsi="宋体" w:cs="宋体" w:eastAsia="宋体" w:hint="default"/>
                <w:sz w:val="18"/>
                <w:szCs w:val="18"/>
              </w:rPr>
              <w:t> </w:t>
            </w:r>
          </w:p>
        </w:tc>
      </w:tr>
      <w:tr>
        <w:trPr>
          <w:trHeight w:val="368" w:hRule="exact"/>
        </w:trPr>
        <w:tc>
          <w:tcPr>
            <w:tcW w:w="708" w:type="dxa"/>
            <w:vMerge/>
            <w:tcBorders>
              <w:left w:val="single" w:sz="12" w:space="0" w:color="000000"/>
              <w:right w:val="single" w:sz="6" w:space="0" w:color="000000"/>
            </w:tcBorders>
          </w:tcPr>
          <w:p>
            <w:pPr/>
          </w:p>
        </w:tc>
        <w:tc>
          <w:tcPr>
            <w:tcW w:w="1493" w:type="dxa"/>
            <w:vMerge/>
            <w:tcBorders>
              <w:left w:val="single" w:sz="6" w:space="0" w:color="000000"/>
              <w:right w:val="single" w:sz="6" w:space="0" w:color="000000"/>
            </w:tcBorders>
          </w:tcPr>
          <w:p>
            <w:pP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6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西部大区（云南、贵州、甘肃、青海、陕西、重庆）</w:t>
            </w:r>
            <w:r>
              <w:rPr>
                <w:rFonts w:ascii="宋体" w:hAnsi="宋体" w:cs="宋体" w:eastAsia="宋体" w:hint="default"/>
                <w:sz w:val="18"/>
                <w:szCs w:val="18"/>
              </w:rPr>
              <w:t> </w:t>
            </w:r>
          </w:p>
        </w:tc>
      </w:tr>
      <w:tr>
        <w:trPr>
          <w:trHeight w:val="377" w:hRule="exact"/>
        </w:trPr>
        <w:tc>
          <w:tcPr>
            <w:tcW w:w="708" w:type="dxa"/>
            <w:vMerge/>
            <w:tcBorders>
              <w:left w:val="single" w:sz="12" w:space="0" w:color="000000"/>
              <w:bottom w:val="single" w:sz="12" w:space="0" w:color="000000"/>
              <w:right w:val="single" w:sz="6" w:space="0" w:color="000000"/>
            </w:tcBorders>
          </w:tcPr>
          <w:p>
            <w:pPr/>
          </w:p>
        </w:tc>
        <w:tc>
          <w:tcPr>
            <w:tcW w:w="1493" w:type="dxa"/>
            <w:vMerge/>
            <w:tcBorders>
              <w:left w:val="single" w:sz="6" w:space="0" w:color="000000"/>
              <w:bottom w:val="single" w:sz="12" w:space="0" w:color="000000"/>
              <w:right w:val="single" w:sz="6" w:space="0" w:color="000000"/>
            </w:tcBorders>
          </w:tcPr>
          <w:p>
            <w:pPr/>
          </w:p>
        </w:tc>
        <w:tc>
          <w:tcPr>
            <w:tcW w:w="11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宋体" w:hAnsi="宋体" w:cs="宋体" w:eastAsia="宋体" w:hint="default"/>
                <w:sz w:val="18"/>
                <w:szCs w:val="18"/>
              </w:rPr>
              <w:t> </w:t>
            </w:r>
          </w:p>
        </w:tc>
        <w:tc>
          <w:tcPr>
            <w:tcW w:w="62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浙闽大区（浙江、福建）</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708"/>
        <w:gridCol w:w="1493"/>
        <w:gridCol w:w="1117"/>
        <w:gridCol w:w="6301"/>
      </w:tblGrid>
      <w:tr>
        <w:trPr>
          <w:trHeight w:val="800" w:hRule="exact"/>
        </w:trPr>
        <w:tc>
          <w:tcPr>
            <w:tcW w:w="708" w:type="dxa"/>
            <w:tcBorders>
              <w:top w:val="single" w:sz="12" w:space="0" w:color="000000"/>
              <w:left w:val="single" w:sz="12" w:space="0" w:color="000000"/>
              <w:bottom w:val="single" w:sz="12" w:space="0" w:color="000000"/>
              <w:right w:val="single" w:sz="6" w:space="0" w:color="000000"/>
            </w:tcBorders>
          </w:tcPr>
          <w:p>
            <w:pPr/>
          </w:p>
        </w:tc>
        <w:tc>
          <w:tcPr>
            <w:tcW w:w="149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2"/>
              <w:ind w:left="103" w:right="96"/>
              <w:jc w:val="left"/>
              <w:rPr>
                <w:rFonts w:ascii="宋体" w:hAnsi="宋体" w:cs="宋体" w:eastAsia="宋体" w:hint="default"/>
                <w:sz w:val="18"/>
                <w:szCs w:val="18"/>
              </w:rPr>
            </w:pPr>
            <w:r>
              <w:rPr>
                <w:rFonts w:ascii="宋体" w:hAnsi="宋体" w:cs="宋体" w:eastAsia="宋体" w:hint="default"/>
                <w:sz w:val="18"/>
                <w:szCs w:val="18"/>
              </w:rPr>
              <w:t>省级营销服务中</w:t>
            </w:r>
            <w:r>
              <w:rPr>
                <w:rFonts w:ascii="宋体" w:hAnsi="宋体" w:cs="宋体" w:eastAsia="宋体" w:hint="default"/>
                <w:spacing w:val="-77"/>
                <w:sz w:val="18"/>
                <w:szCs w:val="18"/>
              </w:rPr>
              <w:t> </w:t>
            </w:r>
            <w:r>
              <w:rPr>
                <w:rFonts w:ascii="宋体" w:hAnsi="宋体" w:cs="宋体" w:eastAsia="宋体" w:hint="default"/>
                <w:sz w:val="18"/>
                <w:szCs w:val="18"/>
              </w:rPr>
              <w:t>心</w:t>
            </w:r>
            <w:r>
              <w:rPr>
                <w:rFonts w:ascii="宋体" w:hAnsi="宋体" w:cs="宋体" w:eastAsia="宋体" w:hint="default"/>
                <w:sz w:val="18"/>
                <w:szCs w:val="18"/>
              </w:rPr>
              <w:t> </w:t>
            </w:r>
          </w:p>
        </w:tc>
        <w:tc>
          <w:tcPr>
            <w:tcW w:w="111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2"/>
              <w:ind w:left="100" w:right="65"/>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30"/>
                <w:sz w:val="18"/>
                <w:szCs w:val="18"/>
              </w:rPr>
              <w:t> </w:t>
            </w:r>
            <w:r>
              <w:rPr>
                <w:rFonts w:ascii="宋体" w:hAnsi="宋体" w:cs="宋体" w:eastAsia="宋体" w:hint="default"/>
                <w:spacing w:val="20"/>
                <w:sz w:val="18"/>
                <w:szCs w:val="18"/>
              </w:rPr>
              <w:t>个省级</w:t>
            </w:r>
            <w:r>
              <w:rPr>
                <w:rFonts w:ascii="宋体" w:hAnsi="宋体" w:cs="宋体" w:eastAsia="宋体" w:hint="default"/>
                <w:spacing w:val="-59"/>
                <w:sz w:val="18"/>
                <w:szCs w:val="18"/>
              </w:rPr>
              <w:t> </w:t>
            </w:r>
            <w:r>
              <w:rPr>
                <w:rFonts w:ascii="宋体" w:hAnsi="宋体" w:cs="宋体" w:eastAsia="宋体" w:hint="default"/>
                <w:sz w:val="18"/>
                <w:szCs w:val="18"/>
              </w:rPr>
              <w:t>城市</w:t>
            </w:r>
            <w:r>
              <w:rPr>
                <w:rFonts w:ascii="宋体" w:hAnsi="宋体" w:cs="宋体" w:eastAsia="宋体" w:hint="default"/>
                <w:sz w:val="18"/>
                <w:szCs w:val="18"/>
              </w:rPr>
              <w:t> </w:t>
            </w:r>
          </w:p>
        </w:tc>
        <w:tc>
          <w:tcPr>
            <w:tcW w:w="6301" w:type="dxa"/>
            <w:tcBorders>
              <w:top w:val="single" w:sz="12" w:space="0" w:color="000000"/>
              <w:left w:val="single" w:sz="6" w:space="0" w:color="000000"/>
              <w:bottom w:val="single" w:sz="12" w:space="0" w:color="000000"/>
              <w:right w:val="single" w:sz="12" w:space="0" w:color="000000"/>
            </w:tcBorders>
          </w:tcPr>
          <w:p>
            <w:pPr>
              <w:pStyle w:val="TableParagraph"/>
              <w:spacing w:line="316" w:lineRule="auto" w:before="102"/>
              <w:ind w:left="100" w:right="11"/>
              <w:jc w:val="left"/>
              <w:rPr>
                <w:rFonts w:ascii="宋体" w:hAnsi="宋体" w:cs="宋体" w:eastAsia="宋体" w:hint="default"/>
                <w:sz w:val="18"/>
                <w:szCs w:val="18"/>
              </w:rPr>
            </w:pPr>
            <w:r>
              <w:rPr>
                <w:rFonts w:ascii="宋体" w:hAnsi="宋体" w:cs="宋体" w:eastAsia="宋体" w:hint="default"/>
                <w:spacing w:val="-5"/>
                <w:sz w:val="18"/>
                <w:szCs w:val="18"/>
              </w:rPr>
              <w:t>沈阳、天津、济南、西安、兰州、乌鲁木齐、重庆、昆明、贵阳、长沙、南昌、</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南宁、合肥、郑州、海口</w:t>
            </w:r>
            <w:r>
              <w:rPr>
                <w:rFonts w:ascii="宋体" w:hAnsi="宋体" w:cs="宋体" w:eastAsia="宋体" w:hint="default"/>
                <w:sz w:val="18"/>
                <w:szCs w:val="18"/>
              </w:rPr>
              <w:t> </w:t>
            </w:r>
          </w:p>
        </w:tc>
      </w:tr>
    </w:tbl>
    <w:p>
      <w:pPr>
        <w:spacing w:line="240" w:lineRule="auto" w:before="2"/>
        <w:rPr>
          <w:rFonts w:ascii="宋体" w:hAnsi="宋体" w:cs="宋体" w:eastAsia="宋体" w:hint="default"/>
          <w:sz w:val="9"/>
          <w:szCs w:val="9"/>
        </w:rPr>
      </w:pPr>
    </w:p>
    <w:p>
      <w:pPr>
        <w:pStyle w:val="Heading5"/>
        <w:spacing w:line="300" w:lineRule="exact"/>
        <w:ind w:left="513" w:right="94"/>
        <w:jc w:val="left"/>
        <w:rPr>
          <w:b w:val="0"/>
          <w:bCs w:val="0"/>
        </w:rPr>
      </w:pPr>
      <w:r>
        <w:rPr>
          <w:rFonts w:ascii="Arial" w:hAnsi="Arial" w:cs="Arial" w:eastAsia="Arial" w:hint="default"/>
        </w:rPr>
        <w:t>3</w:t>
      </w:r>
      <w:r>
        <w:rPr/>
        <w:t>、整合博泰服务资源，增加经营协同效应</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307" w:lineRule="auto"/>
        <w:ind w:right="192" w:firstLine="360"/>
        <w:jc w:val="both"/>
      </w:pPr>
      <w:r>
        <w:rPr>
          <w:rFonts w:ascii="Times New Roman" w:hAnsi="Times New Roman" w:cs="Times New Roman" w:eastAsia="Times New Roman" w:hint="default"/>
          <w:spacing w:val="-2"/>
        </w:rPr>
        <w:t>2017</w:t>
      </w:r>
      <w:r>
        <w:rPr>
          <w:spacing w:val="-2"/>
        </w:rPr>
        <w:t>年公司并购了博泰服务，其作为国内专业的</w:t>
      </w:r>
      <w:r>
        <w:rPr>
          <w:rFonts w:ascii="Times New Roman" w:hAnsi="Times New Roman" w:cs="Times New Roman" w:eastAsia="Times New Roman" w:hint="default"/>
          <w:spacing w:val="-2"/>
        </w:rPr>
        <w:t>IT</w:t>
      </w:r>
      <w:r>
        <w:rPr>
          <w:spacing w:val="-2"/>
        </w:rPr>
        <w:t>运维服务商，博泰服务已搭建完成庞大且高效的服务网络，遍布全国</w:t>
      </w:r>
      <w:r>
        <w:rPr/>
        <w:t> 近</w:t>
      </w:r>
      <w:r>
        <w:rPr>
          <w:rFonts w:ascii="Times New Roman" w:hAnsi="Times New Roman" w:cs="Times New Roman" w:eastAsia="Times New Roman" w:hint="default"/>
        </w:rPr>
        <w:t>30</w:t>
      </w:r>
      <w:r>
        <w:rPr/>
        <w:t>个省级行政区（含计划单列市），</w:t>
      </w:r>
      <w:r>
        <w:rPr>
          <w:rFonts w:ascii="Times New Roman" w:hAnsi="Times New Roman" w:cs="Times New Roman" w:eastAsia="Times New Roman" w:hint="default"/>
        </w:rPr>
        <w:t>270</w:t>
      </w:r>
      <w:r>
        <w:rPr/>
        <w:t>多个本地化服务网点，拥有完善的客户服务应急响应机制。同时，公司在医疗信</w:t>
      </w:r>
      <w:r>
        <w:rPr>
          <w:spacing w:val="-85"/>
        </w:rPr>
        <w:t> </w:t>
      </w:r>
      <w:r>
        <w:rPr>
          <w:spacing w:val="-85"/>
        </w:rPr>
      </w:r>
      <w:r>
        <w:rPr>
          <w:spacing w:val="-2"/>
        </w:rPr>
        <w:t>息领域竞争优势明显，伴随着未来社区公共卫生医疗及健康产业的发展趋势，公司仍将大力推进向社区公共卫生医疗及健康</w:t>
      </w:r>
      <w:r>
        <w:rPr>
          <w:spacing w:val="-64"/>
        </w:rPr>
        <w:t> </w:t>
      </w:r>
      <w:r>
        <w:rPr>
          <w:spacing w:val="-64"/>
        </w:rPr>
      </w:r>
      <w:r>
        <w:rPr/>
        <w:t>服务的发展，亟需提供一体化的智慧医疗平台及医疗服务、健康管理等相关服务。</w:t>
      </w:r>
    </w:p>
    <w:p>
      <w:pPr>
        <w:pStyle w:val="BodyText"/>
        <w:spacing w:line="314" w:lineRule="auto" w:before="26"/>
        <w:ind w:right="191" w:firstLine="360"/>
        <w:jc w:val="both"/>
      </w:pPr>
      <w:r>
        <w:rPr>
          <w:spacing w:val="-2"/>
        </w:rPr>
        <w:t>有鉴于此，公司计划自</w:t>
      </w:r>
      <w:r>
        <w:rPr>
          <w:rFonts w:ascii="Times New Roman" w:hAnsi="Times New Roman" w:cs="Times New Roman" w:eastAsia="Times New Roman" w:hint="default"/>
          <w:spacing w:val="-2"/>
        </w:rPr>
        <w:t>2018</w:t>
      </w:r>
      <w:r>
        <w:rPr>
          <w:spacing w:val="-2"/>
        </w:rPr>
        <w:t>年开始在保证不影响博泰服务固有业务增长性的前提下，启动母子公司间的业务合作整合协</w:t>
      </w:r>
      <w:r>
        <w:rPr/>
        <w:t> </w:t>
      </w:r>
      <w:r>
        <w:rPr>
          <w:spacing w:val="-2"/>
        </w:rPr>
        <w:t>同计划，以发挥博泰服务专业技术服务优势，实现从金融领域向医疗领域的扩张。公司将以医疗产业的信息技术的诊断、硬</w:t>
      </w:r>
      <w:r>
        <w:rPr>
          <w:spacing w:val="-64"/>
        </w:rPr>
        <w:t> </w:t>
      </w:r>
      <w:r>
        <w:rPr>
          <w:spacing w:val="-64"/>
        </w:rPr>
      </w:r>
      <w:r>
        <w:rPr>
          <w:spacing w:val="-2"/>
        </w:rPr>
        <w:t>件集成维护、软件升级服务、银医互通、移动医疗、可穿戴设备等软硬件结合的服务领域为突破口，积极探索一种基于物联</w:t>
      </w:r>
      <w:r>
        <w:rPr>
          <w:spacing w:val="-67"/>
        </w:rPr>
        <w:t> </w:t>
      </w:r>
      <w:r>
        <w:rPr>
          <w:spacing w:val="-67"/>
        </w:rPr>
      </w:r>
      <w:r>
        <w:rPr>
          <w:spacing w:val="-2"/>
        </w:rPr>
        <w:t>网新概念能够为客户提供软硬件相结合的新型整体医疗卫生健康信息化的产品服务模式。截止目前，该产品服务模式已经初</w:t>
      </w:r>
      <w:r>
        <w:rPr>
          <w:spacing w:val="-63"/>
        </w:rPr>
        <w:t> </w:t>
      </w:r>
      <w:r>
        <w:rPr>
          <w:spacing w:val="-63"/>
        </w:rPr>
      </w:r>
      <w:r>
        <w:rPr/>
        <w:t>步设计完成，计划</w:t>
      </w:r>
      <w:r>
        <w:rPr>
          <w:rFonts w:ascii="宋体" w:hAnsi="宋体" w:cs="宋体" w:eastAsia="宋体" w:hint="default"/>
        </w:rPr>
        <w:t>2018</w:t>
      </w:r>
      <w:r>
        <w:rPr/>
        <w:t>年内落地标杆样板单位进行试点，并逐步向全国客户推广应用。</w:t>
      </w:r>
    </w:p>
    <w:p>
      <w:pPr>
        <w:pStyle w:val="Heading5"/>
        <w:spacing w:line="240" w:lineRule="auto" w:before="119"/>
        <w:ind w:left="635" w:right="94"/>
        <w:jc w:val="left"/>
        <w:rPr>
          <w:b w:val="0"/>
          <w:bCs w:val="0"/>
        </w:rPr>
      </w:pPr>
      <w:r>
        <w:rPr>
          <w:rFonts w:ascii="Arial" w:hAnsi="Arial" w:cs="Arial" w:eastAsia="Arial" w:hint="default"/>
        </w:rPr>
        <w:t>4</w:t>
      </w:r>
      <w:r>
        <w:rPr/>
        <w:t>、增强公司内部管理的部署计划</w:t>
      </w:r>
      <w:r>
        <w:rPr>
          <w:b w:val="0"/>
          <w:bCs w:val="0"/>
        </w:rPr>
      </w:r>
    </w:p>
    <w:p>
      <w:pPr>
        <w:spacing w:line="240" w:lineRule="auto" w:before="3"/>
        <w:rPr>
          <w:rFonts w:ascii="Microsoft JhengHei" w:hAnsi="Microsoft JhengHei" w:cs="Microsoft JhengHei" w:eastAsia="Microsoft JhengHei" w:hint="default"/>
          <w:b/>
          <w:bCs/>
          <w:sz w:val="12"/>
          <w:szCs w:val="12"/>
        </w:rPr>
      </w:pPr>
    </w:p>
    <w:p>
      <w:pPr>
        <w:pStyle w:val="BodyText"/>
        <w:spacing w:line="240" w:lineRule="auto"/>
        <w:ind w:left="513" w:right="94"/>
        <w:jc w:val="left"/>
      </w:pPr>
      <w:r>
        <w:rPr>
          <w:spacing w:val="-4"/>
        </w:rPr>
        <w:t>（</w:t>
      </w:r>
      <w:r>
        <w:rPr>
          <w:rFonts w:ascii="宋体" w:hAnsi="宋体" w:cs="宋体" w:eastAsia="宋体" w:hint="default"/>
          <w:spacing w:val="-4"/>
        </w:rPr>
        <w:t>1</w:t>
      </w:r>
      <w:r>
        <w:rPr>
          <w:spacing w:val="-4"/>
        </w:rPr>
        <w:t>）进一步发挥总裁办公会下设的六大管理委员会的辅助经营决策作用、试行全面目标管理，构建公司科学管理体系。</w:t>
      </w:r>
    </w:p>
    <w:p>
      <w:pPr>
        <w:pStyle w:val="BodyText"/>
        <w:spacing w:line="300" w:lineRule="auto" w:before="76"/>
        <w:ind w:right="189" w:firstLine="360"/>
        <w:jc w:val="both"/>
      </w:pPr>
      <w:r>
        <w:rPr>
          <w:spacing w:val="-3"/>
        </w:rPr>
        <w:t>（</w:t>
      </w:r>
      <w:r>
        <w:rPr>
          <w:rFonts w:ascii="宋体" w:hAnsi="宋体" w:cs="宋体" w:eastAsia="宋体" w:hint="default"/>
          <w:spacing w:val="-3"/>
        </w:rPr>
        <w:t>2</w:t>
      </w:r>
      <w:r>
        <w:rPr>
          <w:spacing w:val="-3"/>
        </w:rPr>
        <w:t>）成立预算管理小组，优化公司资源合理配置，量入为出，合理控费。加强对软件开发过程的管理，持续推进</w:t>
      </w:r>
      <w:r>
        <w:rPr>
          <w:rFonts w:ascii="Times New Roman" w:hAnsi="Times New Roman" w:cs="Times New Roman" w:eastAsia="Times New Roman" w:hint="default"/>
          <w:spacing w:val="-3"/>
        </w:rPr>
        <w:t>CMMI</w:t>
      </w:r>
      <w:r>
        <w:rPr>
          <w:rFonts w:ascii="Times New Roman" w:hAnsi="Times New Roman" w:cs="Times New Roman" w:eastAsia="Times New Roman" w:hint="default"/>
          <w:w w:val="99"/>
        </w:rPr>
        <w:t> </w:t>
      </w:r>
      <w:r>
        <w:rPr/>
        <w:t>体系的实施，加强运维服务体系建设、提升公司运维服务能力。</w:t>
      </w:r>
    </w:p>
    <w:p>
      <w:pPr>
        <w:pStyle w:val="BodyText"/>
        <w:spacing w:line="417" w:lineRule="auto" w:before="31"/>
        <w:ind w:left="635" w:right="2164" w:hanging="123"/>
        <w:jc w:val="left"/>
        <w:rPr>
          <w:rFonts w:ascii="Microsoft JhengHei" w:hAnsi="Microsoft JhengHei" w:cs="Microsoft JhengHei" w:eastAsia="Microsoft JhengHei" w:hint="default"/>
        </w:rPr>
      </w:pPr>
      <w:r>
        <w:rPr/>
        <w:t>（</w:t>
      </w:r>
      <w:r>
        <w:rPr>
          <w:rFonts w:ascii="宋体" w:hAnsi="宋体" w:cs="宋体" w:eastAsia="宋体" w:hint="default"/>
        </w:rPr>
        <w:t>3</w:t>
      </w:r>
      <w:r>
        <w:rPr/>
        <w:t>）全面实施绩效考核，更科学的薪酬激励设计，实现多劳多贡献多回报的良性管理体系。 </w:t>
      </w:r>
      <w:r>
        <w:rPr>
          <w:rFonts w:ascii="Arial" w:hAnsi="Arial" w:cs="Arial" w:eastAsia="Arial" w:hint="default"/>
          <w:b/>
          <w:bCs/>
        </w:rPr>
        <w:t>5</w:t>
      </w:r>
      <w:r>
        <w:rPr>
          <w:rFonts w:ascii="Microsoft JhengHei" w:hAnsi="Microsoft JhengHei" w:cs="Microsoft JhengHei" w:eastAsia="Microsoft JhengHei" w:hint="default"/>
          <w:b/>
          <w:bCs/>
        </w:rPr>
        <w:t>、人才发展计划</w:t>
      </w:r>
      <w:r>
        <w:rPr>
          <w:rFonts w:ascii="Microsoft JhengHei" w:hAnsi="Microsoft JhengHei" w:cs="Microsoft JhengHei" w:eastAsia="Microsoft JhengHei" w:hint="default"/>
        </w:rPr>
      </w:r>
    </w:p>
    <w:p>
      <w:pPr>
        <w:pStyle w:val="BodyText"/>
        <w:spacing w:line="240" w:lineRule="auto" w:before="35"/>
        <w:ind w:left="712" w:right="0"/>
        <w:jc w:val="left"/>
      </w:pPr>
      <w:r>
        <w:rPr/>
        <w:t>人力资源是公司核心战略资源。未来公司将继续坚持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的人才方针，在</w:t>
      </w:r>
      <w:r>
        <w:rPr>
          <w:rFonts w:ascii="Times New Roman" w:hAnsi="Times New Roman" w:cs="Times New Roman" w:eastAsia="Times New Roman" w:hint="default"/>
        </w:rPr>
        <w:t>2018</w:t>
      </w:r>
      <w:r>
        <w:rPr/>
        <w:t>年，人力资源部将重点做好以下</w:t>
      </w:r>
    </w:p>
    <w:p>
      <w:pPr>
        <w:pStyle w:val="BodyText"/>
        <w:spacing w:line="240" w:lineRule="auto" w:before="63"/>
        <w:ind w:right="94"/>
        <w:jc w:val="left"/>
      </w:pPr>
      <w:r>
        <w:rPr/>
        <w:t>工作：</w:t>
      </w:r>
    </w:p>
    <w:p>
      <w:pPr>
        <w:pStyle w:val="BodyText"/>
        <w:spacing w:line="316" w:lineRule="auto" w:before="76"/>
        <w:ind w:left="513" w:right="178"/>
        <w:jc w:val="left"/>
      </w:pPr>
      <w:r>
        <w:rPr/>
        <w:t>（</w:t>
      </w:r>
      <w:r>
        <w:rPr>
          <w:rFonts w:ascii="宋体" w:hAnsi="宋体" w:cs="宋体" w:eastAsia="宋体" w:hint="default"/>
        </w:rPr>
        <w:t>1</w:t>
      </w:r>
      <w:r>
        <w:rPr/>
        <w:t>）持续加强高端人才的培养与引进工作 </w:t>
      </w:r>
      <w:r>
        <w:rPr>
          <w:spacing w:val="-5"/>
        </w:rPr>
        <w:t>确立服务发展、人才优先的新思维，为各类人才搭建平台，充分发挥人才资源的重要推动作用。重点针对高级项目经理、</w:t>
      </w:r>
    </w:p>
    <w:p>
      <w:pPr>
        <w:pStyle w:val="BodyText"/>
        <w:spacing w:line="316" w:lineRule="auto" w:before="19"/>
        <w:ind w:right="94"/>
        <w:jc w:val="left"/>
      </w:pPr>
      <w:r>
        <w:rPr>
          <w:spacing w:val="-2"/>
        </w:rPr>
        <w:t>行业咨询专家、高级产品经理、高级项目经理等岗位开展工作，突出人才队伍能力建设，扩大人力资源规模，加快人才资源</w:t>
      </w:r>
      <w:r>
        <w:rPr>
          <w:spacing w:val="-67"/>
        </w:rPr>
        <w:t> </w:t>
      </w:r>
      <w:r>
        <w:rPr>
          <w:spacing w:val="-67"/>
        </w:rPr>
      </w:r>
      <w:r>
        <w:rPr>
          <w:spacing w:val="-2"/>
        </w:rPr>
        <w:t>结构调整，不断完善选才、育才、用才、聚才机制，提升人才队伍的科学化、制度化、规模化水平，形成具有创业特色的人</w:t>
      </w:r>
      <w:r>
        <w:rPr>
          <w:spacing w:val="-65"/>
        </w:rPr>
        <w:t> </w:t>
      </w:r>
      <w:r>
        <w:rPr>
          <w:spacing w:val="-65"/>
        </w:rPr>
      </w:r>
      <w:r>
        <w:rPr/>
        <w:t>才队伍建设模式，培养和造就一批数量充足、结构合理、素质较高、效能突出的经营管理、专业技术、技能操作人才队伍，</w:t>
      </w:r>
      <w:r>
        <w:rPr>
          <w:spacing w:val="-83"/>
        </w:rPr>
        <w:t> </w:t>
      </w:r>
      <w:r>
        <w:rPr>
          <w:spacing w:val="-83"/>
        </w:rPr>
      </w:r>
      <w:r>
        <w:rPr/>
        <w:t>为公司持续发展提供必要的人才储备。</w:t>
      </w:r>
    </w:p>
    <w:p>
      <w:pPr>
        <w:pStyle w:val="BodyText"/>
        <w:spacing w:line="316" w:lineRule="auto" w:before="19"/>
        <w:ind w:left="513" w:right="94"/>
        <w:jc w:val="left"/>
      </w:pPr>
      <w:r>
        <w:rPr/>
        <w:t>（</w:t>
      </w:r>
      <w:r>
        <w:rPr>
          <w:rFonts w:ascii="宋体" w:hAnsi="宋体" w:cs="宋体" w:eastAsia="宋体" w:hint="default"/>
        </w:rPr>
        <w:t>2</w:t>
      </w:r>
      <w:r>
        <w:rPr/>
        <w:t>）持续建立与完善全国多个高校密切的校企合作关系 </w:t>
      </w:r>
      <w:r>
        <w:rPr>
          <w:spacing w:val="-2"/>
        </w:rPr>
        <w:t>充分利用高校的人才与教学资源优势，建立长效合作机制，以进一步提高人才效能为重点，着力优化人才环境，提高人</w:t>
      </w:r>
    </w:p>
    <w:p>
      <w:pPr>
        <w:pStyle w:val="BodyText"/>
        <w:spacing w:line="316" w:lineRule="auto" w:before="19"/>
        <w:ind w:right="94"/>
        <w:jc w:val="left"/>
      </w:pPr>
      <w:r>
        <w:rPr>
          <w:spacing w:val="-2"/>
        </w:rPr>
        <w:t>才发展的科学化、规范化，构建人才优先发展、人才引领发展的生动格局。不断强化对新进人才的实践锻炼，形成事业造就</w:t>
      </w:r>
      <w:r>
        <w:rPr>
          <w:spacing w:val="-67"/>
        </w:rPr>
        <w:t> </w:t>
      </w:r>
      <w:r>
        <w:rPr>
          <w:spacing w:val="-67"/>
        </w:rPr>
      </w:r>
      <w:r>
        <w:rPr/>
        <w:t>人才的育人格局，为公司人才队伍的稳定提供可靠保障。</w:t>
      </w:r>
    </w:p>
    <w:p>
      <w:pPr>
        <w:pStyle w:val="BodyText"/>
        <w:spacing w:line="316" w:lineRule="auto" w:before="19"/>
        <w:ind w:left="513" w:right="94"/>
        <w:jc w:val="left"/>
      </w:pPr>
      <w:r>
        <w:rPr/>
        <w:t>（</w:t>
      </w:r>
      <w:r>
        <w:rPr>
          <w:rFonts w:ascii="宋体" w:hAnsi="宋体" w:cs="宋体" w:eastAsia="宋体" w:hint="default"/>
        </w:rPr>
        <w:t>3</w:t>
      </w:r>
      <w:r>
        <w:rPr/>
        <w:t>）努力打造人才成长通道 </w:t>
      </w:r>
      <w:r>
        <w:rPr>
          <w:spacing w:val="-2"/>
        </w:rPr>
        <w:t>尊重人才特点和成长规律，以提高职业能力为导向，以履行岗位职责为基础，以绩效考核为依据，着眼与综合反映各类</w:t>
      </w:r>
    </w:p>
    <w:p>
      <w:pPr>
        <w:pStyle w:val="BodyText"/>
        <w:spacing w:line="300" w:lineRule="auto" w:before="19"/>
        <w:ind w:right="94"/>
        <w:jc w:val="left"/>
      </w:pPr>
      <w:r>
        <w:rPr>
          <w:spacing w:val="-2"/>
        </w:rPr>
        <w:t>人才在企业中</w:t>
      </w:r>
      <w:r>
        <w:rPr>
          <w:rFonts w:ascii="Times New Roman" w:hAnsi="Times New Roman" w:cs="Times New Roman" w:eastAsia="Times New Roman" w:hint="default"/>
          <w:spacing w:val="-2"/>
        </w:rPr>
        <w:t>“</w:t>
      </w:r>
      <w:r>
        <w:rPr>
          <w:spacing w:val="-2"/>
        </w:rPr>
        <w:t>能干什么、在干什么、干成什么</w:t>
      </w:r>
      <w:r>
        <w:rPr>
          <w:rFonts w:ascii="Times New Roman" w:hAnsi="Times New Roman" w:cs="Times New Roman" w:eastAsia="Times New Roman" w:hint="default"/>
          <w:spacing w:val="-2"/>
        </w:rPr>
        <w:t>”</w:t>
      </w:r>
      <w:r>
        <w:rPr>
          <w:spacing w:val="-2"/>
        </w:rPr>
        <w:t>的基本情况，合理设置职位体系和薪酬体系，搭建经营管理、专业技术、技</w:t>
      </w:r>
      <w:r>
        <w:rPr>
          <w:spacing w:val="-45"/>
        </w:rPr>
        <w:t> </w:t>
      </w:r>
      <w:r>
        <w:rPr>
          <w:spacing w:val="-45"/>
        </w:rPr>
      </w:r>
      <w:r>
        <w:rPr/>
        <w:t>能操作等各个序列的人才成长通道，大力推进目标管理，促进人才脱颖而出，使各类人才</w:t>
      </w:r>
      <w:r>
        <w:rPr>
          <w:rFonts w:ascii="Times New Roman" w:hAnsi="Times New Roman" w:cs="Times New Roman" w:eastAsia="Times New Roman" w:hint="default"/>
        </w:rPr>
        <w:t>“</w:t>
      </w:r>
      <w:r>
        <w:rPr/>
        <w:t>成长有通道，发展有空间</w:t>
      </w:r>
      <w:r>
        <w:rPr>
          <w:rFonts w:ascii="Times New Roman" w:hAnsi="Times New Roman" w:cs="Times New Roman" w:eastAsia="Times New Roman" w:hint="default"/>
        </w:rPr>
        <w:t>”</w:t>
      </w:r>
      <w:r>
        <w:rPr/>
        <w:t>。</w:t>
      </w:r>
    </w:p>
    <w:p>
      <w:pPr>
        <w:pStyle w:val="BodyText"/>
        <w:spacing w:line="316" w:lineRule="auto" w:before="13"/>
        <w:ind w:left="513" w:right="93"/>
        <w:jc w:val="left"/>
      </w:pPr>
      <w:r>
        <w:rPr/>
        <w:t>（</w:t>
      </w:r>
      <w:r>
        <w:rPr>
          <w:rFonts w:ascii="宋体" w:hAnsi="宋体" w:cs="宋体" w:eastAsia="宋体" w:hint="default"/>
        </w:rPr>
        <w:t>4</w:t>
      </w:r>
      <w:r>
        <w:rPr/>
        <w:t>）进一步优化人员结构 通过多种形式的培训、转岗培养，切合发展要求，积极运用培训开发的新理论、新技术、新方法，持续推进培训模式、</w:t>
      </w:r>
    </w:p>
    <w:p>
      <w:pPr>
        <w:pStyle w:val="BodyText"/>
        <w:spacing w:line="316" w:lineRule="auto" w:before="19"/>
        <w:ind w:right="193"/>
        <w:jc w:val="both"/>
      </w:pPr>
      <w:r>
        <w:rPr>
          <w:spacing w:val="-2"/>
        </w:rPr>
        <w:t>培训制度、培训手段创新，突出学习与工作、理论与实践、课堂与现场的有机结合，提升培训开发的能力和成效。鼓励员工</w:t>
      </w:r>
      <w:r>
        <w:rPr>
          <w:spacing w:val="-68"/>
        </w:rPr>
        <w:t> </w:t>
      </w:r>
      <w:r>
        <w:rPr>
          <w:spacing w:val="-68"/>
        </w:rPr>
      </w:r>
      <w:r>
        <w:rPr>
          <w:spacing w:val="-2"/>
        </w:rPr>
        <w:t>树立终身学习的理念，通过自学、考证、参加培训等不断提升自身素质。建设多层次、复合型的人才队伍，提高员工整体素</w:t>
      </w:r>
      <w:r>
        <w:rPr>
          <w:spacing w:val="-68"/>
        </w:rPr>
        <w:t> </w:t>
      </w:r>
      <w:r>
        <w:rPr>
          <w:spacing w:val="-68"/>
        </w:rPr>
      </w:r>
      <w:r>
        <w:rPr/>
        <w:t>质，以满足医疗信息化行业对复合型人才的要求。</w:t>
      </w:r>
    </w:p>
    <w:p>
      <w:pPr>
        <w:pStyle w:val="BodyText"/>
        <w:spacing w:line="316" w:lineRule="auto" w:before="19"/>
        <w:ind w:left="513" w:right="94"/>
        <w:jc w:val="left"/>
      </w:pPr>
      <w:r>
        <w:rPr/>
        <w:t>（</w:t>
      </w:r>
      <w:r>
        <w:rPr>
          <w:rFonts w:ascii="宋体" w:hAnsi="宋体" w:cs="宋体" w:eastAsia="宋体" w:hint="default"/>
        </w:rPr>
        <w:t>5</w:t>
      </w:r>
      <w:r>
        <w:rPr/>
        <w:t>）积极探索新形势下员工激励机制 </w:t>
      </w:r>
      <w:r>
        <w:rPr>
          <w:spacing w:val="-2"/>
        </w:rPr>
        <w:t>进一步完善以绩效为导向的人力资源管理体系，坚持用全面、辩证和发展的观点客观分析评价，既要看表象也要分析潜</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53"/>
        <w:jc w:val="both"/>
      </w:pPr>
      <w:r>
        <w:rPr>
          <w:spacing w:val="-2"/>
        </w:rPr>
        <w:t>力、既要看当前也谋长远、既要看客观条件又要看主观努力，以工作实际考评为核心，兼顾个人能力和工作积极性等主观能</w:t>
      </w:r>
      <w:r>
        <w:rPr>
          <w:spacing w:val="-66"/>
        </w:rPr>
        <w:t> </w:t>
      </w:r>
      <w:r>
        <w:rPr>
          <w:spacing w:val="-66"/>
        </w:rPr>
      </w:r>
      <w:r>
        <w:rPr>
          <w:spacing w:val="-2"/>
        </w:rPr>
        <w:t>动因素内容评估、评价，以预期目标静态考核和过程管理动态跟踪考核相结合，采取个别谈话、实地考察、座谈等形式，拓</w:t>
      </w:r>
      <w:r>
        <w:rPr>
          <w:spacing w:val="-68"/>
        </w:rPr>
        <w:t> </w:t>
      </w:r>
      <w:r>
        <w:rPr>
          <w:spacing w:val="-68"/>
        </w:rPr>
      </w:r>
      <w:r>
        <w:rPr>
          <w:spacing w:val="-2"/>
        </w:rPr>
        <w:t>展考评的外延，多层面多角度考评，努力营造团结和谐、主动积极的工作氛围，强化员工对企业的归宿感和责任感，实现人</w:t>
      </w:r>
      <w:r>
        <w:rPr>
          <w:spacing w:val="-67"/>
        </w:rPr>
        <w:t> </w:t>
      </w:r>
      <w:r>
        <w:rPr>
          <w:spacing w:val="-67"/>
        </w:rPr>
      </w:r>
      <w:r>
        <w:rPr/>
        <w:t>力资源的可持续发展。</w:t>
      </w:r>
    </w:p>
    <w:p>
      <w:pPr>
        <w:pStyle w:val="BodyText"/>
        <w:spacing w:line="240" w:lineRule="auto" w:before="19"/>
        <w:ind w:left="513" w:right="0"/>
        <w:jc w:val="left"/>
      </w:pPr>
      <w:r>
        <w:rPr/>
        <w:t>（</w:t>
      </w:r>
      <w:r>
        <w:rPr>
          <w:rFonts w:ascii="宋体" w:hAnsi="宋体" w:cs="宋体" w:eastAsia="宋体" w:hint="default"/>
        </w:rPr>
        <w:t>6</w:t>
      </w:r>
      <w:r>
        <w:rPr/>
        <w:t>）开展针对博泰服务人员的业务提升培训计划</w:t>
      </w:r>
    </w:p>
    <w:p>
      <w:pPr>
        <w:pStyle w:val="BodyText"/>
        <w:spacing w:line="314" w:lineRule="auto" w:before="76"/>
        <w:ind w:right="15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月，公司完成了对博泰服务的并购。鉴于博泰服务本身拥有成熟的全国性的运维服务团队，公司计划通过对该 </w:t>
      </w:r>
      <w:r>
        <w:rPr>
          <w:spacing w:val="-2"/>
        </w:rPr>
        <w:t>团队人员提供常态化的专业技术、技能培训提升综合其业务能力，以达到公司能够共享博泰服务广泛的服务网络，整合深植</w:t>
      </w:r>
      <w:r>
        <w:rPr>
          <w:spacing w:val="-63"/>
        </w:rPr>
        <w:t> </w:t>
      </w:r>
      <w:r>
        <w:rPr>
          <w:spacing w:val="-63"/>
        </w:rPr>
      </w:r>
      <w:r>
        <w:rPr>
          <w:spacing w:val="-2"/>
        </w:rPr>
        <w:t>基层、本地化的服务团队，移植运维服务管理体系的目的。最终为公司打造一支能够满足社区公共卫生机构对于智慧医疗与</w:t>
      </w:r>
      <w:r>
        <w:rPr>
          <w:spacing w:val="-66"/>
        </w:rPr>
        <w:t> </w:t>
      </w:r>
      <w:r>
        <w:rPr>
          <w:spacing w:val="-66"/>
        </w:rPr>
      </w:r>
      <w:r>
        <w:rPr>
          <w:spacing w:val="-2"/>
        </w:rPr>
        <w:t>健康服务需求的，提供一体化的智慧医疗平台及医疗服务、健康管理等相关服务的综合性运维服务团队，提升公司在公共社</w:t>
      </w:r>
      <w:r>
        <w:rPr>
          <w:spacing w:val="-63"/>
        </w:rPr>
        <w:t> </w:t>
      </w:r>
      <w:r>
        <w:rPr>
          <w:spacing w:val="-63"/>
        </w:rPr>
      </w:r>
      <w:r>
        <w:rPr/>
        <w:t>区医疗及健康服务的覆盖面、及时性有效性。</w:t>
      </w:r>
    </w:p>
    <w:p>
      <w:pPr>
        <w:pStyle w:val="BodyText"/>
        <w:spacing w:line="403" w:lineRule="auto" w:before="120"/>
        <w:ind w:left="513" w:right="0" w:hanging="80"/>
        <w:jc w:val="left"/>
      </w:pPr>
      <w:r>
        <w:rPr>
          <w:rFonts w:ascii="Arial" w:hAnsi="Arial" w:cs="Arial" w:eastAsia="Arial" w:hint="default"/>
          <w:b/>
          <w:bCs/>
        </w:rPr>
        <w:t>6</w:t>
      </w:r>
      <w:r>
        <w:rPr>
          <w:rFonts w:ascii="Microsoft JhengHei" w:hAnsi="Microsoft JhengHei" w:cs="Microsoft JhengHei" w:eastAsia="Microsoft JhengHei" w:hint="default"/>
          <w:b/>
          <w:bCs/>
        </w:rPr>
        <w:t>、再融资计划 </w:t>
      </w:r>
      <w:r>
        <w:rPr>
          <w:spacing w:val="-2"/>
        </w:rPr>
        <w:t>未来，公司将根据自身业务发展战略和生产经营的需要，综合平衡资金需求、筹资成本，灵活选择各类融资工具，进行</w:t>
      </w:r>
    </w:p>
    <w:p>
      <w:pPr>
        <w:pStyle w:val="BodyText"/>
        <w:spacing w:line="190" w:lineRule="exact"/>
        <w:ind w:right="0"/>
        <w:jc w:val="both"/>
      </w:pPr>
      <w:r>
        <w:rPr/>
        <w:t>直接或间接融资活动，在满足公司生产经营对资金的需求同时，提高资金使用效率、降低融资成本，切实维护好股东、企业</w:t>
      </w:r>
    </w:p>
    <w:p>
      <w:pPr>
        <w:pStyle w:val="BodyText"/>
        <w:spacing w:line="240" w:lineRule="auto" w:before="76"/>
        <w:ind w:right="0"/>
        <w:jc w:val="both"/>
      </w:pPr>
      <w:r>
        <w:rPr/>
        <w:t>利益。</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177"/>
        <w:gridCol w:w="2177"/>
        <w:gridCol w:w="2177"/>
        <w:gridCol w:w="3039"/>
      </w:tblGrid>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0"/>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6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151"/>
        <w:jc w:val="center"/>
        <w:rPr>
          <w:b w:val="0"/>
          <w:bCs w:val="0"/>
        </w:rPr>
      </w:pPr>
      <w:bookmarkStart w:name="_bookmark3" w:id="4"/>
      <w:bookmarkEnd w:id="4"/>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2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3719"/>
        <w:gridCol w:w="5850"/>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242,801,887</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24,280,188.70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328,660,047.22</w:t>
            </w:r>
          </w:p>
        </w:tc>
      </w:tr>
      <w:tr>
        <w:trPr>
          <w:trHeight w:val="404"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88"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年度实现净利润</w:t>
            </w:r>
            <w:r>
              <w:rPr>
                <w:rFonts w:ascii="宋体" w:hAnsi="宋体" w:cs="宋体" w:eastAsia="宋体" w:hint="default"/>
                <w:spacing w:val="-48"/>
                <w:sz w:val="18"/>
                <w:szCs w:val="18"/>
              </w:rPr>
              <w:t> </w:t>
            </w:r>
            <w:r>
              <w:rPr>
                <w:rFonts w:ascii="宋体" w:hAnsi="宋体" w:cs="宋体" w:eastAsia="宋体" w:hint="default"/>
                <w:sz w:val="18"/>
                <w:szCs w:val="18"/>
              </w:rPr>
              <w:t>168,784,575.09</w:t>
            </w:r>
            <w:r>
              <w:rPr>
                <w:rFonts w:ascii="宋体" w:hAnsi="宋体" w:cs="宋体" w:eastAsia="宋体" w:hint="default"/>
                <w:spacing w:val="-45"/>
                <w:sz w:val="18"/>
                <w:szCs w:val="18"/>
              </w:rPr>
              <w:t> </w:t>
            </w:r>
            <w:r>
              <w:rPr>
                <w:rFonts w:ascii="宋体" w:hAnsi="宋体" w:cs="宋体" w:eastAsia="宋体" w:hint="default"/>
                <w:sz w:val="18"/>
                <w:szCs w:val="18"/>
              </w:rPr>
              <w:t>元，其中母公司实现净利润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55,993,847.30</w:t>
            </w:r>
            <w:r>
              <w:rPr>
                <w:rFonts w:ascii="宋体" w:hAnsi="宋体" w:cs="宋体" w:eastAsia="宋体" w:hint="default"/>
                <w:spacing w:val="-47"/>
                <w:sz w:val="18"/>
                <w:szCs w:val="18"/>
              </w:rPr>
              <w:t> </w:t>
            </w:r>
            <w:r>
              <w:rPr>
                <w:rFonts w:ascii="宋体" w:hAnsi="宋体" w:cs="宋体" w:eastAsia="宋体" w:hint="default"/>
                <w:sz w:val="18"/>
                <w:szCs w:val="18"/>
              </w:rPr>
              <w:t>元，根据《公司章程》规定，按</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50"/>
                <w:sz w:val="18"/>
                <w:szCs w:val="18"/>
              </w:rPr>
              <w:t> </w:t>
            </w:r>
            <w:r>
              <w:rPr>
                <w:rFonts w:ascii="宋体" w:hAnsi="宋体" w:cs="宋体" w:eastAsia="宋体" w:hint="default"/>
                <w:sz w:val="18"/>
                <w:szCs w:val="18"/>
              </w:rPr>
              <w:t>5,599,384.73</w:t>
            </w:r>
            <w:r>
              <w:rPr>
                <w:rFonts w:ascii="宋体" w:hAnsi="宋体" w:cs="宋体" w:eastAsia="宋体" w:hint="default"/>
                <w:spacing w:val="-48"/>
                <w:sz w:val="18"/>
                <w:szCs w:val="18"/>
              </w:rPr>
              <w:t> </w:t>
            </w:r>
            <w:r>
              <w:rPr>
                <w:rFonts w:ascii="宋体" w:hAnsi="宋体" w:cs="宋体" w:eastAsia="宋体" w:hint="default"/>
                <w:sz w:val="18"/>
                <w:szCs w:val="18"/>
              </w:rPr>
              <w:t>元后，当年实现未分配利润为</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50,394,462.57</w:t>
            </w:r>
            <w:r>
              <w:rPr>
                <w:rFonts w:ascii="宋体" w:hAnsi="宋体" w:cs="宋体" w:eastAsia="宋体" w:hint="default"/>
                <w:spacing w:val="-47"/>
                <w:sz w:val="18"/>
                <w:szCs w:val="18"/>
              </w:rPr>
              <w:t> </w:t>
            </w:r>
            <w:r>
              <w:rPr>
                <w:rFonts w:ascii="宋体" w:hAnsi="宋体" w:cs="宋体" w:eastAsia="宋体" w:hint="default"/>
                <w:sz w:val="18"/>
                <w:szCs w:val="18"/>
              </w:rPr>
              <w:t>元，加上其他事项调整增加留存收益</w:t>
            </w:r>
            <w:r>
              <w:rPr>
                <w:rFonts w:ascii="宋体" w:hAnsi="宋体" w:cs="宋体" w:eastAsia="宋体" w:hint="default"/>
                <w:spacing w:val="-49"/>
                <w:sz w:val="18"/>
                <w:szCs w:val="18"/>
              </w:rPr>
              <w:t> </w:t>
            </w:r>
            <w:r>
              <w:rPr>
                <w:rFonts w:ascii="宋体" w:hAnsi="宋体" w:cs="宋体" w:eastAsia="宋体" w:hint="default"/>
                <w:sz w:val="18"/>
                <w:szCs w:val="18"/>
              </w:rPr>
              <w:t>1,855,905.89</w:t>
            </w:r>
            <w:r>
              <w:rPr>
                <w:rFonts w:ascii="宋体" w:hAnsi="宋体" w:cs="宋体" w:eastAsia="宋体" w:hint="default"/>
                <w:spacing w:val="-47"/>
                <w:sz w:val="18"/>
                <w:szCs w:val="18"/>
              </w:rPr>
              <w:t> </w:t>
            </w:r>
            <w:r>
              <w:rPr>
                <w:rFonts w:ascii="宋体" w:hAnsi="宋体" w:cs="宋体" w:eastAsia="宋体" w:hint="default"/>
                <w:sz w:val="18"/>
                <w:szCs w:val="18"/>
              </w:rPr>
              <w:t>元、以前年度结转的未分配利润</w:t>
            </w:r>
            <w:r>
              <w:rPr>
                <w:rFonts w:ascii="宋体" w:hAnsi="宋体" w:cs="宋体" w:eastAsia="宋体" w:hint="default"/>
                <w:spacing w:val="-49"/>
                <w:sz w:val="18"/>
                <w:szCs w:val="18"/>
              </w:rPr>
              <w:t> </w:t>
            </w:r>
            <w:r>
              <w:rPr>
                <w:rFonts w:ascii="宋体" w:hAnsi="宋体" w:cs="宋体" w:eastAsia="宋体" w:hint="default"/>
                <w:sz w:val="18"/>
                <w:szCs w:val="18"/>
              </w:rPr>
              <w:t>300,691,798.81</w:t>
            </w:r>
            <w:r>
              <w:rPr>
                <w:rFonts w:ascii="宋体" w:hAnsi="宋体" w:cs="宋体" w:eastAsia="宋体" w:hint="default"/>
                <w:spacing w:val="-47"/>
                <w:sz w:val="18"/>
                <w:szCs w:val="18"/>
              </w:rPr>
              <w:t> </w:t>
            </w:r>
            <w:r>
              <w:rPr>
                <w:rFonts w:ascii="宋体" w:hAnsi="宋体" w:cs="宋体" w:eastAsia="宋体" w:hint="default"/>
                <w:sz w:val="18"/>
                <w:szCs w:val="18"/>
              </w:rPr>
              <w:t>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扣除</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月已实施的</w:t>
            </w:r>
            <w:r>
              <w:rPr>
                <w:rFonts w:ascii="宋体" w:hAnsi="宋体" w:cs="宋体" w:eastAsia="宋体" w:hint="default"/>
                <w:spacing w:val="-47"/>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年度利润分配</w:t>
            </w:r>
            <w:r>
              <w:rPr>
                <w:rFonts w:ascii="宋体" w:hAnsi="宋体" w:cs="宋体" w:eastAsia="宋体" w:hint="default"/>
                <w:spacing w:val="-46"/>
                <w:sz w:val="18"/>
                <w:szCs w:val="18"/>
              </w:rPr>
              <w:t> </w:t>
            </w:r>
            <w:r>
              <w:rPr>
                <w:rFonts w:ascii="宋体" w:hAnsi="宋体" w:cs="宋体" w:eastAsia="宋体" w:hint="default"/>
                <w:sz w:val="18"/>
                <w:szCs w:val="18"/>
              </w:rPr>
              <w:t>24,282,120.05</w:t>
            </w:r>
            <w:r>
              <w:rPr>
                <w:rFonts w:ascii="宋体" w:hAnsi="宋体" w:cs="宋体" w:eastAsia="宋体" w:hint="default"/>
                <w:spacing w:val="-45"/>
                <w:sz w:val="18"/>
                <w:szCs w:val="18"/>
              </w:rPr>
              <w:t> </w:t>
            </w:r>
            <w:r>
              <w:rPr>
                <w:rFonts w:ascii="宋体" w:hAnsi="宋体" w:cs="宋体" w:eastAsia="宋体" w:hint="default"/>
                <w:sz w:val="18"/>
                <w:szCs w:val="18"/>
              </w:rPr>
              <w:t>元，公司截至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日可供分配利润为人民币</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328,660,047.22</w:t>
            </w:r>
            <w:r>
              <w:rPr>
                <w:rFonts w:ascii="宋体" w:hAnsi="宋体" w:cs="宋体" w:eastAsia="宋体" w:hint="default"/>
                <w:spacing w:val="-47"/>
                <w:sz w:val="18"/>
                <w:szCs w:val="18"/>
              </w:rPr>
              <w:t> </w:t>
            </w:r>
            <w:r>
              <w:rPr>
                <w:rFonts w:ascii="宋体" w:hAnsi="宋体" w:cs="宋体" w:eastAsia="宋体" w:hint="default"/>
                <w:sz w:val="18"/>
                <w:szCs w:val="18"/>
              </w:rPr>
              <w:t>元，资本公积金人民币</w:t>
            </w:r>
            <w:r>
              <w:rPr>
                <w:rFonts w:ascii="宋体" w:hAnsi="宋体" w:cs="宋体" w:eastAsia="宋体" w:hint="default"/>
                <w:spacing w:val="-49"/>
                <w:sz w:val="18"/>
                <w:szCs w:val="18"/>
              </w:rPr>
              <w:t> </w:t>
            </w:r>
            <w:r>
              <w:rPr>
                <w:rFonts w:ascii="宋体" w:hAnsi="宋体" w:cs="宋体" w:eastAsia="宋体" w:hint="default"/>
                <w:sz w:val="18"/>
                <w:szCs w:val="18"/>
              </w:rPr>
              <w:t>1,499,628,425.90</w:t>
            </w:r>
            <w:r>
              <w:rPr>
                <w:rFonts w:ascii="宋体" w:hAnsi="宋体" w:cs="宋体" w:eastAsia="宋体" w:hint="default"/>
                <w:spacing w:val="-47"/>
                <w:sz w:val="18"/>
                <w:szCs w:val="18"/>
              </w:rPr>
              <w:t> </w:t>
            </w:r>
            <w:r>
              <w:rPr>
                <w:rFonts w:ascii="宋体" w:hAnsi="宋体" w:cs="宋体" w:eastAsia="宋体" w:hint="default"/>
                <w:sz w:val="18"/>
                <w:szCs w:val="18"/>
              </w:rPr>
              <w:t>元。经统筹考虑公司资金使用情况，</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年利润分配预案</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为：以截至第六届董事会第七会议公告日公司总股本</w:t>
            </w:r>
            <w:r>
              <w:rPr>
                <w:rFonts w:ascii="宋体" w:hAnsi="宋体" w:cs="宋体" w:eastAsia="宋体" w:hint="default"/>
                <w:spacing w:val="-46"/>
                <w:sz w:val="18"/>
                <w:szCs w:val="18"/>
              </w:rPr>
              <w:t> </w:t>
            </w:r>
            <w:r>
              <w:rPr>
                <w:rFonts w:ascii="宋体" w:hAnsi="宋体" w:cs="宋体" w:eastAsia="宋体" w:hint="default"/>
                <w:sz w:val="18"/>
                <w:szCs w:val="18"/>
              </w:rPr>
              <w:t>242,801,887</w:t>
            </w:r>
            <w:r>
              <w:rPr>
                <w:rFonts w:ascii="宋体" w:hAnsi="宋体" w:cs="宋体" w:eastAsia="宋体" w:hint="default"/>
                <w:spacing w:val="-44"/>
                <w:sz w:val="18"/>
                <w:szCs w:val="18"/>
              </w:rPr>
              <w:t> </w:t>
            </w:r>
            <w:r>
              <w:rPr>
                <w:rFonts w:ascii="宋体" w:hAnsi="宋体" w:cs="宋体" w:eastAsia="宋体" w:hint="default"/>
                <w:sz w:val="18"/>
                <w:szCs w:val="18"/>
              </w:rPr>
              <w:t>股为基数，以未分配利润向全体股东每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w:t>
            </w:r>
          </w:p>
          <w:p>
            <w:pPr>
              <w:pStyle w:val="TableParagraph"/>
              <w:spacing w:line="316" w:lineRule="auto" w:before="76"/>
              <w:ind w:left="24" w:right="168"/>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42"/>
                <w:sz w:val="18"/>
                <w:szCs w:val="18"/>
              </w:rPr>
              <w:t> </w:t>
            </w:r>
            <w:r>
              <w:rPr>
                <w:rFonts w:ascii="宋体" w:hAnsi="宋体" w:cs="宋体" w:eastAsia="宋体" w:hint="default"/>
                <w:sz w:val="18"/>
                <w:szCs w:val="18"/>
              </w:rPr>
              <w:t>1.00</w:t>
            </w:r>
            <w:r>
              <w:rPr>
                <w:rFonts w:ascii="宋体" w:hAnsi="宋体" w:cs="宋体" w:eastAsia="宋体" w:hint="default"/>
                <w:spacing w:val="-41"/>
                <w:sz w:val="18"/>
                <w:szCs w:val="18"/>
              </w:rPr>
              <w:t> </w:t>
            </w:r>
            <w:r>
              <w:rPr>
                <w:rFonts w:ascii="宋体" w:hAnsi="宋体" w:cs="宋体" w:eastAsia="宋体" w:hint="default"/>
                <w:spacing w:val="-7"/>
                <w:sz w:val="18"/>
                <w:szCs w:val="18"/>
              </w:rPr>
              <w:t>元（含税），共计派发股利人民币</w:t>
            </w:r>
            <w:r>
              <w:rPr>
                <w:rFonts w:ascii="宋体" w:hAnsi="宋体" w:cs="宋体" w:eastAsia="宋体" w:hint="default"/>
                <w:spacing w:val="-42"/>
                <w:sz w:val="18"/>
                <w:szCs w:val="18"/>
              </w:rPr>
              <w:t> </w:t>
            </w:r>
            <w:r>
              <w:rPr>
                <w:rFonts w:ascii="宋体" w:hAnsi="宋体" w:cs="宋体" w:eastAsia="宋体" w:hint="default"/>
                <w:spacing w:val="-1"/>
                <w:sz w:val="18"/>
                <w:szCs w:val="18"/>
              </w:rPr>
              <w:t>24,280,188.70</w:t>
            </w:r>
            <w:r>
              <w:rPr>
                <w:rFonts w:ascii="宋体" w:hAnsi="宋体" w:cs="宋体" w:eastAsia="宋体" w:hint="default"/>
                <w:spacing w:val="-43"/>
                <w:sz w:val="18"/>
                <w:szCs w:val="18"/>
              </w:rPr>
              <w:t> </w:t>
            </w:r>
            <w:r>
              <w:rPr>
                <w:rFonts w:ascii="宋体" w:hAnsi="宋体" w:cs="宋体" w:eastAsia="宋体" w:hint="default"/>
                <w:sz w:val="18"/>
                <w:szCs w:val="18"/>
              </w:rPr>
              <w:t>元，同时以资本公积金向全体股东每</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pacing w:val="-1"/>
                <w:sz w:val="18"/>
                <w:szCs w:val="18"/>
              </w:rPr>
              <w:t>股转增</w:t>
            </w:r>
            <w:r>
              <w:rPr>
                <w:rFonts w:ascii="宋体" w:hAnsi="宋体" w:cs="宋体" w:eastAsia="宋体" w:hint="default"/>
                <w:spacing w:val="-43"/>
                <w:sz w:val="18"/>
                <w:szCs w:val="18"/>
              </w:rPr>
              <w:t> </w:t>
            </w:r>
            <w:r>
              <w:rPr>
                <w:rFonts w:ascii="宋体" w:hAnsi="宋体" w:cs="宋体" w:eastAsia="宋体" w:hint="default"/>
                <w:spacing w:val="-1"/>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股。利润 分配方案实施时若公司股本发生变动，将按照分配总额不变的原则进行调整。</w:t>
            </w:r>
          </w:p>
        </w:tc>
      </w:tr>
    </w:tbl>
    <w:p>
      <w:pPr>
        <w:pStyle w:val="BodyText"/>
        <w:spacing w:line="297" w:lineRule="auto" w:before="49"/>
        <w:ind w:left="513" w:right="0" w:hanging="361"/>
        <w:jc w:val="left"/>
      </w:pPr>
      <w:r>
        <w:rPr/>
        <w:t>公司近</w:t>
      </w:r>
      <w:r>
        <w:rPr>
          <w:spacing w:val="-44"/>
        </w:rPr>
        <w:t> </w:t>
      </w:r>
      <w:r>
        <w:rPr>
          <w:rFonts w:ascii="宋体" w:hAnsi="宋体" w:cs="宋体" w:eastAsia="宋体" w:hint="default"/>
        </w:rPr>
        <w:t>3</w:t>
      </w:r>
      <w:r>
        <w:rPr>
          <w:rFonts w:ascii="宋体" w:hAnsi="宋体" w:cs="宋体" w:eastAsia="宋体" w:hint="default"/>
          <w:spacing w:val="-44"/>
        </w:rPr>
        <w:t> </w:t>
      </w:r>
      <w:r>
        <w:rPr>
          <w:spacing w:val="-3"/>
        </w:rPr>
        <w:t>年（包括本报告期）的普通股股利分配方案（预案）、资本公积金转增股本方案（预案）情况</w:t>
      </w:r>
      <w:r>
        <w:rPr>
          <w:spacing w:val="-60"/>
        </w:rPr>
        <w:t> </w:t>
      </w:r>
      <w:r>
        <w:rPr>
          <w:rFonts w:ascii="宋体" w:hAnsi="宋体" w:cs="宋体" w:eastAsia="宋体" w:hint="default"/>
          <w:spacing w:val="-60"/>
        </w:rPr>
      </w:r>
      <w:r>
        <w:rPr>
          <w:rFonts w:ascii="Arial" w:hAnsi="Arial" w:cs="Arial" w:eastAsia="Arial" w:hint="default"/>
          <w:b/>
          <w:bCs/>
          <w:w w:val="95"/>
        </w:rPr>
        <w:t>1</w:t>
      </w:r>
      <w:r>
        <w:rPr>
          <w:rFonts w:ascii="Microsoft JhengHei" w:hAnsi="Microsoft JhengHei" w:cs="Microsoft JhengHei" w:eastAsia="Microsoft JhengHei" w:hint="default"/>
          <w:b/>
          <w:bCs/>
          <w:w w:val="95"/>
        </w:rPr>
        <w:t>、</w:t>
      </w:r>
      <w:r>
        <w:rPr>
          <w:rFonts w:ascii="Arial" w:hAnsi="Arial" w:cs="Arial" w:eastAsia="Arial" w:hint="default"/>
          <w:b/>
          <w:bCs/>
          <w:w w:val="95"/>
        </w:rPr>
        <w:t>2015</w:t>
      </w:r>
      <w:r>
        <w:rPr>
          <w:rFonts w:ascii="Microsoft JhengHei" w:hAnsi="Microsoft JhengHei" w:cs="Microsoft JhengHei" w:eastAsia="Microsoft JhengHei" w:hint="default"/>
          <w:b/>
          <w:bCs/>
          <w:w w:val="95"/>
        </w:rPr>
        <w:t>年年度利润分配方案：</w:t>
      </w:r>
      <w:r>
        <w:rPr>
          <w:w w:val="95"/>
        </w:rPr>
        <w:t>根据</w:t>
      </w:r>
      <w:r>
        <w:rPr>
          <w:rFonts w:ascii="宋体" w:hAnsi="宋体" w:cs="宋体" w:eastAsia="宋体" w:hint="default"/>
          <w:w w:val="95"/>
        </w:rPr>
        <w:t>2016</w:t>
      </w:r>
      <w:r>
        <w:rPr>
          <w:w w:val="95"/>
        </w:rPr>
        <w:t>年</w:t>
      </w:r>
      <w:r>
        <w:rPr>
          <w:rFonts w:ascii="宋体" w:hAnsi="宋体" w:cs="宋体" w:eastAsia="宋体" w:hint="default"/>
          <w:w w:val="95"/>
        </w:rPr>
        <w:t>3</w:t>
      </w:r>
      <w:r>
        <w:rPr>
          <w:w w:val="95"/>
        </w:rPr>
        <w:t>月</w:t>
      </w:r>
      <w:r>
        <w:rPr>
          <w:rFonts w:ascii="宋体" w:hAnsi="宋体" w:cs="宋体" w:eastAsia="宋体" w:hint="default"/>
          <w:w w:val="95"/>
        </w:rPr>
        <w:t>25</w:t>
      </w:r>
      <w:r>
        <w:rPr>
          <w:w w:val="95"/>
        </w:rPr>
        <w:t>日公司第五届董事会第十六次会议审议通过的</w:t>
      </w:r>
      <w:r>
        <w:rPr>
          <w:rFonts w:ascii="宋体" w:hAnsi="宋体" w:cs="宋体" w:eastAsia="宋体" w:hint="default"/>
          <w:w w:val="95"/>
        </w:rPr>
        <w:t>2015</w:t>
      </w:r>
      <w:r>
        <w:rPr>
          <w:w w:val="95"/>
        </w:rPr>
        <w:t>年利润分配预案，</w:t>
      </w:r>
    </w:p>
    <w:p>
      <w:pPr>
        <w:pStyle w:val="BodyText"/>
        <w:spacing w:line="316" w:lineRule="auto"/>
        <w:ind w:right="144"/>
        <w:jc w:val="left"/>
        <w:rPr>
          <w:rFonts w:ascii="宋体" w:hAnsi="宋体" w:cs="宋体" w:eastAsia="宋体" w:hint="default"/>
        </w:rPr>
      </w:pPr>
      <w:r>
        <w:rPr/>
        <w:t>公司按母公司</w:t>
      </w:r>
      <w:r>
        <w:rPr>
          <w:rFonts w:ascii="宋体" w:hAnsi="宋体" w:cs="宋体" w:eastAsia="宋体" w:hint="default"/>
        </w:rPr>
        <w:t>2015</w:t>
      </w:r>
      <w:r>
        <w:rPr/>
        <w:t>年度实现净利润的</w:t>
      </w:r>
      <w:r>
        <w:rPr>
          <w:rFonts w:ascii="宋体" w:hAnsi="宋体" w:cs="宋体" w:eastAsia="宋体" w:hint="default"/>
        </w:rPr>
        <w:t>10%</w:t>
      </w:r>
      <w:r>
        <w:rPr/>
        <w:t>提取法定盈余公积，以公司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70,067,500</w:t>
      </w:r>
      <w:r>
        <w:rPr/>
        <w:t>为基数，向全体股东 每</w:t>
      </w:r>
      <w:r>
        <w:rPr>
          <w:rFonts w:ascii="宋体" w:hAnsi="宋体" w:cs="宋体" w:eastAsia="宋体" w:hint="default"/>
        </w:rPr>
        <w:t>10</w:t>
      </w:r>
      <w:r>
        <w:rPr/>
        <w:t>股派发现金红利人民币</w:t>
      </w:r>
      <w:r>
        <w:rPr>
          <w:rFonts w:ascii="宋体" w:hAnsi="宋体" w:cs="宋体" w:eastAsia="宋体" w:hint="default"/>
        </w:rPr>
        <w:t>1.50</w:t>
      </w:r>
      <w:r>
        <w:rPr/>
        <w:t>元（含税）；同时以资本公积向全体股东每</w:t>
      </w:r>
      <w:r>
        <w:rPr>
          <w:rFonts w:ascii="宋体" w:hAnsi="宋体" w:cs="宋体" w:eastAsia="宋体" w:hint="default"/>
        </w:rPr>
        <w:t>10</w:t>
      </w:r>
      <w:r>
        <w:rPr/>
        <w:t>股转增</w:t>
      </w:r>
      <w:r>
        <w:rPr>
          <w:rFonts w:ascii="宋体" w:hAnsi="宋体" w:cs="宋体" w:eastAsia="宋体" w:hint="default"/>
        </w:rPr>
        <w:t>20</w:t>
      </w:r>
      <w:r>
        <w:rPr/>
        <w:t>股。</w:t>
      </w:r>
      <w:r>
        <w:rPr>
          <w:rFonts w:ascii="宋体" w:hAnsi="宋体" w:cs="宋体" w:eastAsia="宋体" w:hint="default"/>
        </w:rPr>
        <w:t> </w:t>
      </w:r>
    </w:p>
    <w:p>
      <w:pPr>
        <w:spacing w:line="275" w:lineRule="exact" w:before="0"/>
        <w:ind w:left="513" w:right="0" w:firstLine="0"/>
        <w:jc w:val="left"/>
        <w:rPr>
          <w:rFonts w:ascii="宋体" w:hAnsi="宋体" w:cs="宋体" w:eastAsia="宋体" w:hint="default"/>
          <w:sz w:val="18"/>
          <w:szCs w:val="18"/>
        </w:rPr>
      </w:pPr>
      <w:r>
        <w:rPr>
          <w:rFonts w:ascii="Arial" w:hAnsi="Arial" w:cs="Arial" w:eastAsia="Arial" w:hint="default"/>
          <w:b/>
          <w:bCs/>
          <w:sz w:val="18"/>
          <w:szCs w:val="18"/>
        </w:rPr>
        <w:t>2</w:t>
      </w:r>
      <w:r>
        <w:rPr>
          <w:rFonts w:ascii="Microsoft JhengHei" w:hAnsi="Microsoft JhengHei" w:cs="Microsoft JhengHei" w:eastAsia="Microsoft JhengHei" w:hint="default"/>
          <w:b/>
          <w:bCs/>
          <w:sz w:val="18"/>
          <w:szCs w:val="18"/>
        </w:rPr>
        <w:t>、</w:t>
      </w:r>
      <w:r>
        <w:rPr>
          <w:rFonts w:ascii="Arial" w:hAnsi="Arial" w:cs="Arial" w:eastAsia="Arial" w:hint="default"/>
          <w:b/>
          <w:bCs/>
          <w:sz w:val="18"/>
          <w:szCs w:val="18"/>
        </w:rPr>
        <w:t>2016</w:t>
      </w:r>
      <w:r>
        <w:rPr>
          <w:rFonts w:ascii="Microsoft JhengHei" w:hAnsi="Microsoft JhengHei" w:cs="Microsoft JhengHei" w:eastAsia="Microsoft JhengHei" w:hint="default"/>
          <w:b/>
          <w:bCs/>
          <w:sz w:val="18"/>
          <w:szCs w:val="18"/>
        </w:rPr>
        <w:t>年年度年度利润分配方案：</w:t>
      </w:r>
      <w:r>
        <w:rPr>
          <w:rFonts w:ascii="宋体" w:hAnsi="宋体" w:cs="宋体" w:eastAsia="宋体" w:hint="default"/>
          <w:sz w:val="18"/>
          <w:szCs w:val="18"/>
        </w:rPr>
        <w:t>以截至第五届董事会第三十一次会议公告日公司总股本</w:t>
      </w:r>
      <w:r>
        <w:rPr>
          <w:rFonts w:ascii="宋体" w:hAnsi="宋体" w:cs="宋体" w:eastAsia="宋体" w:hint="default"/>
          <w:sz w:val="18"/>
          <w:szCs w:val="18"/>
        </w:rPr>
        <w:t>242,949,263</w:t>
      </w:r>
      <w:r>
        <w:rPr>
          <w:rFonts w:ascii="宋体" w:hAnsi="宋体" w:cs="宋体" w:eastAsia="宋体" w:hint="default"/>
          <w:sz w:val="18"/>
          <w:szCs w:val="18"/>
        </w:rPr>
        <w:t>股为基数，以</w:t>
      </w:r>
    </w:p>
    <w:p>
      <w:pPr>
        <w:pStyle w:val="BodyText"/>
        <w:spacing w:line="259" w:lineRule="auto" w:before="56"/>
        <w:ind w:left="513" w:right="0" w:hanging="361"/>
        <w:jc w:val="left"/>
      </w:pPr>
      <w:r>
        <w:rPr/>
        <w:t>未分配利润向全体股东每</w:t>
      </w:r>
      <w:r>
        <w:rPr>
          <w:rFonts w:ascii="宋体" w:hAnsi="宋体" w:cs="宋体" w:eastAsia="宋体" w:hint="default"/>
        </w:rPr>
        <w:t>10</w:t>
      </w:r>
      <w:r>
        <w:rPr/>
        <w:t>股派发现金股利</w:t>
      </w:r>
      <w:r>
        <w:rPr>
          <w:rFonts w:ascii="宋体" w:hAnsi="宋体" w:cs="宋体" w:eastAsia="宋体" w:hint="default"/>
        </w:rPr>
        <w:t>1.0</w:t>
      </w:r>
      <w:r>
        <w:rPr/>
        <w:t>元（含税），不送红股、不以公积金转增股本。</w:t>
      </w:r>
      <w:r>
        <w:rPr>
          <w:rFonts w:ascii="宋体" w:hAnsi="宋体" w:cs="宋体" w:eastAsia="宋体" w:hint="default"/>
        </w:rPr>
        <w:t> </w:t>
      </w:r>
      <w:r>
        <w:rPr>
          <w:rFonts w:ascii="Arial" w:hAnsi="Arial" w:cs="Arial" w:eastAsia="Arial" w:hint="default"/>
          <w:b/>
          <w:bCs/>
          <w:w w:val="95"/>
        </w:rPr>
        <w:t>3</w:t>
      </w:r>
      <w:r>
        <w:rPr>
          <w:rFonts w:ascii="Microsoft JhengHei" w:hAnsi="Microsoft JhengHei" w:cs="Microsoft JhengHei" w:eastAsia="Microsoft JhengHei" w:hint="default"/>
          <w:b/>
          <w:bCs/>
          <w:w w:val="95"/>
        </w:rPr>
        <w:t>、</w:t>
      </w:r>
      <w:r>
        <w:rPr>
          <w:rFonts w:ascii="Arial" w:hAnsi="Arial" w:cs="Arial" w:eastAsia="Arial" w:hint="default"/>
          <w:b/>
          <w:bCs/>
          <w:w w:val="95"/>
        </w:rPr>
        <w:t>2017</w:t>
      </w:r>
      <w:r>
        <w:rPr>
          <w:rFonts w:ascii="Microsoft JhengHei" w:hAnsi="Microsoft JhengHei" w:cs="Microsoft JhengHei" w:eastAsia="Microsoft JhengHei" w:hint="default"/>
          <w:b/>
          <w:bCs/>
          <w:w w:val="95"/>
        </w:rPr>
        <w:t>年年度利润分配预案为：</w:t>
      </w:r>
      <w:r>
        <w:rPr>
          <w:w w:val="95"/>
        </w:rPr>
        <w:t>以截至第六届董事会第七会议公告日公司总股本</w:t>
      </w:r>
      <w:r>
        <w:rPr>
          <w:rFonts w:ascii="宋体" w:hAnsi="宋体" w:cs="宋体" w:eastAsia="宋体" w:hint="default"/>
          <w:w w:val="95"/>
        </w:rPr>
        <w:t>242,801,887</w:t>
      </w:r>
      <w:r>
        <w:rPr>
          <w:w w:val="95"/>
        </w:rPr>
        <w:t>股为基数，以未分配利</w:t>
      </w:r>
    </w:p>
    <w:p>
      <w:pPr>
        <w:pStyle w:val="BodyText"/>
        <w:spacing w:line="316" w:lineRule="auto" w:before="37"/>
        <w:ind w:right="234"/>
        <w:jc w:val="left"/>
        <w:rPr>
          <w:rFonts w:ascii="宋体" w:hAnsi="宋体" w:cs="宋体" w:eastAsia="宋体" w:hint="default"/>
        </w:rPr>
      </w:pPr>
      <w:r>
        <w:rPr/>
        <w:t>润向全体股东每</w:t>
      </w:r>
      <w:r>
        <w:rPr>
          <w:rFonts w:ascii="宋体" w:hAnsi="宋体" w:cs="宋体" w:eastAsia="宋体" w:hint="default"/>
        </w:rPr>
        <w:t>10</w:t>
      </w:r>
      <w:r>
        <w:rPr/>
        <w:t>股派发现金股利</w:t>
      </w:r>
      <w:r>
        <w:rPr>
          <w:rFonts w:ascii="宋体" w:hAnsi="宋体" w:cs="宋体" w:eastAsia="宋体" w:hint="default"/>
        </w:rPr>
        <w:t>1.00</w:t>
      </w:r>
      <w:r>
        <w:rPr/>
        <w:t>元（含税），同时以资本公积金向全体股东每</w:t>
      </w:r>
      <w:r>
        <w:rPr>
          <w:rFonts w:ascii="宋体" w:hAnsi="宋体" w:cs="宋体" w:eastAsia="宋体" w:hint="default"/>
        </w:rPr>
        <w:t>10</w:t>
      </w:r>
      <w:r>
        <w:rPr/>
        <w:t>股转增</w:t>
      </w:r>
      <w:r>
        <w:rPr>
          <w:rFonts w:ascii="宋体" w:hAnsi="宋体" w:cs="宋体" w:eastAsia="宋体" w:hint="default"/>
        </w:rPr>
        <w:t>10</w:t>
      </w:r>
      <w:r>
        <w:rPr/>
        <w:t>股。利润分配方案实施时 若公司股本发生变动，将按照分配总额不变的原则进行调整。</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4"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1"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24,280,188.70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163,244,227.81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24,282,120.05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63,003,453.15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49,681,720.73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二、承诺事项履行情况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3"/>
        <w:spacing w:line="314"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6"/>
      </w:tblGrid>
      <w:tr>
        <w:trPr>
          <w:trHeight w:val="161"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3" w:right="41"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4"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38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1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r>
      <w:tr>
        <w:trPr>
          <w:trHeight w:val="161"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1877"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4" w:right="190"/>
              <w:jc w:val="left"/>
              <w:rPr>
                <w:rFonts w:ascii="宋体" w:hAnsi="宋体" w:cs="宋体" w:eastAsia="宋体" w:hint="default"/>
                <w:sz w:val="18"/>
                <w:szCs w:val="18"/>
              </w:rPr>
            </w:pPr>
            <w:r>
              <w:rPr>
                <w:rFonts w:ascii="宋体" w:hAnsi="宋体" w:cs="宋体" w:eastAsia="宋体" w:hint="default"/>
                <w:sz w:val="18"/>
                <w:szCs w:val="18"/>
              </w:rPr>
              <w:t>本次协议转让的股份自过户登记完成之日起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个月内，本人不转让直接持有的创业软件股 票。本人在担任创业软件董事、监事或高级管 理人员期间，每年转让的股份不超过本人直接 或间接持有的创业软件股份总数的百分之二十 五；若今后从创业软件离职，离职后半年内， 不转让本人直接或间接持有的创业软件股份。 在上述承诺履行期间，本人职务变更、离职等 原因不影响本承诺的效力。</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担任 高管 期间</w:t>
            </w:r>
          </w:p>
        </w:tc>
        <w:tc>
          <w:tcPr>
            <w:tcW w:w="636"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 不转让 直接持 有的股 票的承 诺已履 行完 毕，其 他关于 后续减 持承诺 正常履 行</w:t>
            </w:r>
          </w:p>
        </w:tc>
      </w:tr>
      <w:tr>
        <w:trPr>
          <w:trHeight w:val="703"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850"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382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1877"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82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986"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7"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3826" w:type="dxa"/>
            <w:vMerge w:val="restart"/>
            <w:tcBorders>
              <w:top w:val="single" w:sz="4" w:space="0" w:color="000000"/>
              <w:left w:val="single" w:sz="4" w:space="0" w:color="000000"/>
              <w:right w:val="single" w:sz="4" w:space="0" w:color="000000"/>
            </w:tcBorders>
          </w:tcPr>
          <w:p>
            <w:pPr>
              <w:pStyle w:val="TableParagraph"/>
              <w:spacing w:line="309"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自认购的创业软件新增股份在法定登记机构登 记于本人名下并上市之日起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 或者委托他人管理本人拥有的该等新增股份</w:t>
            </w:r>
          </w:p>
          <w:p>
            <w:pPr>
              <w:pStyle w:val="TableParagraph"/>
              <w:spacing w:line="316" w:lineRule="auto" w:before="24"/>
              <w:ind w:left="24" w:right="190"/>
              <w:jc w:val="both"/>
              <w:rPr>
                <w:rFonts w:ascii="宋体" w:hAnsi="宋体" w:cs="宋体" w:eastAsia="宋体" w:hint="default"/>
                <w:sz w:val="18"/>
                <w:szCs w:val="18"/>
              </w:rPr>
            </w:pPr>
            <w:r>
              <w:rPr>
                <w:rFonts w:ascii="宋体" w:hAnsi="宋体" w:cs="宋体" w:eastAsia="宋体" w:hint="default"/>
                <w:sz w:val="18"/>
                <w:szCs w:val="18"/>
              </w:rPr>
              <w:t>（若本人在实际转让上市公司股份前，上市公 司发生转增股本、送红股等除权行为的，则实 </w:t>
            </w:r>
            <w:r>
              <w:rPr>
                <w:rFonts w:ascii="宋体" w:hAnsi="宋体" w:cs="宋体" w:eastAsia="宋体" w:hint="default"/>
                <w:spacing w:val="-6"/>
                <w:sz w:val="18"/>
                <w:szCs w:val="18"/>
              </w:rPr>
              <w:t>际可转让股份数将进行相应调整）。</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0"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382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586"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82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40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35"/>
              <w:jc w:val="center"/>
              <w:rPr>
                <w:rFonts w:ascii="宋体" w:hAnsi="宋体" w:cs="宋体" w:eastAsia="宋体" w:hint="default"/>
                <w:sz w:val="18"/>
                <w:szCs w:val="18"/>
              </w:rPr>
            </w:pPr>
            <w:r>
              <w:rPr>
                <w:rFonts w:ascii="宋体" w:hAnsi="宋体" w:cs="宋体" w:eastAsia="宋体" w:hint="default"/>
                <w:sz w:val="18"/>
                <w:szCs w:val="18"/>
              </w:rPr>
              <w:t>关于同业竞</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、在本承诺签署之日，本人及所控制的公司和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正常履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6"/>
      </w:tblGrid>
      <w:tr>
        <w:trPr>
          <w:trHeight w:val="6916"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9"/>
              <w:jc w:val="both"/>
              <w:rPr>
                <w:rFonts w:ascii="宋体" w:hAnsi="宋体" w:cs="宋体" w:eastAsia="宋体" w:hint="default"/>
                <w:sz w:val="18"/>
                <w:szCs w:val="18"/>
              </w:rPr>
            </w:pPr>
            <w:r>
              <w:rPr>
                <w:rFonts w:ascii="宋体" w:hAnsi="宋体" w:cs="宋体" w:eastAsia="宋体" w:hint="default"/>
                <w:sz w:val="18"/>
                <w:szCs w:val="18"/>
              </w:rPr>
              <w:t>争、关联交 易、资金占 用方面的承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98"/>
              <w:jc w:val="left"/>
              <w:rPr>
                <w:rFonts w:ascii="宋体" w:hAnsi="宋体" w:cs="宋体" w:eastAsia="宋体" w:hint="default"/>
                <w:sz w:val="18"/>
                <w:szCs w:val="18"/>
              </w:rPr>
            </w:pPr>
            <w:r>
              <w:rPr>
                <w:rFonts w:ascii="宋体" w:hAnsi="宋体" w:cs="宋体" w:eastAsia="宋体" w:hint="default"/>
                <w:sz w:val="18"/>
                <w:szCs w:val="18"/>
              </w:rPr>
              <w:t>拥有权益的公司均未生产、开发任何与创业软 件产品构成竞争或可能竞争的产品，未直接或 间接经营任何与创业软件经营的业务构成竞争 或可能竞争的业务，也未参与投资任何与创业 软件生产的产品或经营的业务构成竞争或可能 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、自本承诺签署之日起，本 人及所控制的公司和拥有权益的公司将不生 产、开发任何与创业软件产品构成竞争或可能 竞争的产品，不直接或间接经营任何与创业软 件经营的业务构成竞争或可能竞争的业务，不 参与投资任何与创业软件生产的产品或经营的 业务构成竞争或可能竞争的其他企业。</w:t>
            </w:r>
            <w:r>
              <w:rPr>
                <w:rFonts w:ascii="Times New Roman" w:hAnsi="Times New Roman" w:cs="Times New Roman" w:eastAsia="Times New Roman" w:hint="default"/>
                <w:sz w:val="18"/>
                <w:szCs w:val="18"/>
              </w:rPr>
              <w:t>3</w:t>
            </w:r>
            <w:r>
              <w:rPr>
                <w:rFonts w:ascii="宋体" w:hAnsi="宋体" w:cs="宋体" w:eastAsia="宋体" w:hint="default"/>
                <w:sz w:val="18"/>
                <w:szCs w:val="18"/>
              </w:rPr>
              <w:t>、自本 承诺签署之日起，如创业软件进一步拓展其产 品和业务范围，本人及所控制的公司和拥有权 益的公司将不与创业软件拓展后的产品和业务 相竞争；若与创业软件拓展后的产品和业务相 竞争，本人及所控制的公司和拥有权益的公司 将采取以下方式避免同业竞争：①停止生产或 经营相竞争的产品和业务；②将相竞争的业务 纳入创业软件经营；③向无关联关系的第三方 转让该业务。</w:t>
            </w:r>
            <w:r>
              <w:rPr>
                <w:rFonts w:ascii="Times New Roman" w:hAnsi="Times New Roman" w:cs="Times New Roman" w:eastAsia="Times New Roman" w:hint="default"/>
                <w:sz w:val="18"/>
                <w:szCs w:val="18"/>
              </w:rPr>
              <w:t>4</w:t>
            </w:r>
            <w:r>
              <w:rPr>
                <w:rFonts w:ascii="宋体" w:hAnsi="宋体" w:cs="宋体" w:eastAsia="宋体" w:hint="default"/>
                <w:sz w:val="18"/>
                <w:szCs w:val="18"/>
              </w:rPr>
              <w:t>、如本承诺未被遵守，本人将向 创业软件赔偿一切直接或间接损失。</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1961" w:hRule="exact"/>
        </w:trPr>
        <w:tc>
          <w:tcPr>
            <w:tcW w:w="1985"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周建新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自认购的创业软件新增股份在法定登记机构登 记于本人名下并上市之日起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 或者委托他人管理本人拥有的该等新增股份</w:t>
            </w:r>
          </w:p>
          <w:p>
            <w:pPr>
              <w:pStyle w:val="TableParagraph"/>
              <w:spacing w:line="316" w:lineRule="auto" w:before="24"/>
              <w:ind w:left="24" w:right="190"/>
              <w:jc w:val="both"/>
              <w:rPr>
                <w:rFonts w:ascii="宋体" w:hAnsi="宋体" w:cs="宋体" w:eastAsia="宋体" w:hint="default"/>
                <w:sz w:val="18"/>
                <w:szCs w:val="18"/>
              </w:rPr>
            </w:pPr>
            <w:r>
              <w:rPr>
                <w:rFonts w:ascii="宋体" w:hAnsi="宋体" w:cs="宋体" w:eastAsia="宋体" w:hint="default"/>
                <w:sz w:val="18"/>
                <w:szCs w:val="18"/>
              </w:rPr>
              <w:t>（若本人在实际转让上市公司股份前，上市公 司发生转增股本、送红股等除权行为的，则实 </w:t>
            </w:r>
            <w:r>
              <w:rPr>
                <w:rFonts w:ascii="宋体" w:hAnsi="宋体" w:cs="宋体" w:eastAsia="宋体" w:hint="default"/>
                <w:spacing w:val="-6"/>
                <w:sz w:val="18"/>
                <w:szCs w:val="18"/>
              </w:rPr>
              <w:t>际可转让股份数将进行相应调整）。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60"/>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504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3" w:right="45"/>
              <w:jc w:val="both"/>
              <w:rPr>
                <w:rFonts w:ascii="宋体" w:hAnsi="宋体" w:cs="宋体" w:eastAsia="宋体" w:hint="default"/>
                <w:sz w:val="18"/>
                <w:szCs w:val="18"/>
              </w:rPr>
            </w:pPr>
            <w:r>
              <w:rPr>
                <w:rFonts w:ascii="宋体" w:hAnsi="宋体" w:cs="宋体" w:eastAsia="宋体" w:hint="default"/>
                <w:sz w:val="18"/>
                <w:szCs w:val="18"/>
              </w:rPr>
              <w:t>杭州铜粟 投资管理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杭州鑫粟 投资管理 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、鑫粟投资、铜粟投资若在取得本次发行的股 份时，持有博泰服务股权时间超过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个月，则 其于本次发行中取得的上市公司股份自股份上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个月不得交易或转让。前述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 月期限届满后，具体的解锁期间及解锁比例如 </w:t>
            </w:r>
            <w:r>
              <w:rPr>
                <w:rFonts w:ascii="宋体" w:hAnsi="宋体" w:cs="宋体" w:eastAsia="宋体" w:hint="default"/>
                <w:spacing w:val="-7"/>
                <w:sz w:val="18"/>
                <w:szCs w:val="18"/>
              </w:rPr>
              <w:t>下：（</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）自股份上市之日起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个月届满，且依</w:t>
            </w:r>
          </w:p>
          <w:p>
            <w:pPr>
              <w:pStyle w:val="TableParagraph"/>
              <w:spacing w:line="309" w:lineRule="auto" w:before="7"/>
              <w:ind w:left="24" w:right="55"/>
              <w:jc w:val="left"/>
              <w:rPr>
                <w:rFonts w:ascii="宋体" w:hAnsi="宋体" w:cs="宋体" w:eastAsia="宋体" w:hint="default"/>
                <w:sz w:val="18"/>
                <w:szCs w:val="18"/>
              </w:rPr>
            </w:pPr>
            <w:r>
              <w:rPr>
                <w:rFonts w:ascii="宋体" w:hAnsi="宋体" w:cs="宋体" w:eastAsia="宋体" w:hint="default"/>
                <w:sz w:val="18"/>
                <w:szCs w:val="18"/>
              </w:rPr>
              <w:t>据《利润补偿协议》达到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年度利润承诺， 在具备证券期货从业资格的审计机构出具相应 年度博泰服务利润承诺实现情况的《年度专项 审核报告》后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个工作日起，可转让或交易不 超过其于本次发行中取得的上市公司股份数量 的</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）自股份上市之日起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个月届满，</w:t>
            </w:r>
            <w:r>
              <w:rPr>
                <w:rFonts w:ascii="宋体" w:hAnsi="宋体" w:cs="宋体" w:eastAsia="宋体" w:hint="default"/>
                <w:spacing w:val="-88"/>
                <w:sz w:val="18"/>
                <w:szCs w:val="18"/>
              </w:rPr>
              <w:t> </w:t>
            </w:r>
            <w:r>
              <w:rPr>
                <w:rFonts w:ascii="宋体" w:hAnsi="宋体" w:cs="宋体" w:eastAsia="宋体" w:hint="default"/>
                <w:sz w:val="18"/>
                <w:szCs w:val="18"/>
              </w:rPr>
              <w:t>且依据《利润补偿协议》达到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年度利润承 诺，在具备证券期货从业资格的审计机构出具 相应年度博泰服务利润承诺实现情况的《年度 专项审核报告》后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个工作日起，新增可转让</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4"/>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60"/>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6"/>
      </w:tblGrid>
      <w:tr>
        <w:trPr>
          <w:trHeight w:val="785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175"/>
              <w:jc w:val="both"/>
              <w:rPr>
                <w:rFonts w:ascii="宋体" w:hAnsi="宋体" w:cs="宋体" w:eastAsia="宋体" w:hint="default"/>
                <w:sz w:val="18"/>
                <w:szCs w:val="18"/>
              </w:rPr>
            </w:pPr>
            <w:r>
              <w:rPr>
                <w:rFonts w:ascii="宋体" w:hAnsi="宋体" w:cs="宋体" w:eastAsia="宋体" w:hint="default"/>
                <w:sz w:val="18"/>
                <w:szCs w:val="18"/>
              </w:rPr>
              <w:t>或交易不超过其于本次发行中取得的上市公司 股份数量的</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）利润承诺期届满，在具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备证券期货从业资格的审计机构出具相应年度 博泰服务利润承诺实现情况的《利润承诺期专 项审核报告》以及对标的资产进行减值测试的</w:t>
            </w:r>
          </w:p>
          <w:p>
            <w:pPr>
              <w:pStyle w:val="TableParagraph"/>
              <w:spacing w:line="309" w:lineRule="auto" w:before="20"/>
              <w:ind w:left="24" w:right="50"/>
              <w:jc w:val="left"/>
              <w:rPr>
                <w:rFonts w:ascii="宋体" w:hAnsi="宋体" w:cs="宋体" w:eastAsia="宋体" w:hint="default"/>
                <w:sz w:val="18"/>
                <w:szCs w:val="18"/>
              </w:rPr>
            </w:pPr>
            <w:r>
              <w:rPr>
                <w:rFonts w:ascii="宋体" w:hAnsi="宋体" w:cs="宋体" w:eastAsia="宋体" w:hint="default"/>
                <w:sz w:val="18"/>
                <w:szCs w:val="18"/>
              </w:rPr>
              <w:t>《减值测试报告》后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个工作日起，且以履行 了《利润补偿协议》的利润补偿和标的资产减 值测试所需补偿义务为前提，余下其于本次发 行中取得的上市公司股份可以转让或交易。</w:t>
            </w:r>
            <w:r>
              <w:rPr>
                <w:rFonts w:ascii="Times New Roman" w:hAnsi="Times New Roman" w:cs="Times New Roman" w:eastAsia="Times New Roman" w:hint="default"/>
                <w:sz w:val="18"/>
                <w:szCs w:val="18"/>
              </w:rPr>
              <w:t>2</w:t>
            </w:r>
            <w:r>
              <w:rPr>
                <w:rFonts w:ascii="宋体" w:hAnsi="宋体" w:cs="宋体" w:eastAsia="宋体" w:hint="default"/>
                <w:sz w:val="18"/>
                <w:szCs w:val="18"/>
              </w:rPr>
              <w:t>、 鑫粟投资、铜粟投资若在取得本次发行的股份 时，持有博泰服务股权时间未超过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个月，则 股份锁定期为其于本次发行中取得的上市公司 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个月。自股份上市之日起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个月届满，在具备证券期货从业资格的审计机 构出具相应年度博泰服务利润承诺实现情况的</w:t>
            </w:r>
          </w:p>
          <w:p>
            <w:pPr>
              <w:pStyle w:val="TableParagraph"/>
              <w:spacing w:line="316" w:lineRule="auto" w:before="24"/>
              <w:ind w:left="24" w:right="96"/>
              <w:jc w:val="left"/>
              <w:rPr>
                <w:rFonts w:ascii="宋体" w:hAnsi="宋体" w:cs="宋体" w:eastAsia="宋体" w:hint="default"/>
                <w:sz w:val="18"/>
                <w:szCs w:val="18"/>
              </w:rPr>
            </w:pPr>
            <w:r>
              <w:rPr>
                <w:rFonts w:ascii="宋体" w:hAnsi="宋体" w:cs="宋体" w:eastAsia="宋体" w:hint="default"/>
                <w:sz w:val="18"/>
                <w:szCs w:val="18"/>
              </w:rPr>
              <w:t>《利润承诺期专项审核报告》以及对标的资产 进行减值测试的《减值测试报告》后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 日起，且以履行了《利润补偿协议》的利润补 偿和标的资产减值测试所需补偿义务为前提， 其于本次发行中取得的上市公司股份可以转让 或交易。本次交易中发行的上市公司新增股份 的限售期最终由创业软件股东大会授权董事会 根据相关法律法规的规定及主管部门审核的要 求进行确定，但应当事先取得承诺人书面同 意。</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1985"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3" w:right="45"/>
              <w:jc w:val="both"/>
              <w:rPr>
                <w:rFonts w:ascii="宋体" w:hAnsi="宋体" w:cs="宋体" w:eastAsia="宋体" w:hint="default"/>
                <w:sz w:val="18"/>
                <w:szCs w:val="18"/>
              </w:rPr>
            </w:pPr>
            <w:r>
              <w:rPr>
                <w:rFonts w:ascii="宋体" w:hAnsi="宋体" w:cs="宋体" w:eastAsia="宋体" w:hint="default"/>
                <w:sz w:val="18"/>
                <w:szCs w:val="18"/>
              </w:rPr>
              <w:t>杭州铜粟 投资管理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杭州鑫粟 投资管理 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5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博泰服务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12" w:lineRule="auto" w:before="63"/>
              <w:ind w:left="24" w:right="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年度简称</w:t>
            </w:r>
            <w:r>
              <w:rPr>
                <w:rFonts w:ascii="Times New Roman" w:hAnsi="Times New Roman" w:cs="Times New Roman" w:eastAsia="Times New Roman" w:hint="default"/>
                <w:sz w:val="18"/>
                <w:szCs w:val="18"/>
              </w:rPr>
              <w:t>“</w:t>
            </w:r>
            <w:r>
              <w:rPr>
                <w:rFonts w:ascii="宋体" w:hAnsi="宋体" w:cs="宋体" w:eastAsia="宋体" w:hint="default"/>
                <w:sz w:val="18"/>
                <w:szCs w:val="18"/>
              </w:rPr>
              <w:t>利润承诺期间</w:t>
            </w:r>
            <w:r>
              <w:rPr>
                <w:rFonts w:ascii="Times New Roman" w:hAnsi="Times New Roman" w:cs="Times New Roman" w:eastAsia="Times New Roman" w:hint="default"/>
                <w:sz w:val="18"/>
                <w:szCs w:val="18"/>
              </w:rPr>
              <w:t>/</w:t>
            </w:r>
            <w:r>
              <w:rPr>
                <w:rFonts w:ascii="宋体" w:hAnsi="宋体" w:cs="宋体" w:eastAsia="宋体" w:hint="default"/>
                <w:sz w:val="18"/>
                <w:szCs w:val="18"/>
              </w:rPr>
              <w:t>利润补偿 期间</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9,950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万元，上述三个年度累计承诺净利 润总和不低于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万元。净利润是指经审计 合并报表中扣除非经常性损益后的归属于母公 司所有者的净利润。本次交易实施完成后，上 市公司将分别在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年度结束时，聘请 具有证券期货业务资格的会计师事务所对博泰 服务相应年度实际实现的净利润进行专项审计 </w:t>
            </w:r>
            <w:r>
              <w:rPr>
                <w:rFonts w:ascii="宋体" w:hAnsi="宋体" w:cs="宋体" w:eastAsia="宋体" w:hint="default"/>
                <w:spacing w:val="-6"/>
                <w:sz w:val="18"/>
                <w:szCs w:val="18"/>
              </w:rPr>
              <w:t>并出具《年度专项审核报告》；在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年度结 束时，聘请具有证券期货业务资格的会计师事 务所对博泰服务在利润承诺期内实际实现的净 利润进行专项审计并出具《利润承诺期专项审 </w:t>
            </w:r>
            <w:r>
              <w:rPr>
                <w:rFonts w:ascii="宋体" w:hAnsi="宋体" w:cs="宋体" w:eastAsia="宋体" w:hint="default"/>
                <w:spacing w:val="-5"/>
                <w:sz w:val="18"/>
                <w:szCs w:val="18"/>
              </w:rPr>
              <w:t>核报告》。协议双方以此确定博泰服务在相应年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度实现的净利润数和利润补偿期内累计实现的 净利润数。</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2"/>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60"/>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675"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杭州铜粟 投资管理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一、关于避免同业竞争的承诺</w:t>
            </w:r>
            <w:r>
              <w:rPr>
                <w:rFonts w:ascii="宋体" w:hAnsi="宋体" w:cs="宋体" w:eastAsia="宋体" w:hint="default"/>
                <w:spacing w:val="1"/>
                <w:sz w:val="18"/>
                <w:szCs w:val="18"/>
              </w:rPr>
              <w:t> </w:t>
            </w:r>
            <w:r>
              <w:rPr>
                <w:rFonts w:ascii="宋体" w:hAnsi="宋体" w:cs="宋体" w:eastAsia="宋体" w:hint="default"/>
                <w:sz w:val="18"/>
                <w:szCs w:val="18"/>
              </w:rPr>
              <w:t>本承诺人现就有</w:t>
            </w:r>
            <w:r>
              <w:rPr>
                <w:rFonts w:ascii="宋体" w:hAnsi="宋体" w:cs="宋体" w:eastAsia="宋体" w:hint="default"/>
                <w:sz w:val="18"/>
                <w:szCs w:val="18"/>
              </w:rPr>
              <w:t> 关避免同业竞争事宜作出确认、承诺和保证如</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6"/>
      </w:tblGrid>
      <w:tr>
        <w:trPr>
          <w:trHeight w:val="1374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45"/>
              <w:jc w:val="both"/>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杭州鑫粟 投资管理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周建新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9"/>
              <w:jc w:val="both"/>
              <w:rPr>
                <w:rFonts w:ascii="宋体" w:hAnsi="宋体" w:cs="宋体" w:eastAsia="宋体" w:hint="default"/>
                <w:sz w:val="18"/>
                <w:szCs w:val="18"/>
              </w:rPr>
            </w:pPr>
            <w:r>
              <w:rPr>
                <w:rFonts w:ascii="宋体" w:hAnsi="宋体" w:cs="宋体" w:eastAsia="宋体" w:hint="default"/>
                <w:sz w:val="18"/>
                <w:szCs w:val="18"/>
              </w:rPr>
              <w:t>易、资金占 用方面的承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48"/>
              <w:jc w:val="left"/>
              <w:rPr>
                <w:rFonts w:ascii="宋体" w:hAnsi="宋体" w:cs="宋体" w:eastAsia="宋体" w:hint="default"/>
                <w:sz w:val="18"/>
                <w:szCs w:val="18"/>
              </w:rPr>
            </w:pPr>
            <w:r>
              <w:rPr>
                <w:rFonts w:ascii="宋体" w:hAnsi="宋体" w:cs="宋体" w:eastAsia="宋体" w:hint="default"/>
                <w:sz w:val="18"/>
                <w:szCs w:val="18"/>
              </w:rPr>
              <w:t>下：</w:t>
            </w:r>
            <w:r>
              <w:rPr>
                <w:rFonts w:ascii="Times New Roman" w:hAnsi="Times New Roman" w:cs="Times New Roman" w:eastAsia="Times New Roman" w:hint="default"/>
                <w:sz w:val="18"/>
                <w:szCs w:val="18"/>
              </w:rPr>
              <w:t>1</w:t>
            </w:r>
            <w:r>
              <w:rPr>
                <w:rFonts w:ascii="宋体" w:hAnsi="宋体" w:cs="宋体" w:eastAsia="宋体" w:hint="default"/>
                <w:sz w:val="18"/>
                <w:szCs w:val="18"/>
              </w:rPr>
              <w:t>、博泰服务与上市公司重组后，非经上市 公司董事会和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或股东大会书面同意，本公司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人不单独或与他人，以任何形式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 投资、并购、联营、合资、合作、合伙、承包 或租赁经营、参股</w:t>
            </w:r>
            <w:r>
              <w:rPr>
                <w:rFonts w:ascii="Times New Roman" w:hAnsi="Times New Roman" w:cs="Times New Roman" w:eastAsia="Times New Roman" w:hint="default"/>
                <w:sz w:val="18"/>
                <w:szCs w:val="18"/>
              </w:rPr>
              <w:t>)</w:t>
            </w:r>
            <w:r>
              <w:rPr>
                <w:rFonts w:ascii="宋体" w:hAnsi="宋体" w:cs="宋体" w:eastAsia="宋体" w:hint="default"/>
                <w:sz w:val="18"/>
                <w:szCs w:val="18"/>
              </w:rPr>
              <w:t>直接或间接从事或参与或协 助从事或参与任何与博泰服务及其控制的企业 目前及今后进行的金融自助设备维保业务构成 或可能构成竞争的业务或活动；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、博泰服务与 上市公司重组后，本公司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本人承诺将不会以任 何形式支持上市公司、博泰服务及其控制的企 业以外的他人从事与上市公司、博泰服务及其 控制的企业目前及今后进行的金融自助设备维 保业务构成或可能构成竞争的业务及以其他方 式参与（不论直接或间接）任何与上市公司、 博泰服务及其控制的企业目前及今后进行的金 融自助设备维保业务构成竞争或可能构成竞争 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、博泰服务与上市公司重组 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本人如有任何与博泰服务金融自助 设备维保的竞争性业务机会，应立即通知上市 公司，并将在本公司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本人合法权利范围内竭尽 全力地首先促使该业务机会以不亚于提供给本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本人的条件提供给上市公司；</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本人将充分尊重上市公司及博泰服务的独立法 人地位，保障上市公司、博泰服务及其控制的 企业的独立经营、自主决策；</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 诺不以现在于博泰服务任职职位或未来可能于 上市公司所任职位便利谋求不正当利益，进而 损害上市公司、博泰服务其他股东的权益。如 因本公司或本公司控制</w:t>
            </w:r>
            <w:r>
              <w:rPr>
                <w:rFonts w:ascii="Times New Roman" w:hAnsi="Times New Roman" w:cs="Times New Roman" w:eastAsia="Times New Roman" w:hint="default"/>
                <w:sz w:val="18"/>
                <w:szCs w:val="18"/>
              </w:rPr>
              <w:t>/</w:t>
            </w:r>
            <w:r>
              <w:rPr>
                <w:rFonts w:ascii="宋体" w:hAnsi="宋体" w:cs="宋体" w:eastAsia="宋体" w:hint="default"/>
                <w:sz w:val="18"/>
                <w:szCs w:val="18"/>
              </w:rPr>
              <w:t>本人或本人控制的其他 企业违反上述声明与承诺而导致上市公司、博 泰服务及其控制的企业的权益受到损害的，本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本人将对因违反承诺给上市公司、博泰服 务造成的损失，以现金形式进行充分赔偿；</w:t>
            </w:r>
            <w:r>
              <w:rPr>
                <w:rFonts w:ascii="Times New Roman" w:hAnsi="Times New Roman" w:cs="Times New Roman" w:eastAsia="Times New Roman" w:hint="default"/>
                <w:sz w:val="18"/>
                <w:szCs w:val="18"/>
              </w:rPr>
              <w:t>6</w:t>
            </w:r>
            <w:r>
              <w:rPr>
                <w:rFonts w:ascii="宋体" w:hAnsi="宋体" w:cs="宋体" w:eastAsia="宋体" w:hint="default"/>
                <w:sz w:val="18"/>
                <w:szCs w:val="18"/>
              </w:rPr>
              <w:t>、 本承诺自签署之日起生效，生效后即构成对本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本人有约束力的法律文件。如违反本承 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本人愿意承担法律责任；</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 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本人直接或间接持有上市公司股份期 间内持续有效且不可变更或撤销。二、关于减 少和规范关联交易的承诺</w:t>
            </w:r>
            <w:r>
              <w:rPr>
                <w:rFonts w:ascii="宋体" w:hAnsi="宋体" w:cs="宋体" w:eastAsia="宋体" w:hint="default"/>
                <w:spacing w:val="89"/>
                <w:sz w:val="18"/>
                <w:szCs w:val="18"/>
              </w:rPr>
              <w:t> </w:t>
            </w:r>
            <w:r>
              <w:rPr>
                <w:rFonts w:ascii="宋体" w:hAnsi="宋体" w:cs="宋体" w:eastAsia="宋体" w:hint="default"/>
                <w:sz w:val="18"/>
                <w:szCs w:val="18"/>
              </w:rPr>
              <w:t>为减少并规范本承</w:t>
            </w:r>
            <w:r>
              <w:rPr>
                <w:rFonts w:ascii="宋体" w:hAnsi="宋体" w:cs="宋体" w:eastAsia="宋体" w:hint="default"/>
                <w:sz w:val="18"/>
                <w:szCs w:val="18"/>
              </w:rPr>
              <w:t> 诺人及所控制的企业与创业软件之间的关联交 易，本承诺人现作出确认、承诺和保证如下：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本公司控制的企业（如 有）与上市公司及其控股子公司之间已存在及 将来不可避免发生的关联交易事项，保证遵循</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行</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6"/>
      </w:tblGrid>
      <w:tr>
        <w:trPr>
          <w:trHeight w:val="1315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市场交易的公平原则即正常的商业条款与上市 公司及其控股子公司发生交易。如未按市场交 易的公平原则与上市公司及其控股子公司发生 交易，而给上市公司及其控股子公司造成损失 或已经造成损失，由本人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本公司承担赔偿责 任；</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本公司将善意履行作为上市公司股 东的义务，充分尊重上市公司的独立法人地 位，保障上市公司独立经营、自主决策。本人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本公司将严格按照中国《公司法》以及上市公 司的公司章程的规定，促使经本人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本公司提名 的上市公司董事（如有）依法履行其应尽的诚 信和勤勉责任；</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司控股或实际控制的其他公司或者其他企业或 经济组织（以下统称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本公司的关联企 </w:t>
            </w:r>
            <w:r>
              <w:rPr>
                <w:rFonts w:ascii="宋体" w:hAnsi="宋体" w:cs="宋体" w:eastAsia="宋体" w:hint="default"/>
                <w:spacing w:val="-5"/>
                <w:w w:val="100"/>
                <w:sz w:val="18"/>
                <w:szCs w:val="18"/>
              </w:rPr>
              <w:t>业</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，如有），将来尽可能避免与上市公司发生关</w:t>
            </w:r>
            <w:r>
              <w:rPr>
                <w:rFonts w:ascii="宋体" w:hAnsi="宋体" w:cs="宋体" w:eastAsia="宋体" w:hint="default"/>
                <w:spacing w:val="-72"/>
                <w:w w:val="100"/>
                <w:sz w:val="18"/>
                <w:szCs w:val="18"/>
              </w:rPr>
              <w:t> </w:t>
            </w:r>
            <w:r>
              <w:rPr>
                <w:rFonts w:ascii="宋体" w:hAnsi="宋体" w:cs="宋体" w:eastAsia="宋体" w:hint="default"/>
                <w:spacing w:val="-72"/>
                <w:w w:val="100"/>
                <w:sz w:val="18"/>
                <w:szCs w:val="18"/>
              </w:rPr>
            </w:r>
            <w:r>
              <w:rPr>
                <w:rFonts w:ascii="宋体" w:hAnsi="宋体" w:cs="宋体" w:eastAsia="宋体" w:hint="default"/>
                <w:sz w:val="18"/>
                <w:szCs w:val="18"/>
              </w:rPr>
              <w:t>联交易；</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本公司的关联 企业承诺不以借款、代偿债务、代垫款项或者 其他方式占用上市公司资金，也不要求上市公 司为本人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本公司的关联企业进行 违规担保；</w:t>
            </w:r>
            <w:r>
              <w:rPr>
                <w:rFonts w:ascii="Times New Roman" w:hAnsi="Times New Roman" w:cs="Times New Roman" w:eastAsia="Times New Roman" w:hint="default"/>
                <w:sz w:val="18"/>
                <w:szCs w:val="18"/>
              </w:rPr>
              <w:t>5</w:t>
            </w:r>
            <w:r>
              <w:rPr>
                <w:rFonts w:ascii="宋体" w:hAnsi="宋体" w:cs="宋体" w:eastAsia="宋体" w:hint="default"/>
                <w:sz w:val="18"/>
                <w:szCs w:val="18"/>
              </w:rPr>
              <w:t>、如果上市公司在今后的经营活动 中必须与本人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本公司的关联企业 发生不可避免的关联交易，本人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本公司将促使 此等交易严格按照国家有关法律法规、上市公 司章程和上市公司的有关规定履行有关程序， 在上市公司股东大会对关联交易进行表决时，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本公司严格履行回避表决的义务；与上市 公司依法签订协议，及时进行信息披露；保证 按照正常的商业条件进行，且本人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本公司的关联企业将不会要求或接受上市公 司给予比在任何一项市场公平交易中第三者更 优惠的条件，保证不通过关联交易损害上市公 司及其他股东的合法权益；</w:t>
            </w:r>
            <w:r>
              <w:rPr>
                <w:rFonts w:ascii="Times New Roman" w:hAnsi="Times New Roman" w:cs="Times New Roman" w:eastAsia="Times New Roman" w:hint="default"/>
                <w:sz w:val="18"/>
                <w:szCs w:val="18"/>
              </w:rPr>
              <w:t>6</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本公司的关联企业将严格和善意地履行其与 上市公司签订的各种关联交易协议。本人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本公司的关联企业将不会向上市公司 谋求任何超出上述协议规定以外的利益或收 益；</w:t>
            </w:r>
            <w:r>
              <w:rPr>
                <w:rFonts w:ascii="Times New Roman" w:hAnsi="Times New Roman" w:cs="Times New Roman" w:eastAsia="Times New Roman" w:hint="default"/>
                <w:sz w:val="18"/>
                <w:szCs w:val="18"/>
              </w:rPr>
              <w:t>7</w:t>
            </w:r>
            <w:r>
              <w:rPr>
                <w:rFonts w:ascii="宋体" w:hAnsi="宋体" w:cs="宋体" w:eastAsia="宋体" w:hint="default"/>
                <w:sz w:val="18"/>
                <w:szCs w:val="18"/>
              </w:rPr>
              <w:t>、如违反上述承诺给上市公司造成损失，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本公司将向上市公司作出赔偿。三、关于 不存在资金占用情形的承诺 博泰服务实际控 制人周建新承诺：截至本承诺出具日，本人及 本人控制的其他企业不存在对杭州博泰信息技 术服务有限公司非经营性资金占用的情形。</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限售锁定承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98"/>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 委托他人管理本人直接或间接持有的创业软件</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8"/>
      </w:tblGrid>
      <w:tr>
        <w:trPr>
          <w:trHeight w:val="504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7"/>
              <w:jc w:val="left"/>
              <w:rPr>
                <w:rFonts w:ascii="宋体" w:hAnsi="宋体" w:cs="宋体" w:eastAsia="宋体" w:hint="default"/>
                <w:sz w:val="18"/>
                <w:szCs w:val="18"/>
              </w:rPr>
            </w:pPr>
            <w:r>
              <w:rPr>
                <w:rFonts w:ascii="宋体" w:hAnsi="宋体" w:cs="宋体" w:eastAsia="宋体" w:hint="default"/>
                <w:sz w:val="18"/>
                <w:szCs w:val="18"/>
              </w:rPr>
              <w:t>公开发行股票前已发行的股份，也不由创业软 件回购上述股份。创业软件上市后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公司股票价格连续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个交易日的收盘价（如因 派息、送股、资本公积金转增股本、增发新股 等原因除权、除息的，则须按照深圳证券交易 所的有关规定进行调整，下同）均低于发行 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 价，本人所持创业软件的股票的锁定期限自动 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个月。上述承诺期满后，本人在担任创 业软件董事、监事或高级管理人员期间，每年 转让的股份不超过本人直接或间接持有的创业 软件股份总数的百分之二十五；若今后从创业 软件离职，离职后半年内，不转让本人直接或 间接持有的创业软件股份。在上述承诺履行期 间，本人职务变更、离职等原因不影响本承诺 的效力。</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985"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杭州阜康 投资有限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59"/>
              <w:jc w:val="left"/>
              <w:rPr>
                <w:rFonts w:ascii="宋体" w:hAnsi="宋体" w:cs="宋体" w:eastAsia="宋体" w:hint="default"/>
                <w:sz w:val="18"/>
                <w:szCs w:val="18"/>
              </w:rPr>
            </w:pPr>
            <w:r>
              <w:rPr>
                <w:rFonts w:ascii="宋体" w:hAnsi="宋体" w:cs="宋体" w:eastAsia="宋体" w:hint="default"/>
                <w:sz w:val="18"/>
                <w:szCs w:val="18"/>
              </w:rPr>
              <w:t>限售锁定承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 委托他人管理本公司持有的创业软件公开发行 股票前已发行的股份，也不由创业软件回购上 述股份。创业软件上市后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价格连续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或者上市后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个月期末收盘价低于发行价，本</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公司所持创业软件的股票的锁定期限自动延长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5396" w:hRule="exact"/>
        </w:trPr>
        <w:tc>
          <w:tcPr>
            <w:tcW w:w="1985"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杭州阜康 投资有限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、本公司将严格遵守公司本次发行上市前其做 出的股份限售安排和自愿锁定的承诺，在锁定 期满后两年内进行减持的，合计减持数量不超 过公司本次发行上市时本公司所持公司股份的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、本公司在锁定期满后两年内进行减持 时，减持价格不低于本次公开发行股票的发行 价格。</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、本公司在减持创业软件股份前，应提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个交易日公告，并按照深圳证券交易所的 规则及时、准确、完整地履行信息披露义务。 </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、本公司将根据相关法律法规及深圳证券交易 所规则，结合证券市场情况、公司股票走势及 公开信息、承诺人需要等情况，自主决策、择 机进行减持。</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、本公司在减持创业软件股份时 应符合相关法律法规及深圳证券交易所的相关 规则要求，减持方式包括但不限于交易所集中 竞价交易方式、大宗交易方式、协议转让方式 等。</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71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、本人将严格遵守公司本次发行上市前其做出 的股份限售安排和自愿锁定的承诺，在锁定期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8"/>
      </w:tblGrid>
      <w:tr>
        <w:trPr>
          <w:trHeight w:val="660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满后两年内进行减持的，合计减持数量不超过 公司本次发行上市时本人所持公司股份的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p>
            <w:pPr>
              <w:pStyle w:val="TableParagraph"/>
              <w:spacing w:line="312" w:lineRule="auto"/>
              <w:ind w:left="24" w:right="96"/>
              <w:jc w:val="left"/>
              <w:rPr>
                <w:rFonts w:ascii="宋体" w:hAnsi="宋体" w:cs="宋体" w:eastAsia="宋体" w:hint="default"/>
                <w:sz w:val="18"/>
                <w:szCs w:val="18"/>
              </w:rPr>
            </w:pPr>
            <w:r>
              <w:rPr>
                <w:rFonts w:ascii="宋体" w:hAnsi="宋体" w:cs="宋体" w:eastAsia="宋体" w:hint="default"/>
                <w:sz w:val="18"/>
                <w:szCs w:val="18"/>
              </w:rPr>
              <w:t>（如因送股、资本公积金转增股本的，则须按 照深圳证券交易所的有关规定进行调整，下 </w:t>
            </w:r>
            <w:r>
              <w:rPr>
                <w:rFonts w:ascii="宋体" w:hAnsi="宋体" w:cs="宋体" w:eastAsia="宋体" w:hint="default"/>
                <w:spacing w:val="-5"/>
                <w:sz w:val="18"/>
                <w:szCs w:val="18"/>
              </w:rPr>
              <w:t>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、本人在锁定期满后两年内进行减持</w:t>
            </w:r>
            <w:r>
              <w:rPr>
                <w:rFonts w:ascii="宋体" w:hAnsi="宋体" w:cs="宋体" w:eastAsia="宋体" w:hint="default"/>
                <w:spacing w:val="-81"/>
                <w:sz w:val="18"/>
                <w:szCs w:val="18"/>
              </w:rPr>
              <w:t> </w:t>
            </w:r>
            <w:r>
              <w:rPr>
                <w:rFonts w:ascii="宋体" w:hAnsi="宋体" w:cs="宋体" w:eastAsia="宋体" w:hint="default"/>
                <w:sz w:val="18"/>
                <w:szCs w:val="18"/>
              </w:rPr>
              <w:t>时，减持价格（如因派息、送股、资本公积金 转增股本、增发新股等原因除权、除息的，则 须按照深圳证券交易所的有关规定进行调整， 下同）不低于本次公开发行股票的发行价格。 </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、本人在减持公司股份前，应提前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公告，并按照深圳证券交易所的规则及时、准 确、完整地履行信息披露义务。</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、本人将根据 相关法律法规及深圳证券交易所规则，结合证 券市场情况、公司股票走势及公开信息、承诺 人需要等情况，自主决策、择机进行减持。</w:t>
            </w:r>
            <w:r>
              <w:rPr>
                <w:rFonts w:ascii="Times New Roman" w:hAnsi="Times New Roman" w:cs="Times New Roman" w:eastAsia="Times New Roman" w:hint="default"/>
                <w:sz w:val="18"/>
                <w:szCs w:val="18"/>
              </w:rPr>
              <w:t>5</w:t>
            </w:r>
            <w:r>
              <w:rPr>
                <w:rFonts w:ascii="宋体" w:hAnsi="宋体" w:cs="宋体" w:eastAsia="宋体" w:hint="default"/>
                <w:sz w:val="18"/>
                <w:szCs w:val="18"/>
              </w:rPr>
              <w:t>、 本人在减持公司股份时应符合相关法律法规及 深圳证券交易所的相关规则要求，减持方式包 括但不限于交易所集中竞价交易方式、大宗交 易方式、协议转让方式等。</w:t>
            </w:r>
            <w:r>
              <w:rPr>
                <w:rFonts w:ascii="Times New Roman" w:hAnsi="Times New Roman" w:cs="Times New Roman" w:eastAsia="Times New Roman" w:hint="default"/>
                <w:sz w:val="18"/>
                <w:szCs w:val="18"/>
              </w:rPr>
              <w:t>6</w:t>
            </w:r>
            <w:r>
              <w:rPr>
                <w:rFonts w:ascii="宋体" w:hAnsi="宋体" w:cs="宋体" w:eastAsia="宋体" w:hint="default"/>
                <w:sz w:val="18"/>
                <w:szCs w:val="18"/>
              </w:rPr>
              <w:t>、在上述承诺履行 期间，本人职务变更、离职等原因不影响承诺 的效力。</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4"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、截至本承诺函出具之日，除已经披露的情形 外，本人（包括本人所控制的公司）与发行人 之间不存在其他关联交易。本人不利用实际控 制人的地位影响发行人的独立性、故意促使发 行人对与本人（包括本人所控制的公司）的任 何关联交易采取任何行动、故意促使发行人的 股东大会或董事会作出侵犯其他股东合法权益 的决议。如果发行人必须与本人（包括本人所 控制的公司）发生任何关联交易，则本人承诺 将促使上述交易按照公平合理和正常商业交易 的条件进行。本人（包括本人所控制的公司） 将不会要求或接受发行人给予比在任何一项市 场公平交易中第三者更优惠的条件。</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（包括本人所控制的公司）将严格和善意地履 行与发行人签订的各种关联交易协议。本人</w:t>
            </w:r>
          </w:p>
          <w:p>
            <w:pPr>
              <w:pStyle w:val="TableParagraph"/>
              <w:spacing w:line="312" w:lineRule="auto" w:before="19"/>
              <w:ind w:left="24" w:right="98"/>
              <w:jc w:val="left"/>
              <w:rPr>
                <w:rFonts w:ascii="宋体" w:hAnsi="宋体" w:cs="宋体" w:eastAsia="宋体" w:hint="default"/>
                <w:sz w:val="18"/>
                <w:szCs w:val="18"/>
              </w:rPr>
            </w:pPr>
            <w:r>
              <w:rPr>
                <w:rFonts w:ascii="宋体" w:hAnsi="宋体" w:cs="宋体" w:eastAsia="宋体" w:hint="default"/>
                <w:sz w:val="18"/>
                <w:szCs w:val="18"/>
              </w:rPr>
              <w:t>（包括本人所控制的公司）承诺将不会向发行 人谋求任何超出上述协议规定以外的利益或收 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、本人对上述承诺的真实性及合法性负全 部法律责任，如果本人（包括本人所控制的公 司）违反上述声明、保证与承诺，并造成发行 人经济损失的，本人同意赔偿相应的损失。</w:t>
            </w:r>
            <w:r>
              <w:rPr>
                <w:rFonts w:ascii="Times New Roman" w:hAnsi="Times New Roman" w:cs="Times New Roman" w:eastAsia="Times New Roman" w:hint="default"/>
                <w:sz w:val="18"/>
                <w:szCs w:val="18"/>
              </w:rPr>
              <w:t>4</w:t>
            </w:r>
            <w:r>
              <w:rPr>
                <w:rFonts w:ascii="宋体" w:hAnsi="宋体" w:cs="宋体" w:eastAsia="宋体" w:hint="default"/>
                <w:sz w:val="18"/>
                <w:szCs w:val="18"/>
              </w:rPr>
              <w:t>、 本承诺将持续有效，直至本人不再作为发行人 的实际控制人。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8"/>
      </w:tblGrid>
      <w:tr>
        <w:trPr>
          <w:trHeight w:val="7578"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4"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）在本承诺函签署之日，本人及所控制的公 司和拥有权益的公司均未生产、开发任何与创 业软件产品构成竞争或可能竞争的产品，未直 接或间接经营任何与创业软件经营的业务构成 竞争或可能竞争的业务，也未参与投资任何与 创业软件生产的产品或经营的业务构成竞争或 </w:t>
            </w:r>
            <w:r>
              <w:rPr>
                <w:rFonts w:ascii="宋体" w:hAnsi="宋体" w:cs="宋体" w:eastAsia="宋体" w:hint="default"/>
                <w:spacing w:val="-5"/>
                <w:sz w:val="18"/>
                <w:szCs w:val="18"/>
              </w:rPr>
              <w:t>可能竞争的其他企业。（</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）自本承诺函签署之</w:t>
            </w:r>
            <w:r>
              <w:rPr>
                <w:rFonts w:ascii="宋体" w:hAnsi="宋体" w:cs="宋体" w:eastAsia="宋体" w:hint="default"/>
                <w:spacing w:val="-76"/>
                <w:sz w:val="18"/>
                <w:szCs w:val="18"/>
              </w:rPr>
              <w:t> </w:t>
            </w:r>
            <w:r>
              <w:rPr>
                <w:rFonts w:ascii="宋体" w:hAnsi="宋体" w:cs="宋体" w:eastAsia="宋体" w:hint="default"/>
                <w:sz w:val="18"/>
                <w:szCs w:val="18"/>
              </w:rPr>
              <w:t>日起，本人及所控制的公司和拥有权益的公司 将不生产、开发任何与创业软件产品构成竞争 或可能竞争的产品，不直接或间接经营任何与 创业软件经营的业务构成竞争或可能竞争的业 务，不参与投资任何与创业软件生产的产品或 经营的业务构成竞争或可能竞争的其他企业。</w:t>
            </w:r>
          </w:p>
          <w:p>
            <w:pPr>
              <w:pStyle w:val="TableParagraph"/>
              <w:spacing w:line="314" w:lineRule="auto" w:before="20"/>
              <w:ind w:left="24" w:right="9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）自本承诺函签署之日起，如创业软件进一 步拓展其产品和业务范围，本人及所控制的公 司和拥有权益的公司将不与创业软件拓展后的 产品和业务相竞争；若与创业软件拓展后的产 品和业务相竞争，本人及所控制的公司和拥有 权益的公司将采取以下方式避免同业竞争：① 停止生产或经营相竞争的产品和业务；②将相 竞争的业务纳入创业软件经营；③向无关联关 </w:t>
            </w:r>
            <w:r>
              <w:rPr>
                <w:rFonts w:ascii="宋体" w:hAnsi="宋体" w:cs="宋体" w:eastAsia="宋体" w:hint="default"/>
                <w:spacing w:val="-5"/>
                <w:sz w:val="18"/>
                <w:szCs w:val="18"/>
              </w:rPr>
              <w:t>系的第三方转让该业务。（</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）如本承诺函未被</w:t>
            </w:r>
            <w:r>
              <w:rPr>
                <w:rFonts w:ascii="宋体" w:hAnsi="宋体" w:cs="宋体" w:eastAsia="宋体" w:hint="default"/>
                <w:spacing w:val="-76"/>
                <w:sz w:val="18"/>
                <w:szCs w:val="18"/>
              </w:rPr>
              <w:t> </w:t>
            </w:r>
            <w:r>
              <w:rPr>
                <w:rFonts w:ascii="宋体" w:hAnsi="宋体" w:cs="宋体" w:eastAsia="宋体" w:hint="default"/>
                <w:sz w:val="18"/>
                <w:szCs w:val="18"/>
              </w:rPr>
              <w:t>遵守，将向创业软件赔偿一切直接或间接损 失。</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r>
      <w:tr>
        <w:trPr>
          <w:trHeight w:val="6291"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创业软件 股份有限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7"/>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 价承诺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tabs>
                <w:tab w:pos="2097" w:val="left" w:leader="none"/>
              </w:tabs>
              <w:spacing w:line="316"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创业软件股份有限公司股票上市后三年内公司 股价低于每股净资产时股价稳定预案：一、启 动稳定股价措施的条件</w:t>
              <w:tab/>
              <w:t>公司自上市后三年 内，如出现连续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个交易日公司股票的收盘价</w:t>
            </w:r>
          </w:p>
          <w:p>
            <w:pPr>
              <w:pStyle w:val="TableParagraph"/>
              <w:tabs>
                <w:tab w:pos="2277" w:val="left" w:leader="none"/>
              </w:tabs>
              <w:spacing w:line="312" w:lineRule="auto"/>
              <w:ind w:left="24" w:right="89"/>
              <w:jc w:val="left"/>
              <w:rPr>
                <w:rFonts w:ascii="宋体" w:hAnsi="宋体" w:cs="宋体" w:eastAsia="宋体" w:hint="default"/>
                <w:sz w:val="18"/>
                <w:szCs w:val="18"/>
              </w:rPr>
            </w:pPr>
            <w:r>
              <w:rPr>
                <w:rFonts w:ascii="宋体" w:hAnsi="宋体" w:cs="宋体" w:eastAsia="宋体" w:hint="default"/>
                <w:sz w:val="18"/>
                <w:szCs w:val="18"/>
              </w:rPr>
              <w:t>（如因派息、送股、资本公积金转增股本、增 发新股等原因除权、除息的，则须按照深圳证 券交易所的有关规定进行调整，下同）均低于 公司最近一期经审计的每股净资产（每股净资 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合并财务报表中归属于母公司普通股股东权 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公司股份总数，下同）情形时，非因 不可抗力因素所致，则启动稳定股价的预案。 二、稳定股价的具体措施</w:t>
              <w:tab/>
              <w:t>公司将在启动稳定 股价措施的条件触发之日起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个交易日内与公 司控股股东、董事及高级管理人员协商确定稳 定股价的措施。公司及相关主体将采取以下措 施中的一项或多项稳定公司股价：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、公司回购 公司股票；</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、公司控股股东增持公司股票；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、公司董事、高级管理人员增持公司股票。</w:t>
            </w:r>
          </w:p>
          <w:p>
            <w:pPr>
              <w:pStyle w:val="TableParagraph"/>
              <w:tabs>
                <w:tab w:pos="2186" w:val="left" w:leader="none"/>
              </w:tabs>
              <w:spacing w:line="300" w:lineRule="auto" w:before="3"/>
              <w:ind w:left="24" w:right="18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、公司回购公司股票</w:t>
              <w:tab/>
              <w:t>如各方最终确定以 公司回购公司股票作为稳定股价的措施，则公</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7"/>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6"/>
      </w:tblGrid>
      <w:tr>
        <w:trPr>
          <w:trHeight w:val="315"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8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司将在符合相关法律、法规的规定且不应导致</w:t>
            </w:r>
          </w:p>
        </w:tc>
        <w:tc>
          <w:tcPr>
            <w:tcW w:w="71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公司股权分布不符合上市条件的前提下，向社</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会公众股东依法回购股份，回购价格不高于公</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司最近一期经审计的每股净资产。公司董事会</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应在启动稳定股价预案的条件触发之日起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交易日内，做出实施回购股份的决议。公司董</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事会应当在做出决议后及时公告董事会决议、</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回购股份预案，并发布召开股东大会的通知。</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公司股东大会对回购股份做出决议，须经出席</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会议的股东所持表决权的三分之二以上通过，</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公司控股股东承诺就该等回购事宜在股东大会</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中投赞成票。经股东大会决议决定实施回购</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的，公司将依法通知债权人，并向证券监督管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理部门、证券交易所等主管部门报送相关材</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料，办理审批或备案手续。公司回购公司股票</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应在履行完毕法律法规规定的程序后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日内实施完毕。单次实施回购股票完毕或终止</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后，本次回购的公司股票应在实施完毕或终止</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内注销，并及时办理公司减资程序。</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公司董事会公告回购股份预案后，公司股票收</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盘价连续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个交易日高于最近一期经审计的每</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股净资产，则公司可不再继续实施回购股份计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划。若某一会计年度内公司股价多次触发上述</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启动稳定股价措施的条件的（不包括控股股东</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实施稳定股价措施期间及自实施完毕当次稳定</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股价措施并由公司公告日后开始计算的连续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个交易日股票收盘价仍低于上一个会计年度经</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审计的每股净资产的情形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司将继续按照上</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述稳定股价预案执行。公司为稳定股价进行股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份回购的，除应符合相关法律法规之要求之</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外，还应遵循以下原则：单次用于回购股份的</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资金金额不高于上一个会计年度经审计的归属</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于母公司股东净利润的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，单一会计年度用</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以稳定股价的回购资金合计不超过上一会计年</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度经审计的归属于母公司股东净利润的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超过上述标准的，有关稳定股价措施在当年度</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不再继续实施。</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、公司控股股东增持公司股票</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如各方最终确定以公司控股股东增持公司股票</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作为稳定股价的措施，则公司控股股东在符合</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相关法律、法规的规定且不应导致公司股权分</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布不符合上市条件的前提下，依法对公司股票</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进行增持，增持价格不高于公司最近一期经审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计的每股净资产。控股股东应在启动稳定股价</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8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预案的条件触发之日起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个交易日内，就其增</w:t>
            </w: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6"/>
      </w:tblGrid>
      <w:tr>
        <w:trPr>
          <w:trHeight w:val="315"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38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持公司股票的具体计划书面通知公司并由公司</w:t>
            </w:r>
          </w:p>
        </w:tc>
        <w:tc>
          <w:tcPr>
            <w:tcW w:w="71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进行公告，并应在履行完毕法律法规规定的程</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序后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个交易日内实施完毕。增持公告作出之</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日后，公司股票收盘价连续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个交易日高于最</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近一期经审计的每股净资产，则控股股东可不</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再继续实施增持计划。若某一会计年度内公司</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股价多次触发上述启动稳定股价措施的条件的</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（不包括控股股东实施稳定股价措施期间及自</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实施完毕当次稳定股价措施并由公司公告日后</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开始计算的连续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个交易日股票收盘价仍低于</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上一个会计年度经审计的每股净资产的情形</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控股股东将继续按照上述稳定股价预案执行。</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单次用于增持公司股份的资金不少于其自上市</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后累计从公司取得的税后现金分红总和的</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，单一年度用以稳定股价的增持资金不超过</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其自上市后累计从公司取得的税后现金分红总</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；超过上述标准的，有关稳定股价措</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施在当年度不再继续实施。下一年度触发股价</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稳定措施时，以前年度已经用于稳定股价的增</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持资金额不再计入累计现金分红金额。控股股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东履行完成前述增持义务后，可自愿增持。</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tabs>
                <w:tab w:pos="3357" w:val="left" w:leader="none"/>
              </w:tabs>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公司董事、高级管理人员增持公司股票</w:t>
              <w:tab/>
              <w:t>如各</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方最终确定以公司董事、高级管理人员增持公</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司股票作为稳定股价的措施，则在公司领取薪</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酬的董事（独立董事除外</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高</w:t>
            </w:r>
            <w:r>
              <w:rPr>
                <w:rFonts w:ascii="宋体" w:hAnsi="宋体" w:cs="宋体" w:eastAsia="宋体" w:hint="default"/>
                <w:sz w:val="18"/>
                <w:szCs w:val="18"/>
              </w:rPr>
              <w:t>级管理人员将在</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符合相关法律、法规的规定且不应导致公司股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权分布不符合上市条件的前提下，依法对公司</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股票进行增持，增持价格不高于公司最近一期</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经审计的每股净资产。有义务增持的董事、高</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级管理人员应在启动稳定股价预案的条件触发</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个交易日内，就其增持公司股票的</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具体计划书面通知公司并由公司进行公告，并</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应在履行完毕法律法规规定的程序后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日内实施完毕。增持公告作出之日后，公司股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票收盘价连续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个交易日高于最近一期经审计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的每股净资产，则董事、高级管理人员可不再</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继续实施增持计划。若某一会计年度内公司股</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价多次触发上述启动稳定股价措施的条件的</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（不包括董事、高级管理人员实施稳定股价措</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施期间及自实施完毕当次稳定股价措施并由公</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司公告日后开始计算的连续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个交易日股票收</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盘价仍低于上一个会计年度经审计的每股净资</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38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产的情形</w:t>
            </w:r>
            <w:r>
              <w:rPr>
                <w:rFonts w:ascii="宋体" w:hAnsi="宋体" w:cs="宋体" w:eastAsia="宋体" w:hint="default"/>
                <w:spacing w:val="-92"/>
                <w:sz w:val="18"/>
                <w:szCs w:val="18"/>
              </w:rPr>
              <w:t>）</w:t>
            </w:r>
            <w:r>
              <w:rPr>
                <w:rFonts w:ascii="宋体" w:hAnsi="宋体" w:cs="宋体" w:eastAsia="宋体" w:hint="default"/>
                <w:sz w:val="18"/>
                <w:szCs w:val="18"/>
              </w:rPr>
              <w:t>，董事、高级管理</w:t>
            </w:r>
            <w:r>
              <w:rPr>
                <w:rFonts w:ascii="宋体" w:hAnsi="宋体" w:cs="宋体" w:eastAsia="宋体" w:hint="default"/>
                <w:spacing w:val="2"/>
                <w:sz w:val="18"/>
                <w:szCs w:val="18"/>
              </w:rPr>
              <w:t>人</w:t>
            </w:r>
            <w:r>
              <w:rPr>
                <w:rFonts w:ascii="宋体" w:hAnsi="宋体" w:cs="宋体" w:eastAsia="宋体" w:hint="default"/>
                <w:sz w:val="18"/>
                <w:szCs w:val="18"/>
              </w:rPr>
              <w:t>员将继续按照上</w:t>
            </w: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38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述稳定股价预案执行。有义务增持的公司董</w:t>
            </w: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85"/>
        <w:gridCol w:w="850"/>
        <w:gridCol w:w="994"/>
        <w:gridCol w:w="3826"/>
        <w:gridCol w:w="711"/>
        <w:gridCol w:w="566"/>
        <w:gridCol w:w="638"/>
      </w:tblGrid>
      <w:tr>
        <w:trPr>
          <w:trHeight w:val="941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tabs>
                <w:tab w:pos="1377" w:val="left" w:leader="none"/>
              </w:tabs>
              <w:spacing w:line="316" w:lineRule="auto" w:before="8"/>
              <w:ind w:left="24" w:right="71"/>
              <w:jc w:val="left"/>
              <w:rPr>
                <w:rFonts w:ascii="宋体" w:hAnsi="宋体" w:cs="宋体" w:eastAsia="宋体" w:hint="default"/>
                <w:sz w:val="18"/>
                <w:szCs w:val="18"/>
              </w:rPr>
            </w:pPr>
            <w:r>
              <w:rPr>
                <w:rFonts w:ascii="宋体" w:hAnsi="宋体" w:cs="宋体" w:eastAsia="宋体" w:hint="default"/>
                <w:sz w:val="18"/>
                <w:szCs w:val="18"/>
              </w:rPr>
              <w:t>事、高级管理人员应遵循以下原则：单次用于 增持公司股份的资金不少于该等董事、高级管 理人员上年度从公司取得的薪酬总和（税后， 下同）的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，单一年度内用于增持公司股份 的资金不超过该等董事、高级管理人员上年度 从公司取得的薪酬总和的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；超过上述标准 的，有关稳定股价措施在当年度不再继续实 施。公司在首次公开发行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股股票上市后三年 内新聘任的在公司领取薪酬的董事和高级管理 人员应当遵守本预案关于公司董事、高级管理 人员的义务及责任的规定，公司及公司控股股 东、现有董事、高级管理人员应当促成公司新 聘任的该等董事、高级管理人员遵守本预案并 签署相关承诺。三、约束措施</w:t>
            </w:r>
            <w:r>
              <w:rPr>
                <w:rFonts w:ascii="宋体" w:hAnsi="宋体" w:cs="宋体" w:eastAsia="宋体" w:hint="default"/>
                <w:spacing w:val="2"/>
                <w:sz w:val="18"/>
                <w:szCs w:val="18"/>
              </w:rPr>
              <w:t> </w:t>
            </w:r>
            <w:r>
              <w:rPr>
                <w:rFonts w:ascii="宋体" w:hAnsi="宋体" w:cs="宋体" w:eastAsia="宋体" w:hint="default"/>
                <w:sz w:val="18"/>
                <w:szCs w:val="18"/>
              </w:rPr>
              <w:t>若公司董事会</w:t>
            </w:r>
            <w:r>
              <w:rPr>
                <w:rFonts w:ascii="宋体" w:hAnsi="宋体" w:cs="宋体" w:eastAsia="宋体" w:hint="default"/>
                <w:sz w:val="18"/>
                <w:szCs w:val="18"/>
              </w:rPr>
              <w:t> 制订的稳定公司股价措施涉及公司控股股东增 持公司股票的，如果控股股东未能履行其增持 义务，则公司有权将用于实施增持股票计划相 等金额的应付控股股东现金分红予以扣留或扣 减。若公司董事会制订的稳定公司股价措施涉 及公司董事、高级管理人员增持公司股票的， 如果公司董事、高级管理人员未能履行其增持 义务，则公司有权将应付董事、高级管理人员 的薪酬及现金分红予以扣留或扣减。四、本预 案的法律程序</w:t>
              <w:tab/>
              <w:t>本预案经公司股东大会审议通 过后，自公司完成首次公开发行股票并在创业 板上市之日起生效。如因法律法规修订或政策 变动等情形导致本预案与相关规定不符，公司 董事会应对本预案进行调整的，需经出席股东 大会的股东所持有表决权股份总数的二分之一 以上同意通过。</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创业软件 股份有限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关于首次公开发行股票填补被摊薄即期回报的 措施及承诺：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、提高募集资金使用效率，加强 募集资金管理本次募集资金到位，有助于进一 步增强公司的资本实力，满足公司经营的资金 需求，优化公司财务结构，综合提升公司的盈 利能力。同时，公司将根据相关法规和公司</w:t>
            </w:r>
          </w:p>
          <w:p>
            <w:pPr>
              <w:pStyle w:val="TableParagraph"/>
              <w:spacing w:line="314" w:lineRule="auto" w:before="20"/>
              <w:ind w:left="24" w:right="190"/>
              <w:jc w:val="left"/>
              <w:rPr>
                <w:rFonts w:ascii="宋体" w:hAnsi="宋体" w:cs="宋体" w:eastAsia="宋体" w:hint="default"/>
                <w:sz w:val="18"/>
                <w:szCs w:val="18"/>
              </w:rPr>
            </w:pPr>
            <w:r>
              <w:rPr>
                <w:rFonts w:ascii="宋体" w:hAnsi="宋体" w:cs="宋体" w:eastAsia="宋体" w:hint="default"/>
                <w:sz w:val="18"/>
                <w:szCs w:val="18"/>
              </w:rPr>
              <w:t>《募集资金使用管理办法》的要求，严格管理 募集资金使用，保证募集资金按照原定用途得 到充分有效利用。</w:t>
            </w:r>
            <w:r>
              <w:rPr>
                <w:rFonts w:ascii="Times New Roman" w:hAnsi="Times New Roman" w:cs="Times New Roman" w:eastAsia="Times New Roman" w:hint="default"/>
                <w:sz w:val="18"/>
                <w:szCs w:val="18"/>
              </w:rPr>
              <w:t>2</w:t>
            </w:r>
            <w:r>
              <w:rPr>
                <w:rFonts w:ascii="宋体" w:hAnsi="宋体" w:cs="宋体" w:eastAsia="宋体" w:hint="default"/>
                <w:sz w:val="18"/>
                <w:szCs w:val="18"/>
              </w:rPr>
              <w:t>、推动主营业务的优化升 级，提高公司市场竞争力和持续盈利能力公司 主营业务为面向医疗卫生行业提供医疗卫生信 息化应用软件和基于信息技术的系统集成服 务。目前，公司在医疗卫生信息化建设领域已 形成较强的竞争力，依托业已形成的综合优</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974"/>
        <w:gridCol w:w="861"/>
        <w:gridCol w:w="994"/>
        <w:gridCol w:w="3826"/>
        <w:gridCol w:w="711"/>
        <w:gridCol w:w="566"/>
        <w:gridCol w:w="636"/>
      </w:tblGrid>
      <w:tr>
        <w:trPr>
          <w:trHeight w:val="3483"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8"/>
              <w:jc w:val="left"/>
              <w:rPr>
                <w:rFonts w:ascii="宋体" w:hAnsi="宋体" w:cs="宋体" w:eastAsia="宋体" w:hint="default"/>
                <w:sz w:val="18"/>
                <w:szCs w:val="18"/>
              </w:rPr>
            </w:pPr>
            <w:r>
              <w:rPr>
                <w:rFonts w:ascii="宋体" w:hAnsi="宋体" w:cs="宋体" w:eastAsia="宋体" w:hint="default"/>
                <w:sz w:val="18"/>
                <w:szCs w:val="18"/>
              </w:rPr>
              <w:t>势，通过技术改造实现核心产品的升级换代和 研发、服务体系的优化升级，从而提升公司的 技术开发能力、客户服务能力，提高核心产品 的市场竞争能力和持续盈利能力。</w:t>
            </w:r>
            <w:r>
              <w:rPr>
                <w:rFonts w:ascii="Times New Roman" w:hAnsi="Times New Roman" w:cs="Times New Roman" w:eastAsia="Times New Roman" w:hint="default"/>
                <w:sz w:val="18"/>
                <w:szCs w:val="18"/>
              </w:rPr>
              <w:t>3</w:t>
            </w:r>
            <w:r>
              <w:rPr>
                <w:rFonts w:ascii="宋体" w:hAnsi="宋体" w:cs="宋体" w:eastAsia="宋体" w:hint="default"/>
                <w:sz w:val="18"/>
                <w:szCs w:val="18"/>
              </w:rPr>
              <w:t>、严格执行 公司既定的分红政策，保证公司股东的利益回 </w:t>
            </w:r>
            <w:r>
              <w:rPr>
                <w:rFonts w:ascii="宋体" w:hAnsi="宋体" w:cs="宋体" w:eastAsia="宋体" w:hint="default"/>
                <w:spacing w:val="-5"/>
                <w:sz w:val="18"/>
                <w:szCs w:val="18"/>
              </w:rPr>
              <w:t>报公司上市后适用的《公司章程（草案）》明确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了利润分配尤其是现金分红的具体条件、比 例、分配形式等，完善了公司利润分配的决策 程序和机制以及利润分配政策的调整原则，加 强了对中小投资者的利益保护，公司本次发行 完成并上市后将严格执行相关利润分配政策。</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861"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6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9"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both"/>
              <w:rPr>
                <w:rFonts w:ascii="宋体" w:hAnsi="宋体" w:cs="宋体" w:eastAsia="宋体" w:hint="default"/>
                <w:sz w:val="18"/>
                <w:szCs w:val="18"/>
              </w:rPr>
            </w:pPr>
            <w:r>
              <w:rPr>
                <w:rFonts w:ascii="宋体" w:hAnsi="宋体" w:cs="宋体" w:eastAsia="宋体" w:hint="default"/>
                <w:sz w:val="18"/>
                <w:szCs w:val="18"/>
              </w:rPr>
              <w:t>如承诺超期未履行完毕 的，应当详细说明未完 成履行的具体原因及下 一步的工作计划</w:t>
            </w:r>
          </w:p>
        </w:tc>
        <w:tc>
          <w:tcPr>
            <w:tcW w:w="7594" w:type="dxa"/>
            <w:gridSpan w:val="6"/>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本公司自</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日起执行财政部制定的《企业会计准则第</w:t>
      </w:r>
      <w:r>
        <w:rPr>
          <w:spacing w:val="-49"/>
        </w:rPr>
        <w:t> </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号——持有待售的非流动资产、处置组和终止</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46"/>
        <w:jc w:val="left"/>
      </w:pPr>
      <w:r>
        <w:rPr>
          <w:spacing w:val="-19"/>
        </w:rPr>
        <w:t>经营》，自</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1"/>
        </w:rPr>
        <w:t>日起执行经修订的《企业会计准则第</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spacing w:val="-4"/>
        </w:rPr>
        <w:t>号——政府补助》。本次会计政策变更采用未来适用法处</w:t>
      </w:r>
      <w:r>
        <w:rPr/>
        <w:t> 理。</w:t>
      </w:r>
    </w:p>
    <w:p>
      <w:pPr>
        <w:pStyle w:val="BodyText"/>
        <w:spacing w:line="463" w:lineRule="auto" w:before="74"/>
        <w:ind w:right="251" w:firstLine="360"/>
        <w:jc w:val="both"/>
      </w:pPr>
      <w:r>
        <w:rPr>
          <w:rFonts w:ascii="Times New Roman" w:hAnsi="Times New Roman" w:cs="Times New Roman" w:eastAsia="Times New Roman" w:hint="default"/>
        </w:rPr>
        <w:t>2. </w:t>
      </w:r>
      <w:r>
        <w:rPr/>
        <w:t>本公司编制 </w:t>
      </w:r>
      <w:r>
        <w:rPr>
          <w:rFonts w:ascii="Times New Roman" w:hAnsi="Times New Roman" w:cs="Times New Roman" w:eastAsia="Times New Roman" w:hint="default"/>
        </w:rPr>
        <w:t>2017 </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，将原 列报于“营业外收入”和“营业外支出”的非流动资产处置利得和损失和非货币性资产交换利得和损失变更为列报于“资 </w:t>
      </w:r>
      <w:r>
        <w:rPr>
          <w:spacing w:val="-3"/>
        </w:rPr>
        <w:t>产处置收益”。此项会计政策变更采用追溯调整法，对公司上期无影响。</w:t>
      </w:r>
    </w:p>
    <w:p>
      <w:pPr>
        <w:spacing w:line="240" w:lineRule="auto" w:before="6"/>
        <w:rPr>
          <w:rFonts w:ascii="宋体" w:hAnsi="宋体" w:cs="宋体" w:eastAsia="宋体" w:hint="default"/>
          <w:sz w:val="12"/>
          <w:szCs w:val="12"/>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1"/>
        <w:ind w:right="251" w:firstLine="504"/>
        <w:jc w:val="both"/>
      </w:pPr>
      <w:r>
        <w:rPr>
          <w:rFonts w:ascii="Times New Roman" w:hAnsi="Times New Roman" w:cs="Times New Roman" w:eastAsia="Times New Roman" w:hint="default"/>
        </w:rPr>
        <w:t>2017</w:t>
      </w:r>
      <w:r>
        <w:rPr/>
        <w:t>年公司新设立子公司杭州合美物业管理有限公司、杭州鼎泰医康科技有限公司、浙江医康数据科技研究院有限 公司；收购杭州博泰信息技术服务有限公司、杭州卓腾信息技术有限公司、杭州梅清数码科技有限公司及杭州美诺泰科科 技有限公司，并于本年纳入合并报表范围；因丧失控制权不再将浙江创源环境科技股份有限公司纳入合并报表范围。</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887"/>
        <w:gridCol w:w="5682"/>
      </w:tblGrid>
      <w:tr>
        <w:trPr>
          <w:trHeight w:val="403"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王强、李鸿霞</w:t>
            </w:r>
          </w:p>
        </w:tc>
      </w:tr>
    </w:tbl>
    <w:p>
      <w:pPr>
        <w:pStyle w:val="BodyText"/>
        <w:spacing w:line="240" w:lineRule="auto" w:before="49"/>
        <w:ind w:right="0"/>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十一、重大诉讼、仲裁事项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94"/>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0"/>
        <w:rPr>
          <w:rFonts w:ascii="宋体" w:hAnsi="宋体" w:cs="宋体" w:eastAsia="宋体" w:hint="default"/>
          <w:sz w:val="13"/>
          <w:szCs w:val="13"/>
        </w:rPr>
      </w:pPr>
    </w:p>
    <w:p>
      <w:pPr>
        <w:pStyle w:val="Heading2"/>
        <w:spacing w:line="240" w:lineRule="auto"/>
        <w:ind w:right="94"/>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报告期内，公司及控股股东、实际控制人无诚信问题</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2"/>
        <w:spacing w:line="240" w:lineRule="auto"/>
        <w:ind w:right="94"/>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left="369" w:right="315" w:hanging="2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根据公司</w:t>
      </w:r>
      <w:r>
        <w:rPr>
          <w:rFonts w:ascii="Times New Roman" w:hAnsi="Times New Roman" w:cs="Times New Roman" w:eastAsia="Times New Roman" w:hint="default"/>
        </w:rPr>
        <w:t>2015</w:t>
      </w:r>
      <w:r>
        <w:rPr/>
        <w:t>年第三次临时股东大会审议通过的《关于创业股份有限公司</w:t>
      </w:r>
      <w:r>
        <w:rPr>
          <w:rFonts w:ascii="Times New Roman" w:hAnsi="Times New Roman" w:cs="Times New Roman" w:eastAsia="Times New Roman" w:hint="default"/>
        </w:rPr>
        <w:t>&lt;</w:t>
      </w:r>
      <w:r>
        <w:rPr/>
        <w:t>股票期权与限制性股票激励计划（草案修订</w:t>
      </w:r>
    </w:p>
    <w:p>
      <w:pPr>
        <w:pStyle w:val="BodyText"/>
        <w:spacing w:line="228" w:lineRule="exact"/>
        <w:ind w:right="94"/>
        <w:jc w:val="left"/>
      </w:pPr>
      <w:r>
        <w:rPr/>
        <w:t>稿）</w:t>
      </w:r>
      <w:r>
        <w:rPr>
          <w:rFonts w:ascii="Times New Roman" w:hAnsi="Times New Roman" w:cs="Times New Roman" w:eastAsia="Times New Roman" w:hint="default"/>
        </w:rPr>
        <w:t>&gt;</w:t>
      </w:r>
      <w:r>
        <w:rPr/>
        <w:t>及其摘要的议案》和第五届董事会第十一次会议审议通过的《关于调整股票期权与限制性股票激励计划相关事项的</w:t>
      </w:r>
    </w:p>
    <w:p>
      <w:pPr>
        <w:pStyle w:val="BodyText"/>
        <w:spacing w:line="309" w:lineRule="auto" w:before="63"/>
        <w:ind w:right="184"/>
        <w:jc w:val="left"/>
      </w:pPr>
      <w:r>
        <w:rPr/>
        <w:t>议案》等议案。公司向包括公司董事、高级管理人员、中层管理人员、核心技术（业务）人员授予限制性股票和股票期 权。首次限制性股票授予日为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日授予登记完成。</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日，向</w:t>
      </w:r>
      <w:r>
        <w:rPr>
          <w:rFonts w:ascii="Times New Roman" w:hAnsi="Times New Roman" w:cs="Times New Roman" w:eastAsia="Times New Roman" w:hint="default"/>
        </w:rPr>
        <w:t>28</w:t>
      </w:r>
      <w:r>
        <w:rPr/>
        <w:t>名激励对象授予 </w:t>
      </w:r>
      <w:r>
        <w:rPr>
          <w:rFonts w:ascii="Times New Roman" w:hAnsi="Times New Roman" w:cs="Times New Roman" w:eastAsia="Times New Roman" w:hint="default"/>
        </w:rPr>
        <w:t>26.7</w:t>
      </w:r>
      <w:r>
        <w:rPr/>
        <w:t>万预留限制性股票。具体内容详见公司在巨潮资讯网站（</w:t>
      </w:r>
      <w:hyperlink r:id="rId13">
        <w:r>
          <w:rPr>
            <w:rFonts w:ascii="Times New Roman" w:hAnsi="Times New Roman" w:cs="Times New Roman" w:eastAsia="Times New Roman" w:hint="default"/>
          </w:rPr>
          <w:t>www.cninfo.com.cn</w:t>
        </w:r>
      </w:hyperlink>
      <w:r>
        <w:rPr/>
        <w:t>）披露的公告。</w:t>
      </w:r>
    </w:p>
    <w:p>
      <w:pPr>
        <w:pStyle w:val="BodyText"/>
        <w:spacing w:line="240" w:lineRule="auto" w:before="5"/>
        <w:ind w:left="441" w:right="94"/>
        <w:jc w:val="left"/>
      </w:pPr>
      <w:r>
        <w:rPr/>
        <w:t>一、报告期内公司股权激励计划如下：</w:t>
      </w:r>
    </w:p>
    <w:p>
      <w:pPr>
        <w:pStyle w:val="BodyText"/>
        <w:spacing w:line="304" w:lineRule="auto" w:before="76"/>
        <w:ind w:right="189" w:firstLine="288"/>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23</w:t>
      </w:r>
      <w:r>
        <w:rPr>
          <w:spacing w:val="-1"/>
        </w:rPr>
        <w:t>日，公司披露《关于股票期权激励计划第一个行权期采用自主行权的提示性公告》，本次自主行权事项</w:t>
      </w:r>
      <w:r>
        <w:rPr/>
        <w:t> </w:t>
      </w:r>
      <w:r>
        <w:rPr>
          <w:spacing w:val="-2"/>
        </w:rPr>
        <w:t>已获深圳证券交易所审核通过，且公司已在中国证券登记结算有限责任公司深圳分公司完成自主行权相关登记申报工作。公</w:t>
      </w:r>
      <w:r>
        <w:rPr>
          <w:spacing w:val="-64"/>
        </w:rPr>
        <w:t> </w:t>
      </w:r>
      <w:r>
        <w:rPr>
          <w:spacing w:val="-64"/>
        </w:rPr>
      </w:r>
      <w:r>
        <w:rPr>
          <w:spacing w:val="-1"/>
        </w:rPr>
        <w:t>司股权激励计划首次授予期权第一个可行权期实际可行权人数为</w:t>
      </w:r>
      <w:r>
        <w:rPr>
          <w:rFonts w:ascii="Times New Roman" w:hAnsi="Times New Roman" w:cs="Times New Roman" w:eastAsia="Times New Roman" w:hint="default"/>
          <w:spacing w:val="-1"/>
        </w:rPr>
        <w:t>195</w:t>
      </w:r>
      <w:r>
        <w:rPr>
          <w:spacing w:val="-1"/>
        </w:rPr>
        <w:t>名，可行权股票期权共计</w:t>
      </w:r>
      <w:r>
        <w:rPr>
          <w:rFonts w:ascii="Times New Roman" w:hAnsi="Times New Roman" w:cs="Times New Roman" w:eastAsia="Times New Roman" w:hint="default"/>
          <w:spacing w:val="-1"/>
        </w:rPr>
        <w:t>37.9491</w:t>
      </w:r>
      <w:r>
        <w:rPr>
          <w:spacing w:val="-1"/>
        </w:rPr>
        <w:t>万份。本次可行权期权</w:t>
      </w:r>
      <w:r>
        <w:rPr>
          <w:spacing w:val="-71"/>
        </w:rPr>
        <w:t> </w:t>
      </w:r>
      <w:r>
        <w:rPr>
          <w:spacing w:val="-71"/>
        </w:rPr>
      </w:r>
      <w:r>
        <w:rPr>
          <w:spacing w:val="-1"/>
        </w:rPr>
        <w:t>行权价格为</w:t>
      </w:r>
      <w:r>
        <w:rPr>
          <w:rFonts w:ascii="Times New Roman" w:hAnsi="Times New Roman" w:cs="Times New Roman" w:eastAsia="Times New Roman" w:hint="default"/>
          <w:spacing w:val="-1"/>
        </w:rPr>
        <w:t>41.34</w:t>
      </w:r>
      <w:r>
        <w:rPr>
          <w:spacing w:val="-1"/>
        </w:rPr>
        <w:t>元。实际行权期限为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24</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日。具体内容详见公司在巨潮资讯网披露的公告（公告</w:t>
      </w:r>
      <w:r>
        <w:rPr>
          <w:spacing w:val="-72"/>
        </w:rPr>
        <w:t> </w:t>
      </w:r>
      <w:r>
        <w:rPr>
          <w:spacing w:val="-72"/>
        </w:rPr>
      </w:r>
      <w:r>
        <w:rPr/>
        <w:t>编号：</w:t>
      </w:r>
      <w:r>
        <w:rPr>
          <w:rFonts w:ascii="Times New Roman" w:hAnsi="Times New Roman" w:cs="Times New Roman" w:eastAsia="Times New Roman" w:hint="default"/>
        </w:rPr>
        <w:t>2017-009</w:t>
      </w:r>
      <w:r>
        <w:rPr/>
        <w:t>）。</w:t>
      </w:r>
    </w:p>
    <w:p>
      <w:pPr>
        <w:pStyle w:val="BodyText"/>
        <w:spacing w:line="304" w:lineRule="auto" w:before="9"/>
        <w:ind w:right="191" w:firstLine="288"/>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13</w:t>
      </w:r>
      <w:r>
        <w:rPr>
          <w:spacing w:val="-1"/>
        </w:rPr>
        <w:t>日，公司召开第五届董事会第三十次会议，根据</w:t>
      </w:r>
      <w:r>
        <w:rPr>
          <w:rFonts w:ascii="Times New Roman" w:hAnsi="Times New Roman" w:cs="Times New Roman" w:eastAsia="Times New Roman" w:hint="default"/>
          <w:spacing w:val="-1"/>
        </w:rPr>
        <w:t>2015</w:t>
      </w:r>
      <w:r>
        <w:rPr>
          <w:spacing w:val="-1"/>
        </w:rPr>
        <w:t>年第三次临时股东大会的授权，审议通过了《关于</w:t>
      </w:r>
      <w:r>
        <w:rPr/>
        <w:t> </w:t>
      </w:r>
      <w:r>
        <w:rPr>
          <w:spacing w:val="-2"/>
        </w:rPr>
        <w:t>对股票期权与限制性股票激励计划部分激励股份回购注销的议案》、《关于调整股票期权与限制性股票激励计划相关事项的</w:t>
      </w:r>
      <w:r>
        <w:rPr>
          <w:spacing w:val="-65"/>
        </w:rPr>
        <w:t> </w:t>
      </w:r>
      <w:r>
        <w:rPr>
          <w:spacing w:val="-65"/>
        </w:rPr>
      </w:r>
      <w:r>
        <w:rPr/>
        <w:t>公告的议案》。鉴于公司原激励对象金兆波等</w:t>
      </w:r>
      <w:r>
        <w:rPr>
          <w:rFonts w:ascii="Times New Roman" w:hAnsi="Times New Roman" w:cs="Times New Roman" w:eastAsia="Times New Roman" w:hint="default"/>
        </w:rPr>
        <w:t>8</w:t>
      </w:r>
      <w:r>
        <w:rPr/>
        <w:t>人因已离职不符合激励条件，根据公司股权激励计划，公司拟对相关激励对</w:t>
      </w:r>
      <w:r>
        <w:rPr>
          <w:spacing w:val="-83"/>
        </w:rPr>
        <w:t> </w:t>
      </w:r>
      <w:r>
        <w:rPr>
          <w:spacing w:val="-83"/>
        </w:rPr>
      </w:r>
      <w:r>
        <w:rPr/>
        <w:t>象已获授（含已获准行权）但尚未行权的</w:t>
      </w:r>
      <w:r>
        <w:rPr>
          <w:rFonts w:ascii="Times New Roman" w:hAnsi="Times New Roman" w:cs="Times New Roman" w:eastAsia="Times New Roman" w:hint="default"/>
        </w:rPr>
        <w:t>73,500</w:t>
      </w:r>
      <w:r>
        <w:rPr/>
        <w:t>份股票期权进行注销，对其已获授但尚未解锁的</w:t>
      </w:r>
      <w:r>
        <w:rPr>
          <w:rFonts w:ascii="Times New Roman" w:hAnsi="Times New Roman" w:cs="Times New Roman" w:eastAsia="Times New Roman" w:hint="default"/>
        </w:rPr>
        <w:t>14,625</w:t>
      </w:r>
      <w:r>
        <w:rPr/>
        <w:t>股限制性股票回购注</w:t>
      </w:r>
      <w:r>
        <w:rPr>
          <w:spacing w:val="-85"/>
        </w:rPr>
        <w:t> </w:t>
      </w:r>
      <w:r>
        <w:rPr>
          <w:spacing w:val="-85"/>
        </w:rPr>
      </w:r>
      <w:r>
        <w:rPr>
          <w:spacing w:val="-2"/>
        </w:rPr>
        <w:t>销，其中首次授予部分</w:t>
      </w:r>
      <w:r>
        <w:rPr>
          <w:rFonts w:ascii="Times New Roman" w:hAnsi="Times New Roman" w:cs="Times New Roman" w:eastAsia="Times New Roman" w:hint="default"/>
          <w:spacing w:val="-2"/>
        </w:rPr>
        <w:t>10,125</w:t>
      </w:r>
      <w:r>
        <w:rPr>
          <w:spacing w:val="-2"/>
        </w:rPr>
        <w:t>股，预留授予部分</w:t>
      </w:r>
      <w:r>
        <w:rPr>
          <w:rFonts w:ascii="Times New Roman" w:hAnsi="Times New Roman" w:cs="Times New Roman" w:eastAsia="Times New Roman" w:hint="default"/>
          <w:spacing w:val="-2"/>
        </w:rPr>
        <w:t>4,500</w:t>
      </w:r>
      <w:r>
        <w:rPr>
          <w:spacing w:val="-2"/>
        </w:rPr>
        <w:t>股。具体内容详见公司在巨潮资讯网站（</w:t>
      </w:r>
      <w:hyperlink r:id="rId13">
        <w:r>
          <w:rPr>
            <w:rFonts w:ascii="Times New Roman" w:hAnsi="Times New Roman" w:cs="Times New Roman" w:eastAsia="Times New Roman" w:hint="default"/>
            <w:spacing w:val="-2"/>
          </w:rPr>
          <w:t>www.cninfo.com.cn</w:t>
        </w:r>
      </w:hyperlink>
      <w:r>
        <w:rPr>
          <w:spacing w:val="-2"/>
        </w:rPr>
        <w:t>）披露的公</w:t>
      </w:r>
      <w:r>
        <w:rPr>
          <w:spacing w:val="-71"/>
        </w:rPr>
        <w:t> </w:t>
      </w:r>
      <w:r>
        <w:rPr>
          <w:spacing w:val="-71"/>
        </w:rPr>
      </w:r>
      <w:r>
        <w:rPr/>
        <w:t>告（公告编号：</w:t>
      </w:r>
      <w:r>
        <w:rPr>
          <w:rFonts w:ascii="Times New Roman" w:hAnsi="Times New Roman" w:cs="Times New Roman" w:eastAsia="Times New Roman" w:hint="default"/>
        </w:rPr>
        <w:t>2017-014</w:t>
      </w:r>
      <w:r>
        <w:rPr/>
        <w:t>和</w:t>
      </w:r>
      <w:r>
        <w:rPr>
          <w:rFonts w:ascii="Times New Roman" w:hAnsi="Times New Roman" w:cs="Times New Roman" w:eastAsia="Times New Roman" w:hint="default"/>
        </w:rPr>
        <w:t>2017-015</w:t>
      </w:r>
      <w:r>
        <w:rPr/>
        <w:t>））。</w:t>
      </w:r>
    </w:p>
    <w:p>
      <w:pPr>
        <w:pStyle w:val="BodyText"/>
        <w:spacing w:line="300" w:lineRule="auto" w:before="9"/>
        <w:ind w:right="192" w:firstLine="288"/>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日，公司召开第五届董事会第三十四次会议和第五届监事会第二十五次会议，审议并通过《关于调整股票</w:t>
      </w:r>
      <w:r>
        <w:rPr/>
        <w:t> </w:t>
      </w:r>
      <w:r>
        <w:rPr>
          <w:spacing w:val="-2"/>
        </w:rPr>
        <w:t>期权与限制性股票激励计划相关事项的议案》、《关于对股票期权与限制性股票激励计划部分激励股份回购注销的议案》和</w:t>
      </w:r>
    </w:p>
    <w:p>
      <w:pPr>
        <w:pStyle w:val="BodyText"/>
        <w:spacing w:line="302" w:lineRule="auto" w:before="31"/>
        <w:ind w:right="190"/>
        <w:jc w:val="both"/>
      </w:pPr>
      <w:r>
        <w:rPr>
          <w:spacing w:val="-2"/>
        </w:rPr>
        <w:t>《关于股票期权与制性股票激励计划预留授予部分限制性股票第一次解锁期解锁条件成就的议案》。鉴于公司实施了</w:t>
      </w:r>
      <w:r>
        <w:rPr>
          <w:rFonts w:ascii="Times New Roman" w:hAnsi="Times New Roman" w:cs="Times New Roman" w:eastAsia="Times New Roman" w:hint="default"/>
          <w:spacing w:val="-2"/>
        </w:rPr>
        <w:t>2016</w:t>
      </w:r>
      <w:r>
        <w:rPr>
          <w:spacing w:val="-2"/>
        </w:rPr>
        <w:t>年</w:t>
      </w:r>
      <w:r>
        <w:rPr>
          <w:spacing w:val="-59"/>
        </w:rPr>
        <w:t> </w:t>
      </w:r>
      <w:r>
        <w:rPr>
          <w:spacing w:val="-2"/>
        </w:rPr>
        <w:t>度权益分派且本次激励计划原激励对象李定军等</w:t>
      </w:r>
      <w:r>
        <w:rPr>
          <w:rFonts w:ascii="Times New Roman" w:hAnsi="Times New Roman" w:cs="Times New Roman" w:eastAsia="Times New Roman" w:hint="default"/>
          <w:spacing w:val="-2"/>
        </w:rPr>
        <w:t>10</w:t>
      </w:r>
      <w:r>
        <w:rPr>
          <w:spacing w:val="-2"/>
        </w:rPr>
        <w:t>人因已离职不符合激励条件，根据公司股权激励计划，公司拟对相关激励</w:t>
      </w:r>
      <w:r>
        <w:rPr>
          <w:spacing w:val="-62"/>
        </w:rPr>
        <w:t> </w:t>
      </w:r>
      <w:r>
        <w:rPr>
          <w:spacing w:val="-62"/>
        </w:rPr>
      </w:r>
      <w:r>
        <w:rPr/>
        <w:t>对象已获授（含已获准行权）但尚未行权的</w:t>
      </w:r>
      <w:r>
        <w:rPr>
          <w:rFonts w:ascii="Times New Roman" w:hAnsi="Times New Roman" w:cs="Times New Roman" w:eastAsia="Times New Roman" w:hint="default"/>
        </w:rPr>
        <w:t>54,750</w:t>
      </w:r>
      <w:r>
        <w:rPr/>
        <w:t>份股票期权进行注销，对其已获授但尚未解锁的</w:t>
      </w:r>
      <w:r>
        <w:rPr>
          <w:rFonts w:ascii="Times New Roman" w:hAnsi="Times New Roman" w:cs="Times New Roman" w:eastAsia="Times New Roman" w:hint="default"/>
        </w:rPr>
        <w:t>11,813</w:t>
      </w:r>
      <w:r>
        <w:rPr/>
        <w:t>股限制性股票回购</w:t>
      </w:r>
      <w:r>
        <w:rPr>
          <w:spacing w:val="-86"/>
        </w:rPr>
        <w:t> </w:t>
      </w:r>
      <w:r>
        <w:rPr>
          <w:spacing w:val="-86"/>
        </w:rPr>
      </w:r>
      <w:r>
        <w:rPr/>
        <w:t>注销，</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日公司已完成股票期权与限制性股票激励计划预留部分限制性股票第一个解锁期解锁事项，本次预留部分限制</w:t>
      </w:r>
      <w:r>
        <w:rPr>
          <w:spacing w:val="-85"/>
        </w:rPr>
        <w:t> </w:t>
      </w:r>
      <w:r>
        <w:rPr>
          <w:spacing w:val="-85"/>
        </w:rPr>
      </w:r>
      <w:r>
        <w:rPr/>
        <w:t>性股票上市流通日为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日，股票数量为</w:t>
      </w:r>
      <w:r>
        <w:rPr>
          <w:rFonts w:ascii="Times New Roman" w:hAnsi="Times New Roman" w:cs="Times New Roman" w:eastAsia="Times New Roman" w:hint="default"/>
        </w:rPr>
        <w:t>318,600</w:t>
      </w:r>
      <w:r>
        <w:rPr/>
        <w:t>股，占目前公司股本总额的</w:t>
      </w:r>
      <w:r>
        <w:rPr>
          <w:rFonts w:ascii="Times New Roman" w:hAnsi="Times New Roman" w:cs="Times New Roman" w:eastAsia="Times New Roman" w:hint="default"/>
        </w:rPr>
        <w:t>0.13%</w:t>
      </w:r>
      <w:r>
        <w:rPr/>
        <w:t>，涉及的激励对象共计</w:t>
      </w:r>
      <w:r>
        <w:rPr>
          <w:rFonts w:ascii="Times New Roman" w:hAnsi="Times New Roman" w:cs="Times New Roman" w:eastAsia="Times New Roman" w:hint="default"/>
        </w:rPr>
        <w:t>27</w:t>
      </w:r>
      <w:r>
        <w:rPr/>
        <w:t>人，后</w:t>
      </w:r>
      <w:r>
        <w:rPr>
          <w:spacing w:val="-62"/>
        </w:rPr>
        <w:t> </w:t>
      </w:r>
      <w:r>
        <w:rPr>
          <w:spacing w:val="-2"/>
        </w:rPr>
        <w:t>续公司董事会将根据股东大会的授权，办理上述限制性股票回购注销、减少注册资本等各项事宜。具体内容详见公司在巨潮</w:t>
      </w:r>
      <w:r>
        <w:rPr>
          <w:spacing w:val="-63"/>
        </w:rPr>
        <w:t> </w:t>
      </w:r>
      <w:r>
        <w:rPr>
          <w:spacing w:val="-63"/>
        </w:rPr>
      </w:r>
      <w:r>
        <w:rPr/>
        <w:t>资讯网站（</w:t>
      </w:r>
      <w:hyperlink r:id="rId13">
        <w:r>
          <w:rPr>
            <w:rFonts w:ascii="Times New Roman" w:hAnsi="Times New Roman" w:cs="Times New Roman" w:eastAsia="Times New Roman" w:hint="default"/>
          </w:rPr>
          <w:t>www.cninfo.com.cn</w:t>
        </w:r>
      </w:hyperlink>
      <w:r>
        <w:rPr/>
        <w:t>）披露的公告（公告编号：</w:t>
      </w:r>
      <w:r>
        <w:rPr>
          <w:rFonts w:ascii="Times New Roman" w:hAnsi="Times New Roman" w:cs="Times New Roman" w:eastAsia="Times New Roman" w:hint="default"/>
        </w:rPr>
        <w:t>2017-50</w:t>
      </w:r>
      <w:r>
        <w:rPr/>
        <w:t>、</w:t>
      </w:r>
      <w:r>
        <w:rPr>
          <w:rFonts w:ascii="Times New Roman" w:hAnsi="Times New Roman" w:cs="Times New Roman" w:eastAsia="Times New Roman" w:hint="default"/>
        </w:rPr>
        <w:t>2017-051</w:t>
      </w:r>
      <w:r>
        <w:rPr/>
        <w:t>、</w:t>
      </w:r>
      <w:r>
        <w:rPr>
          <w:rFonts w:ascii="Times New Roman" w:hAnsi="Times New Roman" w:cs="Times New Roman" w:eastAsia="Times New Roman" w:hint="default"/>
        </w:rPr>
        <w:t>2017-056</w:t>
      </w:r>
      <w:r>
        <w:rPr/>
        <w:t>）。</w:t>
      </w:r>
    </w:p>
    <w:p>
      <w:pPr>
        <w:pStyle w:val="BodyText"/>
        <w:spacing w:line="307" w:lineRule="auto" w:before="11"/>
        <w:ind w:right="102" w:firstLine="360"/>
        <w:jc w:val="left"/>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日，公司按照第五届董事会第三十次会议和第三十四次会议审议通过的《关于对股票期权与限制性股票</w:t>
      </w:r>
      <w:r>
        <w:rPr/>
        <w:t> 激励计划部分激励股份回购注销的议案》，对上述相关离职人员已获授（含已获准行权）但尚未行权的股票期权进行注销，</w:t>
      </w:r>
      <w:r>
        <w:rPr>
          <w:spacing w:val="-83"/>
        </w:rPr>
        <w:t> </w:t>
      </w:r>
      <w:r>
        <w:rPr>
          <w:spacing w:val="-83"/>
        </w:rPr>
      </w:r>
      <w:r>
        <w:rPr>
          <w:spacing w:val="-2"/>
        </w:rPr>
        <w:t>共计</w:t>
      </w:r>
      <w:r>
        <w:rPr>
          <w:rFonts w:ascii="Times New Roman" w:hAnsi="Times New Roman" w:cs="Times New Roman" w:eastAsia="Times New Roman" w:hint="default"/>
          <w:spacing w:val="-2"/>
        </w:rPr>
        <w:t>128,250</w:t>
      </w:r>
      <w:r>
        <w:rPr>
          <w:spacing w:val="-2"/>
        </w:rPr>
        <w:t>份。注销事宜已于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12</w:t>
      </w:r>
      <w:r>
        <w:rPr>
          <w:spacing w:val="-2"/>
        </w:rPr>
        <w:t>日办理完毕。具体内容详见公司在巨潮资讯网站（</w:t>
      </w:r>
      <w:hyperlink r:id="rId13">
        <w:r>
          <w:rPr>
            <w:rFonts w:ascii="Times New Roman" w:hAnsi="Times New Roman" w:cs="Times New Roman" w:eastAsia="Times New Roman" w:hint="default"/>
            <w:spacing w:val="-2"/>
          </w:rPr>
          <w:t>www.cninfo.com.cn</w:t>
        </w:r>
      </w:hyperlink>
      <w:r>
        <w:rPr>
          <w:spacing w:val="-2"/>
        </w:rPr>
        <w:t>）披露的公</w:t>
      </w:r>
      <w:r>
        <w:rPr>
          <w:spacing w:val="-29"/>
        </w:rPr>
        <w:t> </w:t>
      </w:r>
      <w:r>
        <w:rPr>
          <w:spacing w:val="-29"/>
        </w:rPr>
      </w:r>
      <w:r>
        <w:rPr/>
        <w:t>告（公告编号：</w:t>
      </w:r>
      <w:r>
        <w:rPr>
          <w:rFonts w:ascii="Times New Roman" w:hAnsi="Times New Roman" w:cs="Times New Roman" w:eastAsia="Times New Roman" w:hint="default"/>
        </w:rPr>
        <w:t>2017-55</w:t>
      </w:r>
      <w:r>
        <w:rPr/>
        <w:t>）。</w:t>
      </w:r>
    </w:p>
    <w:p>
      <w:pPr>
        <w:spacing w:after="0" w:line="30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4" w:lineRule="auto" w:before="44"/>
        <w:ind w:right="149" w:firstLine="288"/>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10</w:t>
      </w:r>
      <w:r>
        <w:rPr>
          <w:spacing w:val="-1"/>
        </w:rPr>
        <w:t>日，公司召开第五届董事会第三十六次会议，根据</w:t>
      </w:r>
      <w:r>
        <w:rPr>
          <w:rFonts w:ascii="Times New Roman" w:hAnsi="Times New Roman" w:cs="Times New Roman" w:eastAsia="Times New Roman" w:hint="default"/>
          <w:spacing w:val="-1"/>
        </w:rPr>
        <w:t>2015</w:t>
      </w:r>
      <w:r>
        <w:rPr>
          <w:spacing w:val="-1"/>
        </w:rPr>
        <w:t>年第三次临时股东大会的授权，审议通过了《关</w:t>
      </w:r>
      <w:r>
        <w:rPr/>
        <w:t> </w:t>
      </w:r>
      <w:r>
        <w:rPr>
          <w:spacing w:val="-2"/>
        </w:rPr>
        <w:t>于对股票期权与限制性股票激励计划部分激励股份回购注销的议案》、《关于调整股票期权与限制性股票激励计划相关事项</w:t>
      </w:r>
      <w:r>
        <w:rPr>
          <w:spacing w:val="-65"/>
        </w:rPr>
        <w:t> </w:t>
      </w:r>
      <w:r>
        <w:rPr>
          <w:spacing w:val="-65"/>
        </w:rPr>
      </w:r>
      <w:r>
        <w:rPr/>
        <w:t>的议案》。鉴于公司原激励对象李文俊等</w:t>
      </w:r>
      <w:r>
        <w:rPr>
          <w:rFonts w:ascii="Times New Roman" w:hAnsi="Times New Roman" w:cs="Times New Roman" w:eastAsia="Times New Roman" w:hint="default"/>
        </w:rPr>
        <w:t>6</w:t>
      </w:r>
      <w:r>
        <w:rPr/>
        <w:t>人因已离职不符合激励条件，根据公司股权激励计划，公司拟对相关激励对象已</w:t>
      </w:r>
      <w:r>
        <w:rPr>
          <w:spacing w:val="-83"/>
        </w:rPr>
        <w:t> </w:t>
      </w:r>
      <w:r>
        <w:rPr>
          <w:spacing w:val="-83"/>
        </w:rPr>
      </w:r>
      <w:r>
        <w:rPr/>
        <w:t>获授（含已获准行权）但尚未行权的</w:t>
      </w:r>
      <w:r>
        <w:rPr>
          <w:rFonts w:ascii="Times New Roman" w:hAnsi="Times New Roman" w:cs="Times New Roman" w:eastAsia="Times New Roman" w:hint="default"/>
        </w:rPr>
        <w:t>11,250</w:t>
      </w:r>
      <w:r>
        <w:rPr/>
        <w:t>份股票期权进行注销，对其已获授但尚未解锁的</w:t>
      </w:r>
      <w:r>
        <w:rPr>
          <w:rFonts w:ascii="Times New Roman" w:hAnsi="Times New Roman" w:cs="Times New Roman" w:eastAsia="Times New Roman" w:hint="default"/>
        </w:rPr>
        <w:t>36,563</w:t>
      </w:r>
      <w:r>
        <w:rPr/>
        <w:t>股限制性股票回购注销，</w:t>
      </w:r>
      <w:r>
        <w:rPr>
          <w:spacing w:val="-85"/>
        </w:rPr>
        <w:t> </w:t>
      </w:r>
      <w:r>
        <w:rPr>
          <w:spacing w:val="-1"/>
        </w:rPr>
        <w:t>其中首次授予部分</w:t>
      </w:r>
      <w:r>
        <w:rPr>
          <w:rFonts w:ascii="Times New Roman" w:hAnsi="Times New Roman" w:cs="Times New Roman" w:eastAsia="Times New Roman" w:hint="default"/>
          <w:spacing w:val="-1"/>
        </w:rPr>
        <w:t>9,563</w:t>
      </w:r>
      <w:r>
        <w:rPr>
          <w:spacing w:val="-1"/>
        </w:rPr>
        <w:t>股，预留授予部分</w:t>
      </w:r>
      <w:r>
        <w:rPr>
          <w:rFonts w:ascii="Times New Roman" w:hAnsi="Times New Roman" w:cs="Times New Roman" w:eastAsia="Times New Roman" w:hint="default"/>
          <w:spacing w:val="-1"/>
        </w:rPr>
        <w:t>27,000</w:t>
      </w:r>
      <w:r>
        <w:rPr>
          <w:spacing w:val="-1"/>
        </w:rPr>
        <w:t>股。</w:t>
      </w:r>
      <w:r>
        <w:rPr>
          <w:rFonts w:ascii="Times New Roman" w:hAnsi="Times New Roman" w:cs="Times New Roman" w:eastAsia="Times New Roman" w:hint="default"/>
          <w:spacing w:val="-1"/>
        </w:rPr>
        <w:t>11,250</w:t>
      </w:r>
      <w:r>
        <w:rPr>
          <w:spacing w:val="-1"/>
        </w:rPr>
        <w:t>份股票期权注销手续已于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日办理完毕。后续公司董事</w:t>
      </w:r>
      <w:r>
        <w:rPr>
          <w:spacing w:val="-70"/>
        </w:rPr>
        <w:t> </w:t>
      </w:r>
      <w:r>
        <w:rPr>
          <w:spacing w:val="-70"/>
        </w:rPr>
      </w:r>
      <w:r>
        <w:rPr/>
        <w:t>会将根据股东大会的授权，办理上述限制性股票回购注销、减少注册资本等各项事宜。具体内容详见公司在巨潮资讯网站</w:t>
      </w:r>
    </w:p>
    <w:p>
      <w:pPr>
        <w:pStyle w:val="BodyText"/>
        <w:spacing w:line="240" w:lineRule="auto" w:before="28"/>
        <w:ind w:right="0"/>
        <w:jc w:val="both"/>
      </w:pPr>
      <w:r>
        <w:rPr/>
        <w:t>（</w:t>
      </w:r>
      <w:hyperlink r:id="rId13">
        <w:r>
          <w:rPr>
            <w:rFonts w:ascii="Times New Roman" w:hAnsi="Times New Roman" w:cs="Times New Roman" w:eastAsia="Times New Roman" w:hint="default"/>
          </w:rPr>
          <w:t>www.cninfo.com.cn</w:t>
        </w:r>
      </w:hyperlink>
      <w:r>
        <w:rPr/>
        <w:t>）披露的公告（公告编号：</w:t>
      </w:r>
      <w:r>
        <w:rPr>
          <w:rFonts w:ascii="Times New Roman" w:hAnsi="Times New Roman" w:cs="Times New Roman" w:eastAsia="Times New Roman" w:hint="default"/>
        </w:rPr>
        <w:t>2017-70</w:t>
      </w:r>
      <w:r>
        <w:rPr/>
        <w:t>、</w:t>
      </w:r>
      <w:r>
        <w:rPr>
          <w:rFonts w:ascii="Times New Roman" w:hAnsi="Times New Roman" w:cs="Times New Roman" w:eastAsia="Times New Roman" w:hint="default"/>
        </w:rPr>
        <w:t>2017-71</w:t>
      </w:r>
      <w:r>
        <w:rPr/>
        <w:t>、</w:t>
      </w:r>
      <w:r>
        <w:rPr>
          <w:rFonts w:ascii="Times New Roman" w:hAnsi="Times New Roman" w:cs="Times New Roman" w:eastAsia="Times New Roman" w:hint="default"/>
        </w:rPr>
        <w:t>2017-86</w:t>
      </w:r>
      <w:r>
        <w:rPr/>
        <w:t>）。</w:t>
      </w:r>
    </w:p>
    <w:p>
      <w:pPr>
        <w:pStyle w:val="BodyText"/>
        <w:spacing w:line="309" w:lineRule="auto" w:before="63"/>
        <w:ind w:right="151" w:firstLine="288"/>
        <w:jc w:val="both"/>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日，公司召开第五届董事会第三十七次会议，根据</w:t>
      </w:r>
      <w:r>
        <w:rPr>
          <w:rFonts w:ascii="Times New Roman" w:hAnsi="Times New Roman" w:cs="Times New Roman" w:eastAsia="Times New Roman" w:hint="default"/>
          <w:spacing w:val="-1"/>
        </w:rPr>
        <w:t>2015</w:t>
      </w:r>
      <w:r>
        <w:rPr>
          <w:spacing w:val="-1"/>
        </w:rPr>
        <w:t>年第三次临时股东大会的授权，审议通过了《关</w:t>
      </w:r>
      <w:r>
        <w:rPr/>
        <w:t> </w:t>
      </w:r>
      <w:r>
        <w:rPr>
          <w:spacing w:val="-2"/>
        </w:rPr>
        <w:t>于对股票期权与限制性股票激励计划部分激励股份回购注销的议案》、《关于调整股票期权与限制性股票激励计划相关事项</w:t>
      </w:r>
      <w:r>
        <w:rPr>
          <w:spacing w:val="-65"/>
        </w:rPr>
        <w:t> </w:t>
      </w:r>
      <w:r>
        <w:rPr>
          <w:spacing w:val="-65"/>
        </w:rPr>
      </w:r>
      <w:r>
        <w:rPr>
          <w:spacing w:val="-2"/>
        </w:rPr>
        <w:t>的议案》。鉴于公司原激励对象李军因成为职工代表监事、郑世因已离职不符合激励条件，根据公司股权激励计划，公司拟</w:t>
      </w:r>
      <w:r>
        <w:rPr>
          <w:spacing w:val="-67"/>
        </w:rPr>
        <w:t> </w:t>
      </w:r>
      <w:r>
        <w:rPr>
          <w:spacing w:val="-67"/>
        </w:rPr>
      </w:r>
      <w:r>
        <w:rPr>
          <w:spacing w:val="-2"/>
        </w:rPr>
        <w:t>对相关激励对象已获授（含已获准行权）但尚未行权的</w:t>
      </w:r>
      <w:r>
        <w:rPr>
          <w:rFonts w:ascii="Times New Roman" w:hAnsi="Times New Roman" w:cs="Times New Roman" w:eastAsia="Times New Roman" w:hint="default"/>
          <w:spacing w:val="-2"/>
        </w:rPr>
        <w:t>7,500</w:t>
      </w:r>
      <w:r>
        <w:rPr>
          <w:spacing w:val="-2"/>
        </w:rPr>
        <w:t>份股票期权进行注销，对其已获授但尚未解锁的</w:t>
      </w:r>
      <w:r>
        <w:rPr>
          <w:rFonts w:ascii="Times New Roman" w:hAnsi="Times New Roman" w:cs="Times New Roman" w:eastAsia="Times New Roman" w:hint="default"/>
          <w:spacing w:val="-2"/>
        </w:rPr>
        <w:t>61,875</w:t>
      </w:r>
      <w:r>
        <w:rPr>
          <w:spacing w:val="-2"/>
        </w:rPr>
        <w:t>股限制性</w:t>
      </w:r>
      <w:r>
        <w:rPr>
          <w:spacing w:val="-55"/>
        </w:rPr>
        <w:t> </w:t>
      </w:r>
      <w:r>
        <w:rPr>
          <w:spacing w:val="-55"/>
        </w:rPr>
      </w:r>
      <w:r>
        <w:rPr/>
        <w:t>股</w:t>
      </w:r>
      <w:r>
        <w:rPr>
          <w:spacing w:val="-62"/>
        </w:rPr>
        <w:t> </w:t>
      </w:r>
      <w:r>
        <w:rPr/>
        <w:t>票</w:t>
      </w:r>
      <w:r>
        <w:rPr>
          <w:spacing w:val="-62"/>
        </w:rPr>
        <w:t> </w:t>
      </w:r>
      <w:r>
        <w:rPr/>
        <w:t>回</w:t>
      </w:r>
      <w:r>
        <w:rPr>
          <w:spacing w:val="-60"/>
        </w:rPr>
        <w:t> </w:t>
      </w:r>
      <w:r>
        <w:rPr/>
        <w:t>购</w:t>
      </w:r>
      <w:r>
        <w:rPr>
          <w:spacing w:val="-62"/>
        </w:rPr>
        <w:t> </w:t>
      </w:r>
      <w:r>
        <w:rPr/>
        <w:t>注</w:t>
      </w:r>
      <w:r>
        <w:rPr>
          <w:spacing w:val="-60"/>
        </w:rPr>
        <w:t> </w:t>
      </w:r>
      <w:r>
        <w:rPr/>
        <w:t>销</w:t>
      </w:r>
      <w:r>
        <w:rPr>
          <w:spacing w:val="-62"/>
        </w:rPr>
        <w:t> </w:t>
      </w:r>
      <w:r>
        <w:rPr/>
        <w:t>。</w:t>
      </w:r>
      <w:r>
        <w:rPr>
          <w:spacing w:val="-60"/>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5"/>
        </w:rPr>
        <w:t> </w:t>
      </w:r>
      <w:r>
        <w:rPr/>
        <w:t>份</w:t>
      </w:r>
      <w:r>
        <w:rPr>
          <w:spacing w:val="-62"/>
        </w:rPr>
        <w:t> </w:t>
      </w:r>
      <w:r>
        <w:rPr/>
        <w:t>股</w:t>
      </w:r>
      <w:r>
        <w:rPr>
          <w:spacing w:val="-62"/>
        </w:rPr>
        <w:t> </w:t>
      </w:r>
      <w:r>
        <w:rPr/>
        <w:t>票</w:t>
      </w:r>
      <w:r>
        <w:rPr>
          <w:spacing w:val="-62"/>
        </w:rPr>
        <w:t> </w:t>
      </w:r>
      <w:r>
        <w:rPr/>
        <w:t>期</w:t>
      </w:r>
      <w:r>
        <w:rPr>
          <w:spacing w:val="-62"/>
        </w:rPr>
        <w:t> </w:t>
      </w:r>
      <w:r>
        <w:rPr/>
        <w:t>权</w:t>
      </w:r>
      <w:r>
        <w:rPr>
          <w:spacing w:val="-60"/>
        </w:rPr>
        <w:t> </w:t>
      </w:r>
      <w:r>
        <w:rPr/>
        <w:t>注</w:t>
      </w:r>
      <w:r>
        <w:rPr>
          <w:spacing w:val="-62"/>
        </w:rPr>
        <w:t> </w:t>
      </w:r>
      <w:r>
        <w:rPr/>
        <w:t>销</w:t>
      </w:r>
      <w:r>
        <w:rPr>
          <w:spacing w:val="-60"/>
        </w:rPr>
        <w:t> </w:t>
      </w:r>
      <w:r>
        <w:rPr/>
        <w:t>手</w:t>
      </w:r>
      <w:r>
        <w:rPr>
          <w:spacing w:val="-62"/>
        </w:rPr>
        <w:t> </w:t>
      </w:r>
      <w:r>
        <w:rPr/>
        <w:t>续</w:t>
      </w:r>
      <w:r>
        <w:rPr>
          <w:spacing w:val="-60"/>
        </w:rPr>
        <w:t> </w:t>
      </w:r>
      <w:r>
        <w:rPr/>
        <w:t>已</w:t>
      </w:r>
      <w:r>
        <w:rPr>
          <w:spacing w:val="-62"/>
        </w:rPr>
        <w:t> </w:t>
      </w:r>
      <w:r>
        <w:rPr/>
        <w:t>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日</w:t>
      </w:r>
      <w:r>
        <w:rPr>
          <w:spacing w:val="-62"/>
        </w:rPr>
        <w:t> </w:t>
      </w:r>
      <w:r>
        <w:rPr/>
        <w:t>办</w:t>
      </w:r>
      <w:r>
        <w:rPr>
          <w:spacing w:val="-60"/>
        </w:rPr>
        <w:t> </w:t>
      </w:r>
      <w:r>
        <w:rPr/>
        <w:t>理</w:t>
      </w:r>
      <w:r>
        <w:rPr>
          <w:spacing w:val="-62"/>
        </w:rPr>
        <w:t> </w:t>
      </w:r>
      <w:r>
        <w:rPr/>
        <w:t>完</w:t>
      </w:r>
      <w:r>
        <w:rPr>
          <w:spacing w:val="-60"/>
        </w:rPr>
        <w:t> </w:t>
      </w:r>
      <w:r>
        <w:rPr/>
        <w:t>毕</w:t>
      </w:r>
      <w:r>
        <w:rPr>
          <w:spacing w:val="-62"/>
        </w:rPr>
        <w:t> </w:t>
      </w:r>
      <w:r>
        <w:rPr/>
        <w:t>。</w:t>
      </w:r>
      <w:r>
        <w:rPr>
          <w:spacing w:val="-60"/>
        </w:rPr>
        <w:t> </w:t>
      </w:r>
      <w:r>
        <w:rPr/>
        <w:t>具</w:t>
      </w:r>
      <w:r>
        <w:rPr>
          <w:spacing w:val="-62"/>
        </w:rPr>
        <w:t> </w:t>
      </w:r>
      <w:r>
        <w:rPr/>
        <w:t>体</w:t>
      </w:r>
      <w:r>
        <w:rPr>
          <w:spacing w:val="-60"/>
        </w:rPr>
        <w:t> </w:t>
      </w:r>
      <w:r>
        <w:rPr/>
        <w:t>内</w:t>
      </w:r>
      <w:r>
        <w:rPr>
          <w:spacing w:val="-62"/>
        </w:rPr>
        <w:t> </w:t>
      </w:r>
      <w:r>
        <w:rPr/>
        <w:t>容</w:t>
      </w:r>
      <w:r>
        <w:rPr>
          <w:spacing w:val="-62"/>
        </w:rPr>
        <w:t> </w:t>
      </w:r>
      <w:r>
        <w:rPr/>
        <w:t>详</w:t>
      </w:r>
      <w:r>
        <w:rPr>
          <w:spacing w:val="-60"/>
        </w:rPr>
        <w:t> </w:t>
      </w:r>
      <w:r>
        <w:rPr/>
        <w:t>见</w:t>
      </w:r>
      <w:r>
        <w:rPr>
          <w:spacing w:val="-62"/>
        </w:rPr>
        <w:t> </w:t>
      </w:r>
      <w:r>
        <w:rPr/>
        <w:t>公</w:t>
      </w:r>
      <w:r>
        <w:rPr>
          <w:spacing w:val="-60"/>
        </w:rPr>
        <w:t> </w:t>
      </w:r>
      <w:r>
        <w:rPr/>
        <w:t>司</w:t>
      </w:r>
      <w:r>
        <w:rPr>
          <w:spacing w:val="-62"/>
        </w:rPr>
        <w:t> </w:t>
      </w:r>
      <w:r>
        <w:rPr/>
        <w:t>在</w:t>
      </w:r>
      <w:r>
        <w:rPr>
          <w:spacing w:val="-60"/>
        </w:rPr>
        <w:t> </w:t>
      </w:r>
      <w:r>
        <w:rPr/>
        <w:t>巨</w:t>
      </w:r>
      <w:r>
        <w:rPr>
          <w:spacing w:val="-62"/>
        </w:rPr>
        <w:t> </w:t>
      </w:r>
      <w:r>
        <w:rPr/>
        <w:t>潮</w:t>
      </w:r>
      <w:r>
        <w:rPr>
          <w:spacing w:val="-60"/>
        </w:rPr>
        <w:t> </w:t>
      </w:r>
      <w:r>
        <w:rPr/>
        <w:t>资</w:t>
      </w:r>
      <w:r>
        <w:rPr>
          <w:spacing w:val="-62"/>
        </w:rPr>
        <w:t> </w:t>
      </w:r>
      <w:r>
        <w:rPr/>
        <w:t>讯</w:t>
      </w:r>
      <w:r>
        <w:rPr>
          <w:spacing w:val="-60"/>
        </w:rPr>
        <w:t> </w:t>
      </w:r>
      <w:r>
        <w:rPr/>
        <w:t>网</w:t>
      </w:r>
      <w:r>
        <w:rPr>
          <w:spacing w:val="-62"/>
        </w:rPr>
        <w:t> </w:t>
      </w:r>
      <w:r>
        <w:rPr/>
        <w:t>站</w:t>
      </w:r>
    </w:p>
    <w:p>
      <w:pPr>
        <w:pStyle w:val="BodyText"/>
        <w:spacing w:line="240" w:lineRule="auto" w:before="5"/>
        <w:ind w:right="0"/>
        <w:jc w:val="both"/>
      </w:pPr>
      <w:r>
        <w:rPr/>
        <w:t>（</w:t>
      </w:r>
      <w:hyperlink r:id="rId13">
        <w:r>
          <w:rPr>
            <w:rFonts w:ascii="Times New Roman" w:hAnsi="Times New Roman" w:cs="Times New Roman" w:eastAsia="Times New Roman" w:hint="default"/>
          </w:rPr>
          <w:t>www.cninfo.com.cn</w:t>
        </w:r>
      </w:hyperlink>
      <w:r>
        <w:rPr/>
        <w:t>）披露的公告（公告编号：</w:t>
      </w:r>
      <w:r>
        <w:rPr>
          <w:rFonts w:ascii="Times New Roman" w:hAnsi="Times New Roman" w:cs="Times New Roman" w:eastAsia="Times New Roman" w:hint="default"/>
        </w:rPr>
        <w:t>2017-80</w:t>
      </w:r>
      <w:r>
        <w:rPr/>
        <w:t>、</w:t>
      </w:r>
      <w:r>
        <w:rPr>
          <w:rFonts w:ascii="Times New Roman" w:hAnsi="Times New Roman" w:cs="Times New Roman" w:eastAsia="Times New Roman" w:hint="default"/>
        </w:rPr>
        <w:t>2017-81</w:t>
      </w:r>
      <w:r>
        <w:rPr/>
        <w:t>、</w:t>
      </w:r>
      <w:r>
        <w:rPr>
          <w:rFonts w:ascii="Times New Roman" w:hAnsi="Times New Roman" w:cs="Times New Roman" w:eastAsia="Times New Roman" w:hint="default"/>
        </w:rPr>
        <w:t>2017-86</w:t>
      </w:r>
      <w:r>
        <w:rPr/>
        <w:t>）。</w:t>
      </w:r>
    </w:p>
    <w:p>
      <w:pPr>
        <w:pStyle w:val="BodyText"/>
        <w:spacing w:line="309" w:lineRule="auto" w:before="63"/>
        <w:ind w:right="148" w:firstLine="420"/>
        <w:jc w:val="both"/>
      </w:pP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日，公司召开第六届董事会第三次会议，根据</w:t>
      </w:r>
      <w:r>
        <w:rPr>
          <w:rFonts w:ascii="Times New Roman" w:hAnsi="Times New Roman" w:cs="Times New Roman" w:eastAsia="Times New Roman" w:hint="default"/>
          <w:spacing w:val="-1"/>
        </w:rPr>
        <w:t>2015</w:t>
      </w:r>
      <w:r>
        <w:rPr>
          <w:spacing w:val="-1"/>
        </w:rPr>
        <w:t>年第三次临时股东大会的授权，审议通过了《关于</w:t>
      </w:r>
      <w:r>
        <w:rPr/>
        <w:t> </w:t>
      </w:r>
      <w:r>
        <w:rPr>
          <w:spacing w:val="-2"/>
        </w:rPr>
        <w:t>对股票期权与限制性股票激励计划部分激励股份回购注销的议案》、《关于调整股票期权与限制性股票激励计划相关事项的</w:t>
      </w:r>
      <w:r>
        <w:rPr>
          <w:spacing w:val="-65"/>
        </w:rPr>
        <w:t> </w:t>
      </w:r>
      <w:r>
        <w:rPr>
          <w:spacing w:val="-65"/>
        </w:rPr>
      </w:r>
      <w:r>
        <w:rPr/>
        <w:t>议案》。鉴于公司原激励对象陈振等</w:t>
      </w:r>
      <w:r>
        <w:rPr>
          <w:rFonts w:ascii="Times New Roman" w:hAnsi="Times New Roman" w:cs="Times New Roman" w:eastAsia="Times New Roman" w:hint="default"/>
        </w:rPr>
        <w:t>7</w:t>
      </w:r>
      <w:r>
        <w:rPr/>
        <w:t>人因已离职不符合激励条件，根据公司股权激励计划，公司拟对相关激励对象已获授</w:t>
      </w:r>
    </w:p>
    <w:p>
      <w:pPr>
        <w:pStyle w:val="BodyText"/>
        <w:spacing w:line="300" w:lineRule="auto" w:before="5"/>
        <w:ind w:right="150"/>
        <w:jc w:val="both"/>
      </w:pPr>
      <w:r>
        <w:rPr>
          <w:spacing w:val="-2"/>
        </w:rPr>
        <w:t>（含已获准行权）但尚未行权的</w:t>
      </w:r>
      <w:r>
        <w:rPr>
          <w:rFonts w:ascii="Times New Roman" w:hAnsi="Times New Roman" w:cs="Times New Roman" w:eastAsia="Times New Roman" w:hint="default"/>
          <w:spacing w:val="-2"/>
        </w:rPr>
        <w:t>9,750</w:t>
      </w:r>
      <w:r>
        <w:rPr>
          <w:spacing w:val="-2"/>
        </w:rPr>
        <w:t>份股票期权进行注销，对其已获授但尚未解锁的</w:t>
      </w:r>
      <w:r>
        <w:rPr>
          <w:rFonts w:ascii="Times New Roman" w:hAnsi="Times New Roman" w:cs="Times New Roman" w:eastAsia="Times New Roman" w:hint="default"/>
          <w:spacing w:val="-2"/>
        </w:rPr>
        <w:t>34,088</w:t>
      </w:r>
      <w:r>
        <w:rPr>
          <w:spacing w:val="-2"/>
        </w:rPr>
        <w:t>股限制性股票回购注销，其中首</w:t>
      </w:r>
      <w:r>
        <w:rPr>
          <w:spacing w:val="-57"/>
        </w:rPr>
        <w:t> </w:t>
      </w:r>
      <w:r>
        <w:rPr>
          <w:spacing w:val="-57"/>
        </w:rPr>
      </w:r>
      <w:r>
        <w:rPr/>
        <w:t>次授予部分</w:t>
      </w:r>
      <w:r>
        <w:rPr>
          <w:rFonts w:ascii="Times New Roman" w:hAnsi="Times New Roman" w:cs="Times New Roman" w:eastAsia="Times New Roman" w:hint="default"/>
        </w:rPr>
        <w:t>28,688</w:t>
      </w:r>
      <w:r>
        <w:rPr/>
        <w:t>股，预留授予部分</w:t>
      </w:r>
      <w:r>
        <w:rPr>
          <w:rFonts w:ascii="Times New Roman" w:hAnsi="Times New Roman" w:cs="Times New Roman" w:eastAsia="Times New Roman" w:hint="default"/>
        </w:rPr>
        <w:t>5,400</w:t>
      </w:r>
      <w:r>
        <w:rPr/>
        <w:t>股。</w:t>
      </w:r>
      <w:r>
        <w:rPr>
          <w:rFonts w:ascii="Times New Roman" w:hAnsi="Times New Roman" w:cs="Times New Roman" w:eastAsia="Times New Roman" w:hint="default"/>
        </w:rPr>
        <w:t>9,750</w:t>
      </w:r>
      <w:r>
        <w:rPr/>
        <w:t>份股票期权注销手续已于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日办理完毕，后续公司董事会将</w:t>
      </w:r>
      <w:r>
        <w:rPr>
          <w:spacing w:val="-44"/>
        </w:rPr>
        <w:t> </w:t>
      </w:r>
      <w:r>
        <w:rPr>
          <w:spacing w:val="-44"/>
        </w:rPr>
      </w:r>
      <w:r>
        <w:rPr/>
        <w:t>根据股东大会的授权，办理上述限制性股票回购注销、减少注册资本等各项必须事宜。具体内容详见公司在巨潮资讯网站</w:t>
      </w:r>
    </w:p>
    <w:p>
      <w:pPr>
        <w:pStyle w:val="BodyText"/>
        <w:spacing w:line="240" w:lineRule="auto" w:before="31"/>
        <w:ind w:right="0"/>
        <w:jc w:val="both"/>
      </w:pPr>
      <w:r>
        <w:rPr/>
        <w:t>（</w:t>
      </w:r>
      <w:hyperlink r:id="rId13">
        <w:r>
          <w:rPr>
            <w:rFonts w:ascii="Times New Roman" w:hAnsi="Times New Roman" w:cs="Times New Roman" w:eastAsia="Times New Roman" w:hint="default"/>
          </w:rPr>
          <w:t>www.cninfo.com.cn</w:t>
        </w:r>
      </w:hyperlink>
      <w:r>
        <w:rPr/>
        <w:t>）披露的公告（公告编号：</w:t>
      </w:r>
      <w:r>
        <w:rPr>
          <w:rFonts w:ascii="Times New Roman" w:hAnsi="Times New Roman" w:cs="Times New Roman" w:eastAsia="Times New Roman" w:hint="default"/>
        </w:rPr>
        <w:t>2017-112</w:t>
      </w:r>
      <w:r>
        <w:rPr/>
        <w:t>、</w:t>
      </w:r>
      <w:r>
        <w:rPr>
          <w:rFonts w:ascii="Times New Roman" w:hAnsi="Times New Roman" w:cs="Times New Roman" w:eastAsia="Times New Roman" w:hint="default"/>
        </w:rPr>
        <w:t>2017-131</w:t>
      </w:r>
      <w:r>
        <w:rPr/>
        <w:t>）</w:t>
      </w:r>
    </w:p>
    <w:p>
      <w:pPr>
        <w:pStyle w:val="BodyText"/>
        <w:spacing w:line="304" w:lineRule="auto" w:before="63"/>
        <w:ind w:right="151" w:firstLine="42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日，公司分别召开了第六届董事会第四次会议和第六届监事会第四次会议，审议通过了《关于股票期 权与制性股票激励计划首次授予部分第二次行权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解锁条件成就的议案》、《关于注销公司股权激励计划授予的 </w:t>
      </w:r>
      <w:r>
        <w:rPr>
          <w:spacing w:val="-2"/>
        </w:rPr>
        <w:t>股票期权第一个行权期未行权股票期权的议案》、《关于调整股票期权与限制性股票激励计划相关事项的议案》、《关于对</w:t>
      </w:r>
      <w:r>
        <w:rPr>
          <w:spacing w:val="-66"/>
        </w:rPr>
        <w:t> </w:t>
      </w:r>
      <w:r>
        <w:rPr>
          <w:spacing w:val="-66"/>
        </w:rPr>
      </w:r>
      <w:r>
        <w:rPr/>
        <w:t>股票期权与限制性股票激励计划部分股票期权注销的议案》。鉴于公司原激励对象韩伟等</w:t>
      </w:r>
      <w:r>
        <w:rPr>
          <w:rFonts w:ascii="Times New Roman" w:hAnsi="Times New Roman" w:cs="Times New Roman" w:eastAsia="Times New Roman" w:hint="default"/>
        </w:rPr>
        <w:t>3</w:t>
      </w:r>
      <w:r>
        <w:rPr/>
        <w:t>人因已离职不符合激励条件，根</w:t>
      </w:r>
      <w:r>
        <w:rPr>
          <w:spacing w:val="-83"/>
        </w:rPr>
        <w:t> </w:t>
      </w:r>
      <w:r>
        <w:rPr>
          <w:spacing w:val="-83"/>
        </w:rPr>
      </w:r>
      <w:r>
        <w:rPr>
          <w:spacing w:val="-1"/>
        </w:rPr>
        <w:t>据公司股权激励计划，公司拟对相关激励对象已获授（含已获准行权）但尚未行权的</w:t>
      </w:r>
      <w:r>
        <w:rPr>
          <w:rFonts w:ascii="Times New Roman" w:hAnsi="Times New Roman" w:cs="Times New Roman" w:eastAsia="Times New Roman" w:hint="default"/>
          <w:spacing w:val="-1"/>
        </w:rPr>
        <w:t>69,000</w:t>
      </w:r>
      <w:r>
        <w:rPr>
          <w:spacing w:val="-1"/>
        </w:rPr>
        <w:t>份股票期权进行注销，同时对公</w:t>
      </w:r>
      <w:r>
        <w:rPr>
          <w:spacing w:val="-72"/>
        </w:rPr>
        <w:t> </w:t>
      </w:r>
      <w:r>
        <w:rPr>
          <w:spacing w:val="-72"/>
        </w:rPr>
      </w:r>
      <w:r>
        <w:rPr/>
        <w:t>司股权激励计划授予的股票期权第一个行权期未行权的</w:t>
      </w:r>
      <w:r>
        <w:rPr>
          <w:rFonts w:ascii="Times New Roman" w:hAnsi="Times New Roman" w:cs="Times New Roman" w:eastAsia="Times New Roman" w:hint="default"/>
        </w:rPr>
        <w:t>330,555</w:t>
      </w:r>
      <w:r>
        <w:rPr/>
        <w:t>份股票期权进行注销。并同意对满足第二次行权</w:t>
      </w:r>
      <w:r>
        <w:rPr>
          <w:rFonts w:ascii="Times New Roman" w:hAnsi="Times New Roman" w:cs="Times New Roman" w:eastAsia="Times New Roman" w:hint="default"/>
        </w:rPr>
        <w:t>/</w:t>
      </w:r>
      <w:r>
        <w:rPr/>
        <w:t>解锁期行权</w:t>
      </w:r>
    </w:p>
    <w:p>
      <w:pPr>
        <w:pStyle w:val="BodyText"/>
        <w:spacing w:line="300" w:lineRule="auto" w:before="9"/>
        <w:ind w:right="146"/>
        <w:jc w:val="both"/>
      </w:pPr>
      <w:r>
        <w:rPr>
          <w:rFonts w:ascii="Times New Roman" w:hAnsi="Times New Roman" w:cs="Times New Roman" w:eastAsia="Times New Roman" w:hint="default"/>
          <w:spacing w:val="-1"/>
        </w:rPr>
        <w:t>/</w:t>
      </w:r>
      <w:r>
        <w:rPr>
          <w:spacing w:val="-1"/>
        </w:rPr>
        <w:t>解锁条件的激励对象按照激励计划的相关规定办理行权</w:t>
      </w:r>
      <w:r>
        <w:rPr>
          <w:rFonts w:ascii="Times New Roman" w:hAnsi="Times New Roman" w:cs="Times New Roman" w:eastAsia="Times New Roman" w:hint="default"/>
          <w:spacing w:val="-1"/>
        </w:rPr>
        <w:t>/</w:t>
      </w:r>
      <w:r>
        <w:rPr>
          <w:spacing w:val="-1"/>
        </w:rPr>
        <w:t>解锁期行权</w:t>
      </w:r>
      <w:r>
        <w:rPr>
          <w:rFonts w:ascii="Times New Roman" w:hAnsi="Times New Roman" w:cs="Times New Roman" w:eastAsia="Times New Roman" w:hint="default"/>
          <w:spacing w:val="-1"/>
        </w:rPr>
        <w:t>/</w:t>
      </w:r>
      <w:r>
        <w:rPr>
          <w:spacing w:val="-1"/>
        </w:rPr>
        <w:t>解锁的相关事宜，上述</w:t>
      </w:r>
      <w:r>
        <w:rPr>
          <w:rFonts w:ascii="Times New Roman" w:hAnsi="Times New Roman" w:cs="Times New Roman" w:eastAsia="Times New Roman" w:hint="default"/>
          <w:spacing w:val="-1"/>
        </w:rPr>
        <w:t>69,000</w:t>
      </w:r>
      <w:r>
        <w:rPr>
          <w:spacing w:val="-1"/>
        </w:rPr>
        <w:t>份和</w:t>
      </w:r>
      <w:r>
        <w:rPr>
          <w:rFonts w:ascii="Times New Roman" w:hAnsi="Times New Roman" w:cs="Times New Roman" w:eastAsia="Times New Roman" w:hint="default"/>
          <w:spacing w:val="-1"/>
        </w:rPr>
        <w:t>330,555</w:t>
      </w:r>
      <w:r>
        <w:rPr>
          <w:spacing w:val="-1"/>
        </w:rPr>
        <w:t>份股票期权注</w:t>
      </w:r>
      <w:r>
        <w:rPr>
          <w:spacing w:val="-81"/>
        </w:rPr>
        <w:t> </w:t>
      </w:r>
      <w:r>
        <w:rPr>
          <w:spacing w:val="-2"/>
        </w:rPr>
        <w:t>销手续已于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日办理完毕，</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日，公司股票期权与限制性股票激励计划首次授予部分限制性股票第二个解锁</w:t>
      </w:r>
      <w:r>
        <w:rPr>
          <w:spacing w:val="-58"/>
        </w:rPr>
        <w:t> </w:t>
      </w:r>
      <w:r>
        <w:rPr>
          <w:spacing w:val="-58"/>
        </w:rPr>
      </w:r>
      <w:r>
        <w:rPr/>
        <w:t>期的解除限售手续已在中国证券登记结算有限责任公司深圳分公司办理完毕，本次解除限售的限制性股票数量为</w:t>
      </w:r>
      <w:r>
        <w:rPr>
          <w:rFonts w:ascii="Times New Roman" w:hAnsi="Times New Roman" w:cs="Times New Roman" w:eastAsia="Times New Roman" w:hint="default"/>
        </w:rPr>
        <w:t>1,502,430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股，占公司总股本的比例为</w:t>
      </w:r>
      <w:r>
        <w:rPr>
          <w:rFonts w:ascii="Times New Roman" w:hAnsi="Times New Roman" w:cs="Times New Roman" w:eastAsia="Times New Roman" w:hint="default"/>
          <w:spacing w:val="-2"/>
        </w:rPr>
        <w:t>0.6184%</w:t>
      </w:r>
      <w:r>
        <w:rPr>
          <w:spacing w:val="-2"/>
        </w:rPr>
        <w:t>，上市流通日为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日（星期四），解除限售涉及股东人数：</w:t>
      </w:r>
      <w:r>
        <w:rPr>
          <w:rFonts w:ascii="Times New Roman" w:hAnsi="Times New Roman" w:cs="Times New Roman" w:eastAsia="Times New Roman" w:hint="default"/>
          <w:spacing w:val="-2"/>
        </w:rPr>
        <w:t>318</w:t>
      </w:r>
      <w:r>
        <w:rPr>
          <w:spacing w:val="-2"/>
        </w:rPr>
        <w:t>人。具体内容</w:t>
      </w:r>
      <w:r>
        <w:rPr>
          <w:spacing w:val="-70"/>
        </w:rPr>
        <w:t> </w:t>
      </w:r>
      <w:r>
        <w:rPr>
          <w:spacing w:val="-70"/>
        </w:rPr>
      </w:r>
      <w:r>
        <w:rPr>
          <w:spacing w:val="-1"/>
        </w:rPr>
        <w:t>详见公司在巨潮资讯网站（</w:t>
      </w:r>
      <w:hyperlink r:id="rId13">
        <w:r>
          <w:rPr>
            <w:rFonts w:ascii="Times New Roman" w:hAnsi="Times New Roman" w:cs="Times New Roman" w:eastAsia="Times New Roman" w:hint="default"/>
            <w:spacing w:val="-1"/>
          </w:rPr>
          <w:t>www.cninfo.com.cn</w:t>
        </w:r>
      </w:hyperlink>
      <w:r>
        <w:rPr>
          <w:spacing w:val="-1"/>
        </w:rPr>
        <w:t>）披露的公告（公告编号：</w:t>
      </w:r>
      <w:r>
        <w:rPr>
          <w:rFonts w:ascii="Times New Roman" w:hAnsi="Times New Roman" w:cs="Times New Roman" w:eastAsia="Times New Roman" w:hint="default"/>
          <w:spacing w:val="-1"/>
        </w:rPr>
        <w:t>2017-120</w:t>
      </w:r>
      <w:r>
        <w:rPr>
          <w:spacing w:val="-1"/>
        </w:rPr>
        <w:t>、</w:t>
      </w:r>
      <w:r>
        <w:rPr>
          <w:rFonts w:ascii="Times New Roman" w:hAnsi="Times New Roman" w:cs="Times New Roman" w:eastAsia="Times New Roman" w:hint="default"/>
          <w:spacing w:val="-1"/>
        </w:rPr>
        <w:t>2017-121</w:t>
      </w:r>
      <w:r>
        <w:rPr>
          <w:spacing w:val="-1"/>
        </w:rPr>
        <w:t>、</w:t>
      </w:r>
      <w:r>
        <w:rPr>
          <w:rFonts w:ascii="Times New Roman" w:hAnsi="Times New Roman" w:cs="Times New Roman" w:eastAsia="Times New Roman" w:hint="default"/>
          <w:spacing w:val="-1"/>
        </w:rPr>
        <w:t>2017-122</w:t>
      </w:r>
      <w:r>
        <w:rPr>
          <w:spacing w:val="-1"/>
        </w:rPr>
        <w:t>、</w:t>
      </w:r>
      <w:r>
        <w:rPr>
          <w:rFonts w:ascii="Times New Roman" w:hAnsi="Times New Roman" w:cs="Times New Roman" w:eastAsia="Times New Roman" w:hint="default"/>
          <w:spacing w:val="-1"/>
        </w:rPr>
        <w:t>2017-123</w:t>
      </w:r>
      <w:r>
        <w:rPr>
          <w:spacing w:val="-1"/>
        </w:rPr>
        <w:t>、</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rFonts w:ascii="Times New Roman" w:hAnsi="Times New Roman" w:cs="Times New Roman" w:eastAsia="Times New Roman" w:hint="default"/>
        </w:rPr>
        <w:t>128</w:t>
      </w:r>
      <w:r>
        <w:rPr/>
        <w:t>、</w:t>
      </w:r>
      <w:r>
        <w:rPr>
          <w:rFonts w:ascii="Times New Roman" w:hAnsi="Times New Roman" w:cs="Times New Roman" w:eastAsia="Times New Roman" w:hint="default"/>
        </w:rPr>
        <w:t>2017-131</w:t>
      </w:r>
      <w:r>
        <w:rPr/>
        <w:t>）。</w:t>
      </w:r>
    </w:p>
    <w:p>
      <w:pPr>
        <w:pStyle w:val="BodyText"/>
        <w:spacing w:line="240" w:lineRule="auto" w:before="13"/>
        <w:ind w:left="573" w:right="0"/>
        <w:jc w:val="left"/>
      </w:pPr>
      <w:r>
        <w:rPr/>
        <w:t>二、报告期内员工持股计划如下：</w:t>
      </w:r>
    </w:p>
    <w:p>
      <w:pPr>
        <w:pStyle w:val="BodyText"/>
        <w:spacing w:line="240" w:lineRule="auto" w:before="76"/>
        <w:ind w:left="0" w:right="152"/>
        <w:jc w:val="righ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4</w:t>
      </w:r>
      <w:r>
        <w:rPr>
          <w:spacing w:val="-5"/>
        </w:rPr>
        <w:t>日，公司第五届董事会第三十四次会议审议并通过了《关于回购公司股份以实施员工持股计划的议案》。</w:t>
      </w:r>
    </w:p>
    <w:p>
      <w:pPr>
        <w:pStyle w:val="BodyText"/>
        <w:spacing w:line="307" w:lineRule="auto" w:before="63"/>
        <w:ind w:right="148"/>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2017</w:t>
      </w:r>
      <w:r>
        <w:rPr/>
        <w:t>年第二次临时股东大会审议并通过了《关于回购公司股份以实施员工持股计划的议案》，同意公 </w:t>
      </w:r>
      <w:r>
        <w:rPr>
          <w:spacing w:val="-2"/>
        </w:rPr>
        <w:t>司以自筹资金择机进行股份回购，本次回购的股份将用于后期实施公司员工持股计划。此次回购期限自股东大会审议通过本</w:t>
      </w:r>
      <w:r>
        <w:rPr>
          <w:spacing w:val="-64"/>
        </w:rPr>
        <w:t> </w:t>
      </w:r>
      <w:r>
        <w:rPr>
          <w:spacing w:val="-64"/>
        </w:rPr>
      </w:r>
      <w:r>
        <w:rPr/>
        <w:t>回购股份方案之日至</w:t>
      </w:r>
      <w:r>
        <w:rPr>
          <w:rFonts w:ascii="Times New Roman" w:hAnsi="Times New Roman" w:cs="Times New Roman" w:eastAsia="Times New Roman" w:hint="default"/>
        </w:rPr>
        <w:t>2017 </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日，回购金额最高不超过</w:t>
      </w:r>
      <w:r>
        <w:rPr>
          <w:rFonts w:ascii="Times New Roman" w:hAnsi="Times New Roman" w:cs="Times New Roman" w:eastAsia="Times New Roman" w:hint="default"/>
          <w:spacing w:val="-3"/>
        </w:rPr>
        <w:t>15,000</w:t>
      </w:r>
      <w:r>
        <w:rPr>
          <w:spacing w:val="-3"/>
        </w:rPr>
        <w:t>万人民币，回购股份的价格不超过人民币</w:t>
      </w:r>
      <w:r>
        <w:rPr>
          <w:rFonts w:ascii="Times New Roman" w:hAnsi="Times New Roman" w:cs="Times New Roman" w:eastAsia="Times New Roman" w:hint="default"/>
          <w:spacing w:val="-3"/>
        </w:rPr>
        <w:t>39.37</w:t>
      </w:r>
      <w:r>
        <w:rPr>
          <w:spacing w:val="-3"/>
        </w:rPr>
        <w:t>元</w:t>
      </w:r>
      <w:r>
        <w:rPr>
          <w:rFonts w:ascii="Times New Roman" w:hAnsi="Times New Roman" w:cs="Times New Roman" w:eastAsia="Times New Roman" w:hint="default"/>
          <w:spacing w:val="-3"/>
        </w:rPr>
        <w:t>/</w:t>
      </w:r>
      <w:r>
        <w:rPr>
          <w:spacing w:val="-3"/>
        </w:rPr>
        <w:t>股，回购</w:t>
      </w:r>
      <w:r>
        <w:rPr>
          <w:spacing w:val="-77"/>
        </w:rPr>
        <w:t> </w:t>
      </w:r>
      <w:r>
        <w:rPr>
          <w:spacing w:val="-77"/>
        </w:rPr>
      </w:r>
      <w:r>
        <w:rPr/>
        <w:t>股份约为</w:t>
      </w:r>
      <w:r>
        <w:rPr>
          <w:rFonts w:ascii="Times New Roman" w:hAnsi="Times New Roman" w:cs="Times New Roman" w:eastAsia="Times New Roman" w:hint="default"/>
        </w:rPr>
        <w:t>380</w:t>
      </w:r>
      <w:r>
        <w:rPr/>
        <w:t>万股。</w:t>
      </w:r>
    </w:p>
    <w:p>
      <w:pPr>
        <w:pStyle w:val="BodyText"/>
        <w:spacing w:line="300" w:lineRule="auto" w:before="7"/>
        <w:ind w:right="151"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日，公司通过股票回购专用证券账户以集中竞价交易方式累计回购公司股份共计</w:t>
      </w:r>
      <w:r>
        <w:rPr>
          <w:rFonts w:ascii="Times New Roman" w:hAnsi="Times New Roman" w:cs="Times New Roman" w:eastAsia="Times New Roman" w:hint="default"/>
        </w:rPr>
        <w:t>3,132,923</w:t>
      </w:r>
      <w:r>
        <w:rPr/>
        <w:t>股，总金额 为</w:t>
      </w:r>
      <w:r>
        <w:rPr>
          <w:rFonts w:ascii="Times New Roman" w:hAnsi="Times New Roman" w:cs="Times New Roman" w:eastAsia="Times New Roman" w:hint="default"/>
        </w:rPr>
        <w:t>98,006,926.54</w:t>
      </w:r>
      <w:r>
        <w:rPr/>
        <w:t>元（不含手续费），回购股份占公司总股本的比例为</w:t>
      </w:r>
      <w:r>
        <w:rPr>
          <w:rFonts w:ascii="Times New Roman" w:hAnsi="Times New Roman" w:cs="Times New Roman" w:eastAsia="Times New Roman" w:hint="default"/>
        </w:rPr>
        <w:t>1.29%</w:t>
      </w:r>
      <w:r>
        <w:rPr/>
        <w:t>。</w:t>
      </w:r>
    </w:p>
    <w:p>
      <w:pPr>
        <w:pStyle w:val="BodyText"/>
        <w:spacing w:line="300" w:lineRule="auto" w:before="13"/>
        <w:ind w:right="148" w:firstLine="420"/>
        <w:jc w:val="righ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日，公司通过股票回购专用证券账户以集中竞价交易方式累计回购公司股份共计</w:t>
      </w:r>
      <w:r>
        <w:rPr>
          <w:rFonts w:ascii="Times New Roman" w:hAnsi="Times New Roman" w:cs="Times New Roman" w:eastAsia="Times New Roman" w:hint="default"/>
        </w:rPr>
        <w:t>3,800,016</w:t>
      </w:r>
      <w:r>
        <w:rPr/>
        <w:t>股，总金额 </w:t>
      </w:r>
      <w:r>
        <w:rPr>
          <w:spacing w:val="-1"/>
        </w:rPr>
        <w:t>为</w:t>
      </w:r>
      <w:r>
        <w:rPr>
          <w:rFonts w:ascii="Times New Roman" w:hAnsi="Times New Roman" w:cs="Times New Roman" w:eastAsia="Times New Roman" w:hint="default"/>
          <w:spacing w:val="-1"/>
        </w:rPr>
        <w:t>119,400,118.77</w:t>
      </w:r>
      <w:r>
        <w:rPr>
          <w:spacing w:val="-1"/>
        </w:rPr>
        <w:t>元（不含手续费），至此本次回购公司股份已实施完毕，本次回购的股份存放于公司回购股份专用账户。</w:t>
      </w:r>
      <w:r>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25</w:t>
      </w:r>
      <w:r>
        <w:rPr>
          <w:spacing w:val="-2"/>
        </w:rPr>
        <w:t>日，公司第五届董事会第三十七次会议审议并通过了《关于</w:t>
      </w:r>
      <w:r>
        <w:rPr>
          <w:rFonts w:ascii="Times New Roman" w:hAnsi="Times New Roman" w:cs="Times New Roman" w:eastAsia="Times New Roman" w:hint="default"/>
          <w:spacing w:val="-2"/>
        </w:rPr>
        <w:t>&lt;</w:t>
      </w:r>
      <w:r>
        <w:rPr>
          <w:spacing w:val="-2"/>
        </w:rPr>
        <w:t>创业软件股份有限公司</w:t>
      </w:r>
      <w:r>
        <w:rPr>
          <w:rFonts w:ascii="Times New Roman" w:hAnsi="Times New Roman" w:cs="Times New Roman" w:eastAsia="Times New Roman" w:hint="default"/>
          <w:spacing w:val="-2"/>
        </w:rPr>
        <w:t>2017</w:t>
      </w:r>
      <w:r>
        <w:rPr>
          <w:spacing w:val="-2"/>
        </w:rPr>
        <w:t>年度第一期员</w:t>
      </w:r>
      <w:r>
        <w:rPr/>
        <w:t> </w:t>
      </w:r>
      <w:r>
        <w:rPr>
          <w:spacing w:val="-3"/>
        </w:rPr>
        <w:t>工持股计划（草案）</w:t>
      </w:r>
      <w:r>
        <w:rPr>
          <w:rFonts w:ascii="Times New Roman" w:hAnsi="Times New Roman" w:cs="Times New Roman" w:eastAsia="Times New Roman" w:hint="default"/>
          <w:spacing w:val="-3"/>
        </w:rPr>
        <w:t>&gt;</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spacing w:val="-2"/>
        </w:rPr>
        <w:t>及其摘要的议案》。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日，公司</w:t>
      </w:r>
      <w:r>
        <w:rPr>
          <w:rFonts w:ascii="Times New Roman" w:hAnsi="Times New Roman" w:cs="Times New Roman" w:eastAsia="Times New Roman" w:hint="default"/>
          <w:spacing w:val="-2"/>
        </w:rPr>
        <w:t>2017</w:t>
      </w:r>
      <w:r>
        <w:rPr>
          <w:spacing w:val="-2"/>
        </w:rPr>
        <w:t>年第四次临时股东大会审议并通过了《关于</w:t>
      </w:r>
      <w:r>
        <w:rPr>
          <w:rFonts w:ascii="Times New Roman" w:hAnsi="Times New Roman" w:cs="Times New Roman" w:eastAsia="Times New Roman" w:hint="default"/>
          <w:spacing w:val="-2"/>
        </w:rPr>
        <w:t>&lt;</w:t>
      </w:r>
      <w:r>
        <w:rPr>
          <w:spacing w:val="-2"/>
        </w:rPr>
        <w:t>创业软件</w:t>
      </w:r>
    </w:p>
    <w:p>
      <w:pPr>
        <w:spacing w:after="0" w:line="30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52"/>
        <w:jc w:val="both"/>
      </w:pPr>
      <w:r>
        <w:rPr>
          <w:spacing w:val="-2"/>
        </w:rPr>
        <w:t>股份有限公司</w:t>
      </w:r>
      <w:r>
        <w:rPr>
          <w:rFonts w:ascii="Times New Roman" w:hAnsi="Times New Roman" w:cs="Times New Roman" w:eastAsia="Times New Roman" w:hint="default"/>
          <w:spacing w:val="-2"/>
        </w:rPr>
        <w:t>2017</w:t>
      </w:r>
      <w:r>
        <w:rPr>
          <w:spacing w:val="-2"/>
        </w:rPr>
        <w:t>年度第一期员工持股计划（草案）</w:t>
      </w:r>
      <w:r>
        <w:rPr>
          <w:rFonts w:ascii="Times New Roman" w:hAnsi="Times New Roman" w:cs="Times New Roman" w:eastAsia="Times New Roman" w:hint="default"/>
          <w:spacing w:val="-2"/>
        </w:rPr>
        <w:t>&gt;</w:t>
      </w:r>
      <w:r>
        <w:rPr>
          <w:rFonts w:ascii="Times New Roman" w:hAnsi="Times New Roman" w:cs="Times New Roman" w:eastAsia="Times New Roman" w:hint="default"/>
        </w:rPr>
        <w:t> </w:t>
      </w:r>
      <w:r>
        <w:rPr>
          <w:spacing w:val="-2"/>
        </w:rPr>
        <w:t>及其摘要的议案》。根据草案规定，本次员工持股计划经公司股东大</w:t>
      </w:r>
      <w:r>
        <w:rPr>
          <w:spacing w:val="-76"/>
        </w:rPr>
        <w:t> </w:t>
      </w:r>
      <w:r>
        <w:rPr>
          <w:spacing w:val="-76"/>
        </w:rPr>
      </w:r>
      <w:r>
        <w:rPr>
          <w:spacing w:val="2"/>
        </w:rPr>
        <w:t>会审议通过后</w:t>
      </w:r>
      <w:r>
        <w:rPr>
          <w:rFonts w:ascii="Times New Roman" w:hAnsi="Times New Roman" w:cs="Times New Roman" w:eastAsia="Times New Roman" w:hint="default"/>
          <w:spacing w:val="2"/>
        </w:rPr>
        <w:t>6</w:t>
      </w:r>
      <w:r>
        <w:rPr>
          <w:spacing w:val="2"/>
        </w:rPr>
        <w:t>个月内员工持股计划将通过受让方式以不低于</w:t>
      </w:r>
      <w:r>
        <w:rPr>
          <w:rFonts w:ascii="Times New Roman" w:hAnsi="Times New Roman" w:cs="Times New Roman" w:eastAsia="Times New Roman" w:hint="default"/>
          <w:spacing w:val="2"/>
        </w:rPr>
        <w:t>25</w:t>
      </w:r>
      <w:r>
        <w:rPr>
          <w:spacing w:val="2"/>
        </w:rPr>
        <w:t>元</w:t>
      </w:r>
      <w:r>
        <w:rPr>
          <w:rFonts w:ascii="Times New Roman" w:hAnsi="Times New Roman" w:cs="Times New Roman" w:eastAsia="Times New Roman" w:hint="default"/>
          <w:spacing w:val="2"/>
        </w:rPr>
        <w:t>/</w:t>
      </w:r>
      <w:r>
        <w:rPr>
          <w:spacing w:val="2"/>
        </w:rPr>
        <w:t>股的价格取得公司回购专用账户已回购的股份并持有标</w:t>
      </w:r>
      <w:r>
        <w:rPr>
          <w:spacing w:val="-81"/>
        </w:rPr>
        <w:t> </w:t>
      </w:r>
      <w:r>
        <w:rPr>
          <w:spacing w:val="-81"/>
        </w:rPr>
      </w:r>
      <w:r>
        <w:rPr/>
        <w:t>的股票，标的股票过户成交金额不超过</w:t>
      </w:r>
      <w:r>
        <w:rPr>
          <w:rFonts w:ascii="Times New Roman" w:hAnsi="Times New Roman" w:cs="Times New Roman" w:eastAsia="Times New Roman" w:hint="default"/>
        </w:rPr>
        <w:t>12,000</w:t>
      </w:r>
      <w:r>
        <w:rPr/>
        <w:t>万元（含交易费用）。</w:t>
      </w:r>
    </w:p>
    <w:p>
      <w:pPr>
        <w:pStyle w:val="BodyText"/>
        <w:spacing w:line="300" w:lineRule="auto" w:before="13"/>
        <w:ind w:right="151" w:firstLine="42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日，公司第六届董事会第二次会议审议并通过了《关于公司回购股份专户向公司第一期员工持股计划 </w:t>
      </w:r>
      <w:r>
        <w:rPr>
          <w:spacing w:val="-2"/>
        </w:rPr>
        <w:t>专户非交易过户转让股票的议案》，同意公司回购股票专户以本次回购股份成交均价</w:t>
      </w:r>
      <w:r>
        <w:rPr>
          <w:rFonts w:ascii="Times New Roman" w:hAnsi="Times New Roman" w:cs="Times New Roman" w:eastAsia="Times New Roman" w:hint="default"/>
          <w:spacing w:val="-2"/>
        </w:rPr>
        <w:t>31.42</w:t>
      </w:r>
      <w:r>
        <w:rPr>
          <w:spacing w:val="-2"/>
        </w:rPr>
        <w:t>元</w:t>
      </w:r>
      <w:r>
        <w:rPr>
          <w:rFonts w:ascii="Times New Roman" w:hAnsi="Times New Roman" w:cs="Times New Roman" w:eastAsia="Times New Roman" w:hint="default"/>
          <w:spacing w:val="-2"/>
        </w:rPr>
        <w:t>/</w:t>
      </w:r>
      <w:r>
        <w:rPr>
          <w:spacing w:val="-2"/>
        </w:rPr>
        <w:t>股的</w:t>
      </w:r>
      <w:r>
        <w:rPr>
          <w:rFonts w:ascii="Times New Roman" w:hAnsi="Times New Roman" w:cs="Times New Roman" w:eastAsia="Times New Roman" w:hint="default"/>
          <w:spacing w:val="-2"/>
        </w:rPr>
        <w:t>80%</w:t>
      </w:r>
      <w:r>
        <w:rPr>
          <w:spacing w:val="-2"/>
        </w:rPr>
        <w:t>之价格</w:t>
      </w:r>
      <w:r>
        <w:rPr>
          <w:rFonts w:ascii="Times New Roman" w:hAnsi="Times New Roman" w:cs="Times New Roman" w:eastAsia="Times New Roman" w:hint="default"/>
          <w:spacing w:val="-2"/>
        </w:rPr>
        <w:t>25.14</w:t>
      </w:r>
      <w:r>
        <w:rPr>
          <w:spacing w:val="-2"/>
        </w:rPr>
        <w:t>元</w:t>
      </w:r>
      <w:r>
        <w:rPr>
          <w:rFonts w:ascii="Times New Roman" w:hAnsi="Times New Roman" w:cs="Times New Roman" w:eastAsia="Times New Roman" w:hint="default"/>
          <w:spacing w:val="-2"/>
        </w:rPr>
        <w:t>/</w:t>
      </w:r>
      <w:r>
        <w:rPr>
          <w:spacing w:val="-2"/>
        </w:rPr>
        <w:t>股以非</w:t>
      </w:r>
      <w:r>
        <w:rPr>
          <w:spacing w:val="-33"/>
        </w:rPr>
        <w:t> </w:t>
      </w:r>
      <w:r>
        <w:rPr>
          <w:spacing w:val="-33"/>
        </w:rPr>
      </w:r>
      <w:r>
        <w:rPr/>
        <w:t>交易过户方式，过户至</w:t>
      </w:r>
      <w:r>
        <w:rPr>
          <w:rFonts w:ascii="Times New Roman" w:hAnsi="Times New Roman" w:cs="Times New Roman" w:eastAsia="Times New Roman" w:hint="default"/>
        </w:rPr>
        <w:t>“</w:t>
      </w:r>
      <w:r>
        <w:rPr/>
        <w:t>创业软件股份有限公司</w:t>
      </w:r>
      <w:r>
        <w:rPr>
          <w:rFonts w:ascii="Times New Roman" w:hAnsi="Times New Roman" w:cs="Times New Roman" w:eastAsia="Times New Roman" w:hint="default"/>
        </w:rPr>
        <w:t>——</w:t>
      </w:r>
      <w:r>
        <w:rPr/>
        <w:t>第一期员工持股计划</w:t>
      </w:r>
      <w:r>
        <w:rPr>
          <w:rFonts w:ascii="Times New Roman" w:hAnsi="Times New Roman" w:cs="Times New Roman" w:eastAsia="Times New Roman" w:hint="default"/>
        </w:rPr>
        <w:t>”</w:t>
      </w:r>
      <w:r>
        <w:rPr/>
        <w:t>专户，过户股份共计</w:t>
      </w:r>
      <w:r>
        <w:rPr>
          <w:rFonts w:ascii="Times New Roman" w:hAnsi="Times New Roman" w:cs="Times New Roman" w:eastAsia="Times New Roman" w:hint="default"/>
        </w:rPr>
        <w:t>3,800,016</w:t>
      </w:r>
      <w:r>
        <w:rPr/>
        <w:t>股。</w:t>
      </w:r>
    </w:p>
    <w:p>
      <w:pPr>
        <w:pStyle w:val="BodyText"/>
        <w:spacing w:line="316" w:lineRule="auto" w:before="13"/>
        <w:ind w:left="573" w:right="1613" w:firstLine="45"/>
        <w:jc w:val="left"/>
      </w:pPr>
      <w:r>
        <w:rPr/>
        <w:t>三、股权激励计划的调整对公司财务状况和经营业绩的影响 公司对股票期权与限制性股票激励计划的调整，不会对公司的财务状况和经营业绩产生重大影响。</w:t>
      </w:r>
    </w:p>
    <w:p>
      <w:pPr>
        <w:spacing w:line="240" w:lineRule="auto" w:before="0"/>
        <w:rPr>
          <w:rFonts w:ascii="宋体" w:hAnsi="宋体" w:cs="宋体" w:eastAsia="宋体" w:hint="default"/>
          <w:sz w:val="15"/>
          <w:szCs w:val="15"/>
        </w:rPr>
      </w:pPr>
    </w:p>
    <w:p>
      <w:pPr>
        <w:pStyle w:val="Heading2"/>
        <w:spacing w:line="240" w:lineRule="auto"/>
        <w:ind w:right="0"/>
        <w:jc w:val="both"/>
        <w:rPr>
          <w:b w:val="0"/>
          <w:bCs w:val="0"/>
        </w:rPr>
      </w:pPr>
      <w:r>
        <w:rPr/>
        <w:t>十五、重大关联交易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2"/>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4"/>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4"/>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6"/>
        <w:rPr>
          <w:rFonts w:ascii="宋体" w:hAnsi="宋体" w:cs="宋体" w:eastAsia="宋体" w:hint="default"/>
          <w:sz w:val="16"/>
          <w:szCs w:val="16"/>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6"/>
        <w:rPr>
          <w:rFonts w:ascii="宋体" w:hAnsi="宋体" w:cs="宋体" w:eastAsia="宋体" w:hint="default"/>
          <w:sz w:val="13"/>
          <w:szCs w:val="13"/>
        </w:rPr>
      </w:pPr>
    </w:p>
    <w:p>
      <w:pPr>
        <w:pStyle w:val="Heading2"/>
        <w:spacing w:line="240" w:lineRule="auto"/>
        <w:ind w:right="0"/>
        <w:jc w:val="both"/>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1953" w:space="6787"/>
            <w:col w:w="1210"/>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58"/>
        <w:gridCol w:w="1635"/>
        <w:gridCol w:w="1651"/>
        <w:gridCol w:w="1592"/>
        <w:gridCol w:w="1594"/>
        <w:gridCol w:w="1538"/>
      </w:tblGrid>
      <w:tr>
        <w:trPr>
          <w:trHeight w:val="713" w:hRule="exact"/>
        </w:trPr>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具体类型</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2" w:right="89" w:hanging="629"/>
              <w:jc w:val="left"/>
              <w:rPr>
                <w:rFonts w:ascii="宋体" w:hAnsi="宋体" w:cs="宋体" w:eastAsia="宋体" w:hint="default"/>
                <w:sz w:val="18"/>
                <w:szCs w:val="18"/>
              </w:rPr>
            </w:pPr>
            <w:r>
              <w:rPr>
                <w:rFonts w:ascii="宋体" w:hAnsi="宋体" w:cs="宋体" w:eastAsia="宋体" w:hint="default"/>
                <w:sz w:val="18"/>
                <w:szCs w:val="18"/>
              </w:rPr>
              <w:t>委托理财的资金来 源</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69" w:hanging="541"/>
              <w:jc w:val="left"/>
              <w:rPr>
                <w:rFonts w:ascii="宋体" w:hAnsi="宋体" w:cs="宋体" w:eastAsia="宋体" w:hint="default"/>
                <w:sz w:val="18"/>
                <w:szCs w:val="18"/>
              </w:rPr>
            </w:pPr>
            <w:r>
              <w:rPr>
                <w:rFonts w:ascii="宋体" w:hAnsi="宋体" w:cs="宋体" w:eastAsia="宋体" w:hint="default"/>
                <w:sz w:val="18"/>
                <w:szCs w:val="18"/>
              </w:rPr>
              <w:t>报告期内单日最高 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2"/>
              <w:jc w:val="right"/>
              <w:rPr>
                <w:rFonts w:ascii="宋体" w:hAnsi="宋体" w:cs="宋体" w:eastAsia="宋体" w:hint="default"/>
                <w:sz w:val="18"/>
                <w:szCs w:val="18"/>
              </w:rPr>
            </w:pPr>
            <w:r>
              <w:rPr>
                <w:rFonts w:ascii="宋体" w:hAnsi="宋体" w:cs="宋体" w:eastAsia="宋体" w:hint="default"/>
                <w:sz w:val="18"/>
                <w:szCs w:val="18"/>
              </w:rPr>
              <w:t>银行理财产品</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240" w:lineRule="auto" w:before="117"/>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2587"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1"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0" w:right="108"/>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110" w:right="108"/>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96" w:right="9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96"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96"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5" w:right="91"/>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20"/>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5" w:right="91"/>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4" w:right="83"/>
              <w:jc w:val="both"/>
              <w:rPr>
                <w:rFonts w:ascii="宋体" w:hAnsi="宋体" w:cs="宋体" w:eastAsia="宋体" w:hint="default"/>
                <w:sz w:val="18"/>
                <w:szCs w:val="18"/>
              </w:rPr>
            </w:pPr>
            <w:r>
              <w:rPr>
                <w:rFonts w:ascii="宋体" w:hAnsi="宋体" w:cs="宋体" w:eastAsia="宋体" w:hint="default"/>
                <w:sz w:val="18"/>
                <w:szCs w:val="18"/>
              </w:rPr>
              <w:t>事项 概述 及相 关查 询索 引</w:t>
            </w:r>
          </w:p>
          <w:p>
            <w:pPr>
              <w:pStyle w:val="TableParagraph"/>
              <w:spacing w:line="316" w:lineRule="auto" w:before="19"/>
              <w:ind w:left="84" w:right="83"/>
              <w:jc w:val="both"/>
              <w:rPr>
                <w:rFonts w:ascii="宋体" w:hAnsi="宋体" w:cs="宋体" w:eastAsia="宋体" w:hint="default"/>
                <w:sz w:val="18"/>
                <w:szCs w:val="18"/>
              </w:rPr>
            </w:pPr>
            <w:r>
              <w:rPr>
                <w:rFonts w:ascii="宋体" w:hAnsi="宋体" w:cs="宋体" w:eastAsia="宋体" w:hint="default"/>
                <w:sz w:val="18"/>
                <w:szCs w:val="18"/>
              </w:rPr>
              <w:t>（如 有）</w:t>
            </w: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杭州 银行 保俶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3"/>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4" w:right="176"/>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163"/>
              <w:jc w:val="left"/>
              <w:rPr>
                <w:rFonts w:ascii="宋体" w:hAnsi="宋体" w:cs="宋体" w:eastAsia="宋体" w:hint="default"/>
                <w:sz w:val="18"/>
                <w:szCs w:val="18"/>
              </w:rPr>
            </w:pPr>
            <w:r>
              <w:rPr>
                <w:rFonts w:ascii="宋体" w:hAnsi="宋体" w:cs="宋体" w:eastAsia="宋体" w:hint="default"/>
                <w:sz w:val="18"/>
                <w:szCs w:val="18"/>
              </w:rPr>
              <w:t>非保 本浮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572"/>
        <w:gridCol w:w="590"/>
        <w:gridCol w:w="605"/>
        <w:gridCol w:w="576"/>
        <w:gridCol w:w="560"/>
        <w:gridCol w:w="562"/>
        <w:gridCol w:w="562"/>
        <w:gridCol w:w="562"/>
        <w:gridCol w:w="559"/>
        <w:gridCol w:w="562"/>
        <w:gridCol w:w="562"/>
        <w:gridCol w:w="562"/>
        <w:gridCol w:w="559"/>
        <w:gridCol w:w="550"/>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left"/>
              <w:rPr>
                <w:rFonts w:ascii="宋体" w:hAnsi="宋体" w:cs="宋体" w:eastAsia="宋体" w:hint="default"/>
                <w:sz w:val="18"/>
                <w:szCs w:val="18"/>
              </w:rPr>
            </w:pPr>
            <w:r>
              <w:rPr>
                <w:rFonts w:ascii="宋体" w:hAnsi="宋体" w:cs="宋体" w:eastAsia="宋体" w:hint="default"/>
                <w:sz w:val="18"/>
                <w:szCs w:val="18"/>
              </w:rPr>
              <w:t>滨江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3"/>
              <w:jc w:val="left"/>
              <w:rPr>
                <w:rFonts w:ascii="宋体" w:hAnsi="宋体" w:cs="宋体" w:eastAsia="宋体" w:hint="default"/>
                <w:sz w:val="18"/>
                <w:szCs w:val="18"/>
              </w:rPr>
            </w:pPr>
            <w:r>
              <w:rPr>
                <w:rFonts w:ascii="宋体" w:hAnsi="宋体" w:cs="宋体" w:eastAsia="宋体" w:hint="default"/>
                <w:sz w:val="18"/>
                <w:szCs w:val="18"/>
              </w:rPr>
              <w:t>动收 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杭州 银行 保俶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3"/>
              <w:jc w:val="both"/>
              <w:rPr>
                <w:rFonts w:ascii="宋体" w:hAnsi="宋体" w:cs="宋体" w:eastAsia="宋体" w:hint="default"/>
                <w:sz w:val="18"/>
                <w:szCs w:val="18"/>
              </w:rPr>
            </w:pPr>
            <w:r>
              <w:rPr>
                <w:rFonts w:ascii="宋体" w:hAnsi="宋体" w:cs="宋体" w:eastAsia="宋体" w:hint="default"/>
                <w:sz w:val="18"/>
                <w:szCs w:val="18"/>
              </w:rPr>
              <w:t>非保 本浮 动收 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30.99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30.99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浙商 银行 滨江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3"/>
              <w:jc w:val="both"/>
              <w:rPr>
                <w:rFonts w:ascii="宋体" w:hAnsi="宋体" w:cs="宋体" w:eastAsia="宋体" w:hint="default"/>
                <w:sz w:val="18"/>
                <w:szCs w:val="18"/>
              </w:rPr>
            </w:pPr>
            <w:r>
              <w:rPr>
                <w:rFonts w:ascii="宋体" w:hAnsi="宋体" w:cs="宋体" w:eastAsia="宋体" w:hint="default"/>
                <w:sz w:val="18"/>
                <w:szCs w:val="18"/>
              </w:rPr>
              <w:t>非保 本浮 动收 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4.97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4.97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建设 银行 文三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3"/>
              <w:jc w:val="both"/>
              <w:rPr>
                <w:rFonts w:ascii="宋体" w:hAnsi="宋体" w:cs="宋体" w:eastAsia="宋体" w:hint="default"/>
                <w:sz w:val="18"/>
                <w:szCs w:val="18"/>
              </w:rPr>
            </w:pPr>
            <w:r>
              <w:rPr>
                <w:rFonts w:ascii="宋体" w:hAnsi="宋体" w:cs="宋体" w:eastAsia="宋体" w:hint="default"/>
                <w:sz w:val="18"/>
                <w:szCs w:val="18"/>
              </w:rPr>
              <w:t>非保 本浮 动收 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4.35%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43.38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43.38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中国 建设 银行 文三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63"/>
              <w:jc w:val="both"/>
              <w:rPr>
                <w:rFonts w:ascii="宋体" w:hAnsi="宋体" w:cs="宋体" w:eastAsia="宋体" w:hint="default"/>
                <w:sz w:val="18"/>
                <w:szCs w:val="18"/>
              </w:rPr>
            </w:pPr>
            <w:r>
              <w:rPr>
                <w:rFonts w:ascii="宋体" w:hAnsi="宋体" w:cs="宋体" w:eastAsia="宋体" w:hint="default"/>
                <w:sz w:val="18"/>
                <w:szCs w:val="18"/>
              </w:rPr>
              <w:t>非保 本浮 动收 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88.21</w:t>
            </w: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未收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杭州 银行 西溪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3"/>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32.48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32.48</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杭州 银行 西溪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组合 投资</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3"/>
              <w:jc w:val="both"/>
              <w:rPr>
                <w:rFonts w:ascii="宋体" w:hAnsi="宋体" w:cs="宋体" w:eastAsia="宋体" w:hint="default"/>
                <w:sz w:val="18"/>
                <w:szCs w:val="18"/>
              </w:rPr>
            </w:pPr>
            <w:r>
              <w:rPr>
                <w:rFonts w:ascii="宋体" w:hAnsi="宋体" w:cs="宋体" w:eastAsia="宋体" w:hint="default"/>
                <w:sz w:val="18"/>
                <w:szCs w:val="18"/>
              </w:rPr>
              <w:t>非保 本浮 动收 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7.59</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3"/>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22,000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230.96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142.75</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13" w:space="0" w:color="D2D2D2"/>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委托理财出现预期无法收回本金或存在其他可能导致减值的情形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公司报告期不存在其他重大合同。</w:t>
      </w:r>
    </w:p>
    <w:p>
      <w:pPr>
        <w:spacing w:line="240" w:lineRule="auto" w:before="5"/>
        <w:rPr>
          <w:rFonts w:ascii="宋体" w:hAnsi="宋体" w:cs="宋体" w:eastAsia="宋体" w:hint="default"/>
          <w:sz w:val="19"/>
          <w:szCs w:val="19"/>
        </w:rPr>
      </w:pPr>
    </w:p>
    <w:p>
      <w:pPr>
        <w:pStyle w:val="Heading2"/>
        <w:spacing w:line="240" w:lineRule="auto"/>
        <w:ind w:right="94"/>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1</w:t>
      </w:r>
      <w:r>
        <w:rPr/>
        <w:t>、履行社会责任情况</w:t>
      </w:r>
    </w:p>
    <w:p>
      <w:pPr>
        <w:pStyle w:val="BodyText"/>
        <w:spacing w:line="316" w:lineRule="auto" w:before="63"/>
        <w:ind w:right="274"/>
        <w:jc w:val="left"/>
        <w:rPr>
          <w:rFonts w:ascii="宋体" w:hAnsi="宋体" w:cs="宋体" w:eastAsia="宋体" w:hint="default"/>
        </w:rPr>
      </w:pPr>
      <w:r>
        <w:rPr/>
        <w:t>（一）股东及债权人权益保护</w:t>
      </w:r>
      <w:r>
        <w:rPr>
          <w:rFonts w:ascii="宋体" w:hAnsi="宋体" w:cs="宋体" w:eastAsia="宋体" w:hint="default"/>
        </w:rPr>
        <w:t> </w:t>
      </w:r>
      <w:r>
        <w:rPr/>
        <w:t>公司严格按照《公司法》、《证券法》、《股票上市规则》等法律法规、部门规章、规范性文件和公司章程的规定，依法 召开股东大会，积极主动采用网络投票等方式扩大股东参与股东大会的比例。报告期内，公司不断完善法人治理结构，保 障股东知情权、参与权及分红权的实现，积极实施现金分红政策，确保股东投资回报；不断完善内控体系及治理结构，严 格履行信息披露义务，真实、准确、完整、及时、公平地向所有股东披露信息；通过网上业绩说明会、投资者电话、传 真、电子邮箱和投资者关系互动平台、接待投资者现场调研等多种方式与投资者进行沟通交流，建立良好的互动平台。同 时，公司的财务政策稳健，资产、资金安全，在维护股东利益的同时兼顾债权人的利益。报告期内，公司无大股东及关联 方占用公司资金情形，亦不存在将资金直接或间接地提供给大股东及关联方使用的各种情形，公司无任何形式的对外担保 事项。</w:t>
      </w:r>
      <w:r>
        <w:rPr>
          <w:rFonts w:ascii="宋体" w:hAnsi="宋体" w:cs="宋体" w:eastAsia="宋体" w:hint="default"/>
        </w:rPr>
        <w:t> </w:t>
      </w:r>
    </w:p>
    <w:p>
      <w:pPr>
        <w:pStyle w:val="BodyText"/>
        <w:spacing w:line="316" w:lineRule="auto" w:before="19"/>
        <w:ind w:right="274"/>
        <w:jc w:val="left"/>
        <w:rPr>
          <w:rFonts w:ascii="宋体" w:hAnsi="宋体" w:cs="宋体" w:eastAsia="宋体" w:hint="default"/>
        </w:rPr>
      </w:pPr>
      <w:r>
        <w:rPr/>
        <w:t>（二）职工权益保护</w:t>
      </w:r>
      <w:r>
        <w:rPr>
          <w:rFonts w:ascii="宋体" w:hAnsi="宋体" w:cs="宋体" w:eastAsia="宋体" w:hint="default"/>
        </w:rPr>
        <w:t> </w:t>
      </w:r>
      <w:r>
        <w:rPr/>
        <w:t>公司始终坚持“以人为本”的核心价值观，尊重员工人格，关注员工健康、安全和满意度，保障员工合法权益，致力于培 育员工的认同感和归属感，实现员工与企业共同成长。为员工提供健康、安全的工作环境；尊重和保护员工权益，严格贯 彻执行《劳动合同法》《社会保险法》等各项法律法规；不断完善具有吸引力和竞争性的福利体系；改善员工生产环境， 定期发放劳保用品和节日礼品；持续优化员工关怀体系，努力为员工提供更好的工作环境及更多的人文关怀。</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t>公司报告年度暂未开展精准扶贫工作，也暂无后续精准扶贫计划。</w:t>
      </w:r>
    </w:p>
    <w:p>
      <w:pPr>
        <w:spacing w:line="240" w:lineRule="auto" w:before="12"/>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4774"/>
        <w:jc w:val="left"/>
      </w:pPr>
      <w:r>
        <w:rPr/>
        <w:t>上市公司及其子公司是否属于环境保护部门公布的重点排污单位 否</w:t>
      </w:r>
    </w:p>
    <w:p>
      <w:pPr>
        <w:pStyle w:val="Heading2"/>
        <w:spacing w:line="240" w:lineRule="auto" w:before="161"/>
        <w:ind w:right="94"/>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73"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日，公司发布了关于筹划非公开发行股票事项的停牌的公告，于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日上午开市起复牌；</w:t>
      </w:r>
    </w:p>
    <w:p>
      <w:pPr>
        <w:pStyle w:val="BodyText"/>
        <w:spacing w:line="300" w:lineRule="auto" w:before="63"/>
        <w:ind w:right="94"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日，公司计划非公开发行人民币普通股（</w:t>
      </w:r>
      <w:r>
        <w:rPr>
          <w:rFonts w:ascii="Times New Roman" w:hAnsi="Times New Roman" w:cs="Times New Roman" w:eastAsia="Times New Roman" w:hint="default"/>
        </w:rPr>
        <w:t>A</w:t>
      </w:r>
      <w:r>
        <w:rPr/>
        <w:t>股）股票，本次非公开发行股票的相关议案已经公司第六届董 事会第二次会议审议通过，董事会编制的《创业软件股份有限公司</w:t>
      </w:r>
      <w:r>
        <w:rPr>
          <w:rFonts w:ascii="Times New Roman" w:hAnsi="Times New Roman" w:cs="Times New Roman" w:eastAsia="Times New Roman" w:hint="default"/>
        </w:rPr>
        <w:t>2017</w:t>
      </w:r>
      <w:r>
        <w:rPr/>
        <w:t>年度非公开发行</w:t>
      </w:r>
      <w:r>
        <w:rPr>
          <w:rFonts w:ascii="Times New Roman" w:hAnsi="Times New Roman" w:cs="Times New Roman" w:eastAsia="Times New Roman" w:hint="default"/>
        </w:rPr>
        <w:t>A</w:t>
      </w:r>
      <w:r>
        <w:rPr/>
        <w:t>股股票预案》（以下简称</w:t>
      </w:r>
      <w:r>
        <w:rPr>
          <w:rFonts w:ascii="Times New Roman" w:hAnsi="Times New Roman" w:cs="Times New Roman" w:eastAsia="Times New Roman" w:hint="default"/>
        </w:rPr>
        <w:t>“</w:t>
      </w:r>
      <w:r>
        <w:rPr/>
        <w:t>预案</w:t>
      </w:r>
      <w:r>
        <w:rPr>
          <w:rFonts w:ascii="Times New Roman" w:hAnsi="Times New Roman" w:cs="Times New Roman" w:eastAsia="Times New Roman" w:hint="default"/>
        </w:rPr>
        <w:t>”</w:t>
      </w:r>
      <w:r>
        <w:rPr/>
        <w:t>）</w:t>
      </w:r>
      <w:r>
        <w:rPr>
          <w:spacing w:val="-22"/>
        </w:rPr>
        <w:t> </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日在中国证券监督管理委员会指定的创业板信息披露网站（</w:t>
      </w:r>
      <w:hyperlink r:id="rId13">
        <w:r>
          <w:rPr>
            <w:rFonts w:ascii="Times New Roman" w:hAnsi="Times New Roman" w:cs="Times New Roman" w:eastAsia="Times New Roman" w:hint="default"/>
          </w:rPr>
          <w:t>http://www.cninfo.com.cn</w:t>
        </w:r>
      </w:hyperlink>
      <w:r>
        <w:rPr/>
        <w:t>）上披露；</w:t>
      </w:r>
    </w:p>
    <w:p>
      <w:pPr>
        <w:pStyle w:val="BodyText"/>
        <w:spacing w:line="240" w:lineRule="auto" w:before="13"/>
        <w:ind w:left="573" w:right="94"/>
        <w:jc w:val="left"/>
      </w:pP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日，本次非公开发行股票的相关议案已经公司第五次临时股东大会审议通过；</w:t>
      </w:r>
    </w:p>
    <w:p>
      <w:pPr>
        <w:pStyle w:val="BodyText"/>
        <w:spacing w:line="300" w:lineRule="auto" w:before="63"/>
        <w:ind w:right="94" w:firstLine="42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日，公司收到中国证券监督管理委员会（以下简称</w:t>
      </w:r>
      <w:r>
        <w:rPr>
          <w:rFonts w:ascii="Times New Roman" w:hAnsi="Times New Roman" w:cs="Times New Roman" w:eastAsia="Times New Roman" w:hint="default"/>
          <w:spacing w:val="-1"/>
        </w:rPr>
        <w:t>“</w:t>
      </w:r>
      <w:r>
        <w:rPr>
          <w:spacing w:val="-1"/>
        </w:rPr>
        <w:t>中国证监会</w:t>
      </w:r>
      <w:r>
        <w:rPr>
          <w:rFonts w:ascii="Times New Roman" w:hAnsi="Times New Roman" w:cs="Times New Roman" w:eastAsia="Times New Roman" w:hint="default"/>
          <w:spacing w:val="-1"/>
        </w:rPr>
        <w:t>”</w:t>
      </w:r>
      <w:r>
        <w:rPr>
          <w:spacing w:val="-1"/>
        </w:rPr>
        <w:t>）出具的《中国证监会行政许可申请受理</w:t>
      </w:r>
      <w:r>
        <w:rPr/>
        <w:t> 通知书》</w:t>
      </w:r>
      <w:r>
        <w:rPr>
          <w:rFonts w:ascii="Times New Roman" w:hAnsi="Times New Roman" w:cs="Times New Roman" w:eastAsia="Times New Roman" w:hint="default"/>
        </w:rPr>
        <w:t>(172187</w:t>
      </w:r>
      <w:r>
        <w:rPr/>
        <w:t>号</w:t>
      </w:r>
      <w:r>
        <w:rPr>
          <w:rFonts w:ascii="Times New Roman" w:hAnsi="Times New Roman" w:cs="Times New Roman" w:eastAsia="Times New Roman" w:hint="default"/>
        </w:rPr>
        <w:t>)</w:t>
      </w:r>
      <w:r>
        <w:rPr/>
        <w:t>。</w:t>
      </w:r>
    </w:p>
    <w:p>
      <w:pPr>
        <w:pStyle w:val="BodyText"/>
        <w:spacing w:line="240" w:lineRule="auto" w:before="13"/>
        <w:ind w:left="573" w:right="94"/>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7</w:t>
      </w:r>
      <w:r>
        <w:rPr>
          <w:spacing w:val="5"/>
        </w:rPr>
        <w:t>日，公司收到中国证券监督管理委员会出具的《中国证监会行政许可项目审查一次反馈意见通知书》</w:t>
      </w:r>
    </w:p>
    <w:p>
      <w:pPr>
        <w:pStyle w:val="BodyText"/>
        <w:spacing w:line="300" w:lineRule="auto" w:before="63"/>
        <w:ind w:right="94"/>
        <w:jc w:val="left"/>
      </w:pPr>
      <w:r>
        <w:rPr>
          <w:spacing w:val="-2"/>
        </w:rPr>
        <w:t>（</w:t>
      </w:r>
      <w:r>
        <w:rPr>
          <w:rFonts w:ascii="Times New Roman" w:hAnsi="Times New Roman" w:cs="Times New Roman" w:eastAsia="Times New Roman" w:hint="default"/>
          <w:spacing w:val="-2"/>
        </w:rPr>
        <w:t>172187</w:t>
      </w:r>
      <w:r>
        <w:rPr>
          <w:spacing w:val="-2"/>
        </w:rPr>
        <w:t>号）（以下简称</w:t>
      </w:r>
      <w:r>
        <w:rPr>
          <w:rFonts w:ascii="Times New Roman" w:hAnsi="Times New Roman" w:cs="Times New Roman" w:eastAsia="Times New Roman" w:hint="default"/>
          <w:spacing w:val="-2"/>
        </w:rPr>
        <w:t>“</w:t>
      </w:r>
      <w:r>
        <w:rPr>
          <w:spacing w:val="-2"/>
        </w:rPr>
        <w:t>反馈意见</w:t>
      </w:r>
      <w:r>
        <w:rPr>
          <w:rFonts w:ascii="Times New Roman" w:hAnsi="Times New Roman" w:cs="Times New Roman" w:eastAsia="Times New Roman" w:hint="default"/>
          <w:spacing w:val="-2"/>
        </w:rPr>
        <w:t>”</w:t>
      </w:r>
      <w:r>
        <w:rPr>
          <w:spacing w:val="-2"/>
        </w:rPr>
        <w:t>）。中国证监会依法对公司提交的《创业软件股份有限公司创业板上市公司非公开发行</w:t>
      </w:r>
      <w:r>
        <w:rPr>
          <w:spacing w:val="-43"/>
        </w:rPr>
        <w:t> </w:t>
      </w:r>
      <w:r>
        <w:rPr>
          <w:spacing w:val="-43"/>
        </w:rPr>
      </w:r>
      <w:r>
        <w:rPr>
          <w:spacing w:val="-2"/>
        </w:rPr>
        <w:t>新股核准》行政许可申请材料进行了审查，现需要公司就有关问题作出书面说明和解释，并在</w:t>
      </w:r>
      <w:r>
        <w:rPr>
          <w:rFonts w:ascii="Times New Roman" w:hAnsi="Times New Roman" w:cs="Times New Roman" w:eastAsia="Times New Roman" w:hint="default"/>
          <w:spacing w:val="-2"/>
        </w:rPr>
        <w:t>30</w:t>
      </w:r>
      <w:r>
        <w:rPr>
          <w:spacing w:val="-2"/>
        </w:rPr>
        <w:t>天内向中国证监会行政许可</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7" w:lineRule="auto" w:before="44"/>
        <w:ind w:right="94"/>
        <w:jc w:val="left"/>
      </w:pPr>
      <w:r>
        <w:rPr>
          <w:spacing w:val="-2"/>
        </w:rPr>
        <w:t>受理部门提交书面回复意见。公司收到《反馈意见》后，积极组织相关中介机构就所列问题进行讨论和研究，并对问题逐项</w:t>
      </w:r>
      <w:r>
        <w:rPr>
          <w:spacing w:val="-65"/>
        </w:rPr>
        <w:t> </w:t>
      </w:r>
      <w:r>
        <w:rPr>
          <w:spacing w:val="-65"/>
        </w:rPr>
      </w:r>
      <w:r>
        <w:rPr/>
        <w:t>进行落实。由于所涉事项及部分问题仍需进一步核查与落实，公司预计无法在</w:t>
      </w:r>
      <w:r>
        <w:rPr>
          <w:rFonts w:ascii="Times New Roman" w:hAnsi="Times New Roman" w:cs="Times New Roman" w:eastAsia="Times New Roman" w:hint="default"/>
        </w:rPr>
        <w:t>30</w:t>
      </w:r>
      <w:r>
        <w:rPr/>
        <w:t>天内完成反馈意见回复的披露及报送工作。</w:t>
      </w:r>
      <w:r>
        <w:rPr>
          <w:spacing w:val="-82"/>
        </w:rPr>
        <w:t> </w:t>
      </w:r>
      <w:r>
        <w:rPr>
          <w:spacing w:val="-82"/>
        </w:rPr>
      </w:r>
      <w:r>
        <w:rPr/>
        <w:t>为切实稳妥做好反馈意见的回复工作，经与相关中介机构协商，公司向中国证监会提交了《关于</w:t>
      </w:r>
      <w:r>
        <w:rPr>
          <w:rFonts w:ascii="Times New Roman" w:hAnsi="Times New Roman" w:cs="Times New Roman" w:eastAsia="Times New Roman" w:hint="default"/>
        </w:rPr>
        <w:t>&lt;</w:t>
      </w:r>
      <w:r>
        <w:rPr/>
        <w:t>创业软件股份有限公司非 公开发行股票申请文件反馈意见</w:t>
      </w:r>
      <w:r>
        <w:rPr>
          <w:rFonts w:ascii="Times New Roman" w:hAnsi="Times New Roman" w:cs="Times New Roman" w:eastAsia="Times New Roman" w:hint="default"/>
        </w:rPr>
        <w:t>&gt;</w:t>
      </w:r>
      <w:r>
        <w:rPr/>
        <w:t>之延期回复的报告》，申请延期至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日前回复。</w:t>
      </w:r>
    </w:p>
    <w:p>
      <w:pPr>
        <w:pStyle w:val="BodyText"/>
        <w:spacing w:line="316" w:lineRule="auto" w:before="7"/>
        <w:ind w:right="94" w:firstLine="420"/>
        <w:jc w:val="left"/>
      </w:pPr>
      <w:r>
        <w:rPr/>
        <w:t>公司本次创业板非公开发行股票事项能否获得中国证监会最终核准仍存在不确定性，公司将按照有关规定及时披露本 次非公开发行事项的后续进展情况，敬请广大投资者注意投资风险。</w:t>
      </w:r>
    </w:p>
    <w:tbl>
      <w:tblPr>
        <w:tblW w:w="0" w:type="auto"/>
        <w:jc w:val="left"/>
        <w:tblInd w:w="169" w:type="dxa"/>
        <w:tblLayout w:type="fixed"/>
        <w:tblCellMar>
          <w:top w:w="0" w:type="dxa"/>
          <w:left w:w="0" w:type="dxa"/>
          <w:bottom w:w="0" w:type="dxa"/>
          <w:right w:w="0" w:type="dxa"/>
        </w:tblCellMar>
        <w:tblLook w:val="01E0"/>
      </w:tblPr>
      <w:tblGrid>
        <w:gridCol w:w="5099"/>
        <w:gridCol w:w="1702"/>
        <w:gridCol w:w="2770"/>
      </w:tblGrid>
      <w:tr>
        <w:trPr>
          <w:trHeight w:val="343" w:hRule="exact"/>
        </w:trPr>
        <w:tc>
          <w:tcPr>
            <w:tcW w:w="50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1"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重要事项概述</w:t>
            </w:r>
            <w:r>
              <w:rPr>
                <w:rFonts w:ascii="Microsoft JhengHei" w:hAnsi="Microsoft JhengHei" w:cs="Microsoft JhengHei" w:eastAsia="Microsoft JhengHei"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1" w:lineRule="exact"/>
              <w:ind w:left="4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披露日期</w:t>
            </w:r>
            <w:r>
              <w:rPr>
                <w:rFonts w:ascii="Microsoft JhengHei" w:hAnsi="Microsoft JhengHei" w:cs="Microsoft JhengHei" w:eastAsia="Microsoft JhengHei" w:hint="default"/>
                <w:sz w:val="21"/>
                <w:szCs w:val="21"/>
              </w:rPr>
            </w:r>
          </w:p>
        </w:tc>
        <w:tc>
          <w:tcPr>
            <w:tcW w:w="27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1" w:lineRule="exact"/>
              <w:ind w:left="1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临时报告披露网站查询索引</w:t>
            </w:r>
            <w:r>
              <w:rPr>
                <w:rFonts w:ascii="Microsoft JhengHei" w:hAnsi="Microsoft JhengHei" w:cs="Microsoft JhengHei" w:eastAsia="Microsoft JhengHei" w:hint="default"/>
                <w:sz w:val="21"/>
                <w:szCs w:val="21"/>
              </w:rPr>
            </w:r>
          </w:p>
        </w:tc>
      </w:tr>
      <w:tr>
        <w:trPr>
          <w:trHeight w:val="346" w:hRule="exact"/>
        </w:trPr>
        <w:tc>
          <w:tcPr>
            <w:tcW w:w="509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关于筹划非公开发行股票事项的停</w:t>
            </w:r>
            <w:r>
              <w:rPr>
                <w:rFonts w:ascii="宋体" w:hAnsi="宋体" w:cs="宋体" w:eastAsia="宋体" w:hint="default"/>
                <w:spacing w:val="-17"/>
                <w:sz w:val="18"/>
                <w:szCs w:val="18"/>
              </w:rPr>
              <w:t> </w:t>
            </w:r>
            <w:r>
              <w:rPr>
                <w:rFonts w:ascii="宋体" w:hAnsi="宋体" w:cs="宋体" w:eastAsia="宋体" w:hint="default"/>
                <w:sz w:val="18"/>
                <w:szCs w:val="18"/>
              </w:rPr>
              <w:t>牌公告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348" w:hRule="exact"/>
        </w:trPr>
        <w:tc>
          <w:tcPr>
            <w:tcW w:w="5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关于公司股票复牌的公告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346" w:hRule="exact"/>
        </w:trPr>
        <w:tc>
          <w:tcPr>
            <w:tcW w:w="5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非公开发行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股股票预案</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661" w:hRule="exact"/>
        </w:trPr>
        <w:tc>
          <w:tcPr>
            <w:tcW w:w="50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46"/>
              <w:jc w:val="left"/>
              <w:rPr>
                <w:rFonts w:ascii="宋体" w:hAnsi="宋体" w:cs="宋体" w:eastAsia="宋体" w:hint="default"/>
                <w:sz w:val="18"/>
                <w:szCs w:val="18"/>
              </w:rPr>
            </w:pPr>
            <w:r>
              <w:rPr>
                <w:rFonts w:ascii="宋体" w:hAnsi="宋体" w:cs="宋体" w:eastAsia="宋体" w:hint="default"/>
                <w:sz w:val="18"/>
                <w:szCs w:val="18"/>
              </w:rPr>
              <w:t>非公开发行股票的相关议案经公司第五次临时股东大会</w:t>
            </w:r>
            <w:r>
              <w:rPr>
                <w:rFonts w:ascii="宋体" w:hAnsi="宋体" w:cs="宋体" w:eastAsia="宋体" w:hint="default"/>
                <w:spacing w:val="-17"/>
                <w:sz w:val="18"/>
                <w:szCs w:val="18"/>
              </w:rPr>
              <w:t> </w:t>
            </w:r>
            <w:r>
              <w:rPr>
                <w:rFonts w:ascii="宋体" w:hAnsi="宋体" w:cs="宋体" w:eastAsia="宋体" w:hint="default"/>
                <w:sz w:val="18"/>
                <w:szCs w:val="18"/>
              </w:rPr>
              <w:t>审议通</w:t>
            </w:r>
            <w:r>
              <w:rPr>
                <w:rFonts w:ascii="宋体" w:hAnsi="宋体" w:cs="宋体" w:eastAsia="宋体" w:hint="default"/>
                <w:sz w:val="18"/>
                <w:szCs w:val="18"/>
              </w:rPr>
              <w:t> 过</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346" w:hRule="exact"/>
        </w:trPr>
        <w:tc>
          <w:tcPr>
            <w:tcW w:w="5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《中国证监会行政许可申请受理通知书》</w:t>
            </w:r>
            <w:r>
              <w:rPr>
                <w:rFonts w:ascii="Times New Roman" w:hAnsi="Times New Roman" w:cs="Times New Roman" w:eastAsia="Times New Roman" w:hint="default"/>
                <w:sz w:val="18"/>
                <w:szCs w:val="18"/>
              </w:rPr>
              <w:t>(172187</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660" w:hRule="exact"/>
        </w:trPr>
        <w:tc>
          <w:tcPr>
            <w:tcW w:w="509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35"/>
              <w:jc w:val="left"/>
              <w:rPr>
                <w:rFonts w:ascii="宋体" w:hAnsi="宋体" w:cs="宋体" w:eastAsia="宋体" w:hint="default"/>
                <w:sz w:val="18"/>
                <w:szCs w:val="18"/>
              </w:rPr>
            </w:pPr>
            <w:r>
              <w:rPr>
                <w:rFonts w:ascii="宋体" w:hAnsi="宋体" w:cs="宋体" w:eastAsia="宋体" w:hint="default"/>
                <w:sz w:val="18"/>
                <w:szCs w:val="18"/>
              </w:rPr>
              <w:t>《中国证监会行政许可项目审查一次反馈意见通知书》（</w:t>
            </w:r>
            <w:r>
              <w:rPr>
                <w:rFonts w:ascii="Times New Roman" w:hAnsi="Times New Roman" w:cs="Times New Roman" w:eastAsia="Times New Roman" w:hint="default"/>
                <w:sz w:val="18"/>
                <w:szCs w:val="18"/>
              </w:rPr>
              <w:t>172187</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号）</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660" w:hRule="exact"/>
        </w:trPr>
        <w:tc>
          <w:tcPr>
            <w:tcW w:w="509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18"/>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创业软件股份有限公司非公开发行股票申请文件反馈意 见</w:t>
            </w:r>
            <w:r>
              <w:rPr>
                <w:rFonts w:ascii="Times New Roman" w:hAnsi="Times New Roman" w:cs="Times New Roman" w:eastAsia="Times New Roman" w:hint="default"/>
                <w:sz w:val="18"/>
                <w:szCs w:val="18"/>
              </w:rPr>
              <w:t>&gt;</w:t>
            </w:r>
            <w:r>
              <w:rPr>
                <w:rFonts w:ascii="宋体" w:hAnsi="宋体" w:cs="宋体" w:eastAsia="宋体" w:hint="default"/>
                <w:sz w:val="18"/>
                <w:szCs w:val="18"/>
              </w:rPr>
              <w:t>之延期回复的报告》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3"/>
        <w:rPr>
          <w:rFonts w:ascii="宋体" w:hAnsi="宋体" w:cs="宋体" w:eastAsia="宋体" w:hint="default"/>
          <w:sz w:val="19"/>
          <w:szCs w:val="19"/>
        </w:rPr>
      </w:pPr>
    </w:p>
    <w:p>
      <w:pPr>
        <w:pStyle w:val="Heading2"/>
        <w:spacing w:line="367" w:lineRule="exact"/>
        <w:ind w:right="94"/>
        <w:jc w:val="left"/>
        <w:rPr>
          <w:b w:val="0"/>
          <w:bCs w:val="0"/>
        </w:rPr>
      </w:pPr>
      <w:r>
        <w:rPr/>
        <w:t>十九、公司子公司重大事项</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964" w:right="0"/>
        <w:jc w:val="left"/>
        <w:rPr>
          <w:b w:val="0"/>
          <w:bCs w:val="0"/>
        </w:rPr>
      </w:pPr>
      <w:bookmarkStart w:name="_bookmark4" w:id="5"/>
      <w:bookmarkEnd w:id="5"/>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204"/>
        <w:gridCol w:w="903"/>
        <w:gridCol w:w="756"/>
        <w:gridCol w:w="1087"/>
        <w:gridCol w:w="425"/>
        <w:gridCol w:w="425"/>
        <w:gridCol w:w="994"/>
        <w:gridCol w:w="994"/>
        <w:gridCol w:w="979"/>
        <w:gridCol w:w="794"/>
      </w:tblGrid>
      <w:tr>
        <w:trPr>
          <w:trHeight w:val="403" w:hRule="exact"/>
        </w:trPr>
        <w:tc>
          <w:tcPr>
            <w:tcW w:w="2204" w:type="dxa"/>
            <w:vMerge w:val="restart"/>
            <w:tcBorders>
              <w:top w:val="single" w:sz="4" w:space="0" w:color="000000"/>
              <w:left w:val="single" w:sz="4" w:space="0" w:color="000000"/>
              <w:right w:val="single" w:sz="4" w:space="0" w:color="000000"/>
            </w:tcBorders>
            <w:shd w:val="clear" w:color="auto" w:fill="D2D2D2"/>
          </w:tcPr>
          <w:p>
            <w:pP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6"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903" w:type="dxa"/>
            <w:vMerge w:val="restart"/>
            <w:tcBorders>
              <w:top w:val="single" w:sz="4" w:space="0" w:color="000000"/>
              <w:left w:val="single" w:sz="4" w:space="0" w:color="000000"/>
              <w:right w:val="single" w:sz="4" w:space="0" w:color="000000"/>
            </w:tcBorders>
            <w:shd w:val="clear" w:color="auto" w:fill="D2D2D2"/>
          </w:tcPr>
          <w:p>
            <w:pPr/>
          </w:p>
        </w:tc>
        <w:tc>
          <w:tcPr>
            <w:tcW w:w="756" w:type="dxa"/>
            <w:vMerge w:val="restart"/>
            <w:tcBorders>
              <w:top w:val="single" w:sz="4" w:space="0" w:color="000000"/>
              <w:left w:val="single" w:sz="4" w:space="0" w:color="000000"/>
              <w:right w:val="single" w:sz="4" w:space="0" w:color="000000"/>
            </w:tcBorders>
            <w:shd w:val="clear" w:color="auto" w:fill="D2D2D2"/>
          </w:tcPr>
          <w:p>
            <w:pPr/>
          </w:p>
        </w:tc>
        <w:tc>
          <w:tcPr>
            <w:tcW w:w="1087"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979"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903" w:type="dxa"/>
            <w:vMerge/>
            <w:tcBorders>
              <w:left w:val="single" w:sz="4" w:space="0" w:color="000000"/>
              <w:bottom w:val="nil" w:sz="6" w:space="0" w:color="auto"/>
              <w:right w:val="single" w:sz="4" w:space="0" w:color="000000"/>
            </w:tcBorders>
            <w:shd w:val="clear" w:color="auto" w:fill="D2D2D2"/>
          </w:tcPr>
          <w:p>
            <w:pPr/>
          </w:p>
        </w:tc>
        <w:tc>
          <w:tcPr>
            <w:tcW w:w="756" w:type="dxa"/>
            <w:vMerge/>
            <w:tcBorders>
              <w:left w:val="single" w:sz="4" w:space="0" w:color="000000"/>
              <w:bottom w:val="nil" w:sz="6" w:space="0" w:color="auto"/>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79"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9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425"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903" w:type="dxa"/>
            <w:vMerge/>
            <w:tcBorders>
              <w:left w:val="single" w:sz="4" w:space="0" w:color="000000"/>
              <w:bottom w:val="nil" w:sz="6" w:space="0" w:color="auto"/>
              <w:right w:val="single" w:sz="4" w:space="0" w:color="000000"/>
            </w:tcBorders>
            <w:shd w:val="clear" w:color="auto" w:fill="D2D2D2"/>
          </w:tcPr>
          <w:p>
            <w:pPr/>
          </w:p>
        </w:tc>
        <w:tc>
          <w:tcPr>
            <w:tcW w:w="756" w:type="dxa"/>
            <w:vMerge/>
            <w:tcBorders>
              <w:left w:val="single" w:sz="4" w:space="0" w:color="000000"/>
              <w:bottom w:val="nil" w:sz="6" w:space="0" w:color="auto"/>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79"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92,763,993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43.97%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31,953,263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-10,818,375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21,134,888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113,898,881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46.88%</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92,763,993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43.97%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31,953,263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-10,818,375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21,134,888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113,898,881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46.88%</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25,500,000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29,872,999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29,872,999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55,372,999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22.79%</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67,263,993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2,080,264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-10,818,375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-8,738,111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58,525,882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24.09%</w:t>
            </w: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0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118,232,00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56.03%</w:t>
            </w:r>
          </w:p>
        </w:tc>
        <w:tc>
          <w:tcPr>
            <w:tcW w:w="108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10,818,375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10,818,375</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129,050,382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53.12%</w:t>
            </w:r>
          </w:p>
        </w:tc>
      </w:tr>
      <w:tr>
        <w:trPr>
          <w:trHeight w:val="394"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03" w:type="dxa"/>
            <w:vMerge/>
            <w:tcBorders>
              <w:left w:val="single" w:sz="10" w:space="0" w:color="D2D2D2"/>
              <w:right w:val="single" w:sz="4" w:space="0" w:color="000000"/>
            </w:tcBorders>
          </w:tcPr>
          <w:p>
            <w:pPr/>
          </w:p>
        </w:tc>
        <w:tc>
          <w:tcPr>
            <w:tcW w:w="75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03" w:type="dxa"/>
            <w:vMerge/>
            <w:tcBorders>
              <w:left w:val="single" w:sz="10" w:space="0" w:color="D2D2D2"/>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0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118,232,00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56.03%</w:t>
            </w:r>
          </w:p>
        </w:tc>
        <w:tc>
          <w:tcPr>
            <w:tcW w:w="108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10,818,375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10,818,375</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129,050,382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53.12%</w:t>
            </w:r>
          </w:p>
        </w:tc>
      </w:tr>
      <w:tr>
        <w:trPr>
          <w:trHeight w:val="391"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03" w:type="dxa"/>
            <w:vMerge/>
            <w:tcBorders>
              <w:left w:val="single" w:sz="10" w:space="0" w:color="D2D2D2"/>
              <w:right w:val="single" w:sz="4" w:space="0" w:color="000000"/>
            </w:tcBorders>
          </w:tcPr>
          <w:p>
            <w:pPr/>
          </w:p>
        </w:tc>
        <w:tc>
          <w:tcPr>
            <w:tcW w:w="75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03" w:type="dxa"/>
            <w:vMerge/>
            <w:tcBorders>
              <w:left w:val="single" w:sz="10" w:space="0" w:color="D2D2D2"/>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0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100.00%</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31,953,263</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31,953,263</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242,949,263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03" w:type="dxa"/>
            <w:vMerge/>
            <w:tcBorders>
              <w:left w:val="single" w:sz="10" w:space="0" w:color="D2D2D2"/>
              <w:right w:val="single" w:sz="4" w:space="0" w:color="000000"/>
            </w:tcBorders>
          </w:tcPr>
          <w:p>
            <w:pPr/>
          </w:p>
        </w:tc>
        <w:tc>
          <w:tcPr>
            <w:tcW w:w="75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03" w:type="dxa"/>
            <w:vMerge/>
            <w:tcBorders>
              <w:left w:val="single" w:sz="10" w:space="0" w:color="D2D2D2"/>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19" w:lineRule="auto" w:before="115"/>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日，公司收到中国证券登记结算有限责任公司深圳分公司出具的《证券过户登记确认书》。中国结算公司 深圳分公司已确认股东雅戈尔集团股份有限公司与公司董事兼总经理张吕峥先生协议转让的创业软件</w:t>
      </w:r>
      <w:r>
        <w:rPr>
          <w:rFonts w:ascii="Times New Roman" w:hAnsi="Times New Roman" w:cs="Times New Roman" w:eastAsia="Times New Roman" w:hint="default"/>
        </w:rPr>
        <w:t>12,000,000</w:t>
      </w:r>
      <w:r>
        <w:rPr/>
        <w:t>股股票完成</w:t>
      </w:r>
    </w:p>
    <w:p>
      <w:pPr>
        <w:pStyle w:val="BodyText"/>
        <w:spacing w:line="300" w:lineRule="auto"/>
        <w:ind w:right="144"/>
        <w:jc w:val="left"/>
      </w:pPr>
      <w:r>
        <w:rPr/>
        <w:t>过户登记手续。本次证券过户登记完成后，张吕峥先生直接持有创业软件</w:t>
      </w:r>
      <w:r>
        <w:rPr>
          <w:rFonts w:ascii="Times New Roman" w:hAnsi="Times New Roman" w:cs="Times New Roman" w:eastAsia="Times New Roman" w:hint="default"/>
        </w:rPr>
        <w:t>12,075,000</w:t>
      </w:r>
      <w:r>
        <w:rPr/>
        <w:t>股，股份比例占总股本的</w:t>
      </w:r>
      <w:r>
        <w:rPr>
          <w:rFonts w:ascii="Times New Roman" w:hAnsi="Times New Roman" w:cs="Times New Roman" w:eastAsia="Times New Roman" w:hint="default"/>
        </w:rPr>
        <w:t>5.72%</w:t>
      </w:r>
      <w:r>
        <w:rPr/>
        <w:t>，其中 无限售流通股</w:t>
      </w:r>
      <w:r>
        <w:rPr>
          <w:rFonts w:ascii="Times New Roman" w:hAnsi="Times New Roman" w:cs="Times New Roman" w:eastAsia="Times New Roman" w:hint="default"/>
        </w:rPr>
        <w:t>3,018,750</w:t>
      </w:r>
      <w:r>
        <w:rPr/>
        <w:t>股。 </w:t>
      </w:r>
      <w:r>
        <w:rPr>
          <w:rFonts w:ascii="Times New Roman" w:hAnsi="Times New Roman" w:cs="Times New Roman" w:eastAsia="Times New Roman" w:hint="default"/>
        </w:rPr>
        <w:t>2</w:t>
      </w:r>
      <w:r>
        <w:rPr/>
        <w:t>、根据中登公司深圳分公司于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日出具的《股份登记申请受理确认书》，创业软件已于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日办理完毕 本次发行股份及支付现金购买资产的新增股份和募集配套资金的新增股份登记申请，股票上市数量：</w:t>
      </w:r>
      <w:r>
        <w:rPr>
          <w:rFonts w:ascii="Times New Roman" w:hAnsi="Times New Roman" w:cs="Times New Roman" w:eastAsia="Times New Roman" w:hint="default"/>
        </w:rPr>
        <w:t>31,953,263</w:t>
      </w:r>
      <w:r>
        <w:rPr/>
        <w:t>股，股票上 市时间：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日，其中公司实际控制人葛航认购了</w:t>
      </w:r>
      <w:r>
        <w:rPr>
          <w:rFonts w:ascii="Times New Roman" w:hAnsi="Times New Roman" w:cs="Times New Roman" w:eastAsia="Times New Roman" w:hint="default"/>
        </w:rPr>
        <w:t>1,040,132</w:t>
      </w:r>
      <w:r>
        <w:rPr/>
        <w:t>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日，公司在中国证监会指定披露媒体巨潮资讯网上刊登《关于首次公开发行前已发行股份上市流通提示性公 告》，本次解除限售股份计划上市流通日为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日（星期四），解除限售股份数量为</w:t>
      </w:r>
      <w:r>
        <w:rPr>
          <w:rFonts w:ascii="Times New Roman" w:hAnsi="Times New Roman" w:cs="Times New Roman" w:eastAsia="Times New Roman" w:hint="default"/>
        </w:rPr>
        <w:t>9,483,651</w:t>
      </w:r>
      <w:r>
        <w:rPr/>
        <w:t>股，占公司总股本的 </w:t>
      </w:r>
      <w:r>
        <w:rPr>
          <w:rFonts w:ascii="Times New Roman" w:hAnsi="Times New Roman" w:cs="Times New Roman" w:eastAsia="Times New Roman" w:hint="default"/>
        </w:rPr>
        <w:t>3.90%</w:t>
      </w:r>
      <w:r>
        <w:rPr/>
        <w:t>，本次申请解除股份限售的股东人数共计</w:t>
      </w:r>
      <w:r>
        <w:rPr>
          <w:rFonts w:ascii="Times New Roman" w:hAnsi="Times New Roman" w:cs="Times New Roman" w:eastAsia="Times New Roman" w:hint="default"/>
        </w:rPr>
        <w:t>1</w:t>
      </w:r>
      <w:r>
        <w:rPr/>
        <w:t>名，为自然人股东。</w:t>
      </w:r>
    </w:p>
    <w:p>
      <w:pPr>
        <w:pStyle w:val="BodyText"/>
        <w:spacing w:line="300" w:lineRule="auto" w:before="13"/>
        <w:ind w:right="14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日，公司在中国证监会指定披露媒体巨潮资讯网上刊登《关于首次公开发行前已发行股份上市流通提示性公 告》，本次解除限售股份计划上市流通日为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日（星期二）。解除限售股份数量为</w:t>
      </w:r>
      <w:r>
        <w:rPr>
          <w:rFonts w:ascii="Times New Roman" w:hAnsi="Times New Roman" w:cs="Times New Roman" w:eastAsia="Times New Roman" w:hint="default"/>
        </w:rPr>
        <w:t>8,740,044</w:t>
      </w:r>
      <w:r>
        <w:rPr/>
        <w:t>股，占公司总股本的 </w:t>
      </w:r>
      <w:r>
        <w:rPr>
          <w:rFonts w:ascii="Times New Roman" w:hAnsi="Times New Roman" w:cs="Times New Roman" w:eastAsia="Times New Roman" w:hint="default"/>
        </w:rPr>
        <w:t>3.60%</w:t>
      </w:r>
      <w:r>
        <w:rPr/>
        <w:t>；本次申请解除股份限售的股东人数共计</w:t>
      </w:r>
      <w:r>
        <w:rPr>
          <w:rFonts w:ascii="Times New Roman" w:hAnsi="Times New Roman" w:cs="Times New Roman" w:eastAsia="Times New Roman" w:hint="default"/>
        </w:rPr>
        <w:t>1</w:t>
      </w:r>
      <w:r>
        <w:rPr/>
        <w:t>名，为自然人股东。</w:t>
      </w:r>
    </w:p>
    <w:p>
      <w:pPr>
        <w:pStyle w:val="BodyText"/>
        <w:spacing w:line="300" w:lineRule="auto" w:before="13"/>
        <w:ind w:right="14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日，公司召开第五届董事会第三十四次会议和第五届监事会第二十五次会议，审议并通过了《关于股票期权 与制性股票激励计划预留授予部分限制性股票第一次解锁期解锁条件成就的议案》。根据《管理办法》、《备忘录</w:t>
      </w:r>
      <w:r>
        <w:rPr>
          <w:rFonts w:ascii="Times New Roman" w:hAnsi="Times New Roman" w:cs="Times New Roman" w:eastAsia="Times New Roman" w:hint="default"/>
        </w:rPr>
        <w:t>1</w:t>
      </w:r>
      <w:r>
        <w:rPr/>
        <w:t>号》、</w:t>
      </w:r>
    </w:p>
    <w:p>
      <w:pPr>
        <w:pStyle w:val="BodyText"/>
        <w:spacing w:line="240" w:lineRule="auto" w:before="13"/>
        <w:ind w:right="0"/>
        <w:jc w:val="left"/>
      </w:pPr>
      <w:r>
        <w:rPr/>
        <w:t>《备忘录</w:t>
      </w:r>
      <w:r>
        <w:rPr>
          <w:rFonts w:ascii="Times New Roman" w:hAnsi="Times New Roman" w:cs="Times New Roman" w:eastAsia="Times New Roman" w:hint="default"/>
        </w:rPr>
        <w:t>2</w:t>
      </w:r>
      <w:r>
        <w:rPr/>
        <w:t>号》、《备忘录</w:t>
      </w:r>
      <w:r>
        <w:rPr>
          <w:rFonts w:ascii="Times New Roman" w:hAnsi="Times New Roman" w:cs="Times New Roman" w:eastAsia="Times New Roman" w:hint="default"/>
        </w:rPr>
        <w:t>3</w:t>
      </w:r>
      <w:r>
        <w:rPr/>
        <w:t>号》及《激励计划（草案修订稿）》等有关规定以及公司</w:t>
      </w:r>
      <w:r>
        <w:rPr>
          <w:rFonts w:ascii="Times New Roman" w:hAnsi="Times New Roman" w:cs="Times New Roman" w:eastAsia="Times New Roman" w:hint="default"/>
        </w:rPr>
        <w:t>2015</w:t>
      </w:r>
      <w:r>
        <w:rPr/>
        <w:t>年第</w:t>
      </w:r>
      <w:r>
        <w:rPr>
          <w:spacing w:val="-21"/>
        </w:rPr>
        <w:t> </w:t>
      </w:r>
      <w:r>
        <w:rPr/>
        <w:t>三次临时股东大会的授权，</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9" w:lineRule="auto" w:before="44"/>
        <w:ind w:right="144"/>
        <w:jc w:val="left"/>
      </w:pPr>
      <w:r>
        <w:rPr/>
        <w:t>董事会认为公司本次激励计划预留授予部分限制性股票第一个解锁期解锁条件已满足，除</w:t>
      </w:r>
      <w:r>
        <w:rPr>
          <w:rFonts w:ascii="Times New Roman" w:hAnsi="Times New Roman" w:cs="Times New Roman" w:eastAsia="Times New Roman" w:hint="default"/>
        </w:rPr>
        <w:t>1</w:t>
      </w:r>
      <w:r>
        <w:rPr/>
        <w:t>名激励对象因已离职不符合激励 条件外，董事会同意涉及的</w:t>
      </w:r>
      <w:r>
        <w:rPr>
          <w:rFonts w:ascii="Times New Roman" w:hAnsi="Times New Roman" w:cs="Times New Roman" w:eastAsia="Times New Roman" w:hint="default"/>
        </w:rPr>
        <w:t>27</w:t>
      </w:r>
      <w:r>
        <w:rPr/>
        <w:t>名激励对象在第一个解锁期可解锁限制性股票，并授权公司证券部办理相关解锁登记手续。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日公司股票期权与限制性股票激励计划中预留授予部分限制性股票第一个解锁期解除限售手续已在中国证券登 记结算有限责任公司深圳分公司办理完毕，本次预留授予部分限制性股票第一个解锁期可解锁的限制性股票数量为</w:t>
      </w:r>
      <w:r>
        <w:rPr>
          <w:rFonts w:ascii="Times New Roman" w:hAnsi="Times New Roman" w:cs="Times New Roman" w:eastAsia="Times New Roman" w:hint="default"/>
        </w:rPr>
        <w:t>31.86</w:t>
      </w:r>
      <w:r>
        <w:rPr/>
        <w:t>万 股，占公司总股本的比例为</w:t>
      </w:r>
      <w:r>
        <w:rPr>
          <w:rFonts w:ascii="Times New Roman" w:hAnsi="Times New Roman" w:cs="Times New Roman" w:eastAsia="Times New Roman" w:hint="default"/>
        </w:rPr>
        <w:t>0.13%</w:t>
      </w:r>
      <w:r>
        <w:rPr/>
        <w:t>，本次解除限售的预留授予部分限制性股票上市流通日为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日（星期五），符 合解除限售涉及的股东人数为</w:t>
      </w:r>
      <w:r>
        <w:rPr>
          <w:rFonts w:ascii="Times New Roman" w:hAnsi="Times New Roman" w:cs="Times New Roman" w:eastAsia="Times New Roman" w:hint="default"/>
        </w:rPr>
        <w:t>27</w:t>
      </w:r>
      <w:r>
        <w:rPr/>
        <w:t>人，不涉及董事、高级管理人员。 </w:t>
      </w: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8</w:t>
      </w:r>
      <w:r>
        <w:rPr/>
        <w:t>日，公司分别召开了第六届董事会第四次会议和第六届监事会第四次会议，审议通过了《关于股票期权与 制性股票激励计划首次授予部分第二次行权</w:t>
      </w:r>
      <w:r>
        <w:rPr>
          <w:rFonts w:ascii="宋体" w:hAnsi="宋体" w:cs="宋体" w:eastAsia="宋体" w:hint="default"/>
        </w:rPr>
        <w:t>/</w:t>
      </w:r>
      <w:r>
        <w:rPr/>
        <w:t>解锁期行权</w:t>
      </w:r>
      <w:r>
        <w:rPr>
          <w:rFonts w:ascii="宋体" w:hAnsi="宋体" w:cs="宋体" w:eastAsia="宋体" w:hint="default"/>
        </w:rPr>
        <w:t>/</w:t>
      </w:r>
      <w:r>
        <w:rPr/>
        <w:t>解锁条件成就的议案》、《关于注销公司股权激励计划授予的股 票期权第一个行权期未行权股票期权的议案》、《关于调整股票期权与限制性股票激励计划相关事项的议案》、《关于对 股票期权与限制性股票激励计划部分股票期权注销的议案》。鉴于公司原激励对象韩伟等</w:t>
      </w:r>
      <w:r>
        <w:rPr>
          <w:rFonts w:ascii="宋体" w:hAnsi="宋体" w:cs="宋体" w:eastAsia="宋体" w:hint="default"/>
        </w:rPr>
        <w:t>3</w:t>
      </w:r>
      <w:r>
        <w:rPr/>
        <w:t>人因已离职不符合激励条件，根 据公司股权激励计划，公司拟对相关激励对象已获授（含已获准行权）但尚未行权的</w:t>
      </w:r>
      <w:r>
        <w:rPr>
          <w:rFonts w:ascii="宋体" w:hAnsi="宋体" w:cs="宋体" w:eastAsia="宋体" w:hint="default"/>
        </w:rPr>
        <w:t>69,000</w:t>
      </w:r>
      <w:r>
        <w:rPr/>
        <w:t>份股票期权进行注销，同时对 公司股权激励计划授予的股票期权第一个行权期未行权的</w:t>
      </w:r>
      <w:r>
        <w:rPr>
          <w:rFonts w:ascii="宋体" w:hAnsi="宋体" w:cs="宋体" w:eastAsia="宋体" w:hint="default"/>
        </w:rPr>
        <w:t>330,555</w:t>
      </w:r>
      <w:r>
        <w:rPr/>
        <w:t>份股票期权进行注销。并同意对满足第二次行权</w:t>
      </w:r>
      <w:r>
        <w:rPr>
          <w:rFonts w:ascii="宋体" w:hAnsi="宋体" w:cs="宋体" w:eastAsia="宋体" w:hint="default"/>
        </w:rPr>
        <w:t>/</w:t>
      </w:r>
      <w:r>
        <w:rPr/>
        <w:t>解锁期 行权</w:t>
      </w:r>
      <w:r>
        <w:rPr>
          <w:rFonts w:ascii="宋体" w:hAnsi="宋体" w:cs="宋体" w:eastAsia="宋体" w:hint="default"/>
        </w:rPr>
        <w:t>/</w:t>
      </w:r>
      <w:r>
        <w:rPr/>
        <w:t>解锁条件的激励对象按照激励计划的相关规定办理行权</w:t>
      </w:r>
      <w:r>
        <w:rPr>
          <w:rFonts w:ascii="宋体" w:hAnsi="宋体" w:cs="宋体" w:eastAsia="宋体" w:hint="default"/>
        </w:rPr>
        <w:t>/</w:t>
      </w:r>
      <w:r>
        <w:rPr/>
        <w:t>解锁期行权</w:t>
      </w:r>
      <w:r>
        <w:rPr>
          <w:rFonts w:ascii="宋体" w:hAnsi="宋体" w:cs="宋体" w:eastAsia="宋体" w:hint="default"/>
        </w:rPr>
        <w:t>/</w:t>
      </w:r>
      <w:r>
        <w:rPr/>
        <w:t>解锁的相关事宜。</w:t>
      </w:r>
      <w:r>
        <w:rPr>
          <w:rFonts w:ascii="宋体" w:hAnsi="宋体" w:cs="宋体" w:eastAsia="宋体" w:hint="default"/>
        </w:rPr>
        <w:t>12</w:t>
      </w:r>
      <w:r>
        <w:rPr/>
        <w:t>月</w:t>
      </w:r>
      <w:r>
        <w:rPr>
          <w:rFonts w:ascii="宋体" w:hAnsi="宋体" w:cs="宋体" w:eastAsia="宋体" w:hint="default"/>
        </w:rPr>
        <w:t>23</w:t>
      </w:r>
      <w:r>
        <w:rPr/>
        <w:t>日公司股票期权与限制</w:t>
      </w:r>
      <w:r>
        <w:rPr>
          <w:spacing w:val="-86"/>
        </w:rPr>
        <w:t> </w:t>
      </w:r>
      <w:r>
        <w:rPr/>
        <w:t>性股票激励计划首次授予部分限制性股票第二个解锁期的解除限售手续已在中国证券登记结算有限责任公司深圳分公司办 理完毕，本次解除限售的限制性股票数量为</w:t>
      </w:r>
      <w:r>
        <w:rPr>
          <w:rFonts w:ascii="宋体" w:hAnsi="宋体" w:cs="宋体" w:eastAsia="宋体" w:hint="default"/>
        </w:rPr>
        <w:t>1,502,430</w:t>
      </w:r>
      <w:r>
        <w:rPr/>
        <w:t>股，占公司总股本的比例为</w:t>
      </w:r>
      <w:r>
        <w:rPr>
          <w:rFonts w:ascii="宋体" w:hAnsi="宋体" w:cs="宋体" w:eastAsia="宋体" w:hint="default"/>
        </w:rPr>
        <w:t>0.6184%</w:t>
      </w:r>
      <w:r>
        <w:rPr/>
        <w:t>，上市流通日为</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28</w:t>
      </w:r>
      <w:r>
        <w:rPr/>
        <w:t>日</w:t>
      </w:r>
    </w:p>
    <w:p>
      <w:pPr>
        <w:pStyle w:val="BodyText"/>
        <w:spacing w:line="240" w:lineRule="auto" w:before="24"/>
        <w:ind w:right="0"/>
        <w:jc w:val="both"/>
      </w:pPr>
      <w:r>
        <w:rPr/>
        <w:t>（星期四），解除限售涉及股东人数：</w:t>
      </w:r>
      <w:r>
        <w:rPr>
          <w:rFonts w:ascii="宋体" w:hAnsi="宋体" w:cs="宋体" w:eastAsia="宋体" w:hint="default"/>
        </w:rPr>
        <w:t>318</w:t>
      </w:r>
      <w:r>
        <w:rPr/>
        <w:t>人。</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both"/>
      </w:pPr>
      <w:r>
        <w:rPr/>
        <w:t>股份变动的批准情况</w:t>
      </w:r>
    </w:p>
    <w:p>
      <w:pPr>
        <w:pStyle w:val="BodyText"/>
        <w:spacing w:line="319" w:lineRule="auto" w:before="115"/>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日，公司收到中国证券登记结算有限责任公司深圳分公司出具的《证券过户登记确认书》。中国结算公司深</w:t>
      </w:r>
      <w:r>
        <w:rPr>
          <w:spacing w:val="-63"/>
        </w:rPr>
        <w:t> </w:t>
      </w:r>
      <w:r>
        <w:rPr>
          <w:spacing w:val="-63"/>
        </w:rPr>
      </w:r>
      <w:r>
        <w:rPr/>
        <w:t>圳分公司已确认股东雅戈尔集团股份有限公司与公司董事兼总经理张吕峥先生协议转让的创业软件</w:t>
      </w:r>
      <w:r>
        <w:rPr>
          <w:rFonts w:ascii="Times New Roman" w:hAnsi="Times New Roman" w:cs="Times New Roman" w:eastAsia="Times New Roman" w:hint="default"/>
        </w:rPr>
        <w:t>12,000,000</w:t>
      </w:r>
      <w:r>
        <w:rPr/>
        <w:t>股股票完成过</w:t>
      </w:r>
    </w:p>
    <w:p>
      <w:pPr>
        <w:pStyle w:val="BodyText"/>
        <w:spacing w:line="319" w:lineRule="auto"/>
        <w:ind w:right="151"/>
        <w:jc w:val="both"/>
      </w:pPr>
      <w:r>
        <w:rPr>
          <w:spacing w:val="-2"/>
        </w:rPr>
        <w:t>户登记手续。（有关双方协议转让内容具体详见公司于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日在中国证监会指定披露媒体巨潮资讯网上刊登的《关</w:t>
      </w:r>
      <w:r>
        <w:rPr>
          <w:spacing w:val="-60"/>
        </w:rPr>
        <w:t> </w:t>
      </w:r>
      <w:r>
        <w:rPr>
          <w:spacing w:val="-60"/>
        </w:rPr>
      </w:r>
      <w:r>
        <w:rPr>
          <w:spacing w:val="-5"/>
        </w:rPr>
        <w:t>于持股</w:t>
      </w:r>
      <w:r>
        <w:rPr>
          <w:rFonts w:ascii="Times New Roman" w:hAnsi="Times New Roman" w:cs="Times New Roman" w:eastAsia="Times New Roman" w:hint="default"/>
          <w:spacing w:val="-5"/>
        </w:rPr>
        <w:t>5%</w:t>
      </w:r>
      <w:r>
        <w:rPr>
          <w:spacing w:val="-5"/>
        </w:rPr>
        <w:t>以上股东协议转让部分公司股票暨公司董事兼总经理张吕峥增持计划实施进展的公告》（公告编号：</w:t>
      </w:r>
      <w:r>
        <w:rPr>
          <w:rFonts w:ascii="Times New Roman" w:hAnsi="Times New Roman" w:cs="Times New Roman" w:eastAsia="Times New Roman" w:hint="default"/>
          <w:spacing w:val="-5"/>
        </w:rPr>
        <w:t>2016-127</w:t>
      </w:r>
      <w:r>
        <w:rPr>
          <w:spacing w:val="-5"/>
        </w:rPr>
        <w:t>））。</w:t>
      </w:r>
      <w:r>
        <w:rPr>
          <w:spacing w:val="-87"/>
        </w:rPr>
        <w:t> </w:t>
      </w:r>
      <w:r>
        <w:rPr>
          <w:spacing w:val="-87"/>
        </w:rPr>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日，创业软件取得中国证监会《关于核准创业软件股份有限公司向杭州鑫粟投资管理有限公司等发行股份</w:t>
      </w:r>
    </w:p>
    <w:p>
      <w:pPr>
        <w:pStyle w:val="BodyText"/>
        <w:spacing w:line="314" w:lineRule="auto"/>
        <w:ind w:right="144"/>
        <w:jc w:val="left"/>
      </w:pPr>
      <w:r>
        <w:rPr>
          <w:spacing w:val="-1"/>
        </w:rPr>
        <w:t>购买资产并募集配套资金的批复》（证监许可</w:t>
      </w:r>
      <w:r>
        <w:rPr>
          <w:rFonts w:ascii="Times New Roman" w:hAnsi="Times New Roman" w:cs="Times New Roman" w:eastAsia="Times New Roman" w:hint="default"/>
          <w:spacing w:val="-1"/>
        </w:rPr>
        <w:t>[2016]3122</w:t>
      </w:r>
      <w:r>
        <w:rPr>
          <w:spacing w:val="-1"/>
        </w:rPr>
        <w:t>号），核准公司发行股份及支付现金购买资产并募集配套资金暨关</w:t>
      </w:r>
      <w:r>
        <w:rPr>
          <w:spacing w:val="-59"/>
        </w:rPr>
        <w:t> </w:t>
      </w:r>
      <w:r>
        <w:rPr>
          <w:spacing w:val="-59"/>
        </w:rPr>
      </w:r>
      <w:r>
        <w:rPr>
          <w:spacing w:val="-2"/>
        </w:rPr>
        <w:t>联交易事宜。根据中登公司深圳分公司于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日出具的《股份登记申请受理确认书》，创业软件已于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w:t>
      </w:r>
      <w:r>
        <w:rPr>
          <w:spacing w:val="-54"/>
        </w:rPr>
        <w:t> </w:t>
      </w:r>
      <w:r>
        <w:rPr/>
        <w:t>办理完毕本次发行股份及支付现金购买资产的新增股份和募集配套资金的新增股份登记申请。本次发行新增股份的性质为</w:t>
      </w:r>
      <w:r>
        <w:rPr>
          <w:spacing w:val="-11"/>
        </w:rPr>
        <w:t> </w:t>
      </w:r>
      <w:r>
        <w:rPr>
          <w:spacing w:val="-11"/>
        </w:rPr>
      </w:r>
      <w:r>
        <w:rPr/>
        <w:t>有限售条件的流通股，上市日为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日，公司在中国证监会指定披露媒体巨潮资讯网上刊登《关于首次公开发行前已发行股份上市流通提示性公</w:t>
      </w:r>
    </w:p>
    <w:p>
      <w:pPr>
        <w:pStyle w:val="BodyText"/>
        <w:spacing w:line="307" w:lineRule="auto" w:before="1"/>
        <w:ind w:right="152"/>
        <w:jc w:val="both"/>
      </w:pPr>
      <w:r>
        <w:rPr/>
        <w:t>告》，本次解除限售股份计划上市流通日为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日（星期四），解除限售股份数量为</w:t>
      </w:r>
      <w:r>
        <w:rPr>
          <w:rFonts w:ascii="Times New Roman" w:hAnsi="Times New Roman" w:cs="Times New Roman" w:eastAsia="Times New Roman" w:hint="default"/>
        </w:rPr>
        <w:t>9,483,651</w:t>
      </w:r>
      <w:r>
        <w:rPr/>
        <w:t>股，占公司总股本的</w:t>
      </w:r>
      <w:r>
        <w:rPr>
          <w:spacing w:val="-10"/>
        </w:rPr>
        <w:t> </w:t>
      </w:r>
      <w:r>
        <w:rPr>
          <w:spacing w:val="-10"/>
        </w:rPr>
      </w:r>
      <w:r>
        <w:rPr>
          <w:rFonts w:ascii="Times New Roman" w:hAnsi="Times New Roman" w:cs="Times New Roman" w:eastAsia="Times New Roman" w:hint="default"/>
          <w:spacing w:val="-2"/>
        </w:rPr>
        <w:t>3.90%</w:t>
      </w:r>
      <w:r>
        <w:rPr>
          <w:spacing w:val="-2"/>
        </w:rPr>
        <w:t>，本次申请解除股份限售的股东人数共计</w:t>
      </w:r>
      <w:r>
        <w:rPr>
          <w:rFonts w:ascii="Times New Roman" w:hAnsi="Times New Roman" w:cs="Times New Roman" w:eastAsia="Times New Roman" w:hint="default"/>
          <w:spacing w:val="-2"/>
        </w:rPr>
        <w:t>1</w:t>
      </w:r>
      <w:r>
        <w:rPr>
          <w:spacing w:val="-2"/>
        </w:rPr>
        <w:t>名，为自然人股东。本次申请解除股份限售的股东洪邵平于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日向</w:t>
      </w:r>
      <w:r>
        <w:rPr>
          <w:spacing w:val="-78"/>
        </w:rPr>
        <w:t> </w:t>
      </w:r>
      <w:r>
        <w:rPr>
          <w:spacing w:val="-2"/>
        </w:rPr>
        <w:t>公司董事会申报了辞去公司董事职务，辞职报告自送达董事会之日起生效。该股东辞去董事职务后严格遵守履行了相关股份</w:t>
      </w:r>
      <w:r>
        <w:rPr>
          <w:spacing w:val="-64"/>
        </w:rPr>
        <w:t> </w:t>
      </w:r>
      <w:r>
        <w:rPr>
          <w:spacing w:val="-64"/>
        </w:rPr>
      </w:r>
      <w:r>
        <w:rPr/>
        <w:t>减持承诺，未发生违反承诺的情形。</w:t>
      </w:r>
    </w:p>
    <w:p>
      <w:pPr>
        <w:pStyle w:val="BodyText"/>
        <w:spacing w:line="304" w:lineRule="auto" w:before="67"/>
        <w:ind w:right="151"/>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日，公司在中国证监会指定披露媒体巨潮资讯网上刊登《关于首次公开发行前已发行股份上市流通提示性公</w:t>
      </w:r>
      <w:r>
        <w:rPr>
          <w:spacing w:val="-86"/>
        </w:rPr>
        <w:t> </w:t>
      </w:r>
      <w:r>
        <w:rPr>
          <w:spacing w:val="-86"/>
        </w:rPr>
      </w:r>
      <w:r>
        <w:rPr/>
        <w:t>告》，本次解除限售股份计划上市流通日为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日（星期二）。解除限售股份数量为</w:t>
      </w:r>
      <w:r>
        <w:rPr>
          <w:rFonts w:ascii="Times New Roman" w:hAnsi="Times New Roman" w:cs="Times New Roman" w:eastAsia="Times New Roman" w:hint="default"/>
        </w:rPr>
        <w:t>8,740,044</w:t>
      </w:r>
      <w:r>
        <w:rPr/>
        <w:t>股，占公司总股本的</w:t>
      </w:r>
      <w:r>
        <w:rPr>
          <w:spacing w:val="-10"/>
        </w:rPr>
        <w:t> </w:t>
      </w:r>
      <w:r>
        <w:rPr>
          <w:spacing w:val="-10"/>
        </w:rPr>
      </w:r>
      <w:r>
        <w:rPr>
          <w:rFonts w:ascii="Times New Roman" w:hAnsi="Times New Roman" w:cs="Times New Roman" w:eastAsia="Times New Roman" w:hint="default"/>
          <w:spacing w:val="-2"/>
        </w:rPr>
        <w:t>3.60%</w:t>
      </w:r>
      <w:r>
        <w:rPr>
          <w:spacing w:val="-2"/>
        </w:rPr>
        <w:t>；本次申请解除股份限售的股东人数共计</w:t>
      </w:r>
      <w:r>
        <w:rPr>
          <w:rFonts w:ascii="Times New Roman" w:hAnsi="Times New Roman" w:cs="Times New Roman" w:eastAsia="Times New Roman" w:hint="default"/>
          <w:spacing w:val="-2"/>
        </w:rPr>
        <w:t>1</w:t>
      </w:r>
      <w:r>
        <w:rPr>
          <w:spacing w:val="-2"/>
        </w:rPr>
        <w:t>名，为自然人股东。本次申请解除股份限售的股东沈健先生于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w:t>
      </w:r>
      <w:r>
        <w:rPr>
          <w:spacing w:val="-75"/>
        </w:rPr>
        <w:t> </w:t>
      </w:r>
      <w:r>
        <w:rPr>
          <w:spacing w:val="-2"/>
        </w:rPr>
        <w:t>向公司监事会申报了辞去公司监事会主席职务。该股东辞去监事职务后严格遵守履行了股份减持承诺，未发生违反承诺的情</w:t>
      </w:r>
      <w:r>
        <w:rPr>
          <w:spacing w:val="-64"/>
        </w:rPr>
        <w:t> </w:t>
      </w:r>
      <w:r>
        <w:rPr>
          <w:spacing w:val="-64"/>
        </w:rPr>
      </w:r>
      <w:r>
        <w:rPr/>
        <w:t>形。</w:t>
      </w:r>
    </w:p>
    <w:p>
      <w:pPr>
        <w:pStyle w:val="BodyText"/>
        <w:spacing w:line="300" w:lineRule="auto" w:before="68"/>
        <w:ind w:right="151"/>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日，公司召开第五届董事会第三十四次会议和第五届监事会第二十五次会议，审议并通过了《关于股票期权</w:t>
      </w:r>
      <w:r>
        <w:rPr>
          <w:spacing w:val="-86"/>
        </w:rPr>
        <w:t> </w:t>
      </w:r>
      <w:r>
        <w:rPr>
          <w:spacing w:val="-86"/>
        </w:rPr>
      </w:r>
      <w:r>
        <w:rPr/>
        <w:t>与制性股票激励计划预留授予部分限制性股票第一次解锁期解锁条件成就的议案》。根据《管理办法》、《备忘录</w:t>
      </w:r>
      <w:r>
        <w:rPr>
          <w:rFonts w:ascii="Times New Roman" w:hAnsi="Times New Roman" w:cs="Times New Roman" w:eastAsia="Times New Roman" w:hint="default"/>
        </w:rPr>
        <w:t>1</w:t>
      </w:r>
      <w:r>
        <w:rPr/>
        <w:t>号》、</w:t>
      </w:r>
    </w:p>
    <w:p>
      <w:pPr>
        <w:pStyle w:val="BodyText"/>
        <w:spacing w:line="300" w:lineRule="auto" w:before="13"/>
        <w:ind w:right="147"/>
        <w:jc w:val="both"/>
        <w:rPr>
          <w:rFonts w:ascii="Times New Roman" w:hAnsi="Times New Roman" w:cs="Times New Roman" w:eastAsia="Times New Roman" w:hint="default"/>
        </w:rPr>
      </w:pPr>
      <w:r>
        <w:rPr>
          <w:spacing w:val="-2"/>
        </w:rPr>
        <w:t>《备忘录</w:t>
      </w:r>
      <w:r>
        <w:rPr>
          <w:rFonts w:ascii="Times New Roman" w:hAnsi="Times New Roman" w:cs="Times New Roman" w:eastAsia="Times New Roman" w:hint="default"/>
          <w:spacing w:val="-2"/>
        </w:rPr>
        <w:t>2</w:t>
      </w:r>
      <w:r>
        <w:rPr>
          <w:spacing w:val="-2"/>
        </w:rPr>
        <w:t>号》、《备忘录</w:t>
      </w:r>
      <w:r>
        <w:rPr>
          <w:rFonts w:ascii="Times New Roman" w:hAnsi="Times New Roman" w:cs="Times New Roman" w:eastAsia="Times New Roman" w:hint="default"/>
          <w:spacing w:val="-2"/>
        </w:rPr>
        <w:t>3</w:t>
      </w:r>
      <w:r>
        <w:rPr>
          <w:spacing w:val="-2"/>
        </w:rPr>
        <w:t>号》及《激励计划（草案修订稿）》等有关规定以及公司</w:t>
      </w:r>
      <w:r>
        <w:rPr>
          <w:rFonts w:ascii="Times New Roman" w:hAnsi="Times New Roman" w:cs="Times New Roman" w:eastAsia="Times New Roman" w:hint="default"/>
          <w:spacing w:val="-2"/>
        </w:rPr>
        <w:t>2015</w:t>
      </w:r>
      <w:r>
        <w:rPr>
          <w:spacing w:val="-2"/>
        </w:rPr>
        <w:t>年第三次临时股东大会的授权，董</w:t>
      </w:r>
      <w:r>
        <w:rPr>
          <w:spacing w:val="-64"/>
        </w:rPr>
        <w:t> </w:t>
      </w:r>
      <w:r>
        <w:rPr>
          <w:spacing w:val="-64"/>
        </w:rPr>
      </w:r>
      <w:r>
        <w:rPr/>
        <w:t>事会认为公司本次激励计划预留授予部分限制性股票第一个解锁期解锁条件已满足，除</w:t>
      </w:r>
      <w:r>
        <w:rPr>
          <w:rFonts w:ascii="Times New Roman" w:hAnsi="Times New Roman" w:cs="Times New Roman" w:eastAsia="Times New Roman" w:hint="default"/>
        </w:rPr>
        <w:t>1</w:t>
      </w:r>
      <w:r>
        <w:rPr/>
        <w:t>名激励对象因已离职不符合激励条</w:t>
      </w:r>
      <w:r>
        <w:rPr>
          <w:spacing w:val="-83"/>
        </w:rPr>
        <w:t> </w:t>
      </w:r>
      <w:r>
        <w:rPr>
          <w:spacing w:val="-83"/>
        </w:rPr>
      </w:r>
      <w:r>
        <w:rPr>
          <w:spacing w:val="-2"/>
        </w:rPr>
        <w:t>件外，董事会同意涉及的</w:t>
      </w:r>
      <w:r>
        <w:rPr>
          <w:rFonts w:ascii="Times New Roman" w:hAnsi="Times New Roman" w:cs="Times New Roman" w:eastAsia="Times New Roman" w:hint="default"/>
          <w:spacing w:val="-2"/>
        </w:rPr>
        <w:t>27</w:t>
      </w:r>
      <w:r>
        <w:rPr>
          <w:spacing w:val="-2"/>
        </w:rPr>
        <w:t>名激励对象在第一个解锁期可解锁限制性股票，并授权公司证券部办理相关解锁登记手续。</w:t>
      </w:r>
      <w:r>
        <w:rPr>
          <w:rFonts w:ascii="Times New Roman" w:hAnsi="Times New Roman" w:cs="Times New Roman" w:eastAsia="Times New Roman" w:hint="default"/>
          <w:spacing w:val="-2"/>
        </w:rPr>
        <w:t>2017</w:t>
      </w:r>
    </w:p>
    <w:p>
      <w:pPr>
        <w:spacing w:after="0" w:line="300" w:lineRule="auto"/>
        <w:jc w:val="both"/>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44"/>
        <w:jc w:val="left"/>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日公司股票期权与限制性股票激励计划中预留授予部分限制性股票第一个解锁期解除限售手续已在中国证券登记结</w:t>
      </w:r>
      <w:r>
        <w:rPr>
          <w:spacing w:val="-85"/>
        </w:rPr>
        <w:t> </w:t>
      </w:r>
      <w:r>
        <w:rPr>
          <w:spacing w:val="-85"/>
        </w:rPr>
      </w:r>
      <w:r>
        <w:rPr/>
        <w:t>算有限责任公司深圳分公司办理完毕。</w:t>
      </w:r>
    </w:p>
    <w:p>
      <w:pPr>
        <w:pStyle w:val="BodyText"/>
        <w:spacing w:line="304" w:lineRule="auto" w:before="72"/>
        <w:ind w:right="151"/>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日，公司分别召开了第六届董事会第四次会议和第六届监事会第四次会议，审议通过了《关于股票期权与制</w:t>
      </w:r>
      <w:r>
        <w:rPr>
          <w:spacing w:val="-61"/>
        </w:rPr>
        <w:t> </w:t>
      </w:r>
      <w:r>
        <w:rPr>
          <w:spacing w:val="-61"/>
        </w:rPr>
      </w:r>
      <w:r>
        <w:rPr/>
        <w:t>性股票激励计划首次授予部分第二次行权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解锁条件成就的议案》、《关于注销公司股权激励计划授予的股票期 </w:t>
      </w:r>
      <w:r>
        <w:rPr>
          <w:spacing w:val="-2"/>
        </w:rPr>
        <w:t>权第一个行权期未行权股票期权的议案》、《关于调整股票期权与限制性股票激励计划相关事项的议案》、《关于对股票期</w:t>
      </w:r>
      <w:r>
        <w:rPr>
          <w:spacing w:val="-66"/>
        </w:rPr>
        <w:t> </w:t>
      </w:r>
      <w:r>
        <w:rPr>
          <w:spacing w:val="-66"/>
        </w:rPr>
      </w:r>
      <w:r>
        <w:rPr/>
        <w:t>权与限制性股票激励计划部分股票期权注销的议案》。同意对满足第二次行权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解锁条件的激励对象按照激励计 划的相关规定办理行权</w:t>
      </w:r>
      <w:r>
        <w:rPr>
          <w:rFonts w:ascii="Times New Roman" w:hAnsi="Times New Roman" w:cs="Times New Roman" w:eastAsia="Times New Roman" w:hint="default"/>
        </w:rPr>
        <w:t>/</w:t>
      </w:r>
      <w:r>
        <w:rPr/>
        <w:t>解锁期行权</w:t>
      </w:r>
      <w:r>
        <w:rPr>
          <w:rFonts w:ascii="Times New Roman" w:hAnsi="Times New Roman" w:cs="Times New Roman" w:eastAsia="Times New Roman" w:hint="default"/>
        </w:rPr>
        <w:t>/</w:t>
      </w:r>
      <w:r>
        <w:rPr/>
        <w:t>解锁的相关事宜。</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日公司股票期权与限制性股票激励计划首次授予部分限制性股 票第二个解锁期的解除限售手续已在中国证券登记结算有限责任公司深圳分公司办理完毕，本次解除限售的限制性股票数</w:t>
      </w:r>
      <w:r>
        <w:rPr>
          <w:spacing w:val="-11"/>
        </w:rPr>
        <w:t> </w:t>
      </w:r>
      <w:r>
        <w:rPr>
          <w:spacing w:val="-11"/>
        </w:rPr>
      </w:r>
      <w:r>
        <w:rPr>
          <w:spacing w:val="-2"/>
        </w:rPr>
        <w:t>量为</w:t>
      </w:r>
      <w:r>
        <w:rPr>
          <w:rFonts w:ascii="Times New Roman" w:hAnsi="Times New Roman" w:cs="Times New Roman" w:eastAsia="Times New Roman" w:hint="default"/>
          <w:spacing w:val="-2"/>
        </w:rPr>
        <w:t>1,502,430</w:t>
      </w:r>
      <w:r>
        <w:rPr>
          <w:spacing w:val="-2"/>
        </w:rPr>
        <w:t>股，占公司总股本的比例为</w:t>
      </w:r>
      <w:r>
        <w:rPr>
          <w:rFonts w:ascii="Times New Roman" w:hAnsi="Times New Roman" w:cs="Times New Roman" w:eastAsia="Times New Roman" w:hint="default"/>
          <w:spacing w:val="-2"/>
        </w:rPr>
        <w:t>0.6184%</w:t>
      </w:r>
      <w:r>
        <w:rPr>
          <w:spacing w:val="-2"/>
        </w:rPr>
        <w:t>，上市流通日为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日（星期四），解除限售涉及股东人数：</w:t>
      </w:r>
      <w:r>
        <w:rPr>
          <w:rFonts w:ascii="Times New Roman" w:hAnsi="Times New Roman" w:cs="Times New Roman" w:eastAsia="Times New Roman" w:hint="default"/>
          <w:spacing w:val="-2"/>
        </w:rPr>
        <w:t>318</w:t>
      </w:r>
      <w:r>
        <w:rPr>
          <w:rFonts w:ascii="Times New Roman" w:hAnsi="Times New Roman" w:cs="Times New Roman" w:eastAsia="Times New Roman" w:hint="default"/>
          <w:spacing w:val="-19"/>
        </w:rPr>
        <w:t> </w:t>
      </w:r>
      <w:r>
        <w:rPr/>
        <w:t>人。</w:t>
      </w:r>
    </w:p>
    <w:p>
      <w:pPr>
        <w:pStyle w:val="BodyText"/>
        <w:spacing w:line="240" w:lineRule="auto" w:before="66"/>
        <w:ind w:right="0"/>
        <w:jc w:val="left"/>
      </w:pPr>
      <w:r>
        <w:rPr/>
        <w:t>股份变动的过户情况</w:t>
      </w:r>
    </w:p>
    <w:p>
      <w:pPr>
        <w:pStyle w:val="BodyText"/>
        <w:spacing w:line="340" w:lineRule="auto" w:before="118"/>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19" w:lineRule="auto" w:before="39"/>
        <w:ind w:right="174"/>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报告期内，创业软件股份有限公司发行股份及支付现金购买杭州博泰信息技术服务有限公司</w:t>
      </w:r>
      <w:r>
        <w:rPr>
          <w:rFonts w:ascii="Times New Roman" w:hAnsi="Times New Roman" w:cs="Times New Roman" w:eastAsia="Times New Roman" w:hint="default"/>
        </w:rPr>
        <w:t>100%</w:t>
      </w:r>
      <w:r>
        <w:rPr/>
        <w:t>股权并募集配套资金，共 计发行股份</w:t>
      </w:r>
      <w:r>
        <w:rPr>
          <w:rFonts w:ascii="Times New Roman" w:hAnsi="Times New Roman" w:cs="Times New Roman" w:eastAsia="Times New Roman" w:hint="default"/>
        </w:rPr>
        <w:t>31,953,263</w:t>
      </w:r>
      <w:r>
        <w:rPr/>
        <w:t>股，导致报告期内每股净资产等财务指标发生调整。</w:t>
      </w:r>
      <w:r>
        <w:rPr>
          <w:rFonts w:ascii="宋体" w:hAnsi="宋体" w:cs="宋体" w:eastAsia="宋体" w:hint="default"/>
        </w:rPr>
        <w:t> </w:t>
      </w:r>
    </w:p>
    <w:p>
      <w:pPr>
        <w:spacing w:line="240" w:lineRule="auto" w:before="10"/>
        <w:rPr>
          <w:rFonts w:ascii="宋体" w:hAnsi="宋体" w:cs="宋体" w:eastAsia="宋体" w:hint="default"/>
          <w:sz w:val="26"/>
          <w:szCs w:val="26"/>
        </w:rPr>
      </w:pPr>
    </w:p>
    <w:p>
      <w:pPr>
        <w:pStyle w:val="BodyText"/>
        <w:spacing w:line="240" w:lineRule="auto"/>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715"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43,587,414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44,627,546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首发前股份锁定 承诺及首发后认 购新增股份锁定 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1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65"/>
              <w:jc w:val="left"/>
              <w:rPr>
                <w:rFonts w:ascii="宋体" w:hAnsi="宋体" w:cs="宋体" w:eastAsia="宋体" w:hint="default"/>
                <w:sz w:val="18"/>
                <w:szCs w:val="18"/>
              </w:rPr>
            </w:pPr>
            <w:r>
              <w:rPr>
                <w:rFonts w:ascii="宋体" w:hAnsi="宋体" w:cs="宋体" w:eastAsia="宋体" w:hint="default"/>
                <w:sz w:val="18"/>
                <w:szCs w:val="18"/>
              </w:rPr>
              <w:t>杭州鑫粟科技有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27,710,194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27,710,194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74"/>
              <w:jc w:val="left"/>
              <w:rPr>
                <w:rFonts w:ascii="宋体" w:hAnsi="宋体" w:cs="宋体" w:eastAsia="宋体" w:hint="default"/>
                <w:sz w:val="18"/>
                <w:szCs w:val="18"/>
              </w:rPr>
            </w:pPr>
            <w:r>
              <w:rPr>
                <w:rFonts w:ascii="宋体" w:hAnsi="宋体" w:cs="宋体" w:eastAsia="宋体" w:hint="default"/>
                <w:sz w:val="18"/>
                <w:szCs w:val="18"/>
              </w:rPr>
              <w:t>首发后认购新增 股份锁定承诺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日、剩余股份 解锁以，利润承 诺期届满，且以 履行了《利润补 偿协议》的利润 补偿和标的资产 减值测试所需补 偿义务为前提</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杭州阜康投资有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首发前股份锁定 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289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74"/>
              <w:jc w:val="both"/>
              <w:rPr>
                <w:rFonts w:ascii="宋体" w:hAnsi="宋体" w:cs="宋体" w:eastAsia="宋体" w:hint="default"/>
                <w:sz w:val="18"/>
                <w:szCs w:val="18"/>
              </w:rPr>
            </w:pPr>
            <w:r>
              <w:rPr>
                <w:rFonts w:ascii="宋体" w:hAnsi="宋体" w:cs="宋体" w:eastAsia="宋体" w:hint="default"/>
                <w:sz w:val="18"/>
                <w:szCs w:val="18"/>
              </w:rPr>
              <w:t>股权激励限售股 及高管股份锁定 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限制性股票部分 解除限售日为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3" w:right="5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 锁定股部分每年 按照上年末持有 股份数的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321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4" w:right="65"/>
              <w:jc w:val="left"/>
              <w:rPr>
                <w:rFonts w:ascii="宋体" w:hAnsi="宋体" w:cs="宋体" w:eastAsia="宋体" w:hint="default"/>
                <w:sz w:val="18"/>
                <w:szCs w:val="18"/>
              </w:rPr>
            </w:pPr>
            <w:r>
              <w:rPr>
                <w:rFonts w:ascii="宋体" w:hAnsi="宋体" w:cs="宋体" w:eastAsia="宋体" w:hint="default"/>
                <w:sz w:val="18"/>
                <w:szCs w:val="18"/>
              </w:rPr>
              <w:t>杭州铜粟投资管 理有限公司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2,162,805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首发后认购新增 股份锁定承诺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314" w:lineRule="auto" w:before="61"/>
              <w:ind w:left="23" w:right="19"/>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日、剩余股份 解锁以，利润承 诺期届满，且以 履行了《利润补 偿协议》的利润 补偿和标的资产 减值测试所需补 偿义务为前提</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周建新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首发后认购新增 股份锁定承诺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9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张崧</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4" w:right="74"/>
              <w:jc w:val="left"/>
              <w:rPr>
                <w:rFonts w:ascii="宋体" w:hAnsi="宋体" w:cs="宋体" w:eastAsia="宋体" w:hint="default"/>
                <w:sz w:val="18"/>
                <w:szCs w:val="18"/>
              </w:rPr>
            </w:pPr>
            <w:r>
              <w:rPr>
                <w:rFonts w:ascii="宋体" w:hAnsi="宋体" w:cs="宋体" w:eastAsia="宋体" w:hint="default"/>
                <w:sz w:val="18"/>
                <w:szCs w:val="18"/>
              </w:rPr>
              <w:t>股权激励限售股 及高管锁定股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限制性股票部分 解除限售日为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3" w:right="5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 锁定股部分每年 按照上年末持有 股份数的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258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股权激励限售股 及高管离职锁定 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限制性股票部分 解除限售日为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 离职锁定股解除 限售日为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4"/>
              <w:ind w:left="24" w:right="74"/>
              <w:jc w:val="both"/>
              <w:rPr>
                <w:rFonts w:ascii="宋体" w:hAnsi="宋体" w:cs="宋体" w:eastAsia="宋体" w:hint="default"/>
                <w:sz w:val="18"/>
                <w:szCs w:val="18"/>
              </w:rPr>
            </w:pPr>
            <w:r>
              <w:rPr>
                <w:rFonts w:ascii="宋体" w:hAnsi="宋体" w:cs="宋体" w:eastAsia="宋体" w:hint="default"/>
                <w:sz w:val="18"/>
                <w:szCs w:val="18"/>
              </w:rPr>
              <w:t>股权激励限售股 及高管股份锁定 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限制性股票部分 解除限售日为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1299"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50"/>
              <w:jc w:val="both"/>
              <w:rPr>
                <w:rFonts w:ascii="宋体" w:hAnsi="宋体" w:cs="宋体" w:eastAsia="宋体" w:hint="default"/>
                <w:sz w:val="18"/>
                <w:szCs w:val="18"/>
              </w:rPr>
            </w:pPr>
            <w:r>
              <w:rPr>
                <w:rFonts w:ascii="宋体" w:hAnsi="宋体" w:cs="宋体" w:eastAsia="宋体" w:hint="default"/>
                <w:sz w:val="18"/>
                <w:szCs w:val="18"/>
              </w:rPr>
              <w:t>锁定股部分每年 按照上年末持有 股份数的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289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郁燕萍</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74"/>
              <w:jc w:val="both"/>
              <w:rPr>
                <w:rFonts w:ascii="宋体" w:hAnsi="宋体" w:cs="宋体" w:eastAsia="宋体" w:hint="default"/>
                <w:sz w:val="18"/>
                <w:szCs w:val="18"/>
              </w:rPr>
            </w:pPr>
            <w:r>
              <w:rPr>
                <w:rFonts w:ascii="宋体" w:hAnsi="宋体" w:cs="宋体" w:eastAsia="宋体" w:hint="default"/>
                <w:sz w:val="18"/>
                <w:szCs w:val="18"/>
              </w:rPr>
              <w:t>股权激励限售股 及高管股份锁定 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限制性股票部分 解除限售日为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3" w:right="5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 锁定股部分每年 按照上年末持有 股份数的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258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赵建新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股权激励限售股 及高管离职锁定 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限制性股票部分 解除限售日为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 离职锁定股解除 限售日为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9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孙烈峰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74"/>
              <w:jc w:val="both"/>
              <w:rPr>
                <w:rFonts w:ascii="宋体" w:hAnsi="宋体" w:cs="宋体" w:eastAsia="宋体" w:hint="default"/>
                <w:sz w:val="18"/>
                <w:szCs w:val="18"/>
              </w:rPr>
            </w:pPr>
            <w:r>
              <w:rPr>
                <w:rFonts w:ascii="宋体" w:hAnsi="宋体" w:cs="宋体" w:eastAsia="宋体" w:hint="default"/>
                <w:sz w:val="18"/>
                <w:szCs w:val="18"/>
              </w:rPr>
              <w:t>股权激励限售股 及高管股份锁定 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限制性股票部分 解除限售日为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3" w:right="5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 锁定股部分每年 按照上年末持有 股份数的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290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方宝林</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74"/>
              <w:jc w:val="both"/>
              <w:rPr>
                <w:rFonts w:ascii="宋体" w:hAnsi="宋体" w:cs="宋体" w:eastAsia="宋体" w:hint="default"/>
                <w:sz w:val="18"/>
                <w:szCs w:val="18"/>
              </w:rPr>
            </w:pPr>
            <w:r>
              <w:rPr>
                <w:rFonts w:ascii="宋体" w:hAnsi="宋体" w:cs="宋体" w:eastAsia="宋体" w:hint="default"/>
                <w:sz w:val="18"/>
                <w:szCs w:val="18"/>
              </w:rPr>
              <w:t>股权激励限售股 及高管股份锁定 承诺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限制性股票部分 解除限售日为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6"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3" w:right="5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日；高管 锁定股部分每年 按照上年末持有 股份数的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56,250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74"/>
              <w:jc w:val="both"/>
              <w:rPr>
                <w:rFonts w:ascii="宋体" w:hAnsi="宋体" w:cs="宋体" w:eastAsia="宋体" w:hint="default"/>
                <w:sz w:val="18"/>
                <w:szCs w:val="18"/>
              </w:rPr>
            </w:pPr>
            <w:r>
              <w:rPr>
                <w:rFonts w:ascii="宋体" w:hAnsi="宋体" w:cs="宋体" w:eastAsia="宋体" w:hint="default"/>
                <w:sz w:val="18"/>
                <w:szCs w:val="18"/>
              </w:rPr>
              <w:t>据《创业软件股 份有限公司股票 期权与限制性股 票激励计划（草</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监事锁定股部分 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363"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
              <w:jc w:val="center"/>
              <w:rPr>
                <w:rFonts w:ascii="宋体" w:hAnsi="宋体" w:cs="宋体" w:eastAsia="宋体" w:hint="default"/>
                <w:sz w:val="18"/>
                <w:szCs w:val="18"/>
              </w:rPr>
            </w:pPr>
            <w:r>
              <w:rPr>
                <w:rFonts w:ascii="宋体" w:hAnsi="宋体" w:cs="宋体" w:eastAsia="宋体" w:hint="default"/>
                <w:sz w:val="18"/>
                <w:szCs w:val="18"/>
              </w:rPr>
              <w:t>案修订稿）执行</w:t>
            </w: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洪邵平</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9,483,651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9,483,651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首次公开发行股 票解除限售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根据首次公开发 行股票相关承 诺，锁定期届 满，并予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00" w:lineRule="auto"/>
              <w:ind w:left="23" w:right="6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 流通</w:t>
            </w:r>
          </w:p>
        </w:tc>
      </w:tr>
      <w:tr>
        <w:trPr>
          <w:trHeight w:val="196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8,740,044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8,740,044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74"/>
              <w:jc w:val="left"/>
              <w:rPr>
                <w:rFonts w:ascii="宋体" w:hAnsi="宋体" w:cs="宋体" w:eastAsia="宋体" w:hint="default"/>
                <w:sz w:val="18"/>
                <w:szCs w:val="18"/>
              </w:rPr>
            </w:pPr>
            <w:r>
              <w:rPr>
                <w:rFonts w:ascii="宋体" w:hAnsi="宋体" w:cs="宋体" w:eastAsia="宋体" w:hint="default"/>
                <w:sz w:val="18"/>
                <w:szCs w:val="18"/>
              </w:rPr>
              <w:t>首次公开发行股 票解除限售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根据首次公开发 行股票相关承 诺，锁定期届 满，并予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00" w:lineRule="auto"/>
              <w:ind w:left="23" w:right="6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 流通</w:t>
            </w:r>
          </w:p>
        </w:tc>
      </w:tr>
      <w:tr>
        <w:trPr>
          <w:trHeight w:val="196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65"/>
              <w:jc w:val="left"/>
              <w:rPr>
                <w:rFonts w:ascii="宋体" w:hAnsi="宋体" w:cs="宋体" w:eastAsia="宋体" w:hint="default"/>
                <w:sz w:val="18"/>
                <w:szCs w:val="18"/>
              </w:rPr>
            </w:pPr>
            <w:r>
              <w:rPr>
                <w:rFonts w:ascii="宋体" w:hAnsi="宋体" w:cs="宋体" w:eastAsia="宋体" w:hint="default"/>
                <w:sz w:val="18"/>
                <w:szCs w:val="18"/>
              </w:rPr>
              <w:t>股权激励计划授 予的限制性股票</w:t>
            </w:r>
          </w:p>
          <w:p>
            <w:pPr>
              <w:pStyle w:val="TableParagraph"/>
              <w:spacing w:line="316" w:lineRule="auto" w:before="19"/>
              <w:ind w:left="24" w:right="65"/>
              <w:jc w:val="left"/>
              <w:rPr>
                <w:rFonts w:ascii="宋体" w:hAnsi="宋体" w:cs="宋体" w:eastAsia="宋体" w:hint="default"/>
                <w:sz w:val="18"/>
                <w:szCs w:val="18"/>
              </w:rPr>
            </w:pPr>
            <w:r>
              <w:rPr>
                <w:rFonts w:ascii="宋体" w:hAnsi="宋体" w:cs="宋体" w:eastAsia="宋体" w:hint="default"/>
                <w:sz w:val="18"/>
                <w:szCs w:val="18"/>
              </w:rPr>
              <w:t>（除董监高以外 的人员）</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4,890,384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1,652,280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3,238,104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根据《创业软件 股份有限公司股 票期权与限制性 股票激励计划</w:t>
            </w:r>
          </w:p>
          <w:p>
            <w:pPr>
              <w:pStyle w:val="TableParagraph"/>
              <w:spacing w:line="316" w:lineRule="auto" w:before="19"/>
              <w:ind w:left="24" w:right="74"/>
              <w:jc w:val="both"/>
              <w:rPr>
                <w:rFonts w:ascii="宋体" w:hAnsi="宋体" w:cs="宋体" w:eastAsia="宋体" w:hint="default"/>
                <w:sz w:val="18"/>
                <w:szCs w:val="18"/>
              </w:rPr>
            </w:pPr>
            <w:r>
              <w:rPr>
                <w:rFonts w:ascii="宋体" w:hAnsi="宋体" w:cs="宋体" w:eastAsia="宋体" w:hint="default"/>
                <w:sz w:val="18"/>
                <w:szCs w:val="18"/>
              </w:rPr>
              <w:t>（草案修订稿） 执行</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92,763,993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20,044,725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41,179,613</w:t>
            </w:r>
          </w:p>
        </w:tc>
        <w:tc>
          <w:tcPr>
            <w:tcW w:w="13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113,898,881</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76"/>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412"/>
        <w:gridCol w:w="1294"/>
        <w:gridCol w:w="1123"/>
        <w:gridCol w:w="1133"/>
        <w:gridCol w:w="1630"/>
        <w:gridCol w:w="1297"/>
        <w:gridCol w:w="1682"/>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合向特定对象发 行股份</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31,953,263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31,953,263</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0"/>
        <w:jc w:val="left"/>
      </w:pPr>
      <w:r>
        <w:rPr/>
        <w:t>报告期内证券发行（不含优先股）情况的说明</w:t>
      </w:r>
    </w:p>
    <w:p>
      <w:pPr>
        <w:pStyle w:val="BodyText"/>
        <w:spacing w:line="300" w:lineRule="auto" w:before="115"/>
        <w:ind w:right="144"/>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42"/>
        </w:rPr>
        <w:t> </w:t>
      </w:r>
      <w:r>
        <w:rPr/>
        <w:t>日公司披露于巨潮资讯网的《创业软件股份有限公司关于发行股份及支付现金购买资产并募集配套资金 暨关联交易之标的资产过户完成的公告》等文件。本次交易涉及两次发行股份：（</w:t>
      </w:r>
      <w:r>
        <w:rPr>
          <w:rFonts w:ascii="Times New Roman" w:hAnsi="Times New Roman" w:cs="Times New Roman" w:eastAsia="Times New Roman" w:hint="default"/>
        </w:rPr>
        <w:t>1</w:t>
      </w:r>
      <w:r>
        <w:rPr/>
        <w:t>）发行股份购买资产：创业软件通过发 行股份及支付现金的方式购买鑫粟投资、铜粟投资两名交易对方合计持有的博泰服务</w:t>
      </w:r>
      <w:r>
        <w:rPr>
          <w:spacing w:val="-21"/>
        </w:rPr>
        <w:t> </w:t>
      </w:r>
      <w:r>
        <w:rPr>
          <w:rFonts w:ascii="Times New Roman" w:hAnsi="Times New Roman" w:cs="Times New Roman" w:eastAsia="Times New Roman" w:hint="default"/>
        </w:rPr>
        <w:t>100%</w:t>
      </w:r>
      <w:r>
        <w:rPr/>
        <w:t>股权；发行价格为</w:t>
      </w:r>
      <w:r>
        <w:rPr>
          <w:rFonts w:ascii="Times New Roman" w:hAnsi="Times New Roman" w:cs="Times New Roman" w:eastAsia="Times New Roman" w:hint="default"/>
        </w:rPr>
        <w:t>39.37</w:t>
      </w:r>
      <w:r>
        <w:rPr/>
        <w:t>元</w:t>
      </w:r>
      <w:r>
        <w:rPr>
          <w:rFonts w:ascii="Times New Roman" w:hAnsi="Times New Roman" w:cs="Times New Roman" w:eastAsia="Times New Roman" w:hint="default"/>
        </w:rPr>
        <w:t>/</w:t>
      </w:r>
      <w:r>
        <w:rPr/>
        <w:t>股，</w:t>
      </w:r>
      <w:r>
        <w:rPr>
          <w:spacing w:val="-3"/>
        </w:rPr>
        <w:t> </w:t>
      </w:r>
      <w:r>
        <w:rPr/>
        <w:t>合计发行 </w:t>
      </w:r>
      <w:r>
        <w:rPr>
          <w:rFonts w:ascii="Times New Roman" w:hAnsi="Times New Roman" w:cs="Times New Roman" w:eastAsia="Times New Roman" w:hint="default"/>
        </w:rPr>
        <w:t>29,872,999 </w:t>
      </w:r>
      <w:r>
        <w:rPr/>
        <w:t>股。（</w:t>
      </w:r>
      <w:r>
        <w:rPr>
          <w:rFonts w:ascii="Times New Roman" w:hAnsi="Times New Roman" w:cs="Times New Roman" w:eastAsia="Times New Roman" w:hint="default"/>
        </w:rPr>
        <w:t>2</w:t>
      </w:r>
      <w:r>
        <w:rPr/>
        <w:t>）发行股份募集配套资金：发行价格为 </w:t>
      </w:r>
      <w:r>
        <w:rPr>
          <w:rFonts w:ascii="Times New Roman" w:hAnsi="Times New Roman" w:cs="Times New Roman" w:eastAsia="Times New Roman" w:hint="default"/>
        </w:rPr>
        <w:t>39.37 </w:t>
      </w:r>
      <w:r>
        <w:rPr/>
        <w:t>元</w:t>
      </w:r>
      <w:r>
        <w:rPr>
          <w:rFonts w:ascii="Times New Roman" w:hAnsi="Times New Roman" w:cs="Times New Roman" w:eastAsia="Times New Roman" w:hint="default"/>
        </w:rPr>
        <w:t>/</w:t>
      </w:r>
      <w:r>
        <w:rPr/>
        <w:t>股，发行数量为</w:t>
      </w:r>
      <w:r>
        <w:rPr>
          <w:spacing w:val="-8"/>
        </w:rPr>
        <w:t> </w:t>
      </w:r>
      <w:r>
        <w:rPr>
          <w:rFonts w:ascii="Times New Roman" w:hAnsi="Times New Roman" w:cs="Times New Roman" w:eastAsia="Times New Roman" w:hint="default"/>
        </w:rPr>
        <w:t>2,080,264</w:t>
      </w:r>
      <w:r>
        <w:rPr/>
        <w:t>股，募集资金总额</w:t>
      </w:r>
    </w:p>
    <w:p>
      <w:pPr>
        <w:pStyle w:val="BodyText"/>
        <w:spacing w:line="240" w:lineRule="auto" w:before="13"/>
        <w:ind w:right="0"/>
        <w:jc w:val="left"/>
      </w:pPr>
      <w:r>
        <w:rPr/>
        <w:t>为 </w:t>
      </w:r>
      <w:r>
        <w:rPr>
          <w:rFonts w:ascii="Times New Roman" w:hAnsi="Times New Roman" w:cs="Times New Roman" w:eastAsia="Times New Roman" w:hint="default"/>
        </w:rPr>
        <w:t>8,190.00 </w:t>
      </w:r>
      <w:r>
        <w:rPr/>
        <w:t>万元，其中 </w:t>
      </w:r>
      <w:r>
        <w:rPr>
          <w:rFonts w:ascii="Times New Roman" w:hAnsi="Times New Roman" w:cs="Times New Roman" w:eastAsia="Times New Roman" w:hint="default"/>
        </w:rPr>
        <w:t>6,190.00 </w:t>
      </w:r>
      <w:r>
        <w:rPr/>
        <w:t>万元用于支付本次购买资产的现金对价，</w:t>
      </w:r>
      <w:r>
        <w:rPr>
          <w:rFonts w:ascii="Times New Roman" w:hAnsi="Times New Roman" w:cs="Times New Roman" w:eastAsia="Times New Roman" w:hint="default"/>
        </w:rPr>
        <w:t>2,000.00</w:t>
      </w:r>
      <w:r>
        <w:rPr>
          <w:rFonts w:ascii="Times New Roman" w:hAnsi="Times New Roman" w:cs="Times New Roman" w:eastAsia="Times New Roman" w:hint="default"/>
          <w:spacing w:val="36"/>
        </w:rPr>
        <w:t> </w:t>
      </w:r>
      <w:r>
        <w:rPr/>
        <w:t>万元用于支付本次交易的中介机构费</w:t>
      </w:r>
    </w:p>
    <w:p>
      <w:pPr>
        <w:pStyle w:val="BodyText"/>
        <w:spacing w:line="240" w:lineRule="auto" w:before="63"/>
        <w:ind w:right="0"/>
        <w:jc w:val="left"/>
        <w:rPr>
          <w:rFonts w:ascii="Times New Roman" w:hAnsi="Times New Roman" w:cs="Times New Roman" w:eastAsia="Times New Roman" w:hint="default"/>
        </w:rPr>
      </w:pPr>
      <w:r>
        <w:rPr/>
        <w:t>用。根据中登公司深圳分公司于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23 </w:t>
      </w:r>
      <w:r>
        <w:rPr/>
        <w:t>日出具的《股份登记申请受理确认书》，创业软件已于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 </w:t>
      </w:r>
      <w:r>
        <w:rPr/>
        <w:t>月</w:t>
      </w:r>
      <w:r>
        <w:rPr>
          <w:spacing w:val="27"/>
        </w:rPr>
        <w:t> </w:t>
      </w:r>
      <w:r>
        <w:rPr>
          <w:rFonts w:ascii="Times New Roman" w:hAnsi="Times New Roman" w:cs="Times New Roman" w:eastAsia="Times New Roman" w:hint="default"/>
        </w:rPr>
        <w:t>23</w:t>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84"/>
        <w:jc w:val="left"/>
      </w:pPr>
      <w:r>
        <w:rPr/>
        <w:t>日办理完毕本次发行股份及支付现金购买资产的新增股份和募集配套资金的新增股份登记申请。股票上市数量：</w:t>
      </w:r>
      <w:r>
        <w:rPr>
          <w:rFonts w:ascii="Times New Roman" w:hAnsi="Times New Roman" w:cs="Times New Roman" w:eastAsia="Times New Roman" w:hint="default"/>
        </w:rPr>
        <w:t>31,953,263 </w:t>
      </w:r>
      <w:r>
        <w:rPr/>
        <w:t>股，股票上市时间：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21" w:lineRule="auto"/>
        <w:ind w:right="188"/>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spacing w:val="-2"/>
        </w:rPr>
        <w:t>1</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日，公司召开第五届董事会第十九次会议，根据</w:t>
      </w:r>
      <w:r>
        <w:rPr>
          <w:rFonts w:ascii="宋体" w:hAnsi="宋体" w:cs="宋体" w:eastAsia="宋体" w:hint="default"/>
          <w:spacing w:val="-2"/>
        </w:rPr>
        <w:t>2015</w:t>
      </w:r>
      <w:r>
        <w:rPr>
          <w:spacing w:val="-2"/>
        </w:rPr>
        <w:t>年第三次临时股东大会的授权，审议通过了《关于注销</w:t>
      </w:r>
      <w:r>
        <w:rPr>
          <w:spacing w:val="-61"/>
        </w:rPr>
        <w:t> </w:t>
      </w:r>
      <w:r>
        <w:rPr>
          <w:spacing w:val="-61"/>
        </w:rPr>
      </w:r>
      <w:r>
        <w:rPr>
          <w:spacing w:val="-2"/>
        </w:rPr>
        <w:t>部分股票期权和回购注销部分限制性股票的议案》。公司监事会、独立董事对本议案发表了同意意见，律师等中介机构出具</w:t>
      </w:r>
      <w:r>
        <w:rPr>
          <w:spacing w:val="-64"/>
        </w:rPr>
        <w:t> </w:t>
      </w:r>
      <w:r>
        <w:rPr>
          <w:spacing w:val="-64"/>
        </w:rPr>
      </w:r>
      <w:r>
        <w:rPr>
          <w:spacing w:val="-5"/>
        </w:rPr>
        <w:t>相应报告。同意取消离职人员赵峰、郜冬冬</w:t>
      </w:r>
      <w:r>
        <w:rPr>
          <w:rFonts w:ascii="宋体" w:hAnsi="宋体" w:cs="宋体" w:eastAsia="宋体" w:hint="default"/>
          <w:spacing w:val="-5"/>
        </w:rPr>
        <w:t>2</w:t>
      </w:r>
      <w:r>
        <w:rPr>
          <w:spacing w:val="-5"/>
        </w:rPr>
        <w:t>人的激励对象资格并回购注销其尚未解锁的全部限制性股票，共计</w:t>
      </w:r>
      <w:r>
        <w:rPr>
          <w:rFonts w:ascii="宋体" w:hAnsi="宋体" w:cs="宋体" w:eastAsia="宋体" w:hint="default"/>
          <w:spacing w:val="-5"/>
        </w:rPr>
        <w:t>7,500</w:t>
      </w:r>
      <w:r>
        <w:rPr>
          <w:spacing w:val="-5"/>
        </w:rPr>
        <w:t>股，（具</w:t>
      </w:r>
      <w:r>
        <w:rPr>
          <w:spacing w:val="-67"/>
        </w:rPr>
        <w:t> </w:t>
      </w:r>
      <w:r>
        <w:rPr>
          <w:spacing w:val="-67"/>
        </w:rPr>
      </w:r>
      <w:r>
        <w:rPr>
          <w:spacing w:val="-3"/>
        </w:rPr>
        <w:t>体详见</w:t>
      </w:r>
      <w:r>
        <w:rPr>
          <w:rFonts w:ascii="宋体" w:hAnsi="宋体" w:cs="宋体" w:eastAsia="宋体" w:hint="default"/>
          <w:spacing w:val="-3"/>
        </w:rPr>
        <w:t>2016</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20</w:t>
      </w:r>
      <w:r>
        <w:rPr>
          <w:spacing w:val="-3"/>
        </w:rPr>
        <w:t>日刊登在巨潮资讯网（</w:t>
      </w:r>
      <w:hyperlink r:id="rId13">
        <w:r>
          <w:rPr>
            <w:rFonts w:ascii="宋体" w:hAnsi="宋体" w:cs="宋体" w:eastAsia="宋体" w:hint="default"/>
            <w:spacing w:val="-3"/>
          </w:rPr>
          <w:t>http://www.cninfo.com.cn</w:t>
        </w:r>
      </w:hyperlink>
      <w:r>
        <w:rPr>
          <w:spacing w:val="-3"/>
        </w:rPr>
        <w:t>）上的《第五届董事会第十九次会议决议的公告》（公</w:t>
      </w:r>
      <w:r>
        <w:rPr>
          <w:spacing w:val="-64"/>
        </w:rPr>
        <w:t> </w:t>
      </w:r>
      <w:r>
        <w:rPr>
          <w:spacing w:val="-64"/>
        </w:rPr>
      </w:r>
      <w:r>
        <w:rPr>
          <w:spacing w:val="-2"/>
        </w:rPr>
        <w:t>告编号：</w:t>
      </w:r>
      <w:r>
        <w:rPr>
          <w:rFonts w:ascii="宋体" w:hAnsi="宋体" w:cs="宋体" w:eastAsia="宋体" w:hint="default"/>
          <w:spacing w:val="-2"/>
        </w:rPr>
        <w:t>2016-082</w:t>
      </w:r>
      <w:r>
        <w:rPr>
          <w:spacing w:val="-2"/>
        </w:rPr>
        <w:t>））。天健会计师事务所（特殊普通合伙）于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8</w:t>
      </w:r>
      <w:r>
        <w:rPr>
          <w:spacing w:val="-2"/>
        </w:rPr>
        <w:t>日出具了天健验</w:t>
      </w:r>
      <w:r>
        <w:rPr>
          <w:rFonts w:ascii="宋体" w:hAnsi="宋体" w:cs="宋体" w:eastAsia="宋体" w:hint="default"/>
          <w:spacing w:val="-2"/>
        </w:rPr>
        <w:t>(2016)</w:t>
      </w:r>
      <w:r>
        <w:rPr>
          <w:spacing w:val="-2"/>
        </w:rPr>
        <w:t>第</w:t>
      </w:r>
      <w:r>
        <w:rPr>
          <w:rFonts w:ascii="宋体" w:hAnsi="宋体" w:cs="宋体" w:eastAsia="宋体" w:hint="default"/>
          <w:spacing w:val="-2"/>
        </w:rPr>
        <w:t>445</w:t>
      </w:r>
      <w:r>
        <w:rPr>
          <w:spacing w:val="-2"/>
        </w:rPr>
        <w:t>号验资报告，对公</w:t>
      </w:r>
      <w:r>
        <w:rPr>
          <w:spacing w:val="-51"/>
        </w:rPr>
        <w:t> </w:t>
      </w:r>
      <w:r>
        <w:rPr>
          <w:spacing w:val="-51"/>
        </w:rPr>
      </w:r>
      <w:r>
        <w:rPr>
          <w:spacing w:val="-2"/>
        </w:rPr>
        <w:t>司为回购不符合《股票期权与限制性股票激励计划（草案修订稿）》条件的激励对象所持股份而返还出资款的情况进行了审</w:t>
      </w:r>
      <w:r>
        <w:rPr>
          <w:spacing w:val="-64"/>
        </w:rPr>
        <w:t> </w:t>
      </w:r>
      <w:r>
        <w:rPr>
          <w:spacing w:val="-64"/>
        </w:rPr>
      </w:r>
      <w:r>
        <w:rPr/>
        <w:t>验。</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20</w:t>
      </w:r>
      <w:r>
        <w:rPr/>
        <w:t>日，公司完成了注册资本的工商变更登记手续，并收到浙江省工商行政管理局换发的《营业执照》，公司</w:t>
      </w:r>
      <w:r>
        <w:rPr>
          <w:spacing w:val="-85"/>
        </w:rPr>
        <w:t> </w:t>
      </w:r>
      <w:r>
        <w:rPr>
          <w:spacing w:val="-85"/>
        </w:rPr>
      </w:r>
      <w:r>
        <w:rPr/>
        <w:t>股本由</w:t>
      </w:r>
      <w:r>
        <w:rPr>
          <w:rFonts w:ascii="宋体" w:hAnsi="宋体" w:cs="宋体" w:eastAsia="宋体" w:hint="default"/>
        </w:rPr>
        <w:t>21,100.35</w:t>
      </w:r>
      <w:r>
        <w:rPr/>
        <w:t>万股变更至</w:t>
      </w:r>
      <w:r>
        <w:rPr>
          <w:rFonts w:ascii="宋体" w:hAnsi="宋体" w:cs="宋体" w:eastAsia="宋体" w:hint="default"/>
        </w:rPr>
        <w:t>21,099.60</w:t>
      </w:r>
      <w:r>
        <w:rPr/>
        <w:t>万股。</w:t>
      </w:r>
      <w:r>
        <w:rPr>
          <w:rFonts w:ascii="宋体" w:hAnsi="宋体" w:cs="宋体" w:eastAsia="宋体" w:hint="default"/>
        </w:rPr>
        <w:t> </w:t>
      </w:r>
    </w:p>
    <w:p>
      <w:pPr>
        <w:pStyle w:val="BodyText"/>
        <w:spacing w:line="316" w:lineRule="auto" w:before="56"/>
        <w:ind w:right="191"/>
        <w:jc w:val="both"/>
        <w:rPr>
          <w:rFonts w:ascii="宋体" w:hAnsi="宋体" w:cs="宋体" w:eastAsia="宋体" w:hint="default"/>
        </w:rPr>
      </w:pP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月，公司根据中国证券监督管理委员会核发的《关于核准创业软件股份有限公司向杭州鑫粟投资管理有限公司等</w:t>
      </w:r>
      <w:r>
        <w:rPr>
          <w:spacing w:val="-62"/>
        </w:rPr>
        <w:t> </w:t>
      </w:r>
      <w:r>
        <w:rPr>
          <w:spacing w:val="-62"/>
        </w:rPr>
      </w:r>
      <w:r>
        <w:rPr>
          <w:spacing w:val="-2"/>
        </w:rPr>
        <w:t>发行股份购买资产并募集配套资金的批复》（证监许可</w:t>
      </w:r>
      <w:r>
        <w:rPr>
          <w:rFonts w:ascii="宋体" w:hAnsi="宋体" w:cs="宋体" w:eastAsia="宋体" w:hint="default"/>
          <w:spacing w:val="-2"/>
        </w:rPr>
        <w:t>[2016]3122</w:t>
      </w:r>
      <w:r>
        <w:rPr>
          <w:spacing w:val="-2"/>
        </w:rPr>
        <w:t>号），完成了发行股份及支付现金购买资产并募集配套资</w:t>
      </w:r>
      <w:r>
        <w:rPr>
          <w:spacing w:val="-60"/>
        </w:rPr>
        <w:t> </w:t>
      </w:r>
      <w:r>
        <w:rPr>
          <w:spacing w:val="-60"/>
        </w:rPr>
      </w:r>
      <w:r>
        <w:rPr>
          <w:spacing w:val="-2"/>
        </w:rPr>
        <w:t>金暨关联交易之非公开发行股票事宜，，本次发行股份购买资产并募集配套资金交易完成后公司新增</w:t>
      </w:r>
      <w:r>
        <w:rPr>
          <w:rFonts w:ascii="宋体" w:hAnsi="宋体" w:cs="宋体" w:eastAsia="宋体" w:hint="default"/>
          <w:spacing w:val="-2"/>
        </w:rPr>
        <w:t>31,953,263</w:t>
      </w:r>
      <w:r>
        <w:rPr>
          <w:spacing w:val="-2"/>
        </w:rPr>
        <w:t>股股本，增</w:t>
      </w:r>
      <w:r>
        <w:rPr>
          <w:spacing w:val="-58"/>
        </w:rPr>
        <w:t> </w:t>
      </w:r>
      <w:r>
        <w:rPr>
          <w:spacing w:val="-58"/>
        </w:rPr>
      </w:r>
      <w:r>
        <w:rPr/>
        <w:t>加公司注册资本</w:t>
      </w:r>
      <w:r>
        <w:rPr>
          <w:rFonts w:ascii="宋体" w:hAnsi="宋体" w:cs="宋体" w:eastAsia="宋体" w:hint="default"/>
        </w:rPr>
        <w:t>31,953,263</w:t>
      </w:r>
      <w:r>
        <w:rPr/>
        <w:t>元，</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14</w:t>
      </w:r>
      <w:r>
        <w:rPr/>
        <w:t>日，公司完成了注册资本的工商变更登记手续，并收到浙江省工商行政管理局 换发的《营业执照》，公司总股本增加至</w:t>
      </w:r>
      <w:r>
        <w:rPr>
          <w:rFonts w:ascii="宋体" w:hAnsi="宋体" w:cs="宋体" w:eastAsia="宋体" w:hint="default"/>
        </w:rPr>
        <w:t>242,949,263</w:t>
      </w:r>
      <w:r>
        <w:rPr/>
        <w:t>股。</w:t>
      </w:r>
      <w:r>
        <w:rPr>
          <w:rFonts w:ascii="宋体" w:hAnsi="宋体" w:cs="宋体" w:eastAsia="宋体" w:hint="default"/>
        </w:rPr>
        <w:t> </w:t>
      </w:r>
    </w:p>
    <w:p>
      <w:pPr>
        <w:pStyle w:val="BodyText"/>
        <w:spacing w:line="316" w:lineRule="auto" w:before="59"/>
        <w:ind w:right="94"/>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30</w:t>
      </w:r>
      <w:r>
        <w:rPr/>
        <w:t>日，公司召开第五届董事会第二十七次会议，审议通过了《关于注销部分股票期权和回购注销部分限制性</w:t>
      </w:r>
      <w:r>
        <w:rPr>
          <w:spacing w:val="-87"/>
        </w:rPr>
        <w:t> </w:t>
      </w:r>
      <w:r>
        <w:rPr>
          <w:spacing w:val="-87"/>
        </w:rPr>
      </w:r>
      <w:r>
        <w:rPr/>
        <w:t>股票的议案》。同意取消离职人员赵臣威、陈东东、顾仕杰、蒋金辉、徐晨共</w:t>
      </w:r>
      <w:r>
        <w:rPr>
          <w:rFonts w:ascii="宋体" w:hAnsi="宋体" w:cs="宋体" w:eastAsia="宋体" w:hint="default"/>
        </w:rPr>
        <w:t>5</w:t>
      </w:r>
      <w:r>
        <w:rPr/>
        <w:t>人的激励对象资格并回购注销其尚未解锁的</w:t>
      </w:r>
      <w:r>
        <w:rPr>
          <w:spacing w:val="-83"/>
        </w:rPr>
        <w:t> </w:t>
      </w:r>
      <w:r>
        <w:rPr>
          <w:spacing w:val="-83"/>
        </w:rPr>
      </w:r>
      <w:r>
        <w:rPr/>
        <w:t>全部限制性股票，共计</w:t>
      </w:r>
      <w:r>
        <w:rPr>
          <w:rFonts w:ascii="宋体" w:hAnsi="宋体" w:cs="宋体" w:eastAsia="宋体" w:hint="default"/>
        </w:rPr>
        <w:t>22,500</w:t>
      </w:r>
      <w:r>
        <w:rPr/>
        <w:t>股，回购价格为</w:t>
      </w:r>
      <w:r>
        <w:rPr>
          <w:rFonts w:ascii="宋体" w:hAnsi="宋体" w:cs="宋体" w:eastAsia="宋体" w:hint="default"/>
        </w:rPr>
        <w:t>16.68</w:t>
      </w:r>
      <w:r>
        <w:rPr/>
        <w:t>元</w:t>
      </w:r>
      <w:r>
        <w:rPr>
          <w:rFonts w:ascii="宋体" w:hAnsi="宋体" w:cs="宋体" w:eastAsia="宋体" w:hint="default"/>
        </w:rPr>
        <w:t>/</w:t>
      </w:r>
      <w:r>
        <w:rPr/>
        <w:t>股。</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13</w:t>
      </w:r>
      <w:r>
        <w:rPr/>
        <w:t>日，公司召开第五届董事会第三十次会议，审议通 过了《关于注销部分股票期权和回购注销部分限制性股票的议案》。同意取消离职人员金兆波、周洋、于长松、吴鸿雁</w:t>
      </w:r>
      <w:r>
        <w:rPr>
          <w:rFonts w:ascii="宋体" w:hAnsi="宋体" w:cs="宋体" w:eastAsia="宋体" w:hint="default"/>
        </w:rPr>
        <w:t>4</w:t>
      </w:r>
      <w:r>
        <w:rPr/>
        <w:t>人</w:t>
      </w:r>
      <w:r>
        <w:rPr>
          <w:spacing w:val="-82"/>
        </w:rPr>
        <w:t> </w:t>
      </w:r>
      <w:r>
        <w:rPr/>
        <w:t>的激励对象资格并回购注销其尚未解锁的全部限制性股票，共计</w:t>
      </w:r>
      <w:r>
        <w:rPr>
          <w:rFonts w:ascii="宋体" w:hAnsi="宋体" w:cs="宋体" w:eastAsia="宋体" w:hint="default"/>
        </w:rPr>
        <w:t>14,625</w:t>
      </w:r>
      <w:r>
        <w:rPr/>
        <w:t>股，其中金兆波、周洋、于长松</w:t>
      </w:r>
      <w:r>
        <w:rPr>
          <w:rFonts w:ascii="宋体" w:hAnsi="宋体" w:cs="宋体" w:eastAsia="宋体" w:hint="default"/>
        </w:rPr>
        <w:t>3</w:t>
      </w:r>
      <w:r>
        <w:rPr/>
        <w:t>人尚未解锁的全部</w:t>
      </w:r>
      <w:r>
        <w:rPr>
          <w:spacing w:val="-85"/>
        </w:rPr>
        <w:t> </w:t>
      </w:r>
      <w:r>
        <w:rPr/>
        <w:t>限制性股票为</w:t>
      </w:r>
      <w:r>
        <w:rPr>
          <w:rFonts w:ascii="宋体" w:hAnsi="宋体" w:cs="宋体" w:eastAsia="宋体" w:hint="default"/>
        </w:rPr>
        <w:t>10,125</w:t>
      </w:r>
      <w:r>
        <w:rPr/>
        <w:t>股，回购价格为</w:t>
      </w:r>
      <w:r>
        <w:rPr>
          <w:rFonts w:ascii="宋体" w:hAnsi="宋体" w:cs="宋体" w:eastAsia="宋体" w:hint="default"/>
        </w:rPr>
        <w:t>16.68</w:t>
      </w:r>
      <w:r>
        <w:rPr/>
        <w:t>元</w:t>
      </w:r>
      <w:r>
        <w:rPr>
          <w:rFonts w:ascii="宋体" w:hAnsi="宋体" w:cs="宋体" w:eastAsia="宋体" w:hint="default"/>
        </w:rPr>
        <w:t>/</w:t>
      </w:r>
      <w:r>
        <w:rPr/>
        <w:t>股；吴鸿雁尚未解锁的全部限制性股票为</w:t>
      </w:r>
      <w:r>
        <w:rPr>
          <w:rFonts w:ascii="宋体" w:hAnsi="宋体" w:cs="宋体" w:eastAsia="宋体" w:hint="default"/>
        </w:rPr>
        <w:t>4,500</w:t>
      </w:r>
      <w:r>
        <w:rPr/>
        <w:t>股，回购价格为</w:t>
      </w:r>
      <w:r>
        <w:rPr>
          <w:rFonts w:ascii="宋体" w:hAnsi="宋体" w:cs="宋体" w:eastAsia="宋体" w:hint="default"/>
        </w:rPr>
        <w:t>24.89</w:t>
      </w:r>
      <w:r>
        <w:rPr/>
        <w:t>元</w:t>
      </w:r>
      <w:r>
        <w:rPr>
          <w:rFonts w:ascii="宋体" w:hAnsi="宋体" w:cs="宋体" w:eastAsia="宋体" w:hint="default"/>
        </w:rPr>
        <w:t>/</w:t>
      </w:r>
      <w:r>
        <w:rPr/>
        <w:t>股。</w:t>
      </w:r>
      <w:r>
        <w:rPr>
          <w:spacing w:val="-3"/>
        </w:rPr>
        <w:t> </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spacing w:val="-2"/>
        </w:rPr>
        <w:t>日，公司召开第五届董事会第三十四次会议，审议通过了《关于注销部分股票期权和回购注销部分限制性股票的</w:t>
      </w:r>
      <w:r>
        <w:rPr>
          <w:spacing w:val="-60"/>
        </w:rPr>
        <w:t> </w:t>
      </w:r>
      <w:r>
        <w:rPr>
          <w:spacing w:val="-60"/>
        </w:rPr>
      </w:r>
      <w:r>
        <w:rPr/>
        <w:t>议案》。同意取消离职人员李定军、张炜、宰波</w:t>
      </w:r>
      <w:r>
        <w:rPr>
          <w:rFonts w:ascii="宋体" w:hAnsi="宋体" w:cs="宋体" w:eastAsia="宋体" w:hint="default"/>
        </w:rPr>
        <w:t>3</w:t>
      </w:r>
      <w:r>
        <w:rPr/>
        <w:t>人的激励对象资格并回购注销其尚未解锁的全部限制性股票，共计</w:t>
      </w:r>
      <w:r>
        <w:rPr>
          <w:rFonts w:ascii="宋体" w:hAnsi="宋体" w:cs="宋体" w:eastAsia="宋体" w:hint="default"/>
        </w:rPr>
        <w:t>11,813</w:t>
      </w:r>
      <w:r>
        <w:rPr>
          <w:rFonts w:ascii="宋体" w:hAnsi="宋体" w:cs="宋体" w:eastAsia="宋体" w:hint="default"/>
          <w:spacing w:val="-85"/>
        </w:rPr>
        <w:t> </w:t>
      </w:r>
      <w:r>
        <w:rPr>
          <w:rFonts w:ascii="宋体" w:hAnsi="宋体" w:cs="宋体" w:eastAsia="宋体" w:hint="default"/>
          <w:spacing w:val="-85"/>
        </w:rPr>
      </w:r>
      <w:r>
        <w:rPr/>
        <w:t>股，回购价格为</w:t>
      </w:r>
      <w:r>
        <w:rPr>
          <w:rFonts w:ascii="宋体" w:hAnsi="宋体" w:cs="宋体" w:eastAsia="宋体" w:hint="default"/>
        </w:rPr>
        <w:t>16.58</w:t>
      </w:r>
      <w:r>
        <w:rPr/>
        <w:t>元</w:t>
      </w:r>
      <w:r>
        <w:rPr>
          <w:rFonts w:ascii="宋体" w:hAnsi="宋体" w:cs="宋体" w:eastAsia="宋体" w:hint="default"/>
        </w:rPr>
        <w:t>/</w:t>
      </w:r>
      <w:r>
        <w:rPr/>
        <w:t>股。</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10</w:t>
      </w:r>
      <w:r>
        <w:rPr/>
        <w:t>日，公司召开第五届董事会第三十六次会议，审议通过了《关于注销部分股票期</w:t>
      </w:r>
      <w:r>
        <w:rPr>
          <w:spacing w:val="-87"/>
        </w:rPr>
        <w:t> </w:t>
      </w:r>
      <w:r>
        <w:rPr>
          <w:spacing w:val="-87"/>
        </w:rPr>
      </w:r>
      <w:r>
        <w:rPr/>
        <w:t>权和回购注销部分限制性股票的议案》。同意取消离职人员朱海霞、李文俊、李江、范学成、陈华斌</w:t>
      </w:r>
      <w:r>
        <w:rPr>
          <w:rFonts w:ascii="宋体" w:hAnsi="宋体" w:cs="宋体" w:eastAsia="宋体" w:hint="default"/>
        </w:rPr>
        <w:t>5</w:t>
      </w:r>
      <w:r>
        <w:rPr/>
        <w:t>人的激励对象资格并</w:t>
      </w:r>
      <w:r>
        <w:rPr>
          <w:spacing w:val="-82"/>
        </w:rPr>
        <w:t> </w:t>
      </w:r>
      <w:r>
        <w:rPr/>
        <w:t>回购注销其尚未解锁的全部限制性股票，共计</w:t>
      </w:r>
      <w:r>
        <w:rPr>
          <w:rFonts w:ascii="宋体" w:hAnsi="宋体" w:cs="宋体" w:eastAsia="宋体" w:hint="default"/>
        </w:rPr>
        <w:t>36,563</w:t>
      </w:r>
      <w:r>
        <w:rPr/>
        <w:t>股，其中朱海霞、李文俊、范学成、陈华斌</w:t>
      </w:r>
      <w:r>
        <w:rPr>
          <w:rFonts w:ascii="宋体" w:hAnsi="宋体" w:cs="宋体" w:eastAsia="宋体" w:hint="default"/>
        </w:rPr>
        <w:t>4</w:t>
      </w:r>
      <w:r>
        <w:rPr/>
        <w:t>人尚未解锁的全部限制性</w:t>
      </w:r>
      <w:r>
        <w:rPr>
          <w:spacing w:val="-85"/>
        </w:rPr>
        <w:t> </w:t>
      </w:r>
      <w:r>
        <w:rPr>
          <w:spacing w:val="-2"/>
        </w:rPr>
        <w:t>股票为</w:t>
      </w:r>
      <w:r>
        <w:rPr>
          <w:rFonts w:ascii="宋体" w:hAnsi="宋体" w:cs="宋体" w:eastAsia="宋体" w:hint="default"/>
          <w:spacing w:val="-2"/>
        </w:rPr>
        <w:t>9,563</w:t>
      </w:r>
      <w:r>
        <w:rPr>
          <w:spacing w:val="-2"/>
        </w:rPr>
        <w:t>股，回购价格为</w:t>
      </w:r>
      <w:r>
        <w:rPr>
          <w:rFonts w:ascii="宋体" w:hAnsi="宋体" w:cs="宋体" w:eastAsia="宋体" w:hint="default"/>
          <w:spacing w:val="-2"/>
        </w:rPr>
        <w:t>16.58</w:t>
      </w:r>
      <w:r>
        <w:rPr>
          <w:spacing w:val="-2"/>
        </w:rPr>
        <w:t>元</w:t>
      </w:r>
      <w:r>
        <w:rPr>
          <w:rFonts w:ascii="宋体" w:hAnsi="宋体" w:cs="宋体" w:eastAsia="宋体" w:hint="default"/>
          <w:spacing w:val="-2"/>
        </w:rPr>
        <w:t>/</w:t>
      </w:r>
      <w:r>
        <w:rPr>
          <w:spacing w:val="-2"/>
        </w:rPr>
        <w:t>股；李江尚未解锁的全部限制性股票为</w:t>
      </w:r>
      <w:r>
        <w:rPr>
          <w:rFonts w:ascii="宋体" w:hAnsi="宋体" w:cs="宋体" w:eastAsia="宋体" w:hint="default"/>
          <w:spacing w:val="-2"/>
        </w:rPr>
        <w:t>27,000</w:t>
      </w:r>
      <w:r>
        <w:rPr>
          <w:spacing w:val="-2"/>
        </w:rPr>
        <w:t>股，回购价格为</w:t>
      </w:r>
      <w:r>
        <w:rPr>
          <w:rFonts w:ascii="宋体" w:hAnsi="宋体" w:cs="宋体" w:eastAsia="宋体" w:hint="default"/>
          <w:spacing w:val="-2"/>
        </w:rPr>
        <w:t>24.79</w:t>
      </w:r>
      <w:r>
        <w:rPr>
          <w:spacing w:val="-2"/>
        </w:rPr>
        <w:t>元</w:t>
      </w:r>
      <w:r>
        <w:rPr>
          <w:rFonts w:ascii="宋体" w:hAnsi="宋体" w:cs="宋体" w:eastAsia="宋体" w:hint="default"/>
          <w:spacing w:val="-2"/>
        </w:rPr>
        <w:t>/</w:t>
      </w:r>
      <w:r>
        <w:rPr>
          <w:spacing w:val="-2"/>
        </w:rPr>
        <w:t>股。</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spacing w:val="-46"/>
        </w:rPr>
        <w:t> </w:t>
      </w:r>
      <w:r>
        <w:rPr>
          <w:rFonts w:ascii="宋体" w:hAnsi="宋体" w:cs="宋体" w:eastAsia="宋体" w:hint="default"/>
        </w:rPr>
        <w:t>25</w:t>
      </w:r>
      <w:r>
        <w:rPr/>
        <w:t>日，公司召开第五届董事会第三十七次会议，审议通过了《关于注销部分股票期权和回购注销部分限制性股票的议案》。</w:t>
      </w:r>
      <w:r>
        <w:rPr>
          <w:spacing w:val="-83"/>
        </w:rPr>
        <w:t> </w:t>
      </w:r>
      <w:r>
        <w:rPr>
          <w:spacing w:val="-83"/>
        </w:rPr>
      </w:r>
      <w:r>
        <w:rPr>
          <w:spacing w:val="-5"/>
        </w:rPr>
        <w:t>同意取消离职人员李军、郑世</w:t>
      </w:r>
      <w:r>
        <w:rPr>
          <w:rFonts w:ascii="宋体" w:hAnsi="宋体" w:cs="宋体" w:eastAsia="宋体" w:hint="default"/>
          <w:spacing w:val="-5"/>
        </w:rPr>
        <w:t>2</w:t>
      </w:r>
      <w:r>
        <w:rPr>
          <w:spacing w:val="-5"/>
        </w:rPr>
        <w:t>人的激励对象资格并回购注销其尚未解锁的全部限制性股票，共计</w:t>
      </w:r>
      <w:r>
        <w:rPr>
          <w:rFonts w:ascii="宋体" w:hAnsi="宋体" w:cs="宋体" w:eastAsia="宋体" w:hint="default"/>
          <w:spacing w:val="-5"/>
        </w:rPr>
        <w:t>61,875</w:t>
      </w:r>
      <w:r>
        <w:rPr>
          <w:spacing w:val="-5"/>
        </w:rPr>
        <w:t>股，回购价格为</w:t>
      </w:r>
      <w:r>
        <w:rPr>
          <w:rFonts w:ascii="宋体" w:hAnsi="宋体" w:cs="宋体" w:eastAsia="宋体" w:hint="default"/>
          <w:spacing w:val="-5"/>
        </w:rPr>
        <w:t>16.58</w:t>
      </w:r>
      <w:r>
        <w:rPr>
          <w:rFonts w:ascii="宋体" w:hAnsi="宋体" w:cs="宋体" w:eastAsia="宋体" w:hint="default"/>
          <w:spacing w:val="-50"/>
        </w:rPr>
        <w:t> </w:t>
      </w:r>
      <w:r>
        <w:rPr>
          <w:rFonts w:ascii="宋体" w:hAnsi="宋体" w:cs="宋体" w:eastAsia="宋体" w:hint="default"/>
          <w:spacing w:val="-50"/>
        </w:rPr>
      </w:r>
      <w:r>
        <w:rPr>
          <w:spacing w:val="-4"/>
        </w:rPr>
        <w:t>元</w:t>
      </w:r>
      <w:r>
        <w:rPr>
          <w:rFonts w:ascii="宋体" w:hAnsi="宋体" w:cs="宋体" w:eastAsia="宋体" w:hint="default"/>
          <w:spacing w:val="-4"/>
        </w:rPr>
        <w:t>/</w:t>
      </w:r>
      <w:r>
        <w:rPr>
          <w:spacing w:val="-4"/>
        </w:rPr>
        <w:t>股。综上，蒋金辉等 </w:t>
      </w:r>
      <w:r>
        <w:rPr>
          <w:rFonts w:ascii="宋体" w:hAnsi="宋体" w:cs="宋体" w:eastAsia="宋体" w:hint="default"/>
          <w:spacing w:val="-4"/>
        </w:rPr>
      </w:r>
      <w:r>
        <w:rPr>
          <w:rFonts w:ascii="宋体" w:hAnsi="宋体" w:cs="宋体" w:eastAsia="宋体" w:hint="default"/>
        </w:rPr>
        <w:t>19</w:t>
      </w:r>
      <w:r>
        <w:rPr/>
        <w:t>人已获授但尚未解锁的全部限制性股票，共计 </w:t>
      </w:r>
      <w:r>
        <w:rPr>
          <w:rFonts w:ascii="宋体" w:hAnsi="宋体" w:cs="宋体" w:eastAsia="宋体" w:hint="default"/>
        </w:rPr>
        <w:t>147,376</w:t>
      </w:r>
      <w:r>
        <w:rPr>
          <w:rFonts w:ascii="宋体" w:hAnsi="宋体" w:cs="宋体" w:eastAsia="宋体" w:hint="default"/>
          <w:spacing w:val="-30"/>
        </w:rPr>
        <w:t> </w:t>
      </w:r>
      <w:r>
        <w:rPr/>
        <w:t>股，于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11</w:t>
      </w:r>
      <w:r>
        <w:rPr/>
        <w:t>日，在中国证券登记 结算有限责任公司深圳分公司完成注销回购手续。公司总股本减少至</w:t>
      </w:r>
      <w:r>
        <w:rPr>
          <w:rFonts w:ascii="宋体" w:hAnsi="宋体" w:cs="宋体" w:eastAsia="宋体" w:hint="default"/>
        </w:rPr>
        <w:t>242,801,887</w:t>
      </w:r>
      <w:r>
        <w:rPr/>
        <w:t>股。</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3"/>
        <w:spacing w:line="240" w:lineRule="auto"/>
        <w:ind w:right="9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35"/>
        <w:gridCol w:w="134"/>
        <w:gridCol w:w="660"/>
        <w:gridCol w:w="752"/>
        <w:gridCol w:w="748"/>
        <w:gridCol w:w="907"/>
        <w:gridCol w:w="262"/>
        <w:gridCol w:w="732"/>
        <w:gridCol w:w="575"/>
        <w:gridCol w:w="275"/>
        <w:gridCol w:w="837"/>
        <w:gridCol w:w="1148"/>
        <w:gridCol w:w="133"/>
        <w:gridCol w:w="1069"/>
      </w:tblGrid>
      <w:tr>
        <w:trPr>
          <w:trHeight w:val="317"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794"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15,850</w:t>
            </w:r>
          </w:p>
        </w:tc>
        <w:tc>
          <w:tcPr>
            <w:tcW w:w="1501" w:type="dxa"/>
            <w:gridSpan w:val="2"/>
            <w:vMerge w:val="restart"/>
            <w:tcBorders>
              <w:top w:val="single" w:sz="4" w:space="0" w:color="000000"/>
              <w:left w:val="single" w:sz="4" w:space="0" w:color="000000"/>
              <w:right w:val="single" w:sz="4" w:space="0" w:color="000000"/>
            </w:tcBorders>
            <w:shd w:val="clear" w:color="auto" w:fill="D2D2D2"/>
          </w:tcPr>
          <w:p>
            <w:pPr/>
          </w:p>
        </w:tc>
        <w:tc>
          <w:tcPr>
            <w:tcW w:w="1169"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15,477</w:t>
            </w:r>
          </w:p>
        </w:tc>
        <w:tc>
          <w:tcPr>
            <w:tcW w:w="130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12"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0</w:t>
            </w:r>
          </w:p>
        </w:tc>
        <w:tc>
          <w:tcPr>
            <w:tcW w:w="12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 w:right="18"/>
              <w:jc w:val="center"/>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 </w:t>
            </w:r>
            <w:r>
              <w:rPr>
                <w:rFonts w:ascii="宋体" w:hAnsi="宋体" w:cs="宋体" w:eastAsia="宋体" w:hint="default"/>
                <w:spacing w:val="-16"/>
                <w:sz w:val="18"/>
                <w:szCs w:val="18"/>
              </w:rPr>
              <w:t>有）（参见注</w:t>
            </w:r>
          </w:p>
          <w:p>
            <w:pPr>
              <w:pStyle w:val="TableParagraph"/>
              <w:spacing w:line="240" w:lineRule="auto" w:before="1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794" w:type="dxa"/>
            <w:gridSpan w:val="2"/>
            <w:vMerge/>
            <w:tcBorders>
              <w:left w:val="single" w:sz="10" w:space="0" w:color="D2D2D2"/>
              <w:right w:val="single" w:sz="9" w:space="0" w:color="D2D2D2"/>
            </w:tcBorders>
          </w:tcPr>
          <w:p>
            <w:pPr/>
          </w:p>
        </w:tc>
        <w:tc>
          <w:tcPr>
            <w:tcW w:w="1501" w:type="dxa"/>
            <w:gridSpan w:val="2"/>
            <w:vMerge/>
            <w:tcBorders>
              <w:left w:val="single" w:sz="4" w:space="0" w:color="000000"/>
              <w:bottom w:val="nil" w:sz="6" w:space="0" w:color="auto"/>
              <w:right w:val="single" w:sz="4" w:space="0" w:color="000000"/>
            </w:tcBorders>
            <w:shd w:val="clear" w:color="auto" w:fill="D2D2D2"/>
          </w:tcPr>
          <w:p>
            <w:pPr/>
          </w:p>
        </w:tc>
        <w:tc>
          <w:tcPr>
            <w:tcW w:w="1169" w:type="dxa"/>
            <w:gridSpan w:val="2"/>
            <w:vMerge/>
            <w:tcBorders>
              <w:left w:val="single" w:sz="10" w:space="0" w:color="D2D2D2"/>
              <w:right w:val="single" w:sz="9" w:space="0" w:color="D2D2D2"/>
            </w:tcBorders>
          </w:tcPr>
          <w:p>
            <w:pPr/>
          </w:p>
        </w:tc>
        <w:tc>
          <w:tcPr>
            <w:tcW w:w="130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 w:right="18"/>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29"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12" w:type="dxa"/>
            <w:gridSpan w:val="2"/>
            <w:vMerge/>
            <w:tcBorders>
              <w:left w:val="single" w:sz="9" w:space="0" w:color="D2D2D2"/>
              <w:right w:val="single" w:sz="13" w:space="0" w:color="D2D2D2"/>
            </w:tcBorders>
          </w:tcPr>
          <w:p>
            <w:pPr/>
          </w:p>
        </w:tc>
        <w:tc>
          <w:tcPr>
            <w:tcW w:w="1281"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794" w:type="dxa"/>
            <w:gridSpan w:val="2"/>
            <w:vMerge/>
            <w:tcBorders>
              <w:left w:val="single" w:sz="10" w:space="0" w:color="D2D2D2"/>
              <w:right w:val="single" w:sz="9" w:space="0" w:color="D2D2D2"/>
            </w:tcBorders>
          </w:tcPr>
          <w:p>
            <w:pPr/>
          </w:p>
        </w:tc>
        <w:tc>
          <w:tcPr>
            <w:tcW w:w="150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6" w:right="134"/>
              <w:jc w:val="center"/>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69"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112" w:type="dxa"/>
            <w:gridSpan w:val="2"/>
            <w:vMerge/>
            <w:tcBorders>
              <w:left w:val="single" w:sz="9" w:space="0" w:color="D2D2D2"/>
              <w:right w:val="single" w:sz="13" w:space="0" w:color="D2D2D2"/>
            </w:tcBorders>
          </w:tcPr>
          <w:p>
            <w:pPr/>
          </w:p>
        </w:tc>
        <w:tc>
          <w:tcPr>
            <w:tcW w:w="1281"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302" w:right="33" w:hanging="27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4" w:type="dxa"/>
            <w:gridSpan w:val="2"/>
            <w:vMerge/>
            <w:tcBorders>
              <w:left w:val="single" w:sz="10" w:space="0" w:color="D2D2D2"/>
              <w:right w:val="single" w:sz="9" w:space="0" w:color="D2D2D2"/>
            </w:tcBorders>
          </w:tcPr>
          <w:p>
            <w:pPr/>
          </w:p>
        </w:tc>
        <w:tc>
          <w:tcPr>
            <w:tcW w:w="1501" w:type="dxa"/>
            <w:gridSpan w:val="2"/>
            <w:vMerge/>
            <w:tcBorders>
              <w:left w:val="single" w:sz="4" w:space="0" w:color="000000"/>
              <w:right w:val="single" w:sz="4" w:space="0" w:color="000000"/>
            </w:tcBorders>
            <w:shd w:val="clear" w:color="auto" w:fill="D2D2D2"/>
          </w:tcPr>
          <w:p>
            <w:pPr/>
          </w:p>
        </w:tc>
        <w:tc>
          <w:tcPr>
            <w:tcW w:w="1169"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112" w:type="dxa"/>
            <w:gridSpan w:val="2"/>
            <w:vMerge/>
            <w:tcBorders>
              <w:left w:val="single" w:sz="9" w:space="0" w:color="D2D2D2"/>
              <w:right w:val="single" w:sz="13" w:space="0" w:color="D2D2D2"/>
            </w:tcBorders>
          </w:tcPr>
          <w:p>
            <w:pPr/>
          </w:p>
        </w:tc>
        <w:tc>
          <w:tcPr>
            <w:tcW w:w="1281"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794" w:type="dxa"/>
            <w:gridSpan w:val="2"/>
            <w:vMerge/>
            <w:tcBorders>
              <w:left w:val="single" w:sz="10" w:space="0" w:color="D2D2D2"/>
              <w:right w:val="single" w:sz="9" w:space="0" w:color="D2D2D2"/>
            </w:tcBorders>
          </w:tcPr>
          <w:p>
            <w:pPr/>
          </w:p>
        </w:tc>
        <w:tc>
          <w:tcPr>
            <w:tcW w:w="1501" w:type="dxa"/>
            <w:gridSpan w:val="2"/>
            <w:vMerge/>
            <w:tcBorders>
              <w:left w:val="single" w:sz="4" w:space="0" w:color="000000"/>
              <w:bottom w:val="nil" w:sz="6" w:space="0" w:color="auto"/>
              <w:right w:val="single" w:sz="4" w:space="0" w:color="000000"/>
            </w:tcBorders>
            <w:shd w:val="clear" w:color="auto" w:fill="D2D2D2"/>
          </w:tcPr>
          <w:p>
            <w:pPr/>
          </w:p>
        </w:tc>
        <w:tc>
          <w:tcPr>
            <w:tcW w:w="1169" w:type="dxa"/>
            <w:gridSpan w:val="2"/>
            <w:vMerge/>
            <w:tcBorders>
              <w:left w:val="single" w:sz="10" w:space="0" w:color="D2D2D2"/>
              <w:right w:val="single" w:sz="9"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112" w:type="dxa"/>
            <w:gridSpan w:val="2"/>
            <w:vMerge/>
            <w:tcBorders>
              <w:left w:val="single" w:sz="9" w:space="0" w:color="D2D2D2"/>
              <w:right w:val="single" w:sz="13" w:space="0" w:color="D2D2D2"/>
            </w:tcBorders>
          </w:tcPr>
          <w:p>
            <w:pPr/>
          </w:p>
        </w:tc>
        <w:tc>
          <w:tcPr>
            <w:tcW w:w="1281"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794" w:type="dxa"/>
            <w:gridSpan w:val="2"/>
            <w:vMerge/>
            <w:tcBorders>
              <w:left w:val="single" w:sz="10" w:space="0" w:color="D2D2D2"/>
              <w:right w:val="single" w:sz="9" w:space="0" w:color="D2D2D2"/>
            </w:tcBorders>
          </w:tcPr>
          <w:p>
            <w:pPr/>
          </w:p>
        </w:tc>
        <w:tc>
          <w:tcPr>
            <w:tcW w:w="1501" w:type="dxa"/>
            <w:gridSpan w:val="2"/>
            <w:vMerge w:val="restart"/>
            <w:tcBorders>
              <w:top w:val="nil" w:sz="6" w:space="0" w:color="auto"/>
              <w:left w:val="single" w:sz="4" w:space="0" w:color="000000"/>
              <w:right w:val="single" w:sz="4" w:space="0" w:color="000000"/>
            </w:tcBorders>
            <w:shd w:val="clear" w:color="auto" w:fill="D2D2D2"/>
          </w:tcPr>
          <w:p>
            <w:pPr/>
          </w:p>
        </w:tc>
        <w:tc>
          <w:tcPr>
            <w:tcW w:w="1169" w:type="dxa"/>
            <w:gridSpan w:val="2"/>
            <w:vMerge/>
            <w:tcBorders>
              <w:left w:val="single" w:sz="10" w:space="0" w:color="D2D2D2"/>
              <w:right w:val="single" w:sz="9" w:space="0" w:color="D2D2D2"/>
            </w:tcBorders>
          </w:tcPr>
          <w:p>
            <w:pPr/>
          </w:p>
        </w:tc>
        <w:tc>
          <w:tcPr>
            <w:tcW w:w="1307" w:type="dxa"/>
            <w:gridSpan w:val="2"/>
            <w:vMerge/>
            <w:tcBorders>
              <w:left w:val="single" w:sz="4" w:space="0" w:color="000000"/>
              <w:bottom w:val="nil" w:sz="6" w:space="0" w:color="auto"/>
              <w:right w:val="single" w:sz="4" w:space="0" w:color="000000"/>
            </w:tcBorders>
            <w:shd w:val="clear" w:color="auto" w:fill="D2D2D2"/>
          </w:tcPr>
          <w:p>
            <w:pPr/>
          </w:p>
        </w:tc>
        <w:tc>
          <w:tcPr>
            <w:tcW w:w="1112" w:type="dxa"/>
            <w:gridSpan w:val="2"/>
            <w:vMerge/>
            <w:tcBorders>
              <w:left w:val="single" w:sz="9" w:space="0" w:color="D2D2D2"/>
              <w:right w:val="single" w:sz="13" w:space="0" w:color="D2D2D2"/>
            </w:tcBorders>
          </w:tcPr>
          <w:p>
            <w:pPr/>
          </w:p>
        </w:tc>
        <w:tc>
          <w:tcPr>
            <w:tcW w:w="1281" w:type="dxa"/>
            <w:gridSpan w:val="2"/>
            <w:vMerge/>
            <w:tcBorders>
              <w:left w:val="single" w:sz="4" w:space="0" w:color="000000"/>
              <w:right w:val="single" w:sz="4" w:space="0" w:color="000000"/>
            </w:tcBorders>
            <w:shd w:val="clear" w:color="auto" w:fill="D2D2D2"/>
          </w:tcPr>
          <w:p>
            <w:pPr/>
          </w:p>
        </w:tc>
        <w:tc>
          <w:tcPr>
            <w:tcW w:w="1069" w:type="dxa"/>
            <w:vMerge/>
            <w:tcBorders>
              <w:left w:val="single" w:sz="12" w:space="0" w:color="D2D2D2"/>
              <w:right w:val="single" w:sz="4" w:space="0" w:color="000000"/>
            </w:tcBorders>
          </w:tcPr>
          <w:p>
            <w:pPr/>
          </w:p>
        </w:tc>
      </w:tr>
      <w:tr>
        <w:trPr>
          <w:trHeight w:val="322"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794" w:type="dxa"/>
            <w:gridSpan w:val="2"/>
            <w:vMerge/>
            <w:tcBorders>
              <w:left w:val="single" w:sz="10" w:space="0" w:color="D2D2D2"/>
              <w:bottom w:val="single" w:sz="4" w:space="0" w:color="000000"/>
              <w:right w:val="single" w:sz="9" w:space="0" w:color="D2D2D2"/>
            </w:tcBorders>
          </w:tcPr>
          <w:p>
            <w:pPr/>
          </w:p>
        </w:tc>
        <w:tc>
          <w:tcPr>
            <w:tcW w:w="1501" w:type="dxa"/>
            <w:gridSpan w:val="2"/>
            <w:vMerge/>
            <w:tcBorders>
              <w:left w:val="single" w:sz="4" w:space="0" w:color="000000"/>
              <w:bottom w:val="single" w:sz="4" w:space="0" w:color="000000"/>
              <w:right w:val="single" w:sz="4" w:space="0" w:color="000000"/>
            </w:tcBorders>
            <w:shd w:val="clear" w:color="auto" w:fill="D2D2D2"/>
          </w:tcPr>
          <w:p>
            <w:pPr/>
          </w:p>
        </w:tc>
        <w:tc>
          <w:tcPr>
            <w:tcW w:w="1169" w:type="dxa"/>
            <w:gridSpan w:val="2"/>
            <w:vMerge/>
            <w:tcBorders>
              <w:left w:val="single" w:sz="10" w:space="0" w:color="D2D2D2"/>
              <w:bottom w:val="single" w:sz="4" w:space="0" w:color="000000"/>
              <w:right w:val="single" w:sz="9" w:space="0" w:color="D2D2D2"/>
            </w:tcBorders>
          </w:tcPr>
          <w:p>
            <w:pPr/>
          </w:p>
        </w:tc>
        <w:tc>
          <w:tcPr>
            <w:tcW w:w="130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12" w:type="dxa"/>
            <w:gridSpan w:val="2"/>
            <w:vMerge/>
            <w:tcBorders>
              <w:left w:val="single" w:sz="9" w:space="0" w:color="D2D2D2"/>
              <w:bottom w:val="single" w:sz="4" w:space="0" w:color="000000"/>
              <w:right w:val="single" w:sz="13" w:space="0" w:color="D2D2D2"/>
            </w:tcBorders>
          </w:tcPr>
          <w:p>
            <w:pPr/>
          </w:p>
        </w:tc>
        <w:tc>
          <w:tcPr>
            <w:tcW w:w="1281" w:type="dxa"/>
            <w:gridSpan w:val="2"/>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12" w:space="0" w:color="D2D2D2"/>
              <w:bottom w:val="single" w:sz="4" w:space="0" w:color="000000"/>
              <w:right w:val="single" w:sz="4" w:space="0" w:color="000000"/>
            </w:tcBorders>
          </w:tcPr>
          <w:p>
            <w:pPr/>
          </w:p>
        </w:tc>
      </w:tr>
      <w:tr>
        <w:trPr>
          <w:trHeight w:val="394"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8" w:type="dxa"/>
            <w:vMerge w:val="restart"/>
            <w:tcBorders>
              <w:top w:val="single" w:sz="4" w:space="0" w:color="000000"/>
              <w:left w:val="single" w:sz="4" w:space="0" w:color="000000"/>
              <w:right w:val="single" w:sz="4" w:space="0" w:color="FFFFFF"/>
            </w:tcBorders>
            <w:shd w:val="clear" w:color="auto" w:fill="D2D2D2"/>
          </w:tcPr>
          <w:p>
            <w:pPr/>
          </w:p>
        </w:tc>
        <w:tc>
          <w:tcPr>
            <w:tcW w:w="907" w:type="dxa"/>
            <w:tcBorders>
              <w:top w:val="single" w:sz="4" w:space="0" w:color="000000"/>
              <w:left w:val="single" w:sz="4" w:space="0" w:color="FFFFFF"/>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9" w:right="4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3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4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FFFFFF"/>
            </w:tcBorders>
            <w:shd w:val="clear" w:color="auto" w:fill="D2D2D2"/>
          </w:tcPr>
          <w:p>
            <w:pPr/>
          </w:p>
        </w:tc>
        <w:tc>
          <w:tcPr>
            <w:tcW w:w="907"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107" w:right="6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0" w:type="dxa"/>
            <w:gridSpan w:val="2"/>
            <w:vMerge/>
            <w:tcBorders>
              <w:left w:val="single" w:sz="4" w:space="0" w:color="000000"/>
              <w:right w:val="single" w:sz="4" w:space="0" w:color="000000"/>
            </w:tcBorders>
            <w:shd w:val="clear" w:color="auto" w:fill="D2D2D2"/>
          </w:tcPr>
          <w:p>
            <w:pPr/>
          </w:p>
        </w:tc>
        <w:tc>
          <w:tcPr>
            <w:tcW w:w="837" w:type="dxa"/>
            <w:vMerge/>
            <w:tcBorders>
              <w:left w:val="single" w:sz="4" w:space="0" w:color="000000"/>
              <w:right w:val="single" w:sz="4" w:space="0" w:color="000000"/>
            </w:tcBorders>
            <w:shd w:val="clear" w:color="auto" w:fill="D2D2D2"/>
          </w:tcPr>
          <w:p>
            <w:pPr/>
          </w:p>
        </w:tc>
        <w:tc>
          <w:tcPr>
            <w:tcW w:w="2351" w:type="dxa"/>
            <w:gridSpan w:val="3"/>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28"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7" w:type="dxa"/>
            <w:vMerge/>
            <w:tcBorders>
              <w:left w:val="single" w:sz="4" w:space="0" w:color="FFFFFF"/>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837" w:type="dxa"/>
            <w:vMerge/>
            <w:tcBorders>
              <w:left w:val="single" w:sz="4" w:space="0" w:color="000000"/>
              <w:right w:val="single" w:sz="4" w:space="0" w:color="000000"/>
            </w:tcBorders>
            <w:shd w:val="clear" w:color="auto" w:fill="D2D2D2"/>
          </w:tcPr>
          <w:p>
            <w:pPr/>
          </w:p>
        </w:tc>
        <w:tc>
          <w:tcPr>
            <w:tcW w:w="2351"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FFFFFF"/>
            </w:tcBorders>
            <w:shd w:val="clear" w:color="auto" w:fill="D2D2D2"/>
          </w:tcPr>
          <w:p>
            <w:pPr/>
          </w:p>
        </w:tc>
        <w:tc>
          <w:tcPr>
            <w:tcW w:w="907" w:type="dxa"/>
            <w:vMerge/>
            <w:tcBorders>
              <w:left w:val="single" w:sz="4" w:space="0" w:color="FFFFFF"/>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837" w:type="dxa"/>
            <w:vMerge/>
            <w:tcBorders>
              <w:left w:val="single" w:sz="4" w:space="0" w:color="000000"/>
              <w:right w:val="single" w:sz="4" w:space="0" w:color="000000"/>
            </w:tcBorders>
            <w:shd w:val="clear" w:color="auto" w:fill="D2D2D2"/>
          </w:tcPr>
          <w:p>
            <w:pPr/>
          </w:p>
        </w:tc>
        <w:tc>
          <w:tcPr>
            <w:tcW w:w="11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1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8" w:type="dxa"/>
            <w:vMerge w:val="restart"/>
            <w:tcBorders>
              <w:top w:val="nil" w:sz="6" w:space="0" w:color="auto"/>
              <w:left w:val="single" w:sz="4" w:space="0" w:color="000000"/>
              <w:right w:val="single" w:sz="4" w:space="0" w:color="FFFFFF"/>
            </w:tcBorders>
            <w:shd w:val="clear" w:color="auto" w:fill="D2D2D2"/>
          </w:tcPr>
          <w:p>
            <w:pPr/>
          </w:p>
        </w:tc>
        <w:tc>
          <w:tcPr>
            <w:tcW w:w="907" w:type="dxa"/>
            <w:vMerge/>
            <w:tcBorders>
              <w:left w:val="single" w:sz="4" w:space="0" w:color="FFFFFF"/>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837"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202"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FFFFFF"/>
            </w:tcBorders>
            <w:shd w:val="clear" w:color="auto" w:fill="D2D2D2"/>
          </w:tcPr>
          <w:p>
            <w:pPr/>
          </w:p>
        </w:tc>
        <w:tc>
          <w:tcPr>
            <w:tcW w:w="907" w:type="dxa"/>
            <w:tcBorders>
              <w:top w:val="nil" w:sz="6" w:space="0" w:color="auto"/>
              <w:left w:val="single" w:sz="4" w:space="0" w:color="FFFFFF"/>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837"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c>
          <w:tcPr>
            <w:tcW w:w="1202"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18.37%</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44,627,546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1,040,132</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44,627,54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0</w:t>
            </w:r>
          </w:p>
        </w:tc>
        <w:tc>
          <w:tcPr>
            <w:tcW w:w="114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4"/>
              <w:ind w:left="9"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40,500,000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杭州鑫粟科技有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11.41%</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27,710,194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27,710,194</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杭州阜康投资有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10.50%</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20,500,000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4.97%</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12,075,000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12,000,000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9,056,250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3,018,750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12,000,000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雅戈尔集团股份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4.96%</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12,042,858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12,042,85</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8</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沈健</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3.23%</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7,840,044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7,840,044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7,840,000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薛小云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3.00%</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7,285,716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7,285,716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7,285,716</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洪邵平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2.89%</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7,020,251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-2,463,400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7,020,251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2,733,651</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安丰创业投资有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2.36%</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5,745,716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5,745,716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5,745,000</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9"/>
                <w:szCs w:val="9"/>
              </w:rPr>
            </w:pPr>
            <w:r>
              <w:rPr>
                <w:rFonts w:ascii="宋体" w:hAnsi="宋体" w:cs="宋体" w:eastAsia="宋体" w:hint="default"/>
                <w:sz w:val="18"/>
                <w:szCs w:val="18"/>
              </w:rPr>
              <w:t>创业软件股份有 限公司回购专用 证券账户</w:t>
            </w:r>
            <w:r>
              <w:rPr>
                <w:rFonts w:ascii="宋体" w:hAnsi="宋体" w:cs="宋体" w:eastAsia="宋体" w:hint="default"/>
                <w:position w:val="9"/>
                <w:sz w:val="9"/>
                <w:szCs w:val="9"/>
              </w:rPr>
              <w:t>注</w:t>
            </w:r>
            <w:r>
              <w:rPr>
                <w:rFonts w:ascii="宋体" w:hAnsi="宋体" w:cs="宋体" w:eastAsia="宋体" w:hint="default"/>
                <w:sz w:val="9"/>
                <w:szCs w:val="9"/>
              </w:rPr>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1.56%</w:t>
            </w:r>
          </w:p>
        </w:tc>
        <w:tc>
          <w:tcPr>
            <w:tcW w:w="90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3,800,016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3,800,016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3,800,016</w:t>
            </w:r>
          </w:p>
        </w:tc>
        <w:tc>
          <w:tcPr>
            <w:tcW w:w="1148" w:type="dxa"/>
            <w:tcBorders>
              <w:top w:val="single" w:sz="4" w:space="0" w:color="000000"/>
              <w:left w:val="single" w:sz="4" w:space="0" w:color="000000"/>
              <w:bottom w:val="single" w:sz="4" w:space="0" w:color="000000"/>
              <w:right w:val="single" w:sz="4" w:space="0" w:color="000000"/>
            </w:tcBorders>
          </w:tcPr>
          <w:p>
            <w:pPr/>
          </w:p>
        </w:tc>
        <w:tc>
          <w:tcPr>
            <w:tcW w:w="1202"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tcBorders>
              <w:top w:val="single" w:sz="4" w:space="0" w:color="000000"/>
              <w:left w:val="single" w:sz="9" w:space="0" w:color="D2D2D2"/>
              <w:bottom w:val="single" w:sz="4" w:space="0" w:color="000000"/>
              <w:right w:val="single" w:sz="4" w:space="0" w:color="000000"/>
            </w:tcBorders>
          </w:tcPr>
          <w:p>
            <w:pPr>
              <w:pStyle w:val="TableParagraph"/>
              <w:spacing w:line="316" w:lineRule="auto" w:before="49"/>
              <w:ind w:left="17" w:right="171"/>
              <w:jc w:val="left"/>
              <w:rPr>
                <w:rFonts w:ascii="宋体" w:hAnsi="宋体" w:cs="宋体" w:eastAsia="宋体" w:hint="default"/>
                <w:sz w:val="18"/>
                <w:szCs w:val="18"/>
              </w:rPr>
            </w:pPr>
            <w:r>
              <w:rPr>
                <w:rFonts w:ascii="宋体" w:hAnsi="宋体" w:cs="宋体" w:eastAsia="宋体" w:hint="default"/>
                <w:sz w:val="18"/>
                <w:szCs w:val="18"/>
              </w:rPr>
              <w:t>公司控股股东、实际控制人为葛航；杭州阜康投资有限公司为实际控制人控制的公 司</w:t>
            </w:r>
          </w:p>
        </w:tc>
      </w:tr>
      <w:tr>
        <w:trPr>
          <w:trHeight w:val="399"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3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881"/>
        <w:gridCol w:w="4349"/>
        <w:gridCol w:w="1136"/>
        <w:gridCol w:w="1202"/>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雅戈尔集团股份有限公司</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12,042,858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12,042,858</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沈健</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7,840,044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7,840,044</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薛小云</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7,285,716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7,285,716</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洪邵平</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7,020,251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7,020,251</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安丰创业投资有限公司</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5,745,716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5,745,716</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9"/>
                <w:szCs w:val="9"/>
              </w:rPr>
            </w:pPr>
            <w:r>
              <w:rPr>
                <w:rFonts w:ascii="宋体" w:hAnsi="宋体" w:cs="宋体" w:eastAsia="宋体" w:hint="default"/>
                <w:sz w:val="18"/>
                <w:szCs w:val="18"/>
              </w:rPr>
              <w:t>创业软件股份有限公司回购专用证 券账户</w:t>
            </w:r>
            <w:r>
              <w:rPr>
                <w:rFonts w:ascii="宋体" w:hAnsi="宋体" w:cs="宋体" w:eastAsia="宋体" w:hint="default"/>
                <w:position w:val="9"/>
                <w:sz w:val="9"/>
                <w:szCs w:val="9"/>
              </w:rPr>
              <w:t>注</w:t>
            </w:r>
            <w:r>
              <w:rPr>
                <w:rFonts w:ascii="宋体" w:hAnsi="宋体" w:cs="宋体" w:eastAsia="宋体" w:hint="default"/>
                <w:sz w:val="9"/>
                <w:szCs w:val="9"/>
              </w:rPr>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3,800,016</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浙江省兴合集团有限责任公司</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3,768,474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3,768,474</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3,018,750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3,018,750</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2,879,100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2,879,100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浙江天堂硅谷资产管理集团有限公 司</w:t>
            </w:r>
          </w:p>
        </w:tc>
        <w:tc>
          <w:tcPr>
            <w:tcW w:w="4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2,048,474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0"/>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2,048,474</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 的说明</w:t>
            </w:r>
          </w:p>
        </w:tc>
        <w:tc>
          <w:tcPr>
            <w:tcW w:w="668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名无限售流通股股东之间是否存在关联关系或一致行动的情况</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81" w:lineRule="auto" w:before="33"/>
        <w:ind w:left="152" w:right="0" w:firstLine="0"/>
        <w:jc w:val="left"/>
        <w:rPr>
          <w:rFonts w:ascii="宋体" w:hAnsi="宋体" w:cs="宋体" w:eastAsia="宋体" w:hint="default"/>
          <w:sz w:val="24"/>
          <w:szCs w:val="24"/>
        </w:rPr>
      </w:pPr>
      <w:r>
        <w:rPr>
          <w:rFonts w:ascii="宋体" w:hAnsi="宋体" w:cs="宋体" w:eastAsia="宋体" w:hint="default"/>
          <w:spacing w:val="-3"/>
          <w:w w:val="100"/>
          <w:sz w:val="15"/>
          <w:szCs w:val="15"/>
        </w:rPr>
        <w:t>注：</w:t>
      </w:r>
      <w:r>
        <w:rPr>
          <w:rFonts w:ascii="宋体" w:hAnsi="宋体" w:cs="宋体" w:eastAsia="宋体" w:hint="default"/>
          <w:spacing w:val="-3"/>
          <w:w w:val="100"/>
          <w:sz w:val="15"/>
          <w:szCs w:val="15"/>
        </w:rPr>
        <w:t>2017</w:t>
      </w:r>
      <w:r>
        <w:rPr>
          <w:rFonts w:ascii="宋体" w:hAnsi="宋体" w:cs="宋体" w:eastAsia="宋体" w:hint="default"/>
          <w:spacing w:val="-3"/>
          <w:w w:val="100"/>
          <w:sz w:val="15"/>
          <w:szCs w:val="15"/>
        </w:rPr>
        <w:t>年</w:t>
      </w:r>
      <w:r>
        <w:rPr>
          <w:rFonts w:ascii="宋体" w:hAnsi="宋体" w:cs="宋体" w:eastAsia="宋体" w:hint="default"/>
          <w:spacing w:val="-3"/>
          <w:w w:val="100"/>
          <w:sz w:val="15"/>
          <w:szCs w:val="15"/>
        </w:rPr>
        <w:t>5</w:t>
      </w:r>
      <w:r>
        <w:rPr>
          <w:rFonts w:ascii="宋体" w:hAnsi="宋体" w:cs="宋体" w:eastAsia="宋体" w:hint="default"/>
          <w:spacing w:val="-3"/>
          <w:w w:val="100"/>
          <w:sz w:val="15"/>
          <w:szCs w:val="15"/>
        </w:rPr>
        <w:t>月</w:t>
      </w:r>
      <w:r>
        <w:rPr>
          <w:rFonts w:ascii="宋体" w:hAnsi="宋体" w:cs="宋体" w:eastAsia="宋体" w:hint="default"/>
          <w:spacing w:val="-3"/>
          <w:w w:val="100"/>
          <w:sz w:val="15"/>
          <w:szCs w:val="15"/>
        </w:rPr>
        <w:t>4</w:t>
      </w:r>
      <w:r>
        <w:rPr>
          <w:rFonts w:ascii="宋体" w:hAnsi="宋体" w:cs="宋体" w:eastAsia="宋体" w:hint="default"/>
          <w:spacing w:val="-3"/>
          <w:w w:val="100"/>
          <w:sz w:val="15"/>
          <w:szCs w:val="15"/>
        </w:rPr>
        <w:t>日，公司召开了第五届董事会第三十四次会议，审议通过了《关于回购公司股份以实施员工持股计划的议案》，</w:t>
      </w:r>
      <w:r>
        <w:rPr>
          <w:rFonts w:ascii="宋体" w:hAnsi="宋体" w:cs="宋体" w:eastAsia="宋体" w:hint="default"/>
          <w:spacing w:val="-3"/>
          <w:w w:val="100"/>
          <w:sz w:val="15"/>
          <w:szCs w:val="15"/>
        </w:rPr>
        <w:t>2017</w:t>
      </w:r>
      <w:r>
        <w:rPr>
          <w:rFonts w:ascii="宋体" w:hAnsi="宋体" w:cs="宋体" w:eastAsia="宋体" w:hint="default"/>
          <w:spacing w:val="-3"/>
          <w:w w:val="100"/>
          <w:sz w:val="15"/>
          <w:szCs w:val="15"/>
        </w:rPr>
        <w:t>年</w:t>
      </w:r>
      <w:r>
        <w:rPr>
          <w:rFonts w:ascii="宋体" w:hAnsi="宋体" w:cs="宋体" w:eastAsia="宋体" w:hint="default"/>
          <w:spacing w:val="-3"/>
          <w:w w:val="100"/>
          <w:sz w:val="15"/>
          <w:szCs w:val="15"/>
        </w:rPr>
        <w:t>5</w:t>
      </w:r>
      <w:r>
        <w:rPr>
          <w:rFonts w:ascii="宋体" w:hAnsi="宋体" w:cs="宋体" w:eastAsia="宋体" w:hint="default"/>
          <w:spacing w:val="-3"/>
          <w:w w:val="100"/>
          <w:sz w:val="15"/>
          <w:szCs w:val="15"/>
        </w:rPr>
        <w:t>月</w:t>
      </w:r>
      <w:r>
        <w:rPr>
          <w:rFonts w:ascii="宋体" w:hAnsi="宋体" w:cs="宋体" w:eastAsia="宋体" w:hint="default"/>
          <w:spacing w:val="-3"/>
          <w:w w:val="100"/>
          <w:sz w:val="15"/>
          <w:szCs w:val="15"/>
        </w:rPr>
        <w:t>22</w:t>
      </w:r>
      <w:r>
        <w:rPr>
          <w:rFonts w:ascii="宋体" w:hAnsi="宋体" w:cs="宋体" w:eastAsia="宋体" w:hint="default"/>
          <w:spacing w:val="-3"/>
          <w:w w:val="100"/>
          <w:sz w:val="15"/>
          <w:szCs w:val="15"/>
        </w:rPr>
        <w:t>日，该</w:t>
      </w:r>
      <w:r>
        <w:rPr>
          <w:rFonts w:ascii="宋体" w:hAnsi="宋体" w:cs="宋体" w:eastAsia="宋体" w:hint="default"/>
          <w:spacing w:val="-38"/>
          <w:w w:val="100"/>
          <w:sz w:val="15"/>
          <w:szCs w:val="15"/>
        </w:rPr>
        <w:t> </w:t>
      </w:r>
      <w:r>
        <w:rPr>
          <w:rFonts w:ascii="宋体" w:hAnsi="宋体" w:cs="宋体" w:eastAsia="宋体" w:hint="default"/>
          <w:spacing w:val="-38"/>
          <w:w w:val="100"/>
          <w:sz w:val="15"/>
          <w:szCs w:val="15"/>
        </w:rPr>
      </w:r>
      <w:r>
        <w:rPr>
          <w:rFonts w:ascii="宋体" w:hAnsi="宋体" w:cs="宋体" w:eastAsia="宋体" w:hint="default"/>
          <w:spacing w:val="-2"/>
          <w:sz w:val="15"/>
          <w:szCs w:val="15"/>
        </w:rPr>
        <w:t>事项经</w:t>
      </w:r>
      <w:r>
        <w:rPr>
          <w:rFonts w:ascii="宋体" w:hAnsi="宋体" w:cs="宋体" w:eastAsia="宋体" w:hint="default"/>
          <w:spacing w:val="-2"/>
          <w:sz w:val="15"/>
          <w:szCs w:val="15"/>
        </w:rPr>
        <w:t>2017</w:t>
      </w:r>
      <w:r>
        <w:rPr>
          <w:rFonts w:ascii="宋体" w:hAnsi="宋体" w:cs="宋体" w:eastAsia="宋体" w:hint="default"/>
          <w:spacing w:val="-2"/>
          <w:sz w:val="15"/>
          <w:szCs w:val="15"/>
        </w:rPr>
        <w:t>年第二次临时股东大会审议通过。公司拟回购公司发行的</w:t>
      </w:r>
      <w:r>
        <w:rPr>
          <w:rFonts w:ascii="宋体" w:hAnsi="宋体" w:cs="宋体" w:eastAsia="宋体" w:hint="default"/>
          <w:spacing w:val="-2"/>
          <w:sz w:val="15"/>
          <w:szCs w:val="15"/>
        </w:rPr>
        <w:t>A</w:t>
      </w:r>
      <w:r>
        <w:rPr>
          <w:rFonts w:ascii="宋体" w:hAnsi="宋体" w:cs="宋体" w:eastAsia="宋体" w:hint="default"/>
          <w:spacing w:val="-2"/>
          <w:sz w:val="15"/>
          <w:szCs w:val="15"/>
        </w:rPr>
        <w:t>股股份，并将该部分回购股份作为公司后期员工持股计划之标的股份，过户</w:t>
      </w:r>
      <w:r>
        <w:rPr>
          <w:rFonts w:ascii="宋体" w:hAnsi="宋体" w:cs="宋体" w:eastAsia="宋体" w:hint="default"/>
          <w:spacing w:val="41"/>
          <w:sz w:val="15"/>
          <w:szCs w:val="15"/>
        </w:rPr>
        <w:t> </w:t>
      </w:r>
      <w:r>
        <w:rPr>
          <w:rFonts w:ascii="宋体" w:hAnsi="宋体" w:cs="宋体" w:eastAsia="宋体" w:hint="default"/>
          <w:spacing w:val="41"/>
          <w:sz w:val="15"/>
          <w:szCs w:val="15"/>
        </w:rPr>
      </w:r>
      <w:r>
        <w:rPr>
          <w:rFonts w:ascii="宋体" w:hAnsi="宋体" w:cs="宋体" w:eastAsia="宋体" w:hint="default"/>
          <w:sz w:val="15"/>
          <w:szCs w:val="15"/>
        </w:rPr>
        <w:t>至相应员工持股计划账户。</w:t>
      </w:r>
      <w:r>
        <w:rPr>
          <w:rFonts w:ascii="宋体" w:hAnsi="宋体" w:cs="宋体" w:eastAsia="宋体" w:hint="default"/>
          <w:sz w:val="24"/>
          <w:szCs w:val="24"/>
        </w:rPr>
        <w:t> </w:t>
      </w:r>
    </w:p>
    <w:p>
      <w:pPr>
        <w:pStyle w:val="BodyText"/>
        <w:spacing w:line="240" w:lineRule="auto" w:before="1"/>
        <w:ind w:right="0"/>
        <w:jc w:val="left"/>
      </w:pPr>
      <w:r>
        <w:rPr/>
        <w:t>公司前</w:t>
      </w:r>
      <w:r>
        <w:rPr>
          <w:rFonts w:ascii="Times New Roman" w:hAnsi="Times New Roman" w:cs="Times New Roman" w:eastAsia="Times New Roman" w:hint="default"/>
        </w:rPr>
        <w:t>10</w:t>
      </w:r>
      <w:r>
        <w:rPr/>
        <w:t>名普通股股东、前</w:t>
      </w:r>
      <w:r>
        <w:rPr>
          <w:rFonts w:ascii="Times New Roman" w:hAnsi="Times New Roman" w:cs="Times New Roman" w:eastAsia="Times New Roman" w:hint="default"/>
        </w:rPr>
        <w:t>10</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7614"/>
        <w:jc w:val="left"/>
      </w:pPr>
      <w:r>
        <w:rPr/>
        <w:t>控股股东性质：自然人控股 控股股东类型：自然人</w:t>
      </w:r>
    </w:p>
    <w:tbl>
      <w:tblPr>
        <w:tblW w:w="0" w:type="auto"/>
        <w:jc w:val="left"/>
        <w:tblInd w:w="181" w:type="dxa"/>
        <w:tblLayout w:type="fixed"/>
        <w:tblCellMar>
          <w:top w:w="0" w:type="dxa"/>
          <w:left w:w="0" w:type="dxa"/>
          <w:bottom w:w="0" w:type="dxa"/>
          <w:right w:w="0" w:type="dxa"/>
        </w:tblCellMar>
        <w:tblLook w:val="01E0"/>
      </w:tblPr>
      <w:tblGrid>
        <w:gridCol w:w="3419"/>
        <w:gridCol w:w="2028"/>
        <w:gridCol w:w="411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419"/>
        <w:gridCol w:w="2028"/>
        <w:gridCol w:w="4121"/>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创业软件股份有限公司董事长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434"/>
        <w:jc w:val="left"/>
      </w:pPr>
      <w:r>
        <w:rPr/>
        <w:t>实际控制人性质：境内自然人 实际控制人类型：自然人</w:t>
      </w:r>
    </w:p>
    <w:tbl>
      <w:tblPr>
        <w:tblW w:w="0" w:type="auto"/>
        <w:jc w:val="left"/>
        <w:tblInd w:w="181" w:type="dxa"/>
        <w:tblLayout w:type="fixed"/>
        <w:tblCellMar>
          <w:top w:w="0" w:type="dxa"/>
          <w:left w:w="0" w:type="dxa"/>
          <w:bottom w:w="0" w:type="dxa"/>
          <w:right w:w="0" w:type="dxa"/>
        </w:tblCellMar>
        <w:tblLook w:val="01E0"/>
      </w:tblPr>
      <w:tblGrid>
        <w:gridCol w:w="3335"/>
        <w:gridCol w:w="2057"/>
        <w:gridCol w:w="4177"/>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17"/>
          <w:szCs w:val="17"/>
        </w:rPr>
      </w:pPr>
    </w:p>
    <w:p>
      <w:pPr>
        <w:spacing w:line="4588" w:lineRule="exact"/>
        <w:ind w:left="2437"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3207656" cy="2913697"/>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9" cstate="print"/>
                    <a:stretch>
                      <a:fillRect/>
                    </a:stretch>
                  </pic:blipFill>
                  <pic:spPr>
                    <a:xfrm>
                      <a:off x="0" y="0"/>
                      <a:ext cx="3207656" cy="2913697"/>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r>
        <w:rPr/>
        <w:t>实际控制人通过信托或其他资产管理方式控制公司</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85"/>
        <w:gridCol w:w="1133"/>
        <w:gridCol w:w="1702"/>
        <w:gridCol w:w="1844"/>
        <w:gridCol w:w="2905"/>
      </w:tblGrid>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2" w:right="8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7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杭州鑫粟科技有限公司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赵晔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7000.0001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技术开发、技术服务、技术咨询、 成果转让：计算机软硬件、计算机 网络技术、电子产品、计算机信息 系统集成、智能设备；服务：投资 管理、投资咨询（除证券、期货） </w:t>
            </w:r>
            <w:r>
              <w:rPr>
                <w:rFonts w:ascii="Times New Roman" w:hAnsi="Times New Roman" w:cs="Times New Roman" w:eastAsia="Times New Roman" w:hint="default"/>
                <w:sz w:val="18"/>
                <w:szCs w:val="18"/>
              </w:rPr>
              <w:t>(</w:t>
            </w:r>
            <w:r>
              <w:rPr>
                <w:rFonts w:ascii="宋体" w:hAnsi="宋体" w:cs="宋体" w:eastAsia="宋体" w:hint="default"/>
                <w:sz w:val="18"/>
                <w:szCs w:val="18"/>
              </w:rPr>
              <w:t>未经金融等监管部门批准，不得从 事向公众融资存款、融资担保、代 客理财等金融服务</w:t>
            </w:r>
            <w:r>
              <w:rPr>
                <w:rFonts w:ascii="Times New Roman" w:hAnsi="Times New Roman" w:cs="Times New Roman" w:eastAsia="Times New Roman" w:hint="default"/>
                <w:sz w:val="18"/>
                <w:szCs w:val="18"/>
              </w:rPr>
              <w:t>)</w:t>
            </w:r>
            <w:r>
              <w:rPr>
                <w:rFonts w:ascii="宋体" w:hAnsi="宋体" w:cs="宋体" w:eastAsia="宋体" w:hint="default"/>
                <w:sz w:val="18"/>
                <w:szCs w:val="18"/>
              </w:rPr>
              <w:t>；销售：通信产 品、智能终端设备、电子产品、计 算机软硬件；货物及技术进出口</w:t>
            </w:r>
          </w:p>
          <w:p>
            <w:pPr>
              <w:pStyle w:val="TableParagraph"/>
              <w:spacing w:line="316" w:lineRule="auto" w:before="20"/>
              <w:ind w:left="23" w:right="78"/>
              <w:jc w:val="left"/>
              <w:rPr>
                <w:rFonts w:ascii="宋体" w:hAnsi="宋体" w:cs="宋体" w:eastAsia="宋体" w:hint="default"/>
                <w:sz w:val="18"/>
                <w:szCs w:val="18"/>
              </w:rPr>
            </w:pPr>
            <w:r>
              <w:rPr>
                <w:rFonts w:ascii="宋体" w:hAnsi="宋体" w:cs="宋体" w:eastAsia="宋体" w:hint="default"/>
                <w:sz w:val="18"/>
                <w:szCs w:val="18"/>
              </w:rPr>
              <w:t>（法律、行政法规禁止经营的项目 除外，法律、行政法规限制经营的 </w:t>
            </w:r>
            <w:r>
              <w:rPr>
                <w:rFonts w:ascii="宋体" w:hAnsi="宋体" w:cs="宋体" w:eastAsia="宋体" w:hint="default"/>
                <w:spacing w:val="-6"/>
                <w:sz w:val="18"/>
                <w:szCs w:val="18"/>
              </w:rPr>
              <w:t>项目取得许可后方可经营）（依法须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经批准的项目，经相关部门批准后 方可开展经营活动）</w:t>
            </w:r>
          </w:p>
        </w:tc>
      </w:tr>
      <w:tr>
        <w:trPr>
          <w:trHeight w:val="10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杭州阜康投资有限公司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洪邵平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万人民币</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服务：实业投资、投资咨询</w:t>
            </w:r>
            <w:r>
              <w:rPr>
                <w:rFonts w:ascii="Times New Roman" w:hAnsi="Times New Roman" w:cs="Times New Roman" w:eastAsia="Times New Roman" w:hint="default"/>
                <w:sz w:val="18"/>
                <w:szCs w:val="18"/>
              </w:rPr>
              <w:t>(</w:t>
            </w:r>
            <w:r>
              <w:rPr>
                <w:rFonts w:ascii="宋体" w:hAnsi="宋体" w:cs="宋体" w:eastAsia="宋体" w:hint="default"/>
                <w:sz w:val="18"/>
                <w:szCs w:val="18"/>
              </w:rPr>
              <w:t>除证 券、期货</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、企业管理咨询；其他无 需报经审批的一切合法项目</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bookmark5" w:id="6"/>
      <w:bookmarkEnd w:id="6"/>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bookmark6" w:id="7"/>
      <w:bookmarkEnd w:id="7"/>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43,587,41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1,040,132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44,627,54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60,000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李寒穷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杨建刚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江乾坤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高春蓉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总工程 师、副总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郁燕萍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赵建新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方宝林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10,500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137,300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孙烈峰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59,500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杨建刚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年第四次临时股东大会选举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赵建新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经第六届董事会第一次会议审议聘任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经第六届董事会第一次会议审议聘任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孙烈峰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经第六届董事会第一次会议审议聘任</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年第四次临时股东大会选举</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7"/>
        <w:ind w:left="453" w:right="0"/>
        <w:jc w:val="left"/>
      </w:pPr>
      <w:r>
        <w:rPr/>
        <w:t>（一）董事会成员</w:t>
      </w:r>
    </w:p>
    <w:p>
      <w:pPr>
        <w:pStyle w:val="BodyText"/>
        <w:spacing w:line="314" w:lineRule="auto" w:before="76"/>
        <w:ind w:right="149" w:firstLine="300"/>
        <w:jc w:val="both"/>
      </w:pPr>
      <w:r>
        <w:rPr>
          <w:rFonts w:ascii="Times New Roman" w:hAnsi="Times New Roman" w:cs="Times New Roman" w:eastAsia="Times New Roman" w:hint="default"/>
          <w:spacing w:val="-3"/>
        </w:rPr>
        <w:t>1</w:t>
      </w:r>
      <w:r>
        <w:rPr>
          <w:spacing w:val="-3"/>
        </w:rPr>
        <w:t>、葛航先生，</w:t>
      </w:r>
      <w:r>
        <w:rPr>
          <w:rFonts w:ascii="Times New Roman" w:hAnsi="Times New Roman" w:cs="Times New Roman" w:eastAsia="Times New Roman" w:hint="default"/>
          <w:spacing w:val="-3"/>
        </w:rPr>
        <w:t>1963</w:t>
      </w:r>
      <w:r>
        <w:rPr>
          <w:spacing w:val="-3"/>
        </w:rPr>
        <w:t>年出生，中国国籍，浙江大学机电专业，本科学历，工程师、高级经济师。</w:t>
      </w:r>
      <w:r>
        <w:rPr>
          <w:rFonts w:ascii="Times New Roman" w:hAnsi="Times New Roman" w:cs="Times New Roman" w:eastAsia="Times New Roman" w:hint="default"/>
          <w:spacing w:val="-3"/>
        </w:rPr>
        <w:t>1998</w:t>
      </w:r>
      <w:r>
        <w:rPr>
          <w:spacing w:val="-3"/>
        </w:rPr>
        <w:t>年至今担任公司董事</w:t>
      </w:r>
      <w:r>
        <w:rPr/>
        <w:t> </w:t>
      </w:r>
      <w:r>
        <w:rPr>
          <w:spacing w:val="-2"/>
        </w:rPr>
        <w:t>长，曾任中华医学会计算机应用分会常务理事、浙江省软件行业协会副理事长、杭州长城计算机系统工程公司负责人、浙江</w:t>
      </w:r>
      <w:r>
        <w:rPr>
          <w:spacing w:val="-65"/>
        </w:rPr>
        <w:t> </w:t>
      </w:r>
      <w:r>
        <w:rPr>
          <w:spacing w:val="-65"/>
        </w:rPr>
      </w:r>
      <w:r>
        <w:rPr>
          <w:spacing w:val="-2"/>
        </w:rPr>
        <w:t>浙大网新软件产业集团有限公司董事长、浙大网新科技股份有限公司董事兼副总裁等职务。曾荣获浙江省科技进步奖、杭州</w:t>
      </w:r>
      <w:r>
        <w:rPr>
          <w:spacing w:val="-65"/>
        </w:rPr>
        <w:t> </w:t>
      </w:r>
      <w:r>
        <w:rPr>
          <w:spacing w:val="-65"/>
        </w:rPr>
      </w:r>
      <w:r>
        <w:rPr>
          <w:spacing w:val="-2"/>
        </w:rPr>
        <w:t>市科技进步奖、杭州市新产品新技术奖、杭州市管理创新奖以及浙江省科技创新先进个人、浙江省软件行业杰出企业家、杭</w:t>
      </w:r>
      <w:r>
        <w:rPr>
          <w:spacing w:val="-64"/>
        </w:rPr>
        <w:t> </w:t>
      </w:r>
      <w:r>
        <w:rPr>
          <w:spacing w:val="-64"/>
        </w:rPr>
      </w:r>
      <w:r>
        <w:rPr>
          <w:spacing w:val="-2"/>
        </w:rPr>
        <w:t>州市成绩突出科技工作者、杭州市第五届优秀社会主义事业建设者称号。现任创业软件股份有限公司董事长、浙江中宇科技</w:t>
      </w:r>
      <w:r>
        <w:rPr>
          <w:spacing w:val="-62"/>
        </w:rPr>
        <w:t> </w:t>
      </w:r>
      <w:r>
        <w:rPr>
          <w:spacing w:val="-62"/>
        </w:rPr>
      </w:r>
      <w:r>
        <w:rPr/>
        <w:t>风险投资有限公司董事、苏州网新创业科技有限公司副董事长、北京甲和灯科技股份有限公司董事。</w:t>
      </w:r>
    </w:p>
    <w:p>
      <w:pPr>
        <w:pStyle w:val="BodyText"/>
        <w:spacing w:line="312" w:lineRule="auto" w:before="20"/>
        <w:ind w:right="151" w:firstLine="300"/>
        <w:jc w:val="both"/>
      </w:pPr>
      <w:r>
        <w:rPr>
          <w:rFonts w:ascii="Times New Roman" w:hAnsi="Times New Roman" w:cs="Times New Roman" w:eastAsia="Times New Roman" w:hint="default"/>
          <w:spacing w:val="-3"/>
        </w:rPr>
        <w:t>2</w:t>
      </w:r>
      <w:r>
        <w:rPr>
          <w:spacing w:val="-3"/>
        </w:rPr>
        <w:t>、张吕峥先生，</w:t>
      </w:r>
      <w:r>
        <w:rPr>
          <w:rFonts w:ascii="Times New Roman" w:hAnsi="Times New Roman" w:cs="Times New Roman" w:eastAsia="Times New Roman" w:hint="default"/>
          <w:spacing w:val="-3"/>
        </w:rPr>
        <w:t>1971</w:t>
      </w:r>
      <w:r>
        <w:rPr>
          <w:spacing w:val="-3"/>
        </w:rPr>
        <w:t>年出生，中国国籍，浙江大学工商管理研究生学历，高级经济师，曾荣获杭州市新产品新技术一等</w:t>
      </w:r>
      <w:r>
        <w:rPr/>
        <w:t> </w:t>
      </w:r>
      <w:r>
        <w:rPr>
          <w:spacing w:val="-5"/>
        </w:rPr>
        <w:t>奖。历任杭州长城计算机系统工程公司副总经理，创业软件股份有限公司董事、副总经理，现任创业软件股份有限公司董事、</w:t>
      </w:r>
      <w:r>
        <w:rPr>
          <w:spacing w:val="-78"/>
        </w:rPr>
        <w:t> </w:t>
      </w:r>
      <w:r>
        <w:rPr>
          <w:spacing w:val="-78"/>
        </w:rPr>
      </w:r>
      <w:r>
        <w:rPr>
          <w:spacing w:val="-2"/>
        </w:rPr>
        <w:t>总经理、杭州阜康投资有限公司董事、浙江中宇科技风险投资有限公司监事、苏州创业亿康信息科技有限公司董事、创业软</w:t>
      </w:r>
      <w:r>
        <w:rPr>
          <w:spacing w:val="-65"/>
        </w:rPr>
        <w:t> </w:t>
      </w:r>
      <w:r>
        <w:rPr>
          <w:spacing w:val="-65"/>
        </w:rPr>
      </w:r>
      <w:r>
        <w:rPr/>
        <w:t>件南京有限公司总经理、广东中拓信息技术有限公司董事长、中山市蓝天电脑有限公司董事长。</w:t>
      </w:r>
    </w:p>
    <w:p>
      <w:pPr>
        <w:pStyle w:val="BodyText"/>
        <w:spacing w:line="309" w:lineRule="auto" w:before="22"/>
        <w:ind w:right="151" w:firstLine="300"/>
        <w:jc w:val="both"/>
      </w:pPr>
      <w:r>
        <w:rPr>
          <w:rFonts w:ascii="Times New Roman" w:hAnsi="Times New Roman" w:cs="Times New Roman" w:eastAsia="Times New Roman" w:hint="default"/>
          <w:spacing w:val="-3"/>
        </w:rPr>
        <w:t>3</w:t>
      </w:r>
      <w:r>
        <w:rPr>
          <w:spacing w:val="-3"/>
        </w:rPr>
        <w:t>、胡燕女士，</w:t>
      </w:r>
      <w:r>
        <w:rPr>
          <w:rFonts w:ascii="Times New Roman" w:hAnsi="Times New Roman" w:cs="Times New Roman" w:eastAsia="Times New Roman" w:hint="default"/>
          <w:spacing w:val="-3"/>
        </w:rPr>
        <w:t>1977</w:t>
      </w:r>
      <w:r>
        <w:rPr>
          <w:spacing w:val="-3"/>
        </w:rPr>
        <w:t>年出生，中国国籍，法学、会计学专业，本科学历。</w:t>
      </w:r>
      <w:r>
        <w:rPr>
          <w:rFonts w:ascii="Times New Roman" w:hAnsi="Times New Roman" w:cs="Times New Roman" w:eastAsia="Times New Roman" w:hint="default"/>
          <w:spacing w:val="-3"/>
        </w:rPr>
        <w:t>1998</w:t>
      </w:r>
      <w:r>
        <w:rPr>
          <w:spacing w:val="-3"/>
        </w:rPr>
        <w:t>年至今在创业软件股份有限公司工作，历任</w:t>
      </w:r>
      <w:r>
        <w:rPr/>
        <w:t> </w:t>
      </w:r>
      <w:r>
        <w:rPr>
          <w:spacing w:val="-2"/>
        </w:rPr>
        <w:t>公司财务部副经理、证券法务部经理、公司总经理助理。现任创业软件股份有限公司董事、董事会秘书、杭州博泰信息技术</w:t>
      </w:r>
      <w:r>
        <w:rPr>
          <w:spacing w:val="-66"/>
        </w:rPr>
        <w:t> </w:t>
      </w:r>
      <w:r>
        <w:rPr>
          <w:spacing w:val="-66"/>
        </w:rPr>
      </w:r>
      <w:r>
        <w:rPr/>
        <w:t>服务有限公司董事、美诺泰科董事。</w:t>
      </w:r>
    </w:p>
    <w:p>
      <w:pPr>
        <w:pStyle w:val="BodyText"/>
        <w:spacing w:line="240" w:lineRule="auto" w:before="24"/>
        <w:ind w:left="453" w:right="0"/>
        <w:jc w:val="left"/>
      </w:pPr>
      <w:r>
        <w:rPr>
          <w:rFonts w:ascii="Times New Roman" w:hAnsi="Times New Roman" w:cs="Times New Roman" w:eastAsia="Times New Roman" w:hint="default"/>
          <w:spacing w:val="-3"/>
        </w:rPr>
        <w:t>4</w:t>
      </w:r>
      <w:r>
        <w:rPr>
          <w:spacing w:val="-3"/>
        </w:rPr>
        <w:t>、应晶先生，</w:t>
      </w:r>
      <w:r>
        <w:rPr>
          <w:rFonts w:ascii="Times New Roman" w:hAnsi="Times New Roman" w:cs="Times New Roman" w:eastAsia="Times New Roman" w:hint="default"/>
          <w:spacing w:val="-3"/>
        </w:rPr>
        <w:t>1971</w:t>
      </w:r>
      <w:r>
        <w:rPr>
          <w:spacing w:val="-3"/>
        </w:rPr>
        <w:t>年出生，中国国籍，计算机专业，博士研究生学历，浙江大学计算机学院教授，博士生导师，</w:t>
      </w:r>
      <w:r>
        <w:rPr>
          <w:rFonts w:ascii="Times New Roman" w:hAnsi="Times New Roman" w:cs="Times New Roman" w:eastAsia="Times New Roman" w:hint="default"/>
          <w:spacing w:val="-3"/>
        </w:rPr>
        <w:t>2016</w:t>
      </w:r>
      <w:r>
        <w:rPr>
          <w:spacing w:val="-3"/>
        </w:rPr>
        <w:t>年</w:t>
      </w:r>
    </w:p>
    <w:p>
      <w:pPr>
        <w:pStyle w:val="BodyText"/>
        <w:spacing w:line="240" w:lineRule="auto" w:before="63"/>
        <w:ind w:right="0"/>
        <w:jc w:val="left"/>
      </w:pP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日至今任创业软件股份有限公司董事。</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9" w:lineRule="auto" w:before="44"/>
        <w:ind w:right="191" w:firstLine="300"/>
        <w:jc w:val="both"/>
      </w:pPr>
      <w:r>
        <w:rPr>
          <w:rFonts w:ascii="Times New Roman" w:hAnsi="Times New Roman" w:cs="Times New Roman" w:eastAsia="Times New Roman" w:hint="default"/>
          <w:spacing w:val="-8"/>
          <w:w w:val="99"/>
        </w:rPr>
        <w:t>5</w:t>
      </w:r>
      <w:r>
        <w:rPr>
          <w:spacing w:val="-8"/>
          <w:w w:val="99"/>
        </w:rPr>
        <w:t>、李寒穷女士，</w:t>
      </w:r>
      <w:r>
        <w:rPr>
          <w:rFonts w:ascii="Times New Roman" w:hAnsi="Times New Roman" w:cs="Times New Roman" w:eastAsia="Times New Roman" w:hint="default"/>
          <w:spacing w:val="-8"/>
          <w:w w:val="99"/>
        </w:rPr>
        <w:t>1977</w:t>
      </w:r>
      <w:r>
        <w:rPr>
          <w:spacing w:val="-8"/>
          <w:w w:val="99"/>
        </w:rPr>
        <w:t>年出生，中国香港籍，硕士研究生学历，美国加州州立大学工商管理学士，中欧国际工商学院</w:t>
      </w:r>
      <w:r>
        <w:rPr>
          <w:rFonts w:ascii="Times New Roman" w:hAnsi="Times New Roman" w:cs="Times New Roman" w:eastAsia="Times New Roman" w:hint="default"/>
          <w:spacing w:val="-8"/>
          <w:w w:val="99"/>
        </w:rPr>
        <w:t>EMBA</w:t>
      </w:r>
      <w:r>
        <w:rPr>
          <w:spacing w:val="-8"/>
          <w:w w:val="99"/>
        </w:rPr>
        <w:t>。</w:t>
      </w:r>
      <w:r>
        <w:rPr/>
        <w:t> </w:t>
      </w:r>
      <w:r>
        <w:rPr>
          <w:spacing w:val="-2"/>
        </w:rPr>
        <w:t>曾任雅戈尔（香港）实业有限公司副总经理、上海凯石投资管理有限公司副总经理；现任雅戈尔集团股份有限公司第八届董</w:t>
      </w:r>
      <w:r>
        <w:rPr>
          <w:spacing w:val="-64"/>
        </w:rPr>
        <w:t> </w:t>
      </w:r>
      <w:r>
        <w:rPr>
          <w:spacing w:val="-64"/>
        </w:rPr>
      </w:r>
      <w:r>
        <w:rPr/>
        <w:t>事会董事兼总经理、雅戈尔投资有限公司总经理、创业软件股份有限公司董事。</w:t>
      </w:r>
    </w:p>
    <w:p>
      <w:pPr>
        <w:pStyle w:val="BodyText"/>
        <w:spacing w:line="309" w:lineRule="auto" w:before="24"/>
        <w:ind w:right="190" w:firstLine="300"/>
        <w:jc w:val="both"/>
      </w:pPr>
      <w:r>
        <w:rPr>
          <w:rFonts w:ascii="Times New Roman" w:hAnsi="Times New Roman" w:cs="Times New Roman" w:eastAsia="Times New Roman" w:hint="default"/>
          <w:spacing w:val="-3"/>
        </w:rPr>
        <w:t>6</w:t>
      </w:r>
      <w:r>
        <w:rPr>
          <w:spacing w:val="-3"/>
        </w:rPr>
        <w:t>、赵晔女士，</w:t>
      </w:r>
      <w:r>
        <w:rPr>
          <w:rFonts w:ascii="Times New Roman" w:hAnsi="Times New Roman" w:cs="Times New Roman" w:eastAsia="Times New Roman" w:hint="default"/>
          <w:spacing w:val="-3"/>
        </w:rPr>
        <w:t>1971</w:t>
      </w:r>
      <w:r>
        <w:rPr>
          <w:spacing w:val="-3"/>
        </w:rPr>
        <w:t>年出生，中国国籍，无境外永久居留权，本科学历，高级经济师。历任浙江建达电子工程有限公司惠</w:t>
      </w:r>
      <w:r>
        <w:rPr/>
        <w:t> </w:t>
      </w:r>
      <w:r>
        <w:rPr>
          <w:spacing w:val="-2"/>
        </w:rPr>
        <w:t>普金牌服务中心经理、信息产品技术支持服务事业部总经理、杭州博泰信息技术服务有限公司常务副总经理、总经理。现任</w:t>
      </w:r>
      <w:r>
        <w:rPr>
          <w:spacing w:val="-64"/>
        </w:rPr>
        <w:t> </w:t>
      </w:r>
      <w:r>
        <w:rPr>
          <w:spacing w:val="-64"/>
        </w:rPr>
      </w:r>
      <w:r>
        <w:rPr/>
        <w:t>杭州博泰信息技术服务有限公司董事长、杭州鑫粟科技有限公司董事长、创业软件股份有限公司董事。</w:t>
      </w:r>
    </w:p>
    <w:p>
      <w:pPr>
        <w:pStyle w:val="BodyText"/>
        <w:spacing w:line="304" w:lineRule="auto" w:before="24"/>
        <w:ind w:right="188" w:firstLine="300"/>
        <w:jc w:val="both"/>
      </w:pPr>
      <w:r>
        <w:rPr>
          <w:rFonts w:ascii="Times New Roman" w:hAnsi="Times New Roman" w:cs="Times New Roman" w:eastAsia="Times New Roman" w:hint="default"/>
          <w:spacing w:val="-1"/>
        </w:rPr>
        <w:t>7</w:t>
      </w:r>
      <w:r>
        <w:rPr>
          <w:spacing w:val="-1"/>
        </w:rPr>
        <w:t>、江乾坤先生，</w:t>
      </w:r>
      <w:r>
        <w:rPr>
          <w:rFonts w:ascii="Times New Roman" w:hAnsi="Times New Roman" w:cs="Times New Roman" w:eastAsia="Times New Roman" w:hint="default"/>
          <w:spacing w:val="-1"/>
        </w:rPr>
        <w:t>1974</w:t>
      </w:r>
      <w:r>
        <w:rPr>
          <w:spacing w:val="-1"/>
        </w:rPr>
        <w:t>年出生，中国国籍，浙江大学经济学（公司金融）博士，理论经济学博士后，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7</w:t>
      </w:r>
      <w:r>
        <w:rPr>
          <w:spacing w:val="-1"/>
        </w:rPr>
        <w:t>月至今任杭</w:t>
      </w:r>
      <w:r>
        <w:rPr/>
        <w:t> </w:t>
      </w:r>
      <w:r>
        <w:rPr>
          <w:spacing w:val="-2"/>
        </w:rPr>
        <w:t>州电子科技大学会计学院教授，中国财务云服务研究院院长助理。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月在美国东南密苏里大学和马里兰大</w:t>
      </w:r>
      <w:r>
        <w:rPr>
          <w:spacing w:val="-58"/>
        </w:rPr>
        <w:t> </w:t>
      </w:r>
      <w:r>
        <w:rPr>
          <w:spacing w:val="-58"/>
        </w:rPr>
      </w:r>
      <w:r>
        <w:rPr>
          <w:spacing w:val="-2"/>
        </w:rPr>
        <w:t>学商学院高级访问学者，</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月兼任温州市平阳县金融办副主任（温州金改百人计划）。现任创业软件股份</w:t>
      </w:r>
      <w:r>
        <w:rPr>
          <w:spacing w:val="-58"/>
        </w:rPr>
        <w:t> </w:t>
      </w:r>
      <w:r>
        <w:rPr>
          <w:spacing w:val="-58"/>
        </w:rPr>
      </w:r>
      <w:r>
        <w:rPr>
          <w:spacing w:val="-2"/>
        </w:rPr>
        <w:t>有限公司独立董事、杭州和顺科技股份有限公司独立董事、宁波天龙电子股份有限公司独立董事、杭州格林达化学股份有限</w:t>
      </w:r>
      <w:r>
        <w:rPr>
          <w:spacing w:val="-61"/>
        </w:rPr>
        <w:t> </w:t>
      </w:r>
      <w:r>
        <w:rPr>
          <w:spacing w:val="-61"/>
        </w:rPr>
      </w:r>
      <w:r>
        <w:rPr/>
        <w:t>公司独立董事。</w:t>
      </w:r>
    </w:p>
    <w:p>
      <w:pPr>
        <w:pStyle w:val="BodyText"/>
        <w:spacing w:line="300" w:lineRule="auto" w:before="28"/>
        <w:ind w:right="94" w:firstLine="300"/>
        <w:jc w:val="left"/>
      </w:pPr>
      <w:r>
        <w:rPr>
          <w:rFonts w:ascii="Times New Roman" w:hAnsi="Times New Roman" w:cs="Times New Roman" w:eastAsia="Times New Roman" w:hint="default"/>
          <w:spacing w:val="-3"/>
        </w:rPr>
        <w:t>8</w:t>
      </w:r>
      <w:r>
        <w:rPr>
          <w:spacing w:val="-3"/>
        </w:rPr>
        <w:t>、凌云先生，</w:t>
      </w:r>
      <w:r>
        <w:rPr>
          <w:rFonts w:ascii="Times New Roman" w:hAnsi="Times New Roman" w:cs="Times New Roman" w:eastAsia="Times New Roman" w:hint="default"/>
          <w:spacing w:val="-3"/>
        </w:rPr>
        <w:t>1962</w:t>
      </w:r>
      <w:r>
        <w:rPr>
          <w:spacing w:val="-3"/>
        </w:rPr>
        <w:t>年出生，中国国籍，计算机科学与技术专业，硕士研究生学历，浙江工商大学教授，多次获得浙江省</w:t>
      </w:r>
      <w:r>
        <w:rPr/>
        <w:t> 科学技术奖。</w:t>
      </w:r>
      <w:r>
        <w:rPr>
          <w:rFonts w:ascii="Times New Roman" w:hAnsi="Times New Roman" w:cs="Times New Roman" w:eastAsia="Times New Roman" w:hint="default"/>
        </w:rPr>
        <w:t>1983</w:t>
      </w:r>
      <w:r>
        <w:rPr/>
        <w:t>年至今在浙江工商大学任教，历任浙江工商大学计算机与信息工程学院副院长、院长、学校科研处处长。</w:t>
      </w:r>
      <w:r>
        <w:rPr>
          <w:spacing w:val="-84"/>
        </w:rPr>
        <w:t> </w:t>
      </w:r>
      <w:r>
        <w:rPr>
          <w:spacing w:val="-84"/>
        </w:rPr>
      </w:r>
      <w:r>
        <w:rPr/>
        <w:t>现任浙江工商大学教授，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月起任创业软件股份有限公司独立董事。</w:t>
      </w:r>
    </w:p>
    <w:p>
      <w:pPr>
        <w:pStyle w:val="BodyText"/>
        <w:spacing w:line="300" w:lineRule="auto" w:before="13"/>
        <w:ind w:right="186" w:firstLine="300"/>
        <w:jc w:val="both"/>
      </w:pPr>
      <w:r>
        <w:rPr>
          <w:rFonts w:ascii="Times New Roman" w:hAnsi="Times New Roman" w:cs="Times New Roman" w:eastAsia="Times New Roman" w:hint="default"/>
          <w:spacing w:val="-4"/>
        </w:rPr>
        <w:t>9</w:t>
      </w:r>
      <w:r>
        <w:rPr>
          <w:spacing w:val="-4"/>
        </w:rPr>
        <w:t>、杨建刚先生，</w:t>
      </w:r>
      <w:r>
        <w:rPr>
          <w:rFonts w:ascii="Times New Roman" w:hAnsi="Times New Roman" w:cs="Times New Roman" w:eastAsia="Times New Roman" w:hint="default"/>
          <w:spacing w:val="-4"/>
        </w:rPr>
        <w:t>1959</w:t>
      </w:r>
      <w:r>
        <w:rPr>
          <w:spacing w:val="-4"/>
        </w:rPr>
        <w:t>年出生，中国国籍。</w:t>
      </w:r>
      <w:r>
        <w:rPr>
          <w:rFonts w:ascii="Times New Roman" w:hAnsi="Times New Roman" w:cs="Times New Roman" w:eastAsia="Times New Roman" w:hint="default"/>
          <w:spacing w:val="-4"/>
        </w:rPr>
        <w:t>1976</w:t>
      </w:r>
      <w:r>
        <w:rPr>
          <w:spacing w:val="-4"/>
        </w:rPr>
        <w:t>年参加工作，</w:t>
      </w:r>
      <w:r>
        <w:rPr>
          <w:rFonts w:ascii="Times New Roman" w:hAnsi="Times New Roman" w:cs="Times New Roman" w:eastAsia="Times New Roman" w:hint="default"/>
          <w:spacing w:val="-4"/>
        </w:rPr>
        <w:t>1987</w:t>
      </w:r>
      <w:r>
        <w:rPr>
          <w:spacing w:val="-4"/>
        </w:rPr>
        <w:t>年公派留学法国，</w:t>
      </w:r>
      <w:r>
        <w:rPr>
          <w:rFonts w:ascii="Times New Roman" w:hAnsi="Times New Roman" w:cs="Times New Roman" w:eastAsia="Times New Roman" w:hint="default"/>
          <w:spacing w:val="-4"/>
        </w:rPr>
        <w:t>1991</w:t>
      </w:r>
      <w:r>
        <w:rPr>
          <w:spacing w:val="-4"/>
        </w:rPr>
        <w:t>年获法国</w:t>
      </w:r>
      <w:r>
        <w:rPr>
          <w:rFonts w:ascii="Times New Roman" w:hAnsi="Times New Roman" w:cs="Times New Roman" w:eastAsia="Times New Roman" w:hint="default"/>
          <w:spacing w:val="-4"/>
        </w:rPr>
        <w:t>ENSAM</w:t>
      </w:r>
      <w:r>
        <w:rPr>
          <w:spacing w:val="-4"/>
        </w:rPr>
        <w:t>博士学位。</w:t>
      </w:r>
      <w:r>
        <w:rPr>
          <w:rFonts w:ascii="Times New Roman" w:hAnsi="Times New Roman" w:cs="Times New Roman" w:eastAsia="Times New Roman" w:hint="default"/>
          <w:spacing w:val="-4"/>
        </w:rPr>
        <w:t>1992</w:t>
      </w:r>
      <w:r>
        <w:rPr>
          <w:rFonts w:ascii="Times New Roman" w:hAnsi="Times New Roman" w:cs="Times New Roman" w:eastAsia="Times New Roman" w:hint="default"/>
          <w:spacing w:val="1"/>
        </w:rPr>
        <w:t> </w:t>
      </w:r>
      <w:r>
        <w:rPr>
          <w:spacing w:val="-2"/>
        </w:rPr>
        <w:t>年浙江大学电工学科博士后，</w:t>
      </w:r>
      <w:r>
        <w:rPr>
          <w:rFonts w:ascii="Times New Roman" w:hAnsi="Times New Roman" w:cs="Times New Roman" w:eastAsia="Times New Roman" w:hint="default"/>
          <w:spacing w:val="-2"/>
        </w:rPr>
        <w:t>1994</w:t>
      </w:r>
      <w:r>
        <w:rPr>
          <w:spacing w:val="-2"/>
        </w:rPr>
        <w:t>年起在浙江大学计算机学院任教，教授，博士生导师。现为创业软件股份有限公司独立董</w:t>
      </w:r>
      <w:r>
        <w:rPr>
          <w:spacing w:val="-63"/>
        </w:rPr>
        <w:t> </w:t>
      </w:r>
      <w:r>
        <w:rPr>
          <w:spacing w:val="-63"/>
        </w:rPr>
      </w:r>
      <w:r>
        <w:rPr/>
        <w:t>事。</w:t>
      </w:r>
    </w:p>
    <w:p>
      <w:pPr>
        <w:pStyle w:val="BodyText"/>
        <w:spacing w:line="240" w:lineRule="auto" w:before="106"/>
        <w:ind w:left="453" w:right="94"/>
        <w:jc w:val="left"/>
      </w:pPr>
      <w:r>
        <w:rPr/>
        <w:t>（二）监事会成员</w:t>
      </w:r>
    </w:p>
    <w:p>
      <w:pPr>
        <w:pStyle w:val="BodyText"/>
        <w:spacing w:line="300" w:lineRule="auto" w:before="146"/>
        <w:ind w:right="189" w:firstLine="300"/>
        <w:jc w:val="both"/>
      </w:pPr>
      <w:r>
        <w:rPr>
          <w:rFonts w:ascii="Times New Roman" w:hAnsi="Times New Roman" w:cs="Times New Roman" w:eastAsia="Times New Roman" w:hint="default"/>
        </w:rPr>
        <w:t>1</w:t>
      </w:r>
      <w:r>
        <w:rPr/>
        <w:t>、叶建先生，出生于</w:t>
      </w:r>
      <w:r>
        <w:rPr>
          <w:rFonts w:ascii="Times New Roman" w:hAnsi="Times New Roman" w:cs="Times New Roman" w:eastAsia="Times New Roman" w:hint="default"/>
        </w:rPr>
        <w:t>1969</w:t>
      </w:r>
      <w:r>
        <w:rPr/>
        <w:t>年，中国国籍，无境外永久居留权，浙江大学</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1990</w:t>
      </w:r>
      <w:r>
        <w:rPr/>
        <w:t>年参加工作，曾就职于杭州应用工 </w:t>
      </w:r>
      <w:r>
        <w:rPr>
          <w:spacing w:val="-1"/>
        </w:rPr>
        <w:t>程技术学院计算中心、保隆</w:t>
      </w:r>
      <w:r>
        <w:rPr>
          <w:rFonts w:ascii="Times New Roman" w:hAnsi="Times New Roman" w:cs="Times New Roman" w:eastAsia="Times New Roman" w:hint="default"/>
          <w:spacing w:val="-1"/>
        </w:rPr>
        <w:t>(</w:t>
      </w:r>
      <w:r>
        <w:rPr>
          <w:spacing w:val="-1"/>
        </w:rPr>
        <w:t>天津</w:t>
      </w:r>
      <w:r>
        <w:rPr>
          <w:rFonts w:ascii="Times New Roman" w:hAnsi="Times New Roman" w:cs="Times New Roman" w:eastAsia="Times New Roman" w:hint="default"/>
          <w:spacing w:val="-1"/>
        </w:rPr>
        <w:t>)</w:t>
      </w:r>
      <w:r>
        <w:rPr>
          <w:spacing w:val="-1"/>
        </w:rPr>
        <w:t>国际贸易有限公司、浙租方博计算机有限公司，</w:t>
      </w:r>
      <w:r>
        <w:rPr>
          <w:rFonts w:ascii="Times New Roman" w:hAnsi="Times New Roman" w:cs="Times New Roman" w:eastAsia="Times New Roman" w:hint="default"/>
          <w:spacing w:val="-1"/>
        </w:rPr>
        <w:t>2000</w:t>
      </w:r>
      <w:r>
        <w:rPr>
          <w:spacing w:val="-1"/>
        </w:rPr>
        <w:t>至</w:t>
      </w:r>
      <w:r>
        <w:rPr>
          <w:rFonts w:ascii="Times New Roman" w:hAnsi="Times New Roman" w:cs="Times New Roman" w:eastAsia="Times New Roman" w:hint="default"/>
          <w:spacing w:val="-1"/>
        </w:rPr>
        <w:t>2011</w:t>
      </w:r>
      <w:r>
        <w:rPr>
          <w:spacing w:val="-1"/>
        </w:rPr>
        <w:t>年任杭州创业计算机工程有限</w:t>
      </w:r>
      <w:r>
        <w:rPr>
          <w:spacing w:val="-55"/>
        </w:rPr>
        <w:t> </w:t>
      </w:r>
      <w:r>
        <w:rPr/>
        <w:t>公司执行董事、总经理职务，</w:t>
      </w:r>
      <w:r>
        <w:rPr>
          <w:rFonts w:ascii="Times New Roman" w:hAnsi="Times New Roman" w:cs="Times New Roman" w:eastAsia="Times New Roman" w:hint="default"/>
        </w:rPr>
        <w:t>2011</w:t>
      </w:r>
      <w:r>
        <w:rPr/>
        <w:t>年至今任杭州联旗科技有限公司执行董事。</w:t>
      </w:r>
    </w:p>
    <w:p>
      <w:pPr>
        <w:pStyle w:val="BodyText"/>
        <w:spacing w:line="300" w:lineRule="auto" w:before="13"/>
        <w:ind w:right="186" w:firstLine="300"/>
        <w:jc w:val="both"/>
      </w:pPr>
      <w:r>
        <w:rPr>
          <w:rFonts w:ascii="Times New Roman" w:hAnsi="Times New Roman" w:cs="Times New Roman" w:eastAsia="Times New Roman" w:hint="default"/>
          <w:spacing w:val="-2"/>
        </w:rPr>
        <w:t>2</w:t>
      </w:r>
      <w:r>
        <w:rPr>
          <w:spacing w:val="-2"/>
        </w:rPr>
        <w:t>、贾驰女士，出生于</w:t>
      </w:r>
      <w:r>
        <w:rPr>
          <w:rFonts w:ascii="Times New Roman" w:hAnsi="Times New Roman" w:cs="Times New Roman" w:eastAsia="Times New Roman" w:hint="default"/>
          <w:spacing w:val="-2"/>
        </w:rPr>
        <w:t>1977</w:t>
      </w:r>
      <w:r>
        <w:rPr>
          <w:spacing w:val="-2"/>
        </w:rPr>
        <w:t>年，中国国籍，无境外永久居留权，博士研究生学历，副教授。</w:t>
      </w:r>
      <w:r>
        <w:rPr>
          <w:rFonts w:ascii="Times New Roman" w:hAnsi="Times New Roman" w:cs="Times New Roman" w:eastAsia="Times New Roman" w:hint="default"/>
          <w:spacing w:val="-2"/>
        </w:rPr>
        <w:t>1999</w:t>
      </w:r>
      <w:r>
        <w:rPr>
          <w:spacing w:val="-2"/>
        </w:rPr>
        <w:t>至</w:t>
      </w:r>
      <w:r>
        <w:rPr>
          <w:rFonts w:ascii="Times New Roman" w:hAnsi="Times New Roman" w:cs="Times New Roman" w:eastAsia="Times New Roman" w:hint="default"/>
          <w:spacing w:val="-2"/>
        </w:rPr>
        <w:t>2000</w:t>
      </w:r>
      <w:r>
        <w:rPr>
          <w:spacing w:val="-2"/>
        </w:rPr>
        <w:t>年在浙江东方集团</w:t>
      </w:r>
      <w:r>
        <w:rPr/>
        <w:t> 股份有限公司任职员，</w:t>
      </w:r>
      <w:r>
        <w:rPr>
          <w:rFonts w:ascii="Times New Roman" w:hAnsi="Times New Roman" w:cs="Times New Roman" w:eastAsia="Times New Roman" w:hint="default"/>
        </w:rPr>
        <w:t>2003</w:t>
      </w:r>
      <w:r>
        <w:rPr/>
        <w:t>至今在浙江工商大学任教，任副教授，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月起至今任公司监事。</w:t>
      </w:r>
    </w:p>
    <w:p>
      <w:pPr>
        <w:pStyle w:val="BodyText"/>
        <w:spacing w:line="300" w:lineRule="auto" w:before="13"/>
        <w:ind w:right="191" w:firstLine="300"/>
        <w:jc w:val="both"/>
      </w:pPr>
      <w:r>
        <w:rPr>
          <w:rFonts w:ascii="Times New Roman" w:hAnsi="Times New Roman" w:cs="Times New Roman" w:eastAsia="Times New Roman" w:hint="default"/>
          <w:spacing w:val="-3"/>
        </w:rPr>
        <w:t>3</w:t>
      </w:r>
      <w:r>
        <w:rPr>
          <w:spacing w:val="-3"/>
        </w:rPr>
        <w:t>、李军女士，</w:t>
      </w:r>
      <w:r>
        <w:rPr>
          <w:rFonts w:ascii="Times New Roman" w:hAnsi="Times New Roman" w:cs="Times New Roman" w:eastAsia="Times New Roman" w:hint="default"/>
          <w:spacing w:val="-3"/>
        </w:rPr>
        <w:t>1964</w:t>
      </w:r>
      <w:r>
        <w:rPr>
          <w:spacing w:val="-3"/>
        </w:rPr>
        <w:t>年出生，中国国籍，本科学历，高级经济师。</w:t>
      </w:r>
      <w:r>
        <w:rPr>
          <w:rFonts w:ascii="Times New Roman" w:hAnsi="Times New Roman" w:cs="Times New Roman" w:eastAsia="Times New Roman" w:hint="default"/>
          <w:spacing w:val="-3"/>
        </w:rPr>
        <w:t>1999</w:t>
      </w:r>
      <w:r>
        <w:rPr>
          <w:spacing w:val="-3"/>
        </w:rPr>
        <w:t>年至今在创业软件股份有限公司工作，历任财务部</w:t>
      </w:r>
      <w:r>
        <w:rPr/>
        <w:t> 副经理、财务部经理等职务，现任创业软件股份有限公司总裁助理、财务副总监。</w:t>
      </w:r>
    </w:p>
    <w:p>
      <w:pPr>
        <w:pStyle w:val="BodyText"/>
        <w:spacing w:line="388" w:lineRule="auto" w:before="106"/>
        <w:ind w:left="453" w:right="2164"/>
        <w:jc w:val="left"/>
      </w:pPr>
      <w:r>
        <w:rPr/>
        <w:t>（三）高级管理人员 公司高级管理人员共</w:t>
      </w:r>
      <w:r>
        <w:rPr>
          <w:rFonts w:ascii="Times New Roman" w:hAnsi="Times New Roman" w:cs="Times New Roman" w:eastAsia="Times New Roman" w:hint="default"/>
        </w:rPr>
        <w:t>9</w:t>
      </w:r>
      <w:r>
        <w:rPr/>
        <w:t>名，全部专职在公司领取薪水。上述高级管理人员简历如下：</w:t>
      </w:r>
    </w:p>
    <w:p>
      <w:pPr>
        <w:pStyle w:val="BodyText"/>
        <w:spacing w:line="188" w:lineRule="exact"/>
        <w:ind w:left="453" w:right="94"/>
        <w:jc w:val="left"/>
      </w:pPr>
      <w:r>
        <w:rPr>
          <w:rFonts w:ascii="Times New Roman" w:hAnsi="Times New Roman" w:cs="Times New Roman" w:eastAsia="Times New Roman" w:hint="default"/>
        </w:rPr>
        <w:t>1</w:t>
      </w:r>
      <w:r>
        <w:rPr/>
        <w:t>、葛航先生，董事长，简历见</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240" w:lineRule="auto" w:before="63"/>
        <w:ind w:left="453" w:right="94"/>
        <w:jc w:val="left"/>
      </w:pPr>
      <w:r>
        <w:rPr>
          <w:rFonts w:ascii="Times New Roman" w:hAnsi="Times New Roman" w:cs="Times New Roman" w:eastAsia="Times New Roman" w:hint="default"/>
        </w:rPr>
        <w:t>2</w:t>
      </w:r>
      <w:r>
        <w:rPr/>
        <w:t>、张吕峥先生，总经理，简历见</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240" w:lineRule="auto" w:before="63"/>
        <w:ind w:left="453" w:right="94"/>
        <w:jc w:val="left"/>
      </w:pPr>
      <w:r>
        <w:rPr>
          <w:rFonts w:ascii="Times New Roman" w:hAnsi="Times New Roman" w:cs="Times New Roman" w:eastAsia="Times New Roman" w:hint="default"/>
        </w:rPr>
        <w:t>3</w:t>
      </w:r>
      <w:r>
        <w:rPr/>
        <w:t>、胡燕女士，董事会秘书，简历见</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p>
    <w:p>
      <w:pPr>
        <w:pStyle w:val="BodyText"/>
        <w:spacing w:line="304" w:lineRule="auto" w:before="63"/>
        <w:ind w:right="188" w:firstLine="300"/>
        <w:jc w:val="both"/>
      </w:pPr>
      <w:r>
        <w:rPr>
          <w:rFonts w:ascii="Times New Roman" w:hAnsi="Times New Roman" w:cs="Times New Roman" w:eastAsia="Times New Roman" w:hint="default"/>
          <w:spacing w:val="-3"/>
        </w:rPr>
        <w:t>4</w:t>
      </w:r>
      <w:r>
        <w:rPr>
          <w:spacing w:val="-3"/>
        </w:rPr>
        <w:t>、高春蓉女士，</w:t>
      </w:r>
      <w:r>
        <w:rPr>
          <w:rFonts w:ascii="Times New Roman" w:hAnsi="Times New Roman" w:cs="Times New Roman" w:eastAsia="Times New Roman" w:hint="default"/>
          <w:spacing w:val="-3"/>
        </w:rPr>
        <w:t>1971</w:t>
      </w:r>
      <w:r>
        <w:rPr>
          <w:spacing w:val="-3"/>
        </w:rPr>
        <w:t>年生，中国国籍，计算机通信工程专业，博士研究生学历。自</w:t>
      </w:r>
      <w:r>
        <w:rPr>
          <w:rFonts w:ascii="Times New Roman" w:hAnsi="Times New Roman" w:cs="Times New Roman" w:eastAsia="Times New Roman" w:hint="default"/>
          <w:spacing w:val="-3"/>
        </w:rPr>
        <w:t>1992</w:t>
      </w:r>
      <w:r>
        <w:rPr>
          <w:spacing w:val="-3"/>
        </w:rPr>
        <w:t>年起在</w:t>
      </w:r>
      <w:r>
        <w:rPr>
          <w:rFonts w:ascii="Times New Roman" w:hAnsi="Times New Roman" w:cs="Times New Roman" w:eastAsia="Times New Roman" w:hint="default"/>
          <w:spacing w:val="-3"/>
        </w:rPr>
        <w:t>CESEC</w:t>
      </w:r>
      <w:r>
        <w:rPr>
          <w:spacing w:val="-3"/>
        </w:rPr>
        <w:t>研究所工作，先后</w:t>
      </w:r>
      <w:r>
        <w:rPr/>
        <w:t> </w:t>
      </w:r>
      <w:r>
        <w:rPr>
          <w:spacing w:val="-2"/>
        </w:rPr>
        <w:t>承担过</w:t>
      </w:r>
      <w:r>
        <w:rPr>
          <w:rFonts w:ascii="Times New Roman" w:hAnsi="Times New Roman" w:cs="Times New Roman" w:eastAsia="Times New Roman" w:hint="default"/>
          <w:spacing w:val="-2"/>
        </w:rPr>
        <w:t>“</w:t>
      </w:r>
      <w:r>
        <w:rPr>
          <w:spacing w:val="-2"/>
        </w:rPr>
        <w:t>七五</w:t>
      </w:r>
      <w:r>
        <w:rPr>
          <w:rFonts w:ascii="Times New Roman" w:hAnsi="Times New Roman" w:cs="Times New Roman" w:eastAsia="Times New Roman" w:hint="default"/>
          <w:spacing w:val="-2"/>
        </w:rPr>
        <w:t>”</w:t>
      </w:r>
      <w:r>
        <w:rPr>
          <w:spacing w:val="-2"/>
        </w:rPr>
        <w:t>以来多项重点项目的体制论证、总体设计以及关键技术的研究工作，历任该研究所助理工程师、工程师、高级</w:t>
      </w:r>
      <w:r>
        <w:rPr>
          <w:spacing w:val="-43"/>
        </w:rPr>
        <w:t> </w:t>
      </w:r>
      <w:r>
        <w:rPr>
          <w:spacing w:val="-43"/>
        </w:rPr>
      </w:r>
      <w:r>
        <w:rPr>
          <w:spacing w:val="-2"/>
        </w:rPr>
        <w:t>工程师。曾获得国家科技进步一等奖</w:t>
      </w:r>
      <w:r>
        <w:rPr>
          <w:rFonts w:ascii="Times New Roman" w:hAnsi="Times New Roman" w:cs="Times New Roman" w:eastAsia="Times New Roman" w:hint="default"/>
          <w:spacing w:val="-2"/>
        </w:rPr>
        <w:t>1</w:t>
      </w:r>
      <w:r>
        <w:rPr>
          <w:spacing w:val="-2"/>
        </w:rPr>
        <w:t>次，国家科技进步三等奖</w:t>
      </w:r>
      <w:r>
        <w:rPr>
          <w:rFonts w:ascii="Times New Roman" w:hAnsi="Times New Roman" w:cs="Times New Roman" w:eastAsia="Times New Roman" w:hint="default"/>
          <w:spacing w:val="-2"/>
        </w:rPr>
        <w:t>1</w:t>
      </w:r>
      <w:r>
        <w:rPr>
          <w:spacing w:val="-2"/>
        </w:rPr>
        <w:t>次，军队科技进步一等奖</w:t>
      </w:r>
      <w:r>
        <w:rPr>
          <w:rFonts w:ascii="Times New Roman" w:hAnsi="Times New Roman" w:cs="Times New Roman" w:eastAsia="Times New Roman" w:hint="default"/>
          <w:spacing w:val="-2"/>
        </w:rPr>
        <w:t>2</w:t>
      </w:r>
      <w:r>
        <w:rPr>
          <w:spacing w:val="-2"/>
        </w:rPr>
        <w:t>次，军队科技进步三等奖</w:t>
      </w:r>
      <w:r>
        <w:rPr>
          <w:rFonts w:ascii="Times New Roman" w:hAnsi="Times New Roman" w:cs="Times New Roman" w:eastAsia="Times New Roman" w:hint="default"/>
          <w:spacing w:val="-2"/>
        </w:rPr>
        <w:t>1</w:t>
      </w:r>
      <w:r>
        <w:rPr>
          <w:spacing w:val="-2"/>
        </w:rPr>
        <w:t>次。翻</w:t>
      </w:r>
      <w:r>
        <w:rPr>
          <w:spacing w:val="-63"/>
        </w:rPr>
        <w:t> </w:t>
      </w:r>
      <w:r>
        <w:rPr>
          <w:spacing w:val="-63"/>
        </w:rPr>
      </w:r>
      <w:r>
        <w:rPr>
          <w:spacing w:val="-2"/>
        </w:rPr>
        <w:t>译出版了多本专业技术书籍。多次在国际学术会议、全国性学术会议、全军学术会议上发表并宣讲论文。</w:t>
      </w:r>
      <w:r>
        <w:rPr>
          <w:rFonts w:ascii="Times New Roman" w:hAnsi="Times New Roman" w:cs="Times New Roman" w:eastAsia="Times New Roman" w:hint="default"/>
          <w:spacing w:val="-2"/>
        </w:rPr>
        <w:t>2013</w:t>
      </w:r>
      <w:r>
        <w:rPr>
          <w:spacing w:val="-2"/>
        </w:rPr>
        <w:t>年起在创业软</w:t>
      </w:r>
      <w:r>
        <w:rPr>
          <w:spacing w:val="-60"/>
        </w:rPr>
        <w:t> </w:t>
      </w:r>
      <w:r>
        <w:rPr>
          <w:spacing w:val="-60"/>
        </w:rPr>
      </w:r>
      <w:r>
        <w:rPr>
          <w:spacing w:val="-2"/>
        </w:rPr>
        <w:t>件股份有限公司工作，现任创业软件股份有限公司副总经理、总工程师，中国卫生信息学会健康医疗大数据医疗质量管理与</w:t>
      </w:r>
      <w:r>
        <w:rPr>
          <w:spacing w:val="-66"/>
        </w:rPr>
        <w:t> </w:t>
      </w:r>
      <w:r>
        <w:rPr>
          <w:spacing w:val="-66"/>
        </w:rPr>
      </w:r>
      <w:r>
        <w:rPr/>
        <w:t>监督专业委员会副秘书长。</w:t>
      </w:r>
    </w:p>
    <w:p>
      <w:pPr>
        <w:pStyle w:val="BodyText"/>
        <w:spacing w:line="300" w:lineRule="auto" w:before="28"/>
        <w:ind w:right="190" w:firstLine="300"/>
        <w:jc w:val="both"/>
      </w:pPr>
      <w:r>
        <w:rPr>
          <w:rFonts w:ascii="Times New Roman" w:hAnsi="Times New Roman" w:cs="Times New Roman" w:eastAsia="Times New Roman" w:hint="default"/>
          <w:spacing w:val="-3"/>
        </w:rPr>
        <w:t>5</w:t>
      </w:r>
      <w:r>
        <w:rPr>
          <w:spacing w:val="-3"/>
        </w:rPr>
        <w:t>、方宝林先生，</w:t>
      </w:r>
      <w:r>
        <w:rPr>
          <w:rFonts w:ascii="Times New Roman" w:hAnsi="Times New Roman" w:cs="Times New Roman" w:eastAsia="Times New Roman" w:hint="default"/>
          <w:spacing w:val="-3"/>
        </w:rPr>
        <w:t>1972</w:t>
      </w:r>
      <w:r>
        <w:rPr>
          <w:spacing w:val="-3"/>
        </w:rPr>
        <w:t>年出生，中国国籍，本科学历，高级项目管理师。曾主持和参与了多项国家、省、市级重点项目的</w:t>
      </w:r>
      <w:r>
        <w:rPr/>
        <w:t> </w:t>
      </w:r>
      <w:r>
        <w:rPr>
          <w:spacing w:val="-2"/>
        </w:rPr>
        <w:t>技术开发和工程实施工作，多次荣获省、市科技奖励，</w:t>
      </w:r>
      <w:r>
        <w:rPr>
          <w:rFonts w:ascii="Times New Roman" w:hAnsi="Times New Roman" w:cs="Times New Roman" w:eastAsia="Times New Roman" w:hint="default"/>
          <w:spacing w:val="-2"/>
        </w:rPr>
        <w:t>2010</w:t>
      </w:r>
      <w:r>
        <w:rPr>
          <w:spacing w:val="-2"/>
        </w:rPr>
        <w:t>年被评为杭州高新区优秀科技工作者。历任杭州正恒软件有限公</w:t>
      </w:r>
      <w:r>
        <w:rPr>
          <w:spacing w:val="-60"/>
        </w:rPr>
        <w:t> </w:t>
      </w:r>
      <w:r>
        <w:rPr>
          <w:spacing w:val="-60"/>
        </w:rPr>
      </w:r>
      <w:r>
        <w:rPr/>
        <w:t>司总经理，</w:t>
      </w:r>
      <w:r>
        <w:rPr>
          <w:rFonts w:ascii="Times New Roman" w:hAnsi="Times New Roman" w:cs="Times New Roman" w:eastAsia="Times New Roman" w:hint="default"/>
        </w:rPr>
        <w:t>2004</w:t>
      </w:r>
      <w:r>
        <w:rPr/>
        <w:t>年加入创业软件股份有限公司，历任创业软件股份有限公司</w:t>
      </w:r>
      <w:r>
        <w:rPr>
          <w:rFonts w:ascii="Times New Roman" w:hAnsi="Times New Roman" w:cs="Times New Roman" w:eastAsia="Times New Roman" w:hint="default"/>
        </w:rPr>
        <w:t>LIS</w:t>
      </w:r>
      <w:r>
        <w:rPr/>
        <w:t>事业部总经理、研发中心主任，现任创业软</w:t>
      </w:r>
      <w:r>
        <w:rPr>
          <w:spacing w:val="-85"/>
        </w:rPr>
        <w:t> </w:t>
      </w:r>
      <w:r>
        <w:rPr>
          <w:spacing w:val="-85"/>
        </w:rPr>
      </w:r>
      <w:r>
        <w:rPr/>
        <w:t>件股份有限公司副总经理。</w:t>
      </w:r>
    </w:p>
    <w:p>
      <w:pPr>
        <w:pStyle w:val="BodyText"/>
        <w:spacing w:line="309" w:lineRule="auto" w:before="31"/>
        <w:ind w:right="189" w:firstLine="300"/>
        <w:jc w:val="both"/>
      </w:pPr>
      <w:r>
        <w:rPr>
          <w:rFonts w:ascii="Times New Roman" w:hAnsi="Times New Roman" w:cs="Times New Roman" w:eastAsia="Times New Roman" w:hint="default"/>
          <w:spacing w:val="-1"/>
        </w:rPr>
        <w:t>6</w:t>
      </w:r>
      <w:r>
        <w:rPr>
          <w:spacing w:val="-1"/>
        </w:rPr>
        <w:t>、张崧先生，</w:t>
      </w:r>
      <w:r>
        <w:rPr>
          <w:rFonts w:ascii="Times New Roman" w:hAnsi="Times New Roman" w:cs="Times New Roman" w:eastAsia="Times New Roman" w:hint="default"/>
          <w:spacing w:val="-1"/>
        </w:rPr>
        <w:t>1982</w:t>
      </w:r>
      <w:r>
        <w:rPr>
          <w:spacing w:val="-1"/>
        </w:rPr>
        <w:t>年出生，中国国籍，本科学历。</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5</w:t>
      </w:r>
      <w:r>
        <w:rPr>
          <w:spacing w:val="-1"/>
        </w:rPr>
        <w:t>月入职创业软件，从事医疗信息化行业十多年，行业经验丰</w:t>
      </w:r>
      <w:r>
        <w:rPr/>
        <w:t> </w:t>
      </w:r>
      <w:r>
        <w:rPr>
          <w:spacing w:val="-2"/>
        </w:rPr>
        <w:t>富，专业能力强。创业软件高级副总裁，创业软件闵行区联合运营中心负责人，分管北方大区、浙闽大区、上海大区销售管</w:t>
      </w:r>
      <w:r>
        <w:rPr>
          <w:spacing w:val="-68"/>
        </w:rPr>
        <w:t> </w:t>
      </w:r>
      <w:r>
        <w:rPr>
          <w:spacing w:val="-68"/>
        </w:rPr>
      </w:r>
      <w:r>
        <w:rPr>
          <w:spacing w:val="-2"/>
        </w:rPr>
        <w:t>理工作，同时作为创业软件上海大区总负责人带领上海大区积极参与上海市医改信息化建设工作，有着丰富的销售管理以及</w:t>
      </w:r>
    </w:p>
    <w:p>
      <w:pPr>
        <w:spacing w:after="0" w:line="30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区域运营管理能力。现担任创业软件股份有限公司副总经理、新疆创什信息科技有限公司法定代表人。</w:t>
      </w:r>
    </w:p>
    <w:p>
      <w:pPr>
        <w:pStyle w:val="BodyText"/>
        <w:spacing w:line="240" w:lineRule="auto" w:before="76"/>
        <w:ind w:left="453" w:right="0"/>
        <w:jc w:val="left"/>
      </w:pPr>
      <w:r>
        <w:rPr>
          <w:rFonts w:ascii="Times New Roman" w:hAnsi="Times New Roman" w:cs="Times New Roman" w:eastAsia="Times New Roman" w:hint="default"/>
          <w:spacing w:val="-2"/>
        </w:rPr>
        <w:t>7</w:t>
      </w:r>
      <w:r>
        <w:rPr>
          <w:spacing w:val="-2"/>
        </w:rPr>
        <w:t>、孙烈峰先生，</w:t>
      </w:r>
      <w:r>
        <w:rPr>
          <w:rFonts w:ascii="Times New Roman" w:hAnsi="Times New Roman" w:cs="Times New Roman" w:eastAsia="Times New Roman" w:hint="default"/>
          <w:spacing w:val="-2"/>
        </w:rPr>
        <w:t>1970</w:t>
      </w:r>
      <w:r>
        <w:rPr>
          <w:spacing w:val="-2"/>
        </w:rPr>
        <w:t>年出生，中国国籍，本科学历，工程师。</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4</w:t>
      </w:r>
      <w:r>
        <w:rPr>
          <w:spacing w:val="-2"/>
        </w:rPr>
        <w:t>月在杭州汽车发动机厂工作。</w:t>
      </w:r>
      <w:r>
        <w:rPr>
          <w:rFonts w:ascii="Times New Roman" w:hAnsi="Times New Roman" w:cs="Times New Roman" w:eastAsia="Times New Roman" w:hint="default"/>
          <w:spacing w:val="-2"/>
        </w:rPr>
        <w:t>1999</w:t>
      </w:r>
      <w:r>
        <w:rPr>
          <w:spacing w:val="-2"/>
        </w:rPr>
        <w:t>年</w:t>
      </w:r>
    </w:p>
    <w:p>
      <w:pPr>
        <w:pStyle w:val="BodyText"/>
        <w:spacing w:line="300" w:lineRule="auto" w:before="63"/>
        <w:ind w:right="144"/>
        <w:jc w:val="left"/>
      </w:pPr>
      <w:r>
        <w:rPr>
          <w:rFonts w:ascii="Times New Roman" w:hAnsi="Times New Roman" w:cs="Times New Roman" w:eastAsia="Times New Roman" w:hint="default"/>
        </w:rPr>
        <w:t>5</w:t>
      </w:r>
      <w:r>
        <w:rPr/>
        <w:t>月起在创业软件股份有限公司工作，长期从事创业软件股份有限公司产品研发及管理工作，历任创业软件股份有限公司产</w:t>
      </w:r>
      <w:r>
        <w:rPr>
          <w:spacing w:val="-84"/>
        </w:rPr>
        <w:t> </w:t>
      </w:r>
      <w:r>
        <w:rPr>
          <w:spacing w:val="-84"/>
        </w:rPr>
      </w:r>
      <w:r>
        <w:rPr/>
        <w:t>品中心总经理、上海研究院院长、华南研究院院长、华南大区总经理。现任创业软件股份有限公司副总经理。</w:t>
      </w:r>
    </w:p>
    <w:p>
      <w:pPr>
        <w:pStyle w:val="BodyText"/>
        <w:spacing w:line="300" w:lineRule="auto" w:before="31"/>
        <w:ind w:right="149" w:firstLine="300"/>
        <w:jc w:val="both"/>
      </w:pPr>
      <w:r>
        <w:rPr>
          <w:rFonts w:ascii="Times New Roman" w:hAnsi="Times New Roman" w:cs="Times New Roman" w:eastAsia="Times New Roman" w:hint="default"/>
          <w:spacing w:val="-2"/>
        </w:rPr>
        <w:t>8</w:t>
      </w:r>
      <w:r>
        <w:rPr>
          <w:spacing w:val="-2"/>
        </w:rPr>
        <w:t>、陈东先生，</w:t>
      </w:r>
      <w:r>
        <w:rPr>
          <w:rFonts w:ascii="Times New Roman" w:hAnsi="Times New Roman" w:cs="Times New Roman" w:eastAsia="Times New Roman" w:hint="default"/>
          <w:spacing w:val="-2"/>
        </w:rPr>
        <w:t>1970</w:t>
      </w:r>
      <w:r>
        <w:rPr>
          <w:spacing w:val="-2"/>
        </w:rPr>
        <w:t>年出生，中国国籍，本科学历，工程师。</w:t>
      </w:r>
      <w:r>
        <w:rPr>
          <w:rFonts w:ascii="Times New Roman" w:hAnsi="Times New Roman" w:cs="Times New Roman" w:eastAsia="Times New Roman" w:hint="default"/>
          <w:spacing w:val="-2"/>
        </w:rPr>
        <w:t>2000</w:t>
      </w:r>
      <w:r>
        <w:rPr>
          <w:spacing w:val="-2"/>
        </w:rPr>
        <w:t>年至今一直任职于创业软件股份有限公司，曾任杭州创</w:t>
      </w:r>
      <w:r>
        <w:rPr/>
        <w:t> 业计算机公司副总经理，现任创业软件股份有限公司副总经理。</w:t>
      </w:r>
    </w:p>
    <w:p>
      <w:pPr>
        <w:pStyle w:val="BodyText"/>
        <w:spacing w:line="300" w:lineRule="auto" w:before="31"/>
        <w:ind w:right="149" w:firstLine="300"/>
        <w:jc w:val="both"/>
      </w:pPr>
      <w:r>
        <w:rPr>
          <w:rFonts w:ascii="Times New Roman" w:hAnsi="Times New Roman" w:cs="Times New Roman" w:eastAsia="Times New Roman" w:hint="default"/>
          <w:spacing w:val="-2"/>
        </w:rPr>
        <w:t>9</w:t>
      </w:r>
      <w:r>
        <w:rPr>
          <w:spacing w:val="-2"/>
        </w:rPr>
        <w:t>、郁燕萍女士，</w:t>
      </w:r>
      <w:r>
        <w:rPr>
          <w:rFonts w:ascii="Times New Roman" w:hAnsi="Times New Roman" w:cs="Times New Roman" w:eastAsia="Times New Roman" w:hint="default"/>
          <w:spacing w:val="-2"/>
        </w:rPr>
        <w:t>1966</w:t>
      </w:r>
      <w:r>
        <w:rPr>
          <w:spacing w:val="-2"/>
        </w:rPr>
        <w:t>年出生，中国国籍，经济管理专业，本科学历，高级经济师、注册会计师。</w:t>
      </w:r>
      <w:r>
        <w:rPr>
          <w:rFonts w:ascii="Times New Roman" w:hAnsi="Times New Roman" w:cs="Times New Roman" w:eastAsia="Times New Roman" w:hint="default"/>
          <w:spacing w:val="-2"/>
        </w:rPr>
        <w:t>1988</w:t>
      </w:r>
      <w:r>
        <w:rPr>
          <w:spacing w:val="-2"/>
        </w:rPr>
        <w:t>年至</w:t>
      </w:r>
      <w:r>
        <w:rPr>
          <w:rFonts w:ascii="Times New Roman" w:hAnsi="Times New Roman" w:cs="Times New Roman" w:eastAsia="Times New Roman" w:hint="default"/>
          <w:spacing w:val="-2"/>
        </w:rPr>
        <w:t>1995</w:t>
      </w:r>
      <w:r>
        <w:rPr>
          <w:spacing w:val="-2"/>
        </w:rPr>
        <w:t>年任浙江</w:t>
      </w:r>
      <w:r>
        <w:rPr/>
        <w:t> 省饲料公司会计，</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2005</w:t>
      </w:r>
      <w:r>
        <w:rPr/>
        <w:t>年任浙江中饲粮油饲料有限公司主办会计</w:t>
      </w:r>
      <w:r>
        <w:rPr>
          <w:rFonts w:ascii="Times New Roman" w:hAnsi="Times New Roman" w:cs="Times New Roman" w:eastAsia="Times New Roman" w:hint="default"/>
        </w:rPr>
        <w:t>,</w:t>
      </w:r>
      <w:r>
        <w:rPr/>
        <w:t>浙江兴威工程技术有限公司财务经理。</w:t>
      </w:r>
      <w:r>
        <w:rPr>
          <w:rFonts w:ascii="Times New Roman" w:hAnsi="Times New Roman" w:cs="Times New Roman" w:eastAsia="Times New Roman" w:hint="default"/>
        </w:rPr>
        <w:t>2005</w:t>
      </w:r>
      <w:r>
        <w:rPr/>
        <w:t>年起</w:t>
      </w:r>
      <w:r>
        <w:rPr>
          <w:spacing w:val="-44"/>
        </w:rPr>
        <w:t> </w:t>
      </w:r>
      <w:r>
        <w:rPr>
          <w:spacing w:val="-5"/>
        </w:rPr>
        <w:t>在创业软件股份有限公司工作，曾任公司审计部经理，</w:t>
      </w:r>
      <w:r>
        <w:rPr>
          <w:rFonts w:ascii="Times New Roman" w:hAnsi="Times New Roman" w:cs="Times New Roman" w:eastAsia="Times New Roman" w:hint="default"/>
          <w:spacing w:val="-5"/>
        </w:rPr>
        <w:t>2006</w:t>
      </w:r>
      <w:r>
        <w:rPr>
          <w:spacing w:val="-5"/>
        </w:rPr>
        <w:t>年起任公司财务负责人。现任创业软件股份有限公司财务负责人，</w:t>
      </w:r>
      <w:r>
        <w:rPr>
          <w:spacing w:val="-67"/>
        </w:rPr>
        <w:t> </w:t>
      </w:r>
      <w:r>
        <w:rPr>
          <w:spacing w:val="-67"/>
        </w:rPr>
      </w:r>
      <w:r>
        <w:rPr/>
        <w:t>杭州梅清数码科技有限公司董事。</w:t>
      </w:r>
    </w:p>
    <w:p>
      <w:pPr>
        <w:spacing w:line="240" w:lineRule="auto" w:before="0"/>
        <w:rPr>
          <w:rFonts w:ascii="宋体" w:hAnsi="宋体" w:cs="宋体" w:eastAsia="宋体" w:hint="default"/>
          <w:sz w:val="18"/>
          <w:szCs w:val="18"/>
        </w:rPr>
      </w:pPr>
    </w:p>
    <w:p>
      <w:pPr>
        <w:pStyle w:val="BodyText"/>
        <w:spacing w:line="240" w:lineRule="auto" w:before="149"/>
        <w:ind w:right="0"/>
        <w:jc w:val="left"/>
      </w:pPr>
      <w:r>
        <w:rPr/>
        <w:t>在股东单位任职情况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474"/>
        <w:gridCol w:w="2641"/>
        <w:gridCol w:w="2408"/>
        <w:gridCol w:w="3109"/>
      </w:tblGrid>
      <w:tr>
        <w:trPr>
          <w:trHeight w:val="401" w:hRule="exact"/>
        </w:trPr>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在股东单位是否领取报酬津贴</w:t>
            </w:r>
          </w:p>
        </w:tc>
      </w:tr>
      <w:tr>
        <w:trPr>
          <w:trHeight w:val="40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李寒穷</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雅戈尔集团股份有限公司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杭州阜康投资有限公司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杭州阜康投资有限公司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赵晔</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杭州鑫粟科技有限公司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640"/>
        <w:gridCol w:w="4359"/>
        <w:gridCol w:w="1452"/>
        <w:gridCol w:w="2180"/>
      </w:tblGrid>
      <w:tr>
        <w:trPr>
          <w:trHeight w:val="713" w:hRule="exact"/>
        </w:trPr>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1" w:right="89"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05" w:right="94" w:hanging="812"/>
              <w:jc w:val="left"/>
              <w:rPr>
                <w:rFonts w:ascii="宋体" w:hAnsi="宋体" w:cs="宋体" w:eastAsia="宋体" w:hint="default"/>
                <w:sz w:val="18"/>
                <w:szCs w:val="18"/>
              </w:rPr>
            </w:pPr>
            <w:r>
              <w:rPr>
                <w:rFonts w:ascii="宋体" w:hAnsi="宋体" w:cs="宋体" w:eastAsia="宋体" w:hint="default"/>
                <w:sz w:val="18"/>
                <w:szCs w:val="18"/>
              </w:rPr>
              <w:t>在其他单位是否领取报酬 津贴</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中宇科技</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广东中拓信息、蓝天电脑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中宇科技</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苏州创业亿康</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创业南京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李寒穷</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宁波银行股份有限公司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李寒穷</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雅戈尔投资有限公司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81"/>
              <w:jc w:val="left"/>
              <w:rPr>
                <w:rFonts w:ascii="宋体" w:hAnsi="宋体" w:cs="宋体" w:eastAsia="宋体" w:hint="default"/>
                <w:sz w:val="18"/>
                <w:szCs w:val="18"/>
              </w:rPr>
            </w:pPr>
            <w:r>
              <w:rPr>
                <w:rFonts w:ascii="宋体" w:hAnsi="宋体" w:cs="宋体" w:eastAsia="宋体" w:hint="default"/>
                <w:sz w:val="18"/>
                <w:szCs w:val="18"/>
              </w:rPr>
              <w:t>创业南京、卫生技术公司、中拓信息、蓝天电脑、宁 海杭创、创源环境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博泰信息、美诺泰科</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应晶</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浙江大学计算机学院</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教授、博士生导 师</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江乾坤</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1"/>
              <w:jc w:val="left"/>
              <w:rPr>
                <w:rFonts w:ascii="宋体" w:hAnsi="宋体" w:cs="宋体" w:eastAsia="宋体" w:hint="default"/>
                <w:sz w:val="18"/>
                <w:szCs w:val="18"/>
              </w:rPr>
            </w:pPr>
            <w:r>
              <w:rPr>
                <w:rFonts w:ascii="宋体" w:hAnsi="宋体" w:cs="宋体" w:eastAsia="宋体" w:hint="default"/>
                <w:sz w:val="18"/>
                <w:szCs w:val="18"/>
              </w:rPr>
              <w:t>杭州和顺科技股份有限公司、宁波天龙电子股份有限 公司、杭州格林达化学股份有限公司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江乾坤</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杭州电子科技大学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凌云</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1640"/>
        <w:gridCol w:w="4359"/>
        <w:gridCol w:w="1452"/>
        <w:gridCol w:w="2180"/>
      </w:tblGrid>
      <w:tr>
        <w:trPr>
          <w:trHeight w:val="71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杨建刚</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浙江大学计算机学院</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教授，博士生导 师</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贾驰</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郁燕萍</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苏州创业亿康、创源环境、中山杭创</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郁燕萍</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杭州梅清数码科技有限公司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张崧</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新疆创什信息科技有限公司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赵晔</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杭州博泰信息技术服务有限公司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董事、监事、高级管理人员报酬的决策程序、确定依据、实际支付情况</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5425"/>
        <w:gridCol w:w="4201"/>
      </w:tblGrid>
      <w:tr>
        <w:trPr>
          <w:trHeight w:val="970" w:hRule="exact"/>
        </w:trPr>
        <w:tc>
          <w:tcPr>
            <w:tcW w:w="5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4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董事、监事及高级管理人员的薪酬方案由董事会薪酬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6"/>
                <w:sz w:val="18"/>
                <w:szCs w:val="18"/>
              </w:rPr>
              <w:t>与考核委员会拟定，经董事会、监事会、股东大会审议</w:t>
            </w:r>
            <w:r>
              <w:rPr>
                <w:rFonts w:ascii="宋体" w:hAnsi="宋体" w:cs="宋体" w:eastAsia="宋体" w:hint="default"/>
                <w:sz w:val="18"/>
                <w:szCs w:val="18"/>
              </w:rPr>
              <w:t> 通过后实施。</w:t>
            </w:r>
          </w:p>
        </w:tc>
      </w:tr>
      <w:tr>
        <w:trPr>
          <w:trHeight w:val="660" w:hRule="exact"/>
        </w:trPr>
        <w:tc>
          <w:tcPr>
            <w:tcW w:w="5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4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董事、监事和高级管理人员的报酬按照公司规定，结</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合其经营绩效、工作能力能考核确定并发放。</w:t>
            </w:r>
          </w:p>
        </w:tc>
      </w:tr>
      <w:tr>
        <w:trPr>
          <w:trHeight w:val="660" w:hRule="exact"/>
        </w:trPr>
        <w:tc>
          <w:tcPr>
            <w:tcW w:w="5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420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公司现有独立董事、监事、高级管理人员的基本薪酬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已按月支付，其中一定比例考核后发放。</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371"/>
        <w:gridCol w:w="1366"/>
        <w:gridCol w:w="1368"/>
        <w:gridCol w:w="1366"/>
        <w:gridCol w:w="1368"/>
        <w:gridCol w:w="1366"/>
        <w:gridCol w:w="1368"/>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张吕峥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郁燕萍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胡燕</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赵晔</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方宝林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高春蓉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副总经理、总工 程师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赵建新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1371"/>
        <w:gridCol w:w="1366"/>
        <w:gridCol w:w="1368"/>
        <w:gridCol w:w="1366"/>
        <w:gridCol w:w="1368"/>
        <w:gridCol w:w="1366"/>
        <w:gridCol w:w="1368"/>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江乾坤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凌云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杨建刚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李寒穷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孙烈峰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427.67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4"/>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867"/>
        <w:gridCol w:w="1082"/>
        <w:gridCol w:w="655"/>
        <w:gridCol w:w="869"/>
        <w:gridCol w:w="871"/>
        <w:gridCol w:w="869"/>
        <w:gridCol w:w="871"/>
        <w:gridCol w:w="869"/>
        <w:gridCol w:w="872"/>
        <w:gridCol w:w="869"/>
        <w:gridCol w:w="871"/>
      </w:tblGrid>
      <w:tr>
        <w:trPr>
          <w:trHeight w:val="1649"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0" w:right="53"/>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报告期内 已行权股 数行权价 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43" w:right="44"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7" w:right="71"/>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43" w:right="45"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葛航</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张吕峥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43" w:right="86" w:hanging="360"/>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56,250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18,750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37,500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李寒穷</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胡燕</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3" w:right="86" w:hanging="180"/>
              <w:jc w:val="left"/>
              <w:rPr>
                <w:rFonts w:ascii="宋体" w:hAnsi="宋体" w:cs="宋体" w:eastAsia="宋体" w:hint="default"/>
                <w:sz w:val="18"/>
                <w:szCs w:val="18"/>
              </w:rPr>
            </w:pPr>
            <w:r>
              <w:rPr>
                <w:rFonts w:ascii="宋体" w:hAnsi="宋体" w:cs="宋体" w:eastAsia="宋体" w:hint="default"/>
                <w:sz w:val="18"/>
                <w:szCs w:val="18"/>
              </w:rPr>
              <w:t>董事、董事 会秘书</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赵晔</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应晶</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郁燕萍</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Times New Roman" w:hAnsi="Times New Roman" w:cs="Times New Roman" w:eastAsia="Times New Roman" w:hint="default"/>
                <w:sz w:val="18"/>
                <w:szCs w:val="18"/>
              </w:rPr>
            </w:pPr>
            <w:r>
              <w:rPr>
                <w:rFonts w:ascii="Times New Roman"/>
                <w:sz w:val="18"/>
              </w:rPr>
              <w:t>30,000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2"/>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71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高春蓉</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6" w:hanging="92"/>
              <w:jc w:val="left"/>
              <w:rPr>
                <w:rFonts w:ascii="宋体" w:hAnsi="宋体" w:cs="宋体" w:eastAsia="宋体" w:hint="default"/>
                <w:sz w:val="18"/>
                <w:szCs w:val="18"/>
              </w:rPr>
            </w:pPr>
            <w:r>
              <w:rPr>
                <w:rFonts w:ascii="宋体" w:hAnsi="宋体" w:cs="宋体" w:eastAsia="宋体" w:hint="default"/>
                <w:sz w:val="18"/>
                <w:szCs w:val="18"/>
              </w:rPr>
              <w:t>副总经理、 总工程师</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23.78</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方宝林</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9"/>
              <w:jc w:val="right"/>
              <w:rPr>
                <w:rFonts w:ascii="Times New Roman" w:hAnsi="Times New Roman" w:cs="Times New Roman" w:eastAsia="Times New Roman" w:hint="default"/>
                <w:sz w:val="18"/>
                <w:szCs w:val="18"/>
              </w:rPr>
            </w:pPr>
            <w:r>
              <w:rPr>
                <w:rFonts w:ascii="Times New Roman"/>
                <w:sz w:val="18"/>
              </w:rPr>
              <w:t>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23.78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45,000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Times New Roman" w:hAnsi="Times New Roman" w:cs="Times New Roman" w:eastAsia="Times New Roman" w:hint="default"/>
                <w:sz w:val="18"/>
                <w:szCs w:val="18"/>
              </w:rPr>
            </w:pPr>
            <w:r>
              <w:rPr>
                <w:rFonts w:ascii="Times New Roman"/>
                <w:sz w:val="18"/>
              </w:rPr>
              <w:t>15,000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2"/>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赵建新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原副总经理</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9"/>
              <w:jc w:val="right"/>
              <w:rPr>
                <w:rFonts w:ascii="Times New Roman" w:hAnsi="Times New Roman" w:cs="Times New Roman" w:eastAsia="Times New Roman" w:hint="default"/>
                <w:sz w:val="18"/>
                <w:szCs w:val="18"/>
              </w:rPr>
            </w:pPr>
            <w:r>
              <w:rPr>
                <w:rFonts w:ascii="Times New Roman"/>
                <w:sz w:val="18"/>
              </w:rPr>
              <w:t>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45,000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15,000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2"/>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周俊</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原副总经理</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Times New Roman" w:hAnsi="Times New Roman" w:cs="Times New Roman" w:eastAsia="Times New Roman" w:hint="default"/>
                <w:sz w:val="18"/>
                <w:szCs w:val="18"/>
              </w:rPr>
            </w:pPr>
            <w:r>
              <w:rPr>
                <w:rFonts w:ascii="Times New Roman"/>
                <w:sz w:val="18"/>
              </w:rPr>
              <w:t>30,000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2"/>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张崧</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30,000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2"/>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陈东</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6" w:type="dxa"/>
        <w:tblLayout w:type="fixed"/>
        <w:tblCellMar>
          <w:top w:w="0" w:type="dxa"/>
          <w:left w:w="0" w:type="dxa"/>
          <w:bottom w:w="0" w:type="dxa"/>
          <w:right w:w="0" w:type="dxa"/>
        </w:tblCellMar>
        <w:tblLook w:val="01E0"/>
      </w:tblPr>
      <w:tblGrid>
        <w:gridCol w:w="867"/>
        <w:gridCol w:w="1082"/>
        <w:gridCol w:w="655"/>
        <w:gridCol w:w="869"/>
        <w:gridCol w:w="871"/>
        <w:gridCol w:w="869"/>
        <w:gridCol w:w="871"/>
        <w:gridCol w:w="869"/>
        <w:gridCol w:w="872"/>
        <w:gridCol w:w="869"/>
        <w:gridCol w:w="871"/>
      </w:tblGrid>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孙烈峰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45,000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2"/>
              <w:jc w:val="right"/>
              <w:rPr>
                <w:rFonts w:ascii="Times New Roman" w:hAnsi="Times New Roman" w:cs="Times New Roman" w:eastAsia="Times New Roman" w:hint="default"/>
                <w:sz w:val="18"/>
                <w:szCs w:val="18"/>
              </w:rPr>
            </w:pPr>
            <w:r>
              <w:rPr>
                <w:rFonts w:ascii="Times New Roman"/>
                <w:spacing w:val="-1"/>
                <w:sz w:val="18"/>
              </w:rPr>
              <w:t>15,000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30,000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蔡家楣</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原独立董事</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江乾坤</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凌云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杨建刚</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37,500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506,250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6"/>
              <w:jc w:val="right"/>
              <w:rPr>
                <w:rFonts w:ascii="Times New Roman" w:hAnsi="Times New Roman" w:cs="Times New Roman" w:eastAsia="Times New Roman" w:hint="default"/>
                <w:sz w:val="18"/>
                <w:szCs w:val="18"/>
              </w:rPr>
            </w:pPr>
            <w:r>
              <w:rPr>
                <w:rFonts w:ascii="Times New Roman"/>
                <w:spacing w:val="-1"/>
                <w:sz w:val="18"/>
              </w:rPr>
              <w:t>168,750</w:t>
            </w:r>
          </w:p>
        </w:tc>
        <w:tc>
          <w:tcPr>
            <w:tcW w:w="87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337,500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367" w:lineRule="exact"/>
        <w:ind w:right="0"/>
        <w:jc w:val="left"/>
        <w:rPr>
          <w:b w:val="0"/>
          <w:bCs w:val="0"/>
        </w:rPr>
      </w:pPr>
      <w:r>
        <w:rPr/>
        <w:t>五、公司员工情况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93" w:type="dxa"/>
        <w:tblLayout w:type="fixed"/>
        <w:tblCellMar>
          <w:top w:w="0" w:type="dxa"/>
          <w:left w:w="0" w:type="dxa"/>
          <w:bottom w:w="0" w:type="dxa"/>
          <w:right w:w="0" w:type="dxa"/>
        </w:tblCellMar>
        <w:tblLook w:val="01E0"/>
      </w:tblPr>
      <w:tblGrid>
        <w:gridCol w:w="4765"/>
        <w:gridCol w:w="4791"/>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1,929</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1,979</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3,908</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39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2,574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876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167</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3,908</w:t>
            </w:r>
          </w:p>
        </w:tc>
      </w:tr>
      <w:tr>
        <w:trPr>
          <w:trHeight w:val="39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1,840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3,908</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234"/>
        <w:jc w:val="left"/>
      </w:pPr>
      <w:r>
        <w:rPr/>
        <w:t>公司薪酬政策坚持与岗位价值相匹配的基本原则，同时兼顾技术与专业化能力的差别化对待，根据不同类别岗位职级制定 相应的薪酬等级体系，在每个岗位职级内根据其技术能力、专业化能力水平确定对应的薪酬。</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234"/>
        <w:jc w:val="left"/>
      </w:pPr>
      <w:r>
        <w:rPr/>
        <w:t>公司各部门根据自身情况，经过需求调查以及往年的培训结果反馈，编制各部门年度培训计划，并报人力资源部备案。公 司人力资源部每年根据需求制定对相关岗位人员的年度培训计划，报公司批准后执行。</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151"/>
        <w:jc w:val="center"/>
        <w:rPr>
          <w:b w:val="0"/>
          <w:bCs w:val="0"/>
        </w:rPr>
      </w:pPr>
      <w:bookmarkStart w:name="_bookmark7" w:id="8"/>
      <w:bookmarkEnd w:id="8"/>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6" w:lineRule="auto"/>
        <w:ind w:right="161" w:firstLine="360"/>
        <w:jc w:val="left"/>
      </w:pPr>
      <w:r>
        <w:rPr/>
        <w:t>公司严格按照《公司法》、《证券法》、《深圳证券交易所创业板股票上市规则》、《深圳证券交易所创业板上市公 司规范运作指引》等相关法律、法规和规范性文件的要求，不断完善公司的法人治理结构，建立健全公司内部管理和控制 制度，持续深入开展公司治理活动，促进公司规范运作，提高公司治理水平。</w:t>
      </w:r>
      <w:r>
        <w:rPr>
          <w:spacing w:val="-17"/>
        </w:rPr>
        <w:t> </w:t>
      </w:r>
      <w:r>
        <w:rPr/>
        <w:t>报告期内，公司股东大会、董事会、监事会</w:t>
      </w:r>
      <w:r>
        <w:rPr/>
        <w:t> 依法运作，公司治理的实际情况符合中国证监会、深圳证券交易所等发布的法律法规和规范性文件的要求。</w:t>
      </w:r>
    </w:p>
    <w:p>
      <w:pPr>
        <w:pStyle w:val="BodyText"/>
        <w:spacing w:line="319" w:lineRule="auto" w:before="19"/>
        <w:ind w:right="234" w:firstLine="360"/>
        <w:jc w:val="left"/>
      </w:pPr>
      <w:r>
        <w:rPr/>
        <w:t>截止目前，公司依据监管部门和公司实际情况在治理方面制定了各项规章制度，主要有《公司章程》、《股东大会议 事规则》、《董事会议事规则》、《监事会议事规则》、《独立董事工作制度》、《战略委员会工作规则》、《审计委员 会工作规则》、《提名委员会工作规则》、《薪酬与考核委员会工作规则》、《总经理工作细则》、《董事会秘书工作细 则》、《对外投资管理制度》、《对外担保管理制度》《关联交易决策制度》、《募集资金管理制度》、《内部审计制 度》、《内部控制制度》等规章制度。通过一系列制度的制定，搭建了较为完善的公司法人治理结构的制度平台，从制度 上明确了股东大会、董事会、监事会及管理层各自应履行的职责和议事规程，从而为公司的规范运作提供了制度保障。</w:t>
      </w:r>
    </w:p>
    <w:p>
      <w:pPr>
        <w:pStyle w:val="BodyText"/>
        <w:spacing w:line="316" w:lineRule="auto" w:before="17"/>
        <w:ind w:left="585" w:right="161" w:hanging="72"/>
        <w:jc w:val="left"/>
      </w:pPr>
      <w:r>
        <w:rPr/>
        <w:t>（一）关于股东和股东大会 公司严格按照《公司法》、《上市公司股东大会规则》、《公司章程》、《股东大会议事规则》等相关法律、法规和</w:t>
      </w:r>
    </w:p>
    <w:p>
      <w:pPr>
        <w:pStyle w:val="BodyText"/>
        <w:spacing w:line="316" w:lineRule="auto" w:before="19"/>
        <w:ind w:right="251"/>
        <w:jc w:val="both"/>
      </w:pPr>
      <w:r>
        <w:rPr/>
        <w:t>规范性文件的要求召开股东大会，规范股东大会的召集、召开及表决程序。报告期内，公司召开的股东大会均有公司董事 会召集召开，董事长主持，公司聘请的法律顾问对股东大会现场会议进行了见证并出具了法律意见书。在股东大会上能够 保证各位股东有充分的发言权，确保全体股东特别是中小股东享有平等地位，充分行使自己的权利。</w:t>
      </w:r>
    </w:p>
    <w:p>
      <w:pPr>
        <w:pStyle w:val="BodyText"/>
        <w:spacing w:line="312" w:lineRule="auto" w:before="19"/>
        <w:ind w:right="162" w:firstLine="432"/>
        <w:jc w:val="left"/>
      </w:pPr>
      <w:r>
        <w:rPr/>
        <w:t>报告期内，本公司召开的股东大会不存在违反《上市公司股东大会规则》的情形，公司未发生独立或合计持有本公司 有表决权股份总额</w:t>
      </w:r>
      <w:r>
        <w:rPr>
          <w:rFonts w:ascii="Times New Roman" w:hAnsi="Times New Roman" w:cs="Times New Roman" w:eastAsia="Times New Roman" w:hint="default"/>
        </w:rPr>
        <w:t>10%</w:t>
      </w:r>
      <w:r>
        <w:rPr/>
        <w:t>以上的股东请求召开临时股东大会的情形，也不存在监事会提议召开的股东大会。按照《公司 法》、《公司章程》的规定应由股东大会审议的重大事项，本公司均通过股东大会审议，不存在绕过股东大会的情况，也 不存在先实施后审议的情况。</w:t>
      </w:r>
    </w:p>
    <w:p>
      <w:pPr>
        <w:pStyle w:val="BodyText"/>
        <w:spacing w:line="316" w:lineRule="auto" w:before="22"/>
        <w:ind w:left="585" w:right="161" w:hanging="72"/>
        <w:jc w:val="left"/>
      </w:pPr>
      <w:r>
        <w:rPr/>
        <w:t>（二）关于公司与控股股东 公司控股股东、实际控制人葛航先生严格按照《上市公司治理准则》、《深圳证券交易所创业板上市规则》、《深证</w:t>
      </w:r>
    </w:p>
    <w:p>
      <w:pPr>
        <w:pStyle w:val="BodyText"/>
        <w:spacing w:line="316" w:lineRule="auto" w:before="19"/>
        <w:ind w:right="251"/>
        <w:jc w:val="both"/>
      </w:pPr>
      <w:r>
        <w:rPr/>
        <w:t>证券交易所创业板规范运作指引》、《公司章程》等的规定和要求，不存在超越公司股东大会直接或间接干预公司的决策 和经营活动的行为，未损害公司及其他股东的利益，不存在控股股东占用公司资金的现象，公司不存在为控股股东提供担 保的情况。</w:t>
      </w:r>
    </w:p>
    <w:p>
      <w:pPr>
        <w:pStyle w:val="BodyText"/>
        <w:spacing w:line="319" w:lineRule="auto" w:before="19"/>
        <w:ind w:left="585" w:right="161" w:hanging="72"/>
        <w:jc w:val="left"/>
      </w:pPr>
      <w:r>
        <w:rPr/>
        <w:t>（三）关于董事和董事会 董事会的人数及人员构成符合法律、法规和《公司章程》的规定。各位董事能够依照《董事会议事规则》、《独立董</w:t>
      </w:r>
    </w:p>
    <w:p>
      <w:pPr>
        <w:pStyle w:val="BodyText"/>
        <w:spacing w:line="316" w:lineRule="auto" w:before="17"/>
        <w:ind w:right="250"/>
        <w:jc w:val="both"/>
      </w:pPr>
      <w:r>
        <w:rPr/>
        <w:t>事工作制度》、《深圳证券交易所创业板上市公司规范运作指引》等相关规定开展工作，出席董事会、董事会专门委员会 和股东大会，勤勉尽责地履行职责和义务，同时各位董事均积极参加相关培训，熟悉相关法律法规，切实提高了履行董事 职责的能力。</w:t>
      </w:r>
    </w:p>
    <w:p>
      <w:pPr>
        <w:pStyle w:val="BodyText"/>
        <w:spacing w:line="316" w:lineRule="auto" w:before="19"/>
        <w:ind w:right="251" w:firstLine="360"/>
        <w:jc w:val="both"/>
      </w:pPr>
      <w:r>
        <w:rPr/>
        <w:t>公司按照《深圳证券交易所创业板上市公司规范运作指引》的规定，下设有审计委员会、战略委员会、薪酬与考核委 员会和提名委员会四个专门委员会。专门委员会成员全部由董事组成，除战略委员会由董事长担任召集人以外，其他专门 委员会均有独立董事担任召集人，为董事会的决策提供了科学和专业的意见。各委员会依据《公司章程》和董事会专门委 员会工作规则的规定履行职责，不受公司任何其他部门和个人干预。</w:t>
      </w:r>
    </w:p>
    <w:p>
      <w:pPr>
        <w:pStyle w:val="BodyText"/>
        <w:spacing w:line="316" w:lineRule="auto" w:before="19"/>
        <w:ind w:left="585" w:right="161" w:hanging="72"/>
        <w:jc w:val="left"/>
      </w:pPr>
      <w:r>
        <w:rPr/>
        <w:t>（四）关于监事与监事会 公司监事会设监事三名，其中职工监事一名，监事会的人数和人员构成符合相关规定。报告期内所有监事均能够按照</w:t>
      </w:r>
    </w:p>
    <w:p>
      <w:pPr>
        <w:pStyle w:val="BodyText"/>
        <w:spacing w:line="319" w:lineRule="auto" w:before="19"/>
        <w:ind w:right="251"/>
        <w:jc w:val="both"/>
      </w:pPr>
      <w:r>
        <w:rPr/>
        <w:t>《公司章程》、《监事会议事规则》以及相关法律、法规和规范性文件的要求，认真履行自己的职责，对公司重大事项、 财务状况以及董事、高级管理人员履行职责的合法合规性进行监督。同时，公司监事积极参加相关培训，通过进一步的学 习，熟悉有关法律法规，切实提高了履行监事职责的能力。</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801" w:right="305" w:hanging="288"/>
        <w:jc w:val="left"/>
      </w:pPr>
      <w:r>
        <w:rPr/>
        <w:t>（五）关于信息披露与透明度 公司高度重视信息披露与投资者关系管理工作，严格按照《上市公司信息披露管理办法》、深圳证券交易所创业</w:t>
      </w:r>
    </w:p>
    <w:p>
      <w:pPr>
        <w:pStyle w:val="BodyText"/>
        <w:spacing w:line="316" w:lineRule="auto" w:before="19"/>
        <w:ind w:right="234"/>
        <w:jc w:val="left"/>
      </w:pPr>
      <w:r>
        <w:rPr/>
        <w:t>板上市公司的信息披露格式指引等规定以及公司制定的《信息披露制度》等操作性文件的要求，真实准确、完整及时的披 露信息。同时，明确董事长为公司信息披露第一责任人，董事会秘书为信息披露负责人，证券部负责信息披露的日常事 务。公司指定《证券时报》、《证券日报》、《中国证券报》、《上海证券报》为公司信息披露报纸，巨潮资讯网为公司 信息披露网站。公司上市以来，不断尝试更加有效的方式开展投资者关系管理工作，设立了互动易、投资者关系管理微信 公众号、电话专线、专用邮箱等多种渠道与投资者进行沟通和交流。</w:t>
      </w:r>
    </w:p>
    <w:p>
      <w:pPr>
        <w:pStyle w:val="BodyText"/>
        <w:spacing w:line="316" w:lineRule="auto" w:before="19"/>
        <w:ind w:left="585" w:right="161" w:hanging="72"/>
        <w:jc w:val="left"/>
      </w:pPr>
      <w:r>
        <w:rPr/>
        <w:t>（六）关于相关利益者 公司充分尊重和维护相关利益者的合法权益，重视公司的社会责任，积极与相关利益者合作，加强与各方的沟通和交</w:t>
      </w:r>
    </w:p>
    <w:p>
      <w:pPr>
        <w:pStyle w:val="BodyText"/>
        <w:spacing w:line="240" w:lineRule="auto" w:before="19"/>
        <w:ind w:right="0"/>
        <w:jc w:val="left"/>
      </w:pPr>
      <w:r>
        <w:rPr/>
        <w:t>流，实现股东、员工、社会等各方利益的协调平衡，共同推动公司持续、健康的发展。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40" w:lineRule="auto" w:before="115"/>
        <w:ind w:right="25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left="369" w:right="137" w:hanging="217"/>
        <w:jc w:val="left"/>
      </w:pPr>
      <w:r>
        <w:rPr>
          <w:rFonts w:ascii="Times New Roman" w:hAnsi="Times New Roman" w:cs="Times New Roman" w:eastAsia="Times New Roman" w:hint="default"/>
        </w:rPr>
        <w:t>1</w:t>
      </w:r>
      <w:r>
        <w:rPr/>
        <w:t>、业务独立情况 公司拥有独立完整的业务体系和面向市场的独立经营能力。公司实际控制人及持有公司</w:t>
      </w:r>
      <w:r>
        <w:rPr>
          <w:rFonts w:ascii="Times New Roman" w:hAnsi="Times New Roman" w:cs="Times New Roman" w:eastAsia="Times New Roman" w:hint="default"/>
        </w:rPr>
        <w:t>5%</w:t>
      </w:r>
      <w:r>
        <w:rPr/>
        <w:t>以上股份的股东已向本公司出</w:t>
      </w:r>
    </w:p>
    <w:p>
      <w:pPr>
        <w:pStyle w:val="BodyText"/>
        <w:spacing w:line="319" w:lineRule="auto" w:before="13"/>
        <w:ind w:right="249"/>
        <w:jc w:val="both"/>
      </w:pPr>
      <w:r>
        <w:rPr/>
        <w:t>具了《关于避免同业竞争的承诺函》，承诺不从事与本公司形成竞争关系的相关业务。公司严格按照《公司法》、《证券 法》等有关法律、法规和《公司章程》的要求规范运作，建立健全了公司法人治理结构，在业务、资产、人员、机构、财 务等方面均独立于实际控制人及其控制的其他企业，公司具有独立、完整的资产和业务体系，具备面向市场独立经营的能 力。</w:t>
      </w:r>
    </w:p>
    <w:p>
      <w:pPr>
        <w:pStyle w:val="BodyText"/>
        <w:spacing w:line="300" w:lineRule="auto" w:before="17"/>
        <w:ind w:left="441" w:right="305" w:hanging="289"/>
        <w:jc w:val="left"/>
      </w:pPr>
      <w:r>
        <w:rPr>
          <w:rFonts w:ascii="Times New Roman" w:hAnsi="Times New Roman" w:cs="Times New Roman" w:eastAsia="Times New Roman" w:hint="default"/>
        </w:rPr>
        <w:t>2</w:t>
      </w:r>
      <w:r>
        <w:rPr/>
        <w:t>、人员独立情况 公司董事、监事及高级管理人员严格按照《公司法》、《公司章程》的有关规定产生；公司总经理、副总经理、财务</w:t>
      </w:r>
    </w:p>
    <w:p>
      <w:pPr>
        <w:pStyle w:val="BodyText"/>
        <w:spacing w:line="316" w:lineRule="auto" w:before="31"/>
        <w:ind w:right="234"/>
        <w:jc w:val="left"/>
      </w:pPr>
      <w:r>
        <w:rPr/>
        <w:t>负责人、董事会秘书等高级管理人员均专职在公司工作并领取薪酬；公司的人事及工资管理完全独立，在地方社保部门办 理了独立的社保登记，并根据《劳动法》和公司劳动管理制度等有关规定与公司员工签订劳动合同。</w:t>
      </w:r>
    </w:p>
    <w:p>
      <w:pPr>
        <w:pStyle w:val="BodyText"/>
        <w:spacing w:line="300" w:lineRule="auto" w:before="19"/>
        <w:ind w:left="441" w:right="305" w:hanging="289"/>
        <w:jc w:val="left"/>
      </w:pPr>
      <w:r>
        <w:rPr>
          <w:rFonts w:ascii="Times New Roman" w:hAnsi="Times New Roman" w:cs="Times New Roman" w:eastAsia="Times New Roman" w:hint="default"/>
        </w:rPr>
        <w:t>3</w:t>
      </w:r>
      <w:r>
        <w:rPr/>
        <w:t>、资产完整情况 公司合法拥有与生产经营有关的资产，拥有独立完整的生产系统、辅助生产系统和配套设施，具有独立的原料采购和</w:t>
      </w:r>
    </w:p>
    <w:p>
      <w:pPr>
        <w:pStyle w:val="BodyText"/>
        <w:spacing w:line="319" w:lineRule="auto" w:before="31"/>
        <w:ind w:right="234"/>
        <w:jc w:val="left"/>
      </w:pPr>
      <w:r>
        <w:rPr/>
        <w:t>产品销售系统。公司拥有与经营有关的研发、生产、销售和技术服务体系及房屋所有权、土地使用权、商标、专利权及专 利申请权、车辆、办公设施等相关资产，上述资产不存在与他人共有的情形。报告期内，公司不存在以其资产、权益或信 用为关联方提供担保的情形，也不存在公司的资产或资源被公司股东、实际控制人及其控制的其他企业使用或占用的情 形，公司对所有资产均拥有完整的控制和支配权。</w:t>
      </w:r>
    </w:p>
    <w:p>
      <w:pPr>
        <w:pStyle w:val="BodyText"/>
        <w:spacing w:line="300" w:lineRule="auto" w:before="17"/>
        <w:ind w:left="441" w:right="305" w:hanging="289"/>
        <w:jc w:val="left"/>
      </w:pPr>
      <w:r>
        <w:rPr>
          <w:rFonts w:ascii="Times New Roman" w:hAnsi="Times New Roman" w:cs="Times New Roman" w:eastAsia="Times New Roman" w:hint="default"/>
        </w:rPr>
        <w:t>4</w:t>
      </w:r>
      <w:r>
        <w:rPr/>
        <w:t>、机构独立情况 公司按《公司法》与《公司章程》的要求建立健全了股东大会、董事会、监事会和经营管理层的组织结构体系，独立</w:t>
      </w:r>
    </w:p>
    <w:p>
      <w:pPr>
        <w:pStyle w:val="BodyText"/>
        <w:spacing w:line="240" w:lineRule="auto" w:before="31"/>
        <w:ind w:right="0"/>
        <w:jc w:val="left"/>
      </w:pPr>
      <w:r>
        <w:rPr/>
        <w:t>行使经营管理职权。公司设有职能部门和分支机构，不存在与实际控制人及其控制的其他企业间机构混同的情形。</w:t>
      </w:r>
    </w:p>
    <w:p>
      <w:pPr>
        <w:pStyle w:val="BodyText"/>
        <w:spacing w:line="300" w:lineRule="auto" w:before="74"/>
        <w:ind w:left="441" w:right="485" w:hanging="289"/>
        <w:jc w:val="left"/>
      </w:pPr>
      <w:r>
        <w:rPr>
          <w:rFonts w:ascii="Times New Roman" w:hAnsi="Times New Roman" w:cs="Times New Roman" w:eastAsia="Times New Roman" w:hint="default"/>
        </w:rPr>
        <w:t>5</w:t>
      </w:r>
      <w:r>
        <w:rPr/>
        <w:t>、财务独立情况 公司设有独立的财务部门，建立了独立的会计核算体系、规范的财务管理制度和对子公司、分支机构的财务管理制</w:t>
      </w:r>
    </w:p>
    <w:p>
      <w:pPr>
        <w:pStyle w:val="BodyText"/>
        <w:spacing w:line="316" w:lineRule="auto" w:before="31"/>
        <w:ind w:right="234"/>
        <w:jc w:val="left"/>
      </w:pPr>
      <w:r>
        <w:rPr/>
        <w:t>度，能够独立进行财务决策；财务负责人和财务人员均专职在本公司工作；在银行独立开立账户，并依法独立进行纳税申 报和履行纳税义务；独立对外签订合同，不存在与股东共用银行账户或混合纳税现象。</w:t>
      </w:r>
    </w:p>
    <w:p>
      <w:pPr>
        <w:spacing w:after="0" w:line="316"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31"/>
              <w:jc w:val="left"/>
              <w:rPr>
                <w:rFonts w:ascii="Times New Roman" w:hAnsi="Times New Roman" w:cs="Times New Roman" w:eastAsia="Times New Roman" w:hint="default"/>
                <w:sz w:val="18"/>
                <w:szCs w:val="18"/>
              </w:rPr>
            </w:pPr>
            <w:hyperlink r:id="rId20">
              <w:r>
                <w:rPr>
                  <w:rFonts w:ascii="Times New Roman"/>
                  <w:spacing w:val="-1"/>
                  <w:sz w:val="18"/>
                </w:rPr>
                <w:t>http://www.cninfo.co</w:t>
              </w:r>
            </w:hyperlink>
            <w:r>
              <w:rPr>
                <w:rFonts w:ascii="Times New Roman"/>
                <w:sz w:val="18"/>
              </w:rPr>
              <w:t> m.cn</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6" w:right="31"/>
              <w:jc w:val="left"/>
              <w:rPr>
                <w:rFonts w:ascii="Times New Roman" w:hAnsi="Times New Roman" w:cs="Times New Roman" w:eastAsia="Times New Roman" w:hint="default"/>
                <w:sz w:val="18"/>
                <w:szCs w:val="18"/>
              </w:rPr>
            </w:pPr>
            <w:hyperlink r:id="rId20">
              <w:r>
                <w:rPr>
                  <w:rFonts w:ascii="Times New Roman"/>
                  <w:spacing w:val="-1"/>
                  <w:sz w:val="18"/>
                </w:rPr>
                <w:t>http://www.cninfo.co</w:t>
              </w:r>
            </w:hyperlink>
            <w:r>
              <w:rPr>
                <w:rFonts w:ascii="Times New Roman"/>
                <w:sz w:val="18"/>
              </w:rPr>
              <w:t> m.cn</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31"/>
              <w:jc w:val="left"/>
              <w:rPr>
                <w:rFonts w:ascii="Times New Roman" w:hAnsi="Times New Roman" w:cs="Times New Roman" w:eastAsia="Times New Roman" w:hint="default"/>
                <w:sz w:val="18"/>
                <w:szCs w:val="18"/>
              </w:rPr>
            </w:pPr>
            <w:hyperlink r:id="rId20">
              <w:r>
                <w:rPr>
                  <w:rFonts w:ascii="Times New Roman"/>
                  <w:spacing w:val="-1"/>
                  <w:sz w:val="18"/>
                </w:rPr>
                <w:t>http://www.cninfo.co</w:t>
              </w:r>
            </w:hyperlink>
            <w:r>
              <w:rPr>
                <w:rFonts w:ascii="Times New Roman"/>
                <w:sz w:val="18"/>
              </w:rPr>
              <w:t> m.cn</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6" w:right="31"/>
              <w:jc w:val="left"/>
              <w:rPr>
                <w:rFonts w:ascii="Times New Roman" w:hAnsi="Times New Roman" w:cs="Times New Roman" w:eastAsia="Times New Roman" w:hint="default"/>
                <w:sz w:val="18"/>
                <w:szCs w:val="18"/>
              </w:rPr>
            </w:pPr>
            <w:hyperlink r:id="rId20">
              <w:r>
                <w:rPr>
                  <w:rFonts w:ascii="Times New Roman"/>
                  <w:spacing w:val="-1"/>
                  <w:sz w:val="18"/>
                </w:rPr>
                <w:t>http://www.cninfo.co</w:t>
              </w:r>
            </w:hyperlink>
            <w:r>
              <w:rPr>
                <w:rFonts w:ascii="Times New Roman"/>
                <w:sz w:val="18"/>
              </w:rPr>
              <w:t> m.cn</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6" w:right="31"/>
              <w:jc w:val="left"/>
              <w:rPr>
                <w:rFonts w:ascii="Times New Roman" w:hAnsi="Times New Roman" w:cs="Times New Roman" w:eastAsia="Times New Roman" w:hint="default"/>
                <w:sz w:val="18"/>
                <w:szCs w:val="18"/>
              </w:rPr>
            </w:pPr>
            <w:hyperlink r:id="rId20">
              <w:r>
                <w:rPr>
                  <w:rFonts w:ascii="Times New Roman"/>
                  <w:spacing w:val="-1"/>
                  <w:sz w:val="18"/>
                </w:rPr>
                <w:t>http://www.cninfo.co</w:t>
              </w:r>
            </w:hyperlink>
            <w:r>
              <w:rPr>
                <w:rFonts w:ascii="Times New Roman"/>
                <w:sz w:val="18"/>
              </w:rPr>
              <w:t> m.cn</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6" w:right="31"/>
              <w:jc w:val="left"/>
              <w:rPr>
                <w:rFonts w:ascii="Times New Roman" w:hAnsi="Times New Roman" w:cs="Times New Roman" w:eastAsia="Times New Roman" w:hint="default"/>
                <w:sz w:val="18"/>
                <w:szCs w:val="18"/>
              </w:rPr>
            </w:pPr>
            <w:hyperlink r:id="rId20">
              <w:r>
                <w:rPr>
                  <w:rFonts w:ascii="Times New Roman"/>
                  <w:spacing w:val="-1"/>
                  <w:sz w:val="18"/>
                </w:rPr>
                <w:t>http://www.cninfo.co</w:t>
              </w:r>
            </w:hyperlink>
            <w:r>
              <w:rPr>
                <w:rFonts w:ascii="Times New Roman"/>
                <w:sz w:val="18"/>
              </w:rPr>
              <w:t> m.cn</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623"/>
        <w:gridCol w:w="1325"/>
        <w:gridCol w:w="1325"/>
        <w:gridCol w:w="1323"/>
        <w:gridCol w:w="1325"/>
        <w:gridCol w:w="1325"/>
        <w:gridCol w:w="1322"/>
      </w:tblGrid>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08"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7" w:right="24"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7" w:right="24"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江乾坤</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w:t>
            </w:r>
          </w:p>
        </w:tc>
        <w:tc>
          <w:tcPr>
            <w:tcW w:w="132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凌云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c>
          <w:tcPr>
            <w:tcW w:w="132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杨建刚</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w:t>
            </w:r>
          </w:p>
        </w:tc>
        <w:tc>
          <w:tcPr>
            <w:tcW w:w="132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357" w:lineRule="auto" w:before="49"/>
        <w:ind w:right="7074"/>
        <w:jc w:val="left"/>
      </w:pPr>
      <w:r>
        <w:rPr/>
        <w:t>连续两次未亲自出席董事会的说明 不适用</w:t>
      </w:r>
    </w:p>
    <w:p>
      <w:pPr>
        <w:spacing w:after="0" w:line="35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独立董事对公司有关事项是否提出异议</w:t>
      </w:r>
    </w:p>
    <w:p>
      <w:pPr>
        <w:pStyle w:val="BodyText"/>
        <w:spacing w:line="340" w:lineRule="auto" w:before="115"/>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独立董事对公司有关建议是否被采纳</w:t>
      </w:r>
    </w:p>
    <w:p>
      <w:pPr>
        <w:pStyle w:val="BodyText"/>
        <w:spacing w:line="348" w:lineRule="auto" w:before="117"/>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报告期内，独立董事对公司提出的各项合理建议均被采纳</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234"/>
        <w:jc w:val="left"/>
      </w:pPr>
      <w:r>
        <w:rPr/>
        <w:t>根据《公司法》、《公司章程》等相关法律法规的规定，公司董事会下设审计委员会、战略委员会、提名委员会和薪酬与 考核委员会四个专门委员会。</w:t>
      </w:r>
    </w:p>
    <w:p>
      <w:pPr>
        <w:pStyle w:val="BodyText"/>
        <w:spacing w:line="240" w:lineRule="auto" w:before="19"/>
        <w:ind w:left="729" w:right="0"/>
        <w:jc w:val="left"/>
      </w:pPr>
      <w:r>
        <w:rPr>
          <w:rFonts w:ascii="Times New Roman" w:hAnsi="Times New Roman" w:cs="Times New Roman" w:eastAsia="Times New Roman" w:hint="default"/>
        </w:rPr>
        <w:t>1</w:t>
      </w:r>
      <w:r>
        <w:rPr/>
        <w:t>、审计委员会委员：江乾坤、凌云、应晶</w:t>
      </w:r>
    </w:p>
    <w:p>
      <w:pPr>
        <w:pStyle w:val="BodyText"/>
        <w:spacing w:line="240" w:lineRule="auto" w:before="63"/>
        <w:ind w:left="729" w:right="0"/>
        <w:jc w:val="left"/>
      </w:pPr>
      <w:r>
        <w:rPr>
          <w:rFonts w:ascii="Times New Roman" w:hAnsi="Times New Roman" w:cs="Times New Roman" w:eastAsia="Times New Roman" w:hint="default"/>
        </w:rPr>
        <w:t>2</w:t>
      </w:r>
      <w:r>
        <w:rPr/>
        <w:t>、战略委员会委员：葛航、张吕峥、应晶</w:t>
      </w:r>
    </w:p>
    <w:p>
      <w:pPr>
        <w:pStyle w:val="BodyText"/>
        <w:spacing w:line="240" w:lineRule="auto" w:before="63"/>
        <w:ind w:left="729" w:right="0"/>
        <w:jc w:val="left"/>
      </w:pPr>
      <w:r>
        <w:rPr>
          <w:rFonts w:ascii="Times New Roman" w:hAnsi="Times New Roman" w:cs="Times New Roman" w:eastAsia="Times New Roman" w:hint="default"/>
        </w:rPr>
        <w:t>3</w:t>
      </w:r>
      <w:r>
        <w:rPr/>
        <w:t>、提名委员会委员：凌云、杨建刚、葛航</w:t>
      </w:r>
    </w:p>
    <w:p>
      <w:pPr>
        <w:pStyle w:val="BodyText"/>
        <w:spacing w:line="240" w:lineRule="auto" w:before="63"/>
        <w:ind w:left="729" w:right="0"/>
        <w:jc w:val="left"/>
      </w:pPr>
      <w:r>
        <w:rPr>
          <w:rFonts w:ascii="Times New Roman" w:hAnsi="Times New Roman" w:cs="Times New Roman" w:eastAsia="Times New Roman" w:hint="default"/>
        </w:rPr>
        <w:t>4</w:t>
      </w:r>
      <w:r>
        <w:rPr/>
        <w:t>、薪酬与考核委员会委员：杨建刚、江乾坤、李寒穷</w:t>
      </w:r>
    </w:p>
    <w:p>
      <w:pPr>
        <w:pStyle w:val="BodyText"/>
        <w:spacing w:line="316" w:lineRule="auto" w:before="63"/>
        <w:ind w:left="441" w:right="485" w:hanging="72"/>
        <w:jc w:val="left"/>
      </w:pPr>
      <w:r>
        <w:rPr/>
        <w:t>（一）审计委员会在报告期内的履行职责情况 本公司的审计委员会是董事会按照股东大会决议设立的专门工作机构，对董事会负责，其主要职责是根据《公司章</w:t>
      </w:r>
    </w:p>
    <w:p>
      <w:pPr>
        <w:pStyle w:val="BodyText"/>
        <w:spacing w:line="240" w:lineRule="auto" w:before="19"/>
        <w:ind w:right="0"/>
        <w:jc w:val="left"/>
      </w:pPr>
      <w:r>
        <w:rPr/>
        <w:t>程》的规定对公司内部控制、财务信息和内部审计等进行监督、检查和评价等。</w:t>
      </w:r>
    </w:p>
    <w:p>
      <w:pPr>
        <w:pStyle w:val="BodyText"/>
        <w:spacing w:line="316" w:lineRule="auto" w:before="76"/>
        <w:ind w:right="268" w:firstLine="144"/>
        <w:jc w:val="left"/>
        <w:rPr>
          <w:rFonts w:ascii="宋体" w:hAnsi="宋体" w:cs="宋体" w:eastAsia="宋体" w:hint="default"/>
        </w:rPr>
      </w:pPr>
      <w:r>
        <w:rPr>
          <w:rFonts w:ascii="宋体" w:hAnsi="宋体" w:cs="宋体" w:eastAsia="宋体" w:hint="default"/>
          <w:spacing w:val="1"/>
        </w:rPr>
        <w:t>  </w:t>
      </w:r>
      <w:r>
        <w:rPr/>
        <w:t>本公司审计委员会的委员中，江乾坤、凌云为本公司独立董事，江乾坤为会计专业人士。本公司审计委员会的设立， 为强化董事会决策作用，确保董事会对高级管理人员的有效监督，完善了公司治理结构。</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9"/>
        <w:ind w:right="14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本报告期内，审计委员会共计召开</w:t>
      </w:r>
      <w:r>
        <w:rPr>
          <w:rFonts w:ascii="宋体" w:hAnsi="宋体" w:cs="宋体" w:eastAsia="宋体" w:hint="default"/>
        </w:rPr>
        <w:t>5</w:t>
      </w:r>
      <w:r>
        <w:rPr/>
        <w:t>次会议，对公司内部控制自我评价报告、续聘财务审计机构的议案、对外投资设立 浙江大健康产业股权投资基金（有限合伙）暨关联交易的议案、关于公司</w:t>
      </w:r>
      <w:r>
        <w:rPr>
          <w:rFonts w:ascii="宋体" w:hAnsi="宋体" w:cs="宋体" w:eastAsia="宋体" w:hint="default"/>
        </w:rPr>
        <w:t>2017</w:t>
      </w:r>
      <w:r>
        <w:rPr/>
        <w:t>年第一季度报告、半年度报告、第三季度报 告相关事项的议案等方面的议案及内部审计部门提交的工作计划和报告进行了审议。</w:t>
      </w:r>
      <w:r>
        <w:rPr>
          <w:rFonts w:ascii="宋体" w:hAnsi="宋体" w:cs="宋体" w:eastAsia="宋体" w:hint="default"/>
          <w:spacing w:val="1"/>
        </w:rPr>
        <w:t> </w:t>
      </w:r>
      <w:r>
        <w:rPr>
          <w:rFonts w:ascii="宋体" w:hAnsi="宋体" w:cs="宋体" w:eastAsia="宋体" w:hint="default"/>
        </w:rPr>
        <w:t> </w:t>
      </w:r>
    </w:p>
    <w:p>
      <w:pPr>
        <w:pStyle w:val="BodyText"/>
        <w:spacing w:line="319" w:lineRule="auto" w:before="19"/>
        <w:ind w:right="2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审计委员会自设立以来按照《公司章程》及《审计委员会工作规则》规范运作，运行情况良好，保证了公司内部审计 制度的有效实施以及与外部审计机构的有效沟通。</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7"/>
        <w:ind w:left="441" w:right="305" w:hanging="289"/>
        <w:jc w:val="left"/>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t>（二）战略委员会在报告期内的履行职责情况</w:t>
      </w:r>
      <w:r>
        <w:rPr>
          <w:rFonts w:ascii="宋体" w:hAnsi="宋体" w:cs="宋体" w:eastAsia="宋体" w:hint="default"/>
        </w:rPr>
        <w:t> </w:t>
      </w:r>
      <w:r>
        <w:rPr/>
        <w:t>公司战略委员会是董事会按照股东大会决议设立的董事会专门工作机构，对董事会负责，主要职责是对公司中长期发</w:t>
      </w:r>
    </w:p>
    <w:p>
      <w:pPr>
        <w:pStyle w:val="BodyText"/>
        <w:spacing w:line="316" w:lineRule="auto" w:before="19"/>
        <w:ind w:left="441" w:right="215" w:hanging="289"/>
        <w:jc w:val="left"/>
      </w:pPr>
      <w:r>
        <w:rPr/>
        <w:t>展战略和重大投资决策进行研究并提出建议，在其职责权限范围内协助董事会开展相关工作。 本报告期内，公司战略委员会共计召开</w:t>
      </w:r>
      <w:r>
        <w:rPr>
          <w:rFonts w:ascii="Times New Roman" w:hAnsi="Times New Roman" w:cs="Times New Roman" w:eastAsia="Times New Roman" w:hint="default"/>
        </w:rPr>
        <w:t>4</w:t>
      </w:r>
      <w:r>
        <w:rPr/>
        <w:t>次会议，研究公司的发展战略并提出建议。本报告期内审议了股东分红回报规</w:t>
      </w:r>
    </w:p>
    <w:p>
      <w:pPr>
        <w:pStyle w:val="BodyText"/>
        <w:spacing w:line="316" w:lineRule="auto"/>
        <w:ind w:right="414"/>
        <w:jc w:val="left"/>
      </w:pPr>
      <w:r>
        <w:rPr/>
        <w:t>划、对外投资设立浙江大健康产业股权投资基金（有限合伙）暨关联交易的议案、收购杭州美诺泰科科技有限公司的议 案、非公开发行</w:t>
      </w:r>
      <w:r>
        <w:rPr>
          <w:rFonts w:ascii="Times New Roman" w:hAnsi="Times New Roman" w:cs="Times New Roman" w:eastAsia="Times New Roman" w:hint="default"/>
        </w:rPr>
        <w:t>A</w:t>
      </w:r>
      <w:r>
        <w:rPr/>
        <w:t>股股票预案等公司重要决策。</w:t>
      </w:r>
    </w:p>
    <w:p>
      <w:pPr>
        <w:pStyle w:val="BodyText"/>
        <w:spacing w:line="235" w:lineRule="exact"/>
        <w:ind w:left="441" w:right="0"/>
        <w:jc w:val="left"/>
      </w:pPr>
      <w:r>
        <w:rPr/>
        <w:t>公司战略委员会严格按照其既定议事规则履行职责，自设立以来有效运作。</w:t>
      </w:r>
    </w:p>
    <w:p>
      <w:pPr>
        <w:pStyle w:val="BodyText"/>
        <w:spacing w:line="316" w:lineRule="auto" w:before="76"/>
        <w:ind w:left="441" w:right="305"/>
        <w:jc w:val="left"/>
      </w:pPr>
      <w:r>
        <w:rPr/>
        <w:t>（三）提名委员会在报告期内的履行职责情况 公司提名委员会是董事会按照股东大会决议设立的专门工作机构，对董事会负责，其主要职责是对公司董事和经理人</w:t>
      </w:r>
    </w:p>
    <w:p>
      <w:pPr>
        <w:pStyle w:val="BodyText"/>
        <w:spacing w:line="319" w:lineRule="auto" w:before="19"/>
        <w:ind w:left="441" w:right="215" w:hanging="289"/>
        <w:jc w:val="left"/>
      </w:pPr>
      <w:r>
        <w:rPr/>
        <w:t>员的选拔标准和程序搜寻人选，进行选择并提出建议。 本报告期内，公司提名委员会设立以来共召开了</w:t>
      </w:r>
      <w:r>
        <w:rPr>
          <w:rFonts w:ascii="Times New Roman" w:hAnsi="Times New Roman" w:cs="Times New Roman" w:eastAsia="Times New Roman" w:hint="default"/>
        </w:rPr>
        <w:t>3</w:t>
      </w:r>
      <w:r>
        <w:rPr/>
        <w:t>次提名委员会，会议就提名选举赵晔女士为第五届董事会非独立董事</w:t>
      </w:r>
    </w:p>
    <w:p>
      <w:pPr>
        <w:pStyle w:val="BodyText"/>
        <w:spacing w:line="233" w:lineRule="exact"/>
        <w:ind w:right="0"/>
        <w:jc w:val="left"/>
      </w:pPr>
      <w:r>
        <w:rPr/>
        <w:t>候选人、选举第六届董事会独立董事、选举第六届董事会非独立董事、聘任公司高级管理人员等事项进行了调查、研究，</w:t>
      </w:r>
    </w:p>
    <w:p>
      <w:pPr>
        <w:spacing w:after="0" w:line="233" w:lineRule="exact"/>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441" w:right="3545" w:hanging="289"/>
        <w:jc w:val="left"/>
      </w:pPr>
      <w:r>
        <w:rPr/>
        <w:t>发表了相关审查意见。 公司提名委员会严格按照其既定议事规则履行职责，自设立以来有效运作。</w:t>
      </w:r>
    </w:p>
    <w:p>
      <w:pPr>
        <w:pStyle w:val="BodyText"/>
        <w:spacing w:line="316" w:lineRule="auto" w:before="19"/>
        <w:ind w:left="441" w:right="305"/>
        <w:jc w:val="left"/>
      </w:pPr>
      <w:r>
        <w:rPr/>
        <w:t>（四）薪酬与考核委员会在报告期内的履行职责情况 薪酬与考核委员会是董事会按照股东大会决议设立的专门工作机构，对董事会负责，其主要职责是审议并监督执行具</w:t>
      </w:r>
    </w:p>
    <w:p>
      <w:pPr>
        <w:pStyle w:val="BodyText"/>
        <w:spacing w:line="316" w:lineRule="auto" w:before="19"/>
        <w:ind w:right="234"/>
        <w:jc w:val="left"/>
      </w:pPr>
      <w:r>
        <w:rPr/>
        <w:t>有有效激励与约束作用的薪酬制度和绩效考核制度，就本公司董事、监事、高级管理人员的薪酬制度、绩效考核制度以及 激励方案向董事会建议，并对董事和高级管理人员的业绩和行为进行评估。</w:t>
      </w:r>
    </w:p>
    <w:p>
      <w:pPr>
        <w:pStyle w:val="BodyText"/>
        <w:spacing w:line="300" w:lineRule="auto" w:before="19"/>
        <w:ind w:right="228" w:firstLine="288"/>
        <w:jc w:val="both"/>
      </w:pPr>
      <w:r>
        <w:rPr/>
        <w:t>本报告期内，公司薪酬与考核委员会共计召开</w:t>
      </w:r>
      <w:r>
        <w:rPr>
          <w:rFonts w:ascii="Times New Roman" w:hAnsi="Times New Roman" w:cs="Times New Roman" w:eastAsia="Times New Roman" w:hint="default"/>
        </w:rPr>
        <w:t>3</w:t>
      </w:r>
      <w:r>
        <w:rPr/>
        <w:t>次薪酬与考核委员会会议，会议就董事、监事及高级管理人员</w:t>
      </w:r>
      <w:r>
        <w:rPr>
          <w:rFonts w:ascii="Times New Roman" w:hAnsi="Times New Roman" w:cs="Times New Roman" w:eastAsia="Times New Roman" w:hint="default"/>
        </w:rPr>
        <w:t>2016</w:t>
      </w:r>
      <w:r>
        <w:rPr/>
        <w:t>年度 绩效薪酬和</w:t>
      </w:r>
      <w:r>
        <w:rPr>
          <w:rFonts w:ascii="Times New Roman" w:hAnsi="Times New Roman" w:cs="Times New Roman" w:eastAsia="Times New Roman" w:hint="default"/>
        </w:rPr>
        <w:t>2017</w:t>
      </w:r>
      <w:r>
        <w:rPr/>
        <w:t>年度绩效薪酬、调整独立董事津贴、公司《股票期权与限制性股票激励计划》授予、注销、解锁等事项进 行了沟通、讨论，发表了相关意见。</w:t>
      </w:r>
    </w:p>
    <w:p>
      <w:pPr>
        <w:pStyle w:val="BodyText"/>
        <w:spacing w:line="240" w:lineRule="auto" w:before="72"/>
        <w:ind w:left="441" w:right="0"/>
        <w:jc w:val="left"/>
      </w:pPr>
      <w:r>
        <w:rPr/>
        <w:t>公司薪酬与考核委员会严格按照其既定议事规则履行职责，自设立以来有效运作。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4"/>
        <w:ind w:right="0"/>
        <w:jc w:val="both"/>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both"/>
      </w:pPr>
      <w:r>
        <w:rPr/>
        <w:t>监事会在报告期内的监督活动中发现公司是否存在风险</w:t>
      </w:r>
    </w:p>
    <w:p>
      <w:pPr>
        <w:pStyle w:val="BodyText"/>
        <w:spacing w:line="338" w:lineRule="auto" w:before="117"/>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251"/>
        <w:jc w:val="both"/>
      </w:pPr>
      <w:r>
        <w:rPr/>
        <w:t>公司建立了完善的高级管理人员绩效考评体系和薪酬制度，高级管理人员的工作绩效与其收入直接挂钩。高级管理人员的 聘任公开、透明，符合法律、法规的规定。公司董事会下设薪酬和考核委员会协同公司人力资源部负责对公司董事、监事 及高级管理人员进行绩效考核的实施。</w:t>
      </w:r>
    </w:p>
    <w:p>
      <w:pPr>
        <w:spacing w:line="240" w:lineRule="auto" w:before="11"/>
        <w:rPr>
          <w:rFonts w:ascii="宋体" w:hAnsi="宋体" w:cs="宋体" w:eastAsia="宋体" w:hint="default"/>
          <w:sz w:val="14"/>
          <w:szCs w:val="14"/>
        </w:rPr>
      </w:pPr>
    </w:p>
    <w:p>
      <w:pPr>
        <w:pStyle w:val="Heading2"/>
        <w:spacing w:line="240" w:lineRule="auto"/>
        <w:ind w:right="0"/>
        <w:jc w:val="both"/>
        <w:rPr>
          <w:b w:val="0"/>
          <w:bCs w:val="0"/>
        </w:rPr>
      </w:pPr>
      <w:r>
        <w:rPr/>
        <w:t>九、内部控制评价报告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83"/>
        <w:gridCol w:w="3334"/>
        <w:gridCol w:w="3051"/>
      </w:tblGrid>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5" w:type="dxa"/>
            <w:gridSpan w:val="2"/>
            <w:vMerge w:val="restart"/>
            <w:tcBorders>
              <w:top w:val="single" w:sz="4" w:space="0" w:color="000000"/>
              <w:left w:val="single" w:sz="10" w:space="0" w:color="D2D2D2"/>
              <w:right w:val="single" w:sz="4" w:space="0" w:color="000000"/>
            </w:tcBorders>
          </w:tcPr>
          <w:p>
            <w:pPr>
              <w:pStyle w:val="TableParagraph"/>
              <w:spacing w:line="300" w:lineRule="auto" w:before="49"/>
              <w:ind w:left="28" w:right="1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年度内部控制自我评价报告》详见刊登于中国证监会指定的创业板信息 披露网站（巨潮网）</w:t>
            </w:r>
          </w:p>
        </w:tc>
      </w:tr>
      <w:tr>
        <w:trPr>
          <w:trHeight w:val="391"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5" w:type="dxa"/>
            <w:gridSpan w:val="2"/>
            <w:vMerge/>
            <w:tcBorders>
              <w:left w:val="single" w:sz="10" w:space="0" w:color="D2D2D2"/>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5" w:type="dxa"/>
            <w:gridSpan w:val="2"/>
            <w:vMerge/>
            <w:tcBorders>
              <w:left w:val="single" w:sz="10" w:space="0" w:color="D2D2D2"/>
              <w:bottom w:val="single" w:sz="4" w:space="0" w:color="000000"/>
              <w:right w:val="single" w:sz="4" w:space="0" w:color="000000"/>
            </w:tcBorders>
          </w:tcPr>
          <w:p>
            <w:pPr/>
          </w:p>
        </w:tc>
      </w:tr>
      <w:tr>
        <w:trPr>
          <w:trHeight w:val="715"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7"/>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7"/>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4" w:right="0"/>
              <w:jc w:val="center"/>
              <w:rPr>
                <w:rFonts w:ascii="宋体" w:hAnsi="宋体" w:cs="宋体" w:eastAsia="宋体"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公司根据缺陷造成直接财产损失占公</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98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要缺陷：资产总额的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 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 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35"/>
              <w:jc w:val="both"/>
              <w:rPr>
                <w:rFonts w:ascii="宋体" w:hAnsi="宋体" w:cs="宋体" w:eastAsia="宋体" w:hint="default"/>
                <w:sz w:val="18"/>
                <w:szCs w:val="18"/>
              </w:rPr>
            </w:pPr>
            <w:r>
              <w:rPr>
                <w:rFonts w:ascii="宋体" w:hAnsi="宋体" w:cs="宋体" w:eastAsia="宋体" w:hint="default"/>
                <w:sz w:val="18"/>
                <w:szCs w:val="18"/>
              </w:rPr>
              <w:t>司资产总额的比率确定非财务报告内 部控制缺陷评价的定量标准，标准参 照财务报告内控缺陷定量标准。</w:t>
            </w:r>
          </w:p>
        </w:tc>
      </w:tr>
      <w:tr>
        <w:trPr>
          <w:trHeight w:val="445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①公司董事、监事和高级管理人员舞弊；</w:t>
            </w:r>
          </w:p>
          <w:p>
            <w:pPr>
              <w:pStyle w:val="TableParagraph"/>
              <w:spacing w:line="316" w:lineRule="auto" w:before="76"/>
              <w:ind w:left="24" w:right="47"/>
              <w:jc w:val="both"/>
              <w:rPr>
                <w:rFonts w:ascii="宋体" w:hAnsi="宋体" w:cs="宋体" w:eastAsia="宋体" w:hint="default"/>
                <w:sz w:val="18"/>
                <w:szCs w:val="18"/>
              </w:rPr>
            </w:pPr>
            <w:r>
              <w:rPr>
                <w:rFonts w:ascii="宋体" w:hAnsi="宋体" w:cs="宋体" w:eastAsia="宋体" w:hint="default"/>
                <w:sz w:val="18"/>
                <w:szCs w:val="18"/>
              </w:rPr>
              <w:t>②公司更正已公布的财务报告；③注册会 计师发现当期财务报告存在重大错报，而 内部控制在运行过程中未能发现该错报；</w:t>
            </w:r>
          </w:p>
          <w:p>
            <w:pPr>
              <w:pStyle w:val="TableParagraph"/>
              <w:spacing w:line="316" w:lineRule="auto" w:before="19"/>
              <w:ind w:left="24" w:right="46"/>
              <w:jc w:val="both"/>
              <w:rPr>
                <w:rFonts w:ascii="宋体" w:hAnsi="宋体" w:cs="宋体" w:eastAsia="宋体" w:hint="default"/>
                <w:sz w:val="18"/>
                <w:szCs w:val="18"/>
              </w:rPr>
            </w:pPr>
            <w:r>
              <w:rPr>
                <w:rFonts w:ascii="宋体" w:hAnsi="宋体" w:cs="宋体" w:eastAsia="宋体" w:hint="default"/>
                <w:sz w:val="18"/>
                <w:szCs w:val="18"/>
              </w:rPr>
              <w:t>④董事会及相关机构对内部控制的监督无 效。</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定性标准即涉及业务性质的严重程 度，公司根据其直接或潜在负面影响 的性质、影响的范围等因素确定的非 财务报告内部控制缺陷评价的定性标 准如下：下列迹象表明非财务报告内 部控制可能存在重大缺陷：①公司重 大决策缺乏决策程序或程序严重不合 理且造成重大损失；②公司人员因内 部控制原因违犯国家法律、法规，并 给公司造成重大损失和严重不利影 响；③公司经营活动严重违反国家法 律法规</w:t>
            </w:r>
            <w:r>
              <w:rPr>
                <w:rFonts w:ascii="Times New Roman" w:hAnsi="Times New Roman" w:cs="Times New Roman" w:eastAsia="Times New Roman" w:hint="default"/>
                <w:sz w:val="18"/>
                <w:szCs w:val="18"/>
              </w:rPr>
              <w:t>;</w:t>
            </w:r>
            <w:r>
              <w:rPr>
                <w:rFonts w:ascii="宋体" w:hAnsi="宋体" w:cs="宋体" w:eastAsia="宋体" w:hint="default"/>
                <w:sz w:val="18"/>
                <w:szCs w:val="18"/>
              </w:rPr>
              <w:t>④重要业务长期缺乏制度控制 或制度系统性失效；⑤内部控制评价 的结果是重大缺陷但未得到整改。</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内部控制审计报告</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663"/>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我们认为，创业软件公司按照深圳证券交易所《创业板上市公司规范运作指引》规定于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面保持了有效的财务报告内部控制。本结论是在受到审计报告中指出的固有限制的条件下形成的。</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会计师事务所是否出具非标准意见的内部控制审计报告</w:t>
      </w:r>
    </w:p>
    <w:p>
      <w:pPr>
        <w:pStyle w:val="BodyText"/>
        <w:spacing w:line="338" w:lineRule="auto" w:before="117"/>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125" w:right="0"/>
        <w:jc w:val="left"/>
        <w:rPr>
          <w:b w:val="0"/>
          <w:bCs w:val="0"/>
        </w:rPr>
      </w:pPr>
      <w:bookmarkStart w:name="_bookmark8" w:id="9"/>
      <w:bookmarkEnd w:id="9"/>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3153"/>
        <w:jc w:val="center"/>
        <w:rPr>
          <w:b w:val="0"/>
          <w:bCs w:val="0"/>
        </w:rPr>
      </w:pPr>
      <w:bookmarkStart w:name="_bookmark9" w:id="10"/>
      <w:bookmarkEnd w:id="10"/>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王强、李鸿霞</w:t>
            </w:r>
          </w:p>
        </w:tc>
      </w:tr>
    </w:tbl>
    <w:p>
      <w:pPr>
        <w:pStyle w:val="BodyText"/>
        <w:spacing w:line="240" w:lineRule="auto" w:before="49"/>
        <w:ind w:left="3152" w:right="3152"/>
        <w:jc w:val="center"/>
      </w:pPr>
      <w:r>
        <w:rPr/>
        <w:t>审计报告正文</w:t>
      </w:r>
    </w:p>
    <w:p>
      <w:pPr>
        <w:pStyle w:val="Heading5"/>
        <w:spacing w:line="240" w:lineRule="auto" w:before="57"/>
        <w:ind w:left="635" w:right="0"/>
        <w:jc w:val="left"/>
        <w:rPr>
          <w:b w:val="0"/>
          <w:bCs w:val="0"/>
        </w:rPr>
      </w:pPr>
      <w:r>
        <w:rPr/>
        <w:t>一、审计意见</w:t>
      </w:r>
      <w:r>
        <w:rPr>
          <w:b w:val="0"/>
          <w:bCs w:val="0"/>
        </w:rPr>
      </w:r>
    </w:p>
    <w:p>
      <w:pPr>
        <w:pStyle w:val="BodyText"/>
        <w:spacing w:line="300" w:lineRule="auto" w:before="56"/>
        <w:ind w:right="151" w:firstLine="480"/>
        <w:jc w:val="both"/>
      </w:pPr>
      <w:r>
        <w:rPr>
          <w:spacing w:val="-1"/>
        </w:rPr>
        <w:t>我们审计了创业软件股份有限公司（以下简称创业软件公司）财务报表，包括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w:t>
      </w:r>
      <w:r>
        <w:rPr/>
        <w:t> </w:t>
      </w:r>
      <w:r>
        <w:rPr>
          <w:spacing w:val="-2"/>
        </w:rPr>
        <w:t>债表，</w:t>
      </w:r>
      <w:r>
        <w:rPr>
          <w:rFonts w:ascii="Times New Roman" w:hAnsi="Times New Roman" w:cs="Times New Roman" w:eastAsia="Times New Roman" w:hint="default"/>
          <w:spacing w:val="-2"/>
        </w:rPr>
        <w:t>2017</w:t>
      </w:r>
      <w:r>
        <w:rPr>
          <w:spacing w:val="-2"/>
        </w:rPr>
        <w:t>年度的合并及母公司利润表、合并及母公司现金流量表、合并及母公司所有者权益变动表，以及相关财务报表附</w:t>
      </w:r>
      <w:r>
        <w:rPr>
          <w:spacing w:val="-62"/>
        </w:rPr>
        <w:t> </w:t>
      </w:r>
      <w:r>
        <w:rPr>
          <w:spacing w:val="-62"/>
        </w:rPr>
      </w:r>
      <w:r>
        <w:rPr/>
        <w:t>注。</w:t>
      </w:r>
    </w:p>
    <w:p>
      <w:pPr>
        <w:pStyle w:val="BodyText"/>
        <w:spacing w:line="300" w:lineRule="auto" w:before="31"/>
        <w:ind w:right="0" w:firstLine="480"/>
        <w:jc w:val="left"/>
      </w:pPr>
      <w:r>
        <w:rPr>
          <w:spacing w:val="-1"/>
        </w:rPr>
        <w:t>我们认为，后附的财务报表在所有重大方面按照企业会计准则的规定编制，公允反映了创业软件公司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的合并及母公司财务状况以及</w:t>
      </w:r>
      <w:r>
        <w:rPr>
          <w:rFonts w:ascii="Times New Roman" w:hAnsi="Times New Roman" w:cs="Times New Roman" w:eastAsia="Times New Roman" w:hint="default"/>
        </w:rPr>
        <w:t>2017</w:t>
      </w:r>
      <w:r>
        <w:rPr/>
        <w:t>年度的合并及母公司经营成果和现金流量。</w:t>
      </w:r>
    </w:p>
    <w:p>
      <w:pPr>
        <w:spacing w:line="240" w:lineRule="auto" w:before="6"/>
        <w:rPr>
          <w:rFonts w:ascii="宋体" w:hAnsi="宋体" w:cs="宋体" w:eastAsia="宋体" w:hint="default"/>
          <w:sz w:val="20"/>
          <w:szCs w:val="20"/>
        </w:rPr>
      </w:pPr>
    </w:p>
    <w:p>
      <w:pPr>
        <w:pStyle w:val="BodyText"/>
        <w:spacing w:line="283" w:lineRule="auto"/>
        <w:ind w:left="633" w:right="133" w:firstLine="2"/>
        <w:jc w:val="left"/>
      </w:pPr>
      <w:r>
        <w:rPr>
          <w:rFonts w:ascii="Microsoft JhengHei" w:hAnsi="Microsoft JhengHei" w:cs="Microsoft JhengHei" w:eastAsia="Microsoft JhengHei" w:hint="default"/>
          <w:b/>
          <w:bCs/>
        </w:rPr>
        <w:t>二、形成审计意见的基础</w:t>
      </w:r>
      <w:r>
        <w:rPr>
          <w:rFonts w:ascii="Microsoft JhengHei" w:hAnsi="Microsoft JhengHei" w:cs="Microsoft JhengHei" w:eastAsia="Microsoft JhengHei" w:hint="default"/>
          <w:b/>
          <w:bCs/>
          <w:spacing w:val="-42"/>
        </w:rPr>
        <w:t> </w:t>
      </w:r>
      <w:r>
        <w:rPr>
          <w:rFonts w:ascii="Microsoft JhengHei" w:hAnsi="Microsoft JhengHei" w:cs="Microsoft JhengHei" w:eastAsia="Microsoft JhengHei" w:hint="default"/>
          <w:b/>
          <w:bCs/>
          <w:spacing w:val="-42"/>
        </w:rPr>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before="27"/>
        <w:ind w:right="0"/>
        <w:jc w:val="left"/>
      </w:pPr>
      <w:r>
        <w:rPr>
          <w:spacing w:val="-2"/>
        </w:rPr>
        <w:t>步阐述了我们在这些准则下的责任。按照中国注册会计师职业道德守则，我们独立于创业软件公司，并履行了职业道德方面</w:t>
      </w:r>
      <w:r>
        <w:rPr>
          <w:spacing w:val="-63"/>
        </w:rPr>
        <w:t> </w:t>
      </w:r>
      <w:r>
        <w:rPr>
          <w:spacing w:val="-63"/>
        </w:rPr>
      </w:r>
      <w:r>
        <w:rPr/>
        <w:t>的其他责任。我们相信，我们获取的审计证据是充分、适当的，为发表审计意见提供了基础。</w:t>
      </w:r>
    </w:p>
    <w:p>
      <w:pPr>
        <w:spacing w:line="240" w:lineRule="auto" w:before="12"/>
        <w:rPr>
          <w:rFonts w:ascii="宋体" w:hAnsi="宋体" w:cs="宋体" w:eastAsia="宋体" w:hint="default"/>
          <w:sz w:val="20"/>
          <w:szCs w:val="20"/>
        </w:rPr>
      </w:pPr>
    </w:p>
    <w:p>
      <w:pPr>
        <w:pStyle w:val="BodyText"/>
        <w:spacing w:line="283" w:lineRule="auto"/>
        <w:ind w:left="633" w:right="0" w:firstLine="2"/>
        <w:jc w:val="left"/>
      </w:pPr>
      <w:r>
        <w:rPr>
          <w:rFonts w:ascii="Microsoft JhengHei" w:hAnsi="Microsoft JhengHei" w:cs="Microsoft JhengHei" w:eastAsia="Microsoft JhengHei" w:hint="default"/>
          <w:b/>
          <w:bCs/>
        </w:rPr>
        <w:t>三、关键审计事项 </w:t>
      </w:r>
      <w:r>
        <w:rPr>
          <w:spacing w:val="-1"/>
        </w:rPr>
        <w:t>关键审计事项是我们根据职业判断，认为对本期财务报表审计最为重要的事项。这些事项的应对以对财务报表整体进</w:t>
      </w:r>
    </w:p>
    <w:p>
      <w:pPr>
        <w:pStyle w:val="BodyText"/>
        <w:spacing w:line="240" w:lineRule="auto" w:before="44"/>
        <w:ind w:right="0"/>
        <w:jc w:val="left"/>
      </w:pPr>
      <w:r>
        <w:rPr/>
        <w:t>行审计并形成审计意见为背景，我们不对这些事项单独发表意见。</w:t>
      </w:r>
    </w:p>
    <w:p>
      <w:pPr>
        <w:pStyle w:val="BodyText"/>
        <w:spacing w:line="240" w:lineRule="auto" w:before="76"/>
        <w:ind w:left="63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完工百分比法确认收入</w:t>
      </w:r>
    </w:p>
    <w:p>
      <w:pPr>
        <w:pStyle w:val="BodyText"/>
        <w:spacing w:line="240" w:lineRule="auto" w:before="63"/>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关键审计事项</w:t>
      </w:r>
    </w:p>
    <w:p>
      <w:pPr>
        <w:pStyle w:val="BodyText"/>
        <w:spacing w:line="304" w:lineRule="auto" w:before="63"/>
        <w:ind w:right="151" w:firstLine="480"/>
        <w:jc w:val="both"/>
      </w:pPr>
      <w:r>
        <w:rPr>
          <w:rFonts w:ascii="Times New Roman" w:hAnsi="Times New Roman" w:cs="Times New Roman" w:eastAsia="Times New Roman" w:hint="default"/>
          <w:spacing w:val="-1"/>
        </w:rPr>
        <w:t>2017</w:t>
      </w:r>
      <w:r>
        <w:rPr>
          <w:spacing w:val="-1"/>
        </w:rPr>
        <w:t>年度创业软件公司实现营业收入</w:t>
      </w:r>
      <w:r>
        <w:rPr>
          <w:rFonts w:ascii="Times New Roman" w:hAnsi="Times New Roman" w:cs="Times New Roman" w:eastAsia="Times New Roman" w:hint="default"/>
          <w:spacing w:val="-1"/>
        </w:rPr>
        <w:t>1,152,952,938.09</w:t>
      </w:r>
      <w:r>
        <w:rPr>
          <w:spacing w:val="-1"/>
        </w:rPr>
        <w:t>元，其中医疗卫生信息化应用软件和智能化网络布线工程集成业</w:t>
      </w:r>
      <w:r>
        <w:rPr/>
        <w:t> 务的营业收入分别为</w:t>
      </w:r>
      <w:r>
        <w:rPr>
          <w:rFonts w:ascii="Times New Roman" w:hAnsi="Times New Roman" w:cs="Times New Roman" w:eastAsia="Times New Roman" w:hint="default"/>
        </w:rPr>
        <w:t>522,259,334.67</w:t>
      </w:r>
      <w:r>
        <w:rPr/>
        <w:t>元、</w:t>
      </w:r>
      <w:r>
        <w:rPr>
          <w:rFonts w:ascii="Times New Roman" w:hAnsi="Times New Roman" w:cs="Times New Roman" w:eastAsia="Times New Roman" w:hint="default"/>
        </w:rPr>
        <w:t>13,415,255.97</w:t>
      </w:r>
      <w:r>
        <w:rPr/>
        <w:t>元，占营业收入的比重为</w:t>
      </w:r>
      <w:r>
        <w:rPr>
          <w:rFonts w:ascii="Times New Roman" w:hAnsi="Times New Roman" w:cs="Times New Roman" w:eastAsia="Times New Roman" w:hint="default"/>
        </w:rPr>
        <w:t>46.46%</w:t>
      </w:r>
      <w:r>
        <w:rPr/>
        <w:t>。根据创业软件公司收入确认政策</w:t>
      </w:r>
      <w:r>
        <w:rPr>
          <w:rFonts w:ascii="Times New Roman" w:hAnsi="Times New Roman" w:cs="Times New Roman" w:eastAsia="Times New Roman" w:hint="default"/>
        </w:rPr>
        <w:t>[</w:t>
      </w:r>
      <w:r>
        <w:rPr/>
        <w:t>详</w:t>
      </w:r>
      <w:r>
        <w:rPr>
          <w:spacing w:val="-78"/>
        </w:rPr>
        <w:t> </w:t>
      </w:r>
      <w:r>
        <w:rPr/>
        <w:t>见财务报表附注三（二十二）</w:t>
      </w:r>
      <w:r>
        <w:rPr>
          <w:rFonts w:ascii="Times New Roman" w:hAnsi="Times New Roman" w:cs="Times New Roman" w:eastAsia="Times New Roman" w:hint="default"/>
        </w:rPr>
        <w:t>]</w:t>
      </w:r>
      <w:r>
        <w:rPr/>
        <w:t>，医疗卫生信息化应用软件和智能化网络布线工程集成业务采用完工百分比法确认收入。因</w:t>
      </w:r>
      <w:r>
        <w:rPr>
          <w:spacing w:val="-58"/>
        </w:rPr>
        <w:t> </w:t>
      </w:r>
      <w:r>
        <w:rPr>
          <w:spacing w:val="-58"/>
        </w:rPr>
      </w:r>
      <w:r>
        <w:rPr/>
        <w:t>为采用完工百分比法确认收入涉及管理层的会计估计判断，可能导致该类收入记入错误的会计期间或遭到操控而产生固有</w:t>
      </w:r>
      <w:r>
        <w:rPr>
          <w:spacing w:val="-11"/>
        </w:rPr>
        <w:t> </w:t>
      </w:r>
      <w:r>
        <w:rPr>
          <w:spacing w:val="-11"/>
        </w:rPr>
      </w:r>
      <w:r>
        <w:rPr/>
        <w:t>风险。因为该类收入是公司的关键绩效指标之一，我们把采用完工百分比法确认的收入列为关键审计事项。</w:t>
      </w:r>
    </w:p>
    <w:p>
      <w:pPr>
        <w:pStyle w:val="BodyText"/>
        <w:spacing w:line="300" w:lineRule="auto" w:before="28"/>
        <w:ind w:left="633" w:right="677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 我们执行的主要审计程序如下：</w:t>
      </w:r>
    </w:p>
    <w:p>
      <w:pPr>
        <w:pStyle w:val="BodyText"/>
        <w:spacing w:line="240" w:lineRule="auto" w:before="31"/>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对创业软件公司收入确认相关的内部控制的设计及执行有效性进行了评估和测试；</w:t>
      </w:r>
    </w:p>
    <w:p>
      <w:pPr>
        <w:pStyle w:val="BodyText"/>
        <w:spacing w:line="240" w:lineRule="auto" w:before="63"/>
        <w:ind w:left="6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检查完工进度表形成的过程与相关支持文件，比较不同期间的完工进度表的合理性；</w:t>
      </w:r>
    </w:p>
    <w:p>
      <w:pPr>
        <w:pStyle w:val="BodyText"/>
        <w:spacing w:line="240" w:lineRule="auto" w:before="63"/>
        <w:ind w:left="63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检查按照完工进度表确认收入的准确性；</w:t>
      </w:r>
    </w:p>
    <w:p>
      <w:pPr>
        <w:pStyle w:val="BodyText"/>
        <w:spacing w:line="240" w:lineRule="auto" w:before="63"/>
        <w:ind w:left="63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核对经客户确认的完工进度表，并函证项目完工进度。</w:t>
      </w:r>
    </w:p>
    <w:p>
      <w:pPr>
        <w:pStyle w:val="BodyText"/>
        <w:spacing w:line="240" w:lineRule="auto" w:before="63"/>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商誉减值</w:t>
      </w:r>
    </w:p>
    <w:p>
      <w:pPr>
        <w:pStyle w:val="BodyText"/>
        <w:spacing w:line="240" w:lineRule="auto" w:before="63"/>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关键审计事项</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9" w:lineRule="auto" w:before="44"/>
        <w:ind w:right="0" w:firstLine="480"/>
        <w:jc w:val="left"/>
      </w:pPr>
      <w:r>
        <w:rPr/>
        <w:t>参见财务报表附注六（一）（非同一控制下企业合并）与财务报表附注五（一）</w:t>
      </w:r>
      <w:r>
        <w:rPr>
          <w:rFonts w:ascii="Times New Roman" w:hAnsi="Times New Roman" w:cs="Times New Roman" w:eastAsia="Times New Roman" w:hint="default"/>
        </w:rPr>
        <w:t>15</w:t>
      </w:r>
      <w:r>
        <w:rPr/>
        <w:t>（商誉），截至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2"/>
        </w:rPr>
        <w:t> </w:t>
      </w:r>
      <w:r>
        <w:rPr>
          <w:spacing w:val="-2"/>
        </w:rPr>
        <w:t>公司合并报表中商誉账面价值为</w:t>
      </w:r>
      <w:r>
        <w:rPr>
          <w:rFonts w:ascii="Times New Roman" w:hAnsi="Times New Roman" w:cs="Times New Roman" w:eastAsia="Times New Roman" w:hint="default"/>
          <w:spacing w:val="-2"/>
        </w:rPr>
        <w:t>1,108,004,441.03</w:t>
      </w:r>
      <w:r>
        <w:rPr>
          <w:spacing w:val="-2"/>
        </w:rPr>
        <w:t>元。管理层在每年年度终了对商誉进行减值测试，并依据减值测试的结果调</w:t>
      </w:r>
      <w:r>
        <w:rPr>
          <w:spacing w:val="-51"/>
        </w:rPr>
        <w:t> </w:t>
      </w:r>
      <w:r>
        <w:rPr>
          <w:spacing w:val="-51"/>
        </w:rPr>
      </w:r>
      <w:r>
        <w:rPr>
          <w:spacing w:val="-2"/>
        </w:rPr>
        <w:t>整商誉的账面价值。因管理层商誉减值测试的评估过程复杂，需要高度的判断，减值评估涉及确定折现率等评估参数及对未</w:t>
      </w:r>
      <w:r>
        <w:rPr>
          <w:spacing w:val="-66"/>
        </w:rPr>
        <w:t> </w:t>
      </w:r>
      <w:r>
        <w:rPr>
          <w:spacing w:val="-66"/>
        </w:rPr>
      </w:r>
      <w:r>
        <w:rPr>
          <w:spacing w:val="-2"/>
        </w:rPr>
        <w:t>来若干年的经营和财务情况的假设，包括未来若干年的销售增长率和毛利率等。因为商誉账面价值较大，对财务报表影响重</w:t>
      </w:r>
      <w:r>
        <w:rPr>
          <w:spacing w:val="-63"/>
        </w:rPr>
        <w:t> </w:t>
      </w:r>
      <w:r>
        <w:rPr>
          <w:spacing w:val="-63"/>
        </w:rPr>
      </w:r>
      <w:r>
        <w:rPr/>
        <w:t>大，我们将商誉减值列为关键审计事项。</w:t>
      </w:r>
    </w:p>
    <w:p>
      <w:pPr>
        <w:pStyle w:val="BodyText"/>
        <w:spacing w:line="300" w:lineRule="auto" w:before="24"/>
        <w:ind w:left="633" w:right="68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 我们执行的主要审计程序如下：</w:t>
      </w:r>
    </w:p>
    <w:p>
      <w:pPr>
        <w:pStyle w:val="BodyText"/>
        <w:spacing w:line="240" w:lineRule="auto" w:before="31"/>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对创业软件公司商誉减值测试相关的内部控制的设计及执行有效性进行了评估和测试；</w:t>
      </w:r>
    </w:p>
    <w:p>
      <w:pPr>
        <w:pStyle w:val="BodyText"/>
        <w:spacing w:line="300" w:lineRule="auto" w:before="63"/>
        <w:ind w:right="0" w:firstLine="48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分析管理层对商誉所属资产组的认定和进行商誉减值测试时采用的关键假设和方法，检查相关的假设和方法的合</w:t>
      </w:r>
      <w:r>
        <w:rPr>
          <w:w w:val="99"/>
        </w:rPr>
        <w:t> </w:t>
      </w:r>
      <w:r>
        <w:rPr/>
        <w:t>理性；</w:t>
      </w:r>
    </w:p>
    <w:p>
      <w:pPr>
        <w:pStyle w:val="BodyText"/>
        <w:spacing w:line="240" w:lineRule="auto" w:before="31"/>
        <w:ind w:left="63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复核管理层编制的商誉所属资产组可收回金额的计算表；</w:t>
      </w:r>
    </w:p>
    <w:p>
      <w:pPr>
        <w:pStyle w:val="BodyText"/>
        <w:spacing w:line="240" w:lineRule="auto" w:before="63"/>
        <w:ind w:left="63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比较商誉所属资产组的账面价值与其可收回金额的差异，确认是否存在商誉减值情况。</w:t>
      </w:r>
    </w:p>
    <w:p>
      <w:pPr>
        <w:spacing w:line="240" w:lineRule="auto" w:before="3"/>
        <w:rPr>
          <w:rFonts w:ascii="宋体" w:hAnsi="宋体" w:cs="宋体" w:eastAsia="宋体" w:hint="default"/>
          <w:sz w:val="24"/>
          <w:szCs w:val="24"/>
        </w:rPr>
      </w:pPr>
    </w:p>
    <w:p>
      <w:pPr>
        <w:pStyle w:val="BodyText"/>
        <w:spacing w:line="283" w:lineRule="auto"/>
        <w:ind w:left="633" w:right="0" w:firstLine="2"/>
        <w:jc w:val="left"/>
      </w:pPr>
      <w:r>
        <w:rPr>
          <w:rFonts w:ascii="Microsoft JhengHei" w:hAnsi="Microsoft JhengHei" w:cs="Microsoft JhengHei" w:eastAsia="Microsoft JhengHei" w:hint="default"/>
          <w:b/>
          <w:bCs/>
        </w:rPr>
        <w:t>四、其他信息 </w:t>
      </w:r>
      <w:r>
        <w:rPr>
          <w:spacing w:val="-1"/>
        </w:rPr>
        <w:t>创业软件公司管理层（以下简称管理层）对其他信息负责。其他信息包括年度报告中涵盖的信息，但不包括财务报表</w:t>
      </w:r>
    </w:p>
    <w:p>
      <w:pPr>
        <w:pStyle w:val="BodyText"/>
        <w:spacing w:line="316" w:lineRule="auto" w:before="44"/>
        <w:ind w:left="633" w:right="1613" w:hanging="481"/>
        <w:jc w:val="left"/>
      </w:pPr>
      <w:r>
        <w:rPr/>
        <w:t>和我们的审计报告。 我们对财务报表发表的审计意见不涵盖其他信息，我们也不对其他信息发表任何形式的鉴证结论。</w:t>
      </w:r>
    </w:p>
    <w:p>
      <w:pPr>
        <w:pStyle w:val="BodyText"/>
        <w:spacing w:line="316" w:lineRule="auto" w:before="19"/>
        <w:ind w:right="0" w:firstLine="480"/>
        <w:jc w:val="left"/>
      </w:pPr>
      <w:r>
        <w:rPr>
          <w:spacing w:val="-1"/>
        </w:rPr>
        <w:t>结合我们对财务报表的审计，我们的责任是阅读其他信息，在此过程中，考虑其他信息是否与财务报表或我们在审计</w:t>
      </w:r>
      <w:r>
        <w:rPr/>
        <w:t> 过程中了解到的情况存在重大不一致或者似乎存在重大错报。</w:t>
      </w:r>
    </w:p>
    <w:p>
      <w:pPr>
        <w:pStyle w:val="BodyText"/>
        <w:spacing w:line="316" w:lineRule="auto" w:before="19"/>
        <w:ind w:right="0" w:firstLine="480"/>
        <w:jc w:val="left"/>
      </w:pPr>
      <w:r>
        <w:rPr>
          <w:spacing w:val="-1"/>
        </w:rPr>
        <w:t>基于我们已执行的工作，如果我们确定其他信息存在重大错报，我们应当报告该事实。在这方面，我们无任何事项需</w:t>
      </w:r>
      <w:r>
        <w:rPr/>
        <w:t> 要报告。</w:t>
      </w:r>
    </w:p>
    <w:p>
      <w:pPr>
        <w:spacing w:line="240" w:lineRule="auto" w:before="12"/>
        <w:rPr>
          <w:rFonts w:ascii="宋体" w:hAnsi="宋体" w:cs="宋体" w:eastAsia="宋体" w:hint="default"/>
          <w:sz w:val="20"/>
          <w:szCs w:val="20"/>
        </w:rPr>
      </w:pPr>
    </w:p>
    <w:p>
      <w:pPr>
        <w:spacing w:line="283" w:lineRule="auto" w:before="0"/>
        <w:ind w:left="633" w:right="0" w:firstLine="2"/>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五、管理层和治理层对财务报表的责任</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6" w:lineRule="auto" w:before="44"/>
        <w:ind w:left="633" w:right="0" w:hanging="481"/>
        <w:jc w:val="left"/>
      </w:pPr>
      <w:r>
        <w:rPr/>
        <w:t>财务报表不存在由于舞弊或错误导致的重大错报。 </w:t>
      </w:r>
      <w:r>
        <w:rPr>
          <w:spacing w:val="-1"/>
        </w:rPr>
        <w:t>在编制财务报表时，管理层负责评估创业软件公司的持续经营能力，披露与持续经营相关的事项（如适用），并运用</w:t>
      </w:r>
    </w:p>
    <w:p>
      <w:pPr>
        <w:pStyle w:val="BodyText"/>
        <w:spacing w:line="316" w:lineRule="auto" w:before="19"/>
        <w:ind w:left="633" w:right="4254" w:hanging="481"/>
        <w:jc w:val="left"/>
      </w:pPr>
      <w:r>
        <w:rPr/>
        <w:t>持续经营假设，除非计划进行清算、终止运营或别无其他现实的选择。 治理层负责监督创业软件公司的财务报告过程。</w:t>
      </w:r>
    </w:p>
    <w:p>
      <w:pPr>
        <w:spacing w:line="240" w:lineRule="auto" w:before="12"/>
        <w:rPr>
          <w:rFonts w:ascii="宋体" w:hAnsi="宋体" w:cs="宋体" w:eastAsia="宋体" w:hint="default"/>
          <w:sz w:val="20"/>
          <w:szCs w:val="20"/>
        </w:rPr>
      </w:pPr>
    </w:p>
    <w:p>
      <w:pPr>
        <w:spacing w:line="283" w:lineRule="auto" w:before="0"/>
        <w:ind w:left="633" w:right="0" w:firstLine="2"/>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六、注册会计师对财务报表审计的责任</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9" w:lineRule="auto" w:before="44"/>
        <w:ind w:right="210"/>
        <w:jc w:val="both"/>
      </w:pP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3"/>
        </w:rPr>
        <w:t> </w:t>
      </w:r>
      <w:r>
        <w:rPr>
          <w:spacing w:val="-63"/>
        </w:rPr>
      </w:r>
      <w:r>
        <w:rPr/>
        <w:t>是重大的。</w:t>
      </w:r>
    </w:p>
    <w:p>
      <w:pPr>
        <w:pStyle w:val="BodyText"/>
        <w:spacing w:line="240" w:lineRule="auto" w:before="17"/>
        <w:ind w:left="633" w:right="0"/>
        <w:jc w:val="left"/>
      </w:pPr>
      <w:r>
        <w:rPr/>
        <w:t>在按照审计准则执行审计工作的过程中，我们运用职业判断，并保持职业怀疑。同时，我们也执行以下工作：</w:t>
      </w:r>
    </w:p>
    <w:p>
      <w:pPr>
        <w:pStyle w:val="BodyText"/>
        <w:spacing w:line="309" w:lineRule="auto" w:before="76"/>
        <w:ind w:right="122"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spacing w:val="-83"/>
        </w:rPr>
        <w:t> </w:t>
      </w:r>
      <w:r>
        <w:rPr>
          <w:spacing w:val="-83"/>
        </w:rPr>
      </w:r>
      <w:r>
        <w:rPr/>
        <w:t>未能发现由于舞弊导致的重大错报的风险高于未能发现由于错误导致的重大错报的风险。</w:t>
      </w:r>
    </w:p>
    <w:p>
      <w:pPr>
        <w:pStyle w:val="BodyText"/>
        <w:spacing w:line="240" w:lineRule="auto" w:before="12"/>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了解与审计相关的内部控制，以设计恰当的审计程序</w:t>
      </w:r>
      <w:r>
        <w:rPr>
          <w:rFonts w:ascii="宋体" w:hAnsi="宋体" w:cs="宋体" w:eastAsia="宋体" w:hint="default"/>
          <w:sz w:val="19"/>
          <w:szCs w:val="19"/>
        </w:rPr>
        <w:t>，</w:t>
      </w:r>
      <w:r>
        <w:rPr/>
        <w:t>但目的并非对内部控制的有效性发表意见。</w:t>
      </w:r>
    </w:p>
    <w:p>
      <w:pPr>
        <w:pStyle w:val="BodyText"/>
        <w:spacing w:line="240" w:lineRule="auto" w:before="63"/>
        <w:ind w:left="63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评价管理层选用会计政策的恰当性和作出会计估计及相关披露的合理性。</w:t>
      </w:r>
    </w:p>
    <w:p>
      <w:pPr>
        <w:pStyle w:val="BodyText"/>
        <w:spacing w:line="312" w:lineRule="auto" w:before="63"/>
        <w:ind w:right="212"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对管理层使用持续经营假设的恰当性得出结论。同时，根据获取的审计证据，就可能导致对创业软件公司持续经</w:t>
      </w:r>
      <w:r>
        <w:rPr>
          <w:w w:val="99"/>
        </w:rPr>
        <w:t> </w:t>
      </w:r>
      <w:r>
        <w:rPr>
          <w:spacing w:val="-2"/>
        </w:rPr>
        <w:t>营能力产生重大疑虑的事项或情况是否存在重大不确定性得出结论。如果我们得出结论认为存在重大不确定性，审计准则要</w:t>
      </w:r>
      <w:r>
        <w:rPr>
          <w:spacing w:val="-65"/>
        </w:rPr>
        <w:t> </w:t>
      </w:r>
      <w:r>
        <w:rPr>
          <w:spacing w:val="-65"/>
        </w:rPr>
      </w:r>
      <w:r>
        <w:rPr>
          <w:spacing w:val="-2"/>
        </w:rPr>
        <w:t>求我们在审计报告中提请报表使用者注意财务报表中的相关披露；如果披露不充分，我们应当发表非无保留意见。我们的结</w:t>
      </w:r>
      <w:r>
        <w:rPr>
          <w:spacing w:val="-67"/>
        </w:rPr>
        <w:t> </w:t>
      </w:r>
      <w:r>
        <w:rPr>
          <w:spacing w:val="-67"/>
        </w:rPr>
      </w:r>
      <w:r>
        <w:rPr/>
        <w:t>论基于截至审计报告日可获得的信息。然而，未来的事项或情况可能导致创业软件公司不能持续经营。</w:t>
      </w:r>
    </w:p>
    <w:p>
      <w:pPr>
        <w:spacing w:after="0" w:line="312" w:lineRule="auto"/>
        <w:jc w:val="both"/>
        <w:sectPr>
          <w:pgSz w:w="11910" w:h="16840"/>
          <w:pgMar w:header="745" w:footer="979" w:top="1060" w:bottom="1160" w:left="980" w:right="920"/>
        </w:sectPr>
      </w:pPr>
    </w:p>
    <w:p>
      <w:pPr>
        <w:spacing w:line="240" w:lineRule="auto" w:before="10"/>
        <w:rPr>
          <w:rFonts w:ascii="宋体" w:hAnsi="宋体" w:cs="宋体" w:eastAsia="宋体" w:hint="default"/>
          <w:sz w:val="25"/>
          <w:szCs w:val="25"/>
        </w:rPr>
      </w:pPr>
    </w:p>
    <w:p>
      <w:pPr>
        <w:pStyle w:val="BodyText"/>
        <w:spacing w:line="240" w:lineRule="auto" w:before="44"/>
        <w:ind w:left="633"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评价财务报表的总体列报、结构和内容（包括披露），并评价财务报表是否公允反映相关交易和事项。</w:t>
      </w:r>
    </w:p>
    <w:p>
      <w:pPr>
        <w:pStyle w:val="BodyText"/>
        <w:spacing w:line="300" w:lineRule="auto" w:before="63"/>
        <w:ind w:right="135" w:firstLine="48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就创业软件公司中实体或业务活动的财务信息获取充分、适当的审计证据，以对财务报表发表审计意见。我们负</w:t>
      </w:r>
      <w:r>
        <w:rPr>
          <w:w w:val="99"/>
        </w:rPr>
        <w:t> </w:t>
      </w:r>
      <w:r>
        <w:rPr/>
        <w:t>责指导、监督和执行集团审计，并对审计意见承担全部责任。</w:t>
      </w:r>
    </w:p>
    <w:p>
      <w:pPr>
        <w:pStyle w:val="BodyText"/>
        <w:spacing w:line="316" w:lineRule="auto" w:before="31"/>
        <w:ind w:right="0" w:firstLine="480"/>
        <w:jc w:val="left"/>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0" w:firstLine="480"/>
        <w:jc w:val="left"/>
      </w:pPr>
      <w:r>
        <w:rPr>
          <w:spacing w:val="-1"/>
        </w:rPr>
        <w:t>我们还就已遵守与独立性相关的职业道德要求向治理层提供声明，并与治理层沟通可能被合理认为影响我们独立性的</w:t>
      </w:r>
      <w:r>
        <w:rPr/>
        <w:t> 所有关系和其他事项，以及相关的防范措施（如适用）。 </w:t>
      </w:r>
      <w:r>
        <w:rPr>
          <w:spacing w:val="-2"/>
        </w:rPr>
        <w:t>从与治理层沟通过的事项中，我们确定哪些事项对本期财务报表审计最为重要，因而构成关键审计事项。我们在审计报告中</w:t>
      </w:r>
      <w:r>
        <w:rPr>
          <w:spacing w:val="-62"/>
        </w:rPr>
        <w:t> </w:t>
      </w:r>
      <w:r>
        <w:rPr>
          <w:spacing w:val="-62"/>
        </w:rPr>
      </w:r>
      <w:r>
        <w:rPr>
          <w:spacing w:val="-2"/>
        </w:rPr>
        <w:t>描述这些事项，除非法律法规禁止公开披露这些事项，或在极少数情形下，如果合理预期在审计报告中沟通某事项造成的负</w:t>
      </w:r>
      <w:r>
        <w:rPr>
          <w:spacing w:val="-63"/>
        </w:rPr>
        <w:t> </w:t>
      </w:r>
      <w:r>
        <w:rPr>
          <w:spacing w:val="-63"/>
        </w:rPr>
      </w:r>
      <w:r>
        <w:rPr/>
        <w:t>面后果超过在公众利益方面产生的益处，我们确定不应在审计报告中沟通该事项。</w:t>
      </w:r>
    </w:p>
    <w:p>
      <w:pPr>
        <w:spacing w:line="240" w:lineRule="auto" w:before="1"/>
        <w:rPr>
          <w:rFonts w:ascii="宋体" w:hAnsi="宋体" w:cs="宋体" w:eastAsia="宋体" w:hint="default"/>
          <w:sz w:val="15"/>
          <w:szCs w:val="15"/>
        </w:rPr>
      </w:pPr>
    </w:p>
    <w:p>
      <w:pPr>
        <w:pStyle w:val="Heading2"/>
        <w:spacing w:line="240" w:lineRule="auto"/>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240" w:lineRule="auto" w:before="44"/>
        <w:ind w:right="-20"/>
        <w:jc w:val="left"/>
      </w:pPr>
      <w:r>
        <w:rPr/>
        <w:t>编制单位：创业软件股份有限公司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2853" w:space="1223"/>
            <w:col w:w="1642" w:space="3202"/>
            <w:col w:w="1030"/>
          </w:cols>
        </w:sectPr>
      </w:pP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361,081,959.81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317,942,646.44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3,501,984.51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447,674,875.18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312,970,867.07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17,340,006.86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11,538,181.27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41,735,381.28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45,338,222.43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89,824,846.34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44,266,417.58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30,097,549.08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50,151,386.54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987,754,618.55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785,709,705.84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42,169,001.69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7,014,395.36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3,691,834.64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3,913,759.88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310,211,428.25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245,370,858.16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35,404,389.82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9,030,903.39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23,154,125.90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6,536,749.02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1,108,004,441.03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31,248,971.58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517,859.85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7,082,924.78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5,071,272.08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10,728,519.00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1,711,236,005.96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347,415,428.47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2,698,990,624.51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1,133,125,134.31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159,527,181.08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107,473,365.89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172,059,602.87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97,392,653.30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50,158,388.89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15,903,816.90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42,924,691.75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20,097,172.23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183,333.33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9,045.62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309,750.01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79,789,115.80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107,940,198.22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606,529,104.72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355,426,002.17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20,643,883.64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21,359,800.00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20,643,883.64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21,359,800.00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627,172,988.36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376,785,802.17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242,801,887.00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210,996,000.00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1,499,628,425.90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273,735,706.94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181,364,667.79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97,747,403.04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41,516,879.72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35,711,283.22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435,329,536.63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302,173,025.37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2,037,912,061.46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724,868,612.49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33,905,574.69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31,470,719.65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2,071,817,636.15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756,339,332.14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2,698,990,624.51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1,133,125,134.31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901" w:val="left" w:leader="none"/>
        </w:tabs>
        <w:spacing w:line="240" w:lineRule="auto" w:before="44"/>
        <w:ind w:right="0"/>
        <w:jc w:val="left"/>
      </w:pPr>
      <w:r>
        <w:rPr/>
        <w:t>法定代表人：葛航</w:t>
        <w:tab/>
      </w:r>
      <w:r>
        <w:rPr>
          <w:spacing w:val="-1"/>
        </w:rPr>
        <w:t>主管会计工作负责人：郁燕萍</w:t>
        <w:tab/>
      </w:r>
      <w:r>
        <w:rPr/>
        <w:t>会计机构负责人：李军</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212,513,366.05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264,432,807.92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1,650,984.51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318,133,654.51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258,690,125.65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12,732,708.23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8,047,044.88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40,190,395.45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43,325,434.32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74,202,381.39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30,596,911.22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657,772,505.63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656,743,308.50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2940"/>
        <w:gridCol w:w="3316"/>
        <w:gridCol w:w="3301"/>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1,495,214,885.62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160,281,346.49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209,741,472.95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198,404,725.35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34,139,644.11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6,876,738.40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5,918,700.65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6,536,749.02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5,953,354.68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4,450,365.68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10,728,519.00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1,931,968,058.01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415,778,443.94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2,589,740,563.64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1,072,521,752.44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138,558,040.41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104,325,495.20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110,691,273.51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86,422,711.08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16,471,987.55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12,536,778.36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26,924,937.29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17,579,320.62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183,333.33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309,750.01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244,036,544.86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107,199,311.24</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638,752,907.95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328,673,366.51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19,745,083.64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20,461,000.00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19,745,083.64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20,461,000.00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658,497,991.59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349,134,366.51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242,801,887.00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210,996,000.00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1,499,628,425.90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273,735,706.94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181,364,667.79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97,747,403.04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41,516,879.72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35,711,283.22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328,660,047.22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300,691,798.81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1,931,242,572.05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723,387,385.93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2,589,740,563.64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1,072,521,752.44</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66"/>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1,152,952,938.09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548,645,307.54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1,152,952,938.09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548,645,307.54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994,508,932.07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511,122,205.38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588,727,892.03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280,093,625.97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12,959,030.08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5,595,837.23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108,188,001.84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67,148,558.74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268,141,153.86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157,712,695.57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-1,984,408.58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-7,577,225.90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18,477,262.84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8,148,713.77</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4,729,484.05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1,111,939.65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3,568,415.05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1,111,939.65</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0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431,148.34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37,623,937.23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201,228,575.64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38,635,041.81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428,596.70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35,500,050.94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1,016,434.78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278,780.66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200,640,737.56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73,856,312.09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31,856,162.47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6,750,189.61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168,784,575.09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67,106,122.48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168,784,575.09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67,106,122.48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163,244,227.81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63,003,453.15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5,540,347.28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4,102,669.33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9"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168,784,575.09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67,106,122.48</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163,244,227.81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63,003,453.15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5,540,347.28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4,102,669.33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080"/>
        <w:gridCol w:w="3212"/>
        <w:gridCol w:w="3277"/>
      </w:tblGrid>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r>
    </w:tbl>
    <w:p>
      <w:pPr>
        <w:pStyle w:val="BodyText"/>
        <w:tabs>
          <w:tab w:pos="3578" w:val="left" w:leader="none"/>
          <w:tab w:pos="7901" w:val="left" w:leader="none"/>
        </w:tabs>
        <w:spacing w:line="621" w:lineRule="auto" w:before="49"/>
        <w:ind w:right="242"/>
        <w:jc w:val="left"/>
      </w:pPr>
      <w:r>
        <w:rPr/>
        <w:t>本期发生同一控制下企业合并的，被合并方在合并前实现的净利润为：元，上期被合并方实现的净利润为：元。 法定代表人：葛航</w:t>
        <w:tab/>
      </w:r>
      <w:r>
        <w:rPr>
          <w:spacing w:val="-1"/>
        </w:rPr>
        <w:t>主管会计工作负责人：郁燕萍</w:t>
        <w:tab/>
      </w:r>
      <w:r>
        <w:rPr/>
        <w:t>会计机构负责人：李军</w:t>
      </w:r>
    </w:p>
    <w:p>
      <w:pPr>
        <w:pStyle w:val="Heading3"/>
        <w:spacing w:line="240" w:lineRule="auto" w:before="2"/>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614,624,923.97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504,180,589.18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302,230,264.67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257,744,299.60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8,417,128.35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5,314,905.53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72,026,692.11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65,915,122.54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193,517,094.27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143,878,089.94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537,603.15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-7,652,247.37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16,272,837.12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13,862,832.42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4,825,913.33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384,589.22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4,592,488.67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384,589.22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35,735,611.81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62,184,829.44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25,502,175.74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409,969.11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34,539,803.18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430,800.99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267,902.85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62,163,997.56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59,774,076.07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6,170,150.26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5,133,502.82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55,993,847.30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54,640,573.25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55,993,847.30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54,640,573.25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2945"/>
        <w:gridCol w:w="3311"/>
        <w:gridCol w:w="3301"/>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55,993,847.30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54,640,573.25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943"/>
        <w:gridCol w:w="3312"/>
        <w:gridCol w:w="3301"/>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008" w:right="0"/>
              <w:jc w:val="left"/>
              <w:rPr>
                <w:rFonts w:ascii="Times New Roman" w:hAnsi="Times New Roman" w:cs="Times New Roman" w:eastAsia="Times New Roman" w:hint="default"/>
                <w:sz w:val="18"/>
                <w:szCs w:val="18"/>
              </w:rPr>
            </w:pPr>
            <w:r>
              <w:rPr>
                <w:rFonts w:ascii="Times New Roman"/>
                <w:sz w:val="18"/>
              </w:rPr>
              <w:t>1,212,535,026.46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594,657,006.08</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2943"/>
        <w:gridCol w:w="3312"/>
        <w:gridCol w:w="3301"/>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28,598,155.36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24,900,275.58</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20,996,299.33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21,656,281.82</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1,262,129,481.15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641,213,563.48</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437,960,710.50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183,899,574.16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426,784,482.94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208,340,799.08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105,246,589.66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54,640,731.02</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118,011,356.40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75,344,924.85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1,088,003,139.50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522,226,029.11</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174,126,341.65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118,987,534.37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1,161,069.00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917,284.20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50,427.35</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183,837,438.88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141,559,724.49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185,915,792.08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141,610,151.84</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49,419,287.43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114,434,945.77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26,500,000.00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91,727,950.54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54,757,612.12</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2943"/>
        <w:gridCol w:w="3312"/>
        <w:gridCol w:w="3301"/>
      </w:tblGrid>
      <w:tr>
        <w:trPr>
          <w:trHeight w:val="36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22,312,373.40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315,959,611.37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245,692,557.89</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-130,043,819.29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-104,082,406.05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19,936,890.00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22,936,890.00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27,297,429.26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10,299,633.12</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128,347,453.76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2,736,446.51</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192,944,883.02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19,036,079.63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-1,076,883.02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3,900,810.37</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43,005,639.34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18,805,938.69</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317,282,646.44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298,476,707.75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360,288,285.78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317,282,646.44</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2943"/>
        <w:gridCol w:w="3312"/>
        <w:gridCol w:w="3301"/>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632,097,784.08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537,417,615.17</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26,822,773.45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24,581,224.04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27,486,876.41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18,624,569.71</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686,407,433.94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580,623,408.92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213,395,149.69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165,300,479.16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2943"/>
        <w:gridCol w:w="3312"/>
        <w:gridCol w:w="3301"/>
      </w:tblGrid>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262,492,219.29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196,227,559.08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51,959,752.20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50,052,813.83</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82,919,544.04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71,637,582.24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610,766,665.22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483,218,434.31</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75,640,768.72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97,404,974.61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233,424.66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1,640.68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50,427.35</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53,400,308.20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141,117,739.16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53,635,373.54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141,168,166.51</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44,127,832.50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113,881,939.74</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157,150,000.00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26,500,000.00</w:t>
            </w:r>
          </w:p>
        </w:tc>
      </w:tr>
      <w:tr>
        <w:trPr>
          <w:trHeight w:val="71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128,528,932.80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83,000,900.00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329,806,765.30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273,382,839.74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-276,171,391.76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-132,214,673.23</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61,868,000.00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19,936,890.00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331,868,000.00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19,936,890.00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27,142,792.79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10,199,999.99</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126,247,700.07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2,736,446.51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183,390,492.86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12,936,446.50</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148,477,507.14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7,000,443.50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-52,053,115.90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-27,809,255.12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263,772,807.92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291,582,063.04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211,719,692.02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263,772,807.92</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426"/>
        <w:gridCol w:w="562"/>
        <w:gridCol w:w="530"/>
        <w:gridCol w:w="533"/>
        <w:gridCol w:w="530"/>
        <w:gridCol w:w="665"/>
        <w:gridCol w:w="665"/>
        <w:gridCol w:w="665"/>
        <w:gridCol w:w="665"/>
        <w:gridCol w:w="662"/>
        <w:gridCol w:w="667"/>
        <w:gridCol w:w="665"/>
        <w:gridCol w:w="665"/>
        <w:gridCol w:w="658"/>
      </w:tblGrid>
      <w:tr>
        <w:trPr>
          <w:trHeight w:val="403"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8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210,99</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273,735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,706.94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97,747,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403.04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35,711,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283.22</w:t>
            </w: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302,173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,025.37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31,470,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719.65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756,339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,332.14</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562"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210,99</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273,735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,706.94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97,747,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403.04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283.22</w:t>
            </w: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302,173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,025.37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31,470,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719.65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756,339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,332.14</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2"/>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31,805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,887.0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1,225,8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92,718.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83,617,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264.75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5,805,5</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96.50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133,156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,511.26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55.04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1,315,4</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78,304.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562"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163,244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,227.81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5,540,3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47.28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168,784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,575.09</w:t>
            </w: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31,805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92,718.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83,617,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264.75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81,341.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39,858.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83,617,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264.75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28,481.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r>
      <w:tr>
        <w:trPr>
          <w:trHeight w:val="70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9"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3"/>
        <w:gridCol w:w="530"/>
        <w:gridCol w:w="665"/>
        <w:gridCol w:w="665"/>
        <w:gridCol w:w="665"/>
        <w:gridCol w:w="665"/>
        <w:gridCol w:w="662"/>
        <w:gridCol w:w="667"/>
        <w:gridCol w:w="665"/>
        <w:gridCol w:w="665"/>
        <w:gridCol w:w="658"/>
      </w:tblGrid>
      <w:tr>
        <w:trPr>
          <w:trHeight w:val="36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22,452,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860.18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22,452,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860.18</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5,805,5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96.50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30,087,</w:t>
            </w:r>
          </w:p>
          <w:p>
            <w:pPr>
              <w:pStyle w:val="TableParagraph"/>
              <w:spacing w:line="240" w:lineRule="auto" w:before="3"/>
              <w:ind w:left="139" w:right="0"/>
              <w:jc w:val="left"/>
              <w:rPr>
                <w:rFonts w:ascii="Times New Roman" w:hAnsi="Times New Roman" w:cs="Times New Roman" w:eastAsia="Times New Roman" w:hint="default"/>
                <w:sz w:val="18"/>
                <w:szCs w:val="18"/>
              </w:rPr>
            </w:pPr>
            <w:r>
              <w:rPr>
                <w:rFonts w:ascii="Times New Roman"/>
                <w:sz w:val="18"/>
              </w:rPr>
              <w:t>716.55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6"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24,282,</w:t>
            </w:r>
          </w:p>
          <w:p>
            <w:pPr>
              <w:pStyle w:val="TableParagraph"/>
              <w:spacing w:line="240" w:lineRule="auto" w:before="3"/>
              <w:ind w:left="131" w:right="0"/>
              <w:jc w:val="left"/>
              <w:rPr>
                <w:rFonts w:ascii="Times New Roman" w:hAnsi="Times New Roman" w:cs="Times New Roman" w:eastAsia="Times New Roman" w:hint="default"/>
                <w:sz w:val="18"/>
                <w:szCs w:val="18"/>
              </w:rPr>
            </w:pPr>
            <w:r>
              <w:rPr>
                <w:rFonts w:ascii="Times New Roman"/>
                <w:sz w:val="18"/>
              </w:rPr>
              <w:t>120.05</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5,805,5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96.50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5,805,5</w:t>
            </w:r>
          </w:p>
          <w:p>
            <w:pPr>
              <w:pStyle w:val="TableParagraph"/>
              <w:spacing w:line="240" w:lineRule="auto" w:before="4"/>
              <w:ind w:left="228" w:right="0"/>
              <w:jc w:val="left"/>
              <w:rPr>
                <w:rFonts w:ascii="Times New Roman" w:hAnsi="Times New Roman" w:cs="Times New Roman" w:eastAsia="Times New Roman" w:hint="default"/>
                <w:sz w:val="18"/>
                <w:szCs w:val="18"/>
              </w:rPr>
            </w:pPr>
            <w:r>
              <w:rPr>
                <w:rFonts w:ascii="Times New Roman"/>
                <w:sz w:val="18"/>
              </w:rPr>
              <w:t>96.50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24,282,</w:t>
            </w:r>
          </w:p>
          <w:p>
            <w:pPr>
              <w:pStyle w:val="TableParagraph"/>
              <w:spacing w:line="240" w:lineRule="auto" w:before="3"/>
              <w:ind w:left="139" w:right="0"/>
              <w:jc w:val="left"/>
              <w:rPr>
                <w:rFonts w:ascii="Times New Roman" w:hAnsi="Times New Roman" w:cs="Times New Roman" w:eastAsia="Times New Roman" w:hint="default"/>
                <w:sz w:val="18"/>
                <w:szCs w:val="18"/>
              </w:rPr>
            </w:pPr>
            <w:r>
              <w:rPr>
                <w:rFonts w:ascii="Times New Roman"/>
                <w:sz w:val="18"/>
              </w:rPr>
              <w:t>120.05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6"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24,282,</w:t>
            </w:r>
          </w:p>
          <w:p>
            <w:pPr>
              <w:pStyle w:val="TableParagraph"/>
              <w:spacing w:line="240" w:lineRule="auto" w:before="3"/>
              <w:ind w:left="131" w:right="0"/>
              <w:jc w:val="left"/>
              <w:rPr>
                <w:rFonts w:ascii="Times New Roman" w:hAnsi="Times New Roman" w:cs="Times New Roman" w:eastAsia="Times New Roman" w:hint="default"/>
                <w:sz w:val="18"/>
                <w:szCs w:val="18"/>
              </w:rPr>
            </w:pPr>
            <w:r>
              <w:rPr>
                <w:rFonts w:ascii="Times New Roman"/>
                <w:sz w:val="18"/>
              </w:rPr>
              <w:t>120.05</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2"/>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3,105,4</w:t>
            </w:r>
          </w:p>
          <w:p>
            <w:pPr>
              <w:pStyle w:val="TableParagraph"/>
              <w:spacing w:line="240" w:lineRule="auto" w:before="3"/>
              <w:ind w:left="227" w:right="0"/>
              <w:jc w:val="left"/>
              <w:rPr>
                <w:rFonts w:ascii="Times New Roman" w:hAnsi="Times New Roman" w:cs="Times New Roman" w:eastAsia="Times New Roman" w:hint="default"/>
                <w:sz w:val="18"/>
                <w:szCs w:val="18"/>
              </w:rPr>
            </w:pPr>
            <w:r>
              <w:rPr>
                <w:rFonts w:ascii="Times New Roman"/>
                <w:sz w:val="18"/>
              </w:rPr>
              <w:t>92.24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6"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3,105,4</w:t>
            </w:r>
          </w:p>
          <w:p>
            <w:pPr>
              <w:pStyle w:val="TableParagraph"/>
              <w:spacing w:line="240" w:lineRule="auto" w:before="3"/>
              <w:ind w:left="220" w:right="0"/>
              <w:jc w:val="left"/>
              <w:rPr>
                <w:rFonts w:ascii="Times New Roman" w:hAnsi="Times New Roman" w:cs="Times New Roman" w:eastAsia="Times New Roman" w:hint="default"/>
                <w:sz w:val="18"/>
                <w:szCs w:val="18"/>
              </w:rPr>
            </w:pPr>
            <w:r>
              <w:rPr>
                <w:rFonts w:ascii="Times New Roman"/>
                <w:sz w:val="18"/>
              </w:rPr>
              <w:t>92.24</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1,887.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28,425.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181,364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,667.79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41,516,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879.72</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435,329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,536.63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33,905,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574.69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17,636.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49"/>
        <w:ind w:right="0"/>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38"/>
        <w:gridCol w:w="8122"/>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1426"/>
        <w:gridCol w:w="562"/>
        <w:gridCol w:w="530"/>
        <w:gridCol w:w="531"/>
        <w:gridCol w:w="530"/>
        <w:gridCol w:w="665"/>
        <w:gridCol w:w="665"/>
        <w:gridCol w:w="665"/>
        <w:gridCol w:w="665"/>
        <w:gridCol w:w="665"/>
        <w:gridCol w:w="665"/>
        <w:gridCol w:w="680"/>
        <w:gridCol w:w="650"/>
        <w:gridCol w:w="660"/>
      </w:tblGrid>
      <w:tr>
        <w:trPr>
          <w:trHeight w:val="25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0"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5"/>
              <w:ind w:left="50"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92"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9"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0"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0"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0"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70,067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346,872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,170.09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103,747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30,247,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225.89</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255,143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,379.55</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727,458</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.92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599,310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,584.45</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346,872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,170.09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103,747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225.89</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255,143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,379.55</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727,458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599,310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,584.45</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2"/>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140,92</w:t>
            </w:r>
          </w:p>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8,500.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9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73,136,</w:t>
            </w:r>
          </w:p>
          <w:p>
            <w:pPr>
              <w:pStyle w:val="TableParagraph"/>
              <w:spacing w:line="240" w:lineRule="auto" w:before="5"/>
              <w:ind w:left="139" w:right="0"/>
              <w:jc w:val="left"/>
              <w:rPr>
                <w:rFonts w:ascii="Times New Roman" w:hAnsi="Times New Roman" w:cs="Times New Roman" w:eastAsia="Times New Roman" w:hint="default"/>
                <w:sz w:val="18"/>
                <w:szCs w:val="18"/>
              </w:rPr>
            </w:pPr>
            <w:r>
              <w:rPr>
                <w:rFonts w:ascii="Times New Roman"/>
                <w:sz w:val="18"/>
              </w:rPr>
              <w:t>463.15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5,999,7</w:t>
            </w:r>
          </w:p>
          <w:p>
            <w:pPr>
              <w:pStyle w:val="TableParagraph"/>
              <w:spacing w:line="240" w:lineRule="auto" w:before="5"/>
              <w:ind w:left="227" w:right="0"/>
              <w:jc w:val="left"/>
              <w:rPr>
                <w:rFonts w:ascii="Times New Roman" w:hAnsi="Times New Roman" w:cs="Times New Roman" w:eastAsia="Times New Roman" w:hint="default"/>
                <w:sz w:val="18"/>
                <w:szCs w:val="18"/>
              </w:rPr>
            </w:pPr>
            <w:r>
              <w:rPr>
                <w:rFonts w:ascii="Times New Roman"/>
                <w:sz w:val="18"/>
              </w:rPr>
              <w:t>46.96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5,464,0</w:t>
            </w:r>
          </w:p>
          <w:p>
            <w:pPr>
              <w:pStyle w:val="TableParagraph"/>
              <w:spacing w:line="240" w:lineRule="auto" w:before="103"/>
              <w:ind w:left="202" w:right="0"/>
              <w:jc w:val="center"/>
              <w:rPr>
                <w:rFonts w:ascii="Times New Roman" w:hAnsi="Times New Roman" w:cs="Times New Roman" w:eastAsia="Times New Roman" w:hint="default"/>
                <w:sz w:val="18"/>
                <w:szCs w:val="18"/>
              </w:rPr>
            </w:pPr>
            <w:r>
              <w:rPr>
                <w:rFonts w:ascii="Times New Roman"/>
                <w:sz w:val="18"/>
              </w:rPr>
              <w:t>57.33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47,029,</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645.82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30,743,</w:t>
            </w:r>
          </w:p>
          <w:p>
            <w:pPr>
              <w:pStyle w:val="TableParagraph"/>
              <w:spacing w:line="240" w:lineRule="auto" w:before="103"/>
              <w:ind w:left="124" w:right="0"/>
              <w:jc w:val="left"/>
              <w:rPr>
                <w:rFonts w:ascii="Times New Roman" w:hAnsi="Times New Roman" w:cs="Times New Roman" w:eastAsia="Times New Roman" w:hint="default"/>
                <w:sz w:val="18"/>
                <w:szCs w:val="18"/>
              </w:rPr>
            </w:pPr>
            <w:r>
              <w:rPr>
                <w:rFonts w:ascii="Times New Roman"/>
                <w:sz w:val="18"/>
              </w:rPr>
              <w:t>260.73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157,028</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,747.69</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63,003,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453.15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4,102,6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69.33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67,106,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122.48</w:t>
            </w: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793,50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66,998,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536.85</w:t>
            </w:r>
          </w:p>
        </w:tc>
        <w:tc>
          <w:tcPr>
            <w:tcW w:w="665" w:type="dxa"/>
            <w:vMerge w:val="restart"/>
            <w:tcBorders>
              <w:top w:val="single" w:sz="4" w:space="0" w:color="000000"/>
              <w:left w:val="single" w:sz="4" w:space="0" w:color="000000"/>
              <w:right w:val="single" w:sz="4" w:space="0" w:color="000000"/>
            </w:tcBorders>
          </w:tcPr>
          <w:p>
            <w:pPr>
              <w:pStyle w:val="TableParagraph"/>
              <w:spacing w:line="360" w:lineRule="auto" w:before="93"/>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5,999,7</w:t>
            </w:r>
          </w:p>
          <w:p>
            <w:pPr>
              <w:pStyle w:val="TableParagraph"/>
              <w:spacing w:line="240" w:lineRule="auto" w:before="5"/>
              <w:ind w:left="227" w:right="0"/>
              <w:jc w:val="left"/>
              <w:rPr>
                <w:rFonts w:ascii="Times New Roman" w:hAnsi="Times New Roman" w:cs="Times New Roman" w:eastAsia="Times New Roman" w:hint="default"/>
                <w:sz w:val="18"/>
                <w:szCs w:val="18"/>
              </w:rPr>
            </w:pPr>
            <w:r>
              <w:rPr>
                <w:rFonts w:ascii="Times New Roman"/>
                <w:sz w:val="18"/>
              </w:rPr>
              <w:t>46.96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26,640,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591.40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100,432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,375.21</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42"/>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793,50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19,017,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940.00</w:t>
            </w:r>
          </w:p>
        </w:tc>
        <w:tc>
          <w:tcPr>
            <w:tcW w:w="665" w:type="dxa"/>
            <w:vMerge w:val="restart"/>
            <w:tcBorders>
              <w:top w:val="single" w:sz="4" w:space="0" w:color="000000"/>
              <w:left w:val="single" w:sz="4" w:space="0" w:color="000000"/>
              <w:right w:val="single" w:sz="4" w:space="0" w:color="000000"/>
            </w:tcBorders>
          </w:tcPr>
          <w:p>
            <w:pPr>
              <w:pStyle w:val="TableParagraph"/>
              <w:spacing w:line="362" w:lineRule="auto" w:before="91"/>
              <w:ind w:left="9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5,999,7</w:t>
            </w:r>
          </w:p>
          <w:p>
            <w:pPr>
              <w:pStyle w:val="TableParagraph"/>
              <w:spacing w:line="240" w:lineRule="auto" w:before="3"/>
              <w:ind w:left="227" w:right="0"/>
              <w:jc w:val="left"/>
              <w:rPr>
                <w:rFonts w:ascii="Times New Roman" w:hAnsi="Times New Roman" w:cs="Times New Roman" w:eastAsia="Times New Roman" w:hint="default"/>
                <w:sz w:val="18"/>
                <w:szCs w:val="18"/>
              </w:rPr>
            </w:pPr>
            <w:r>
              <w:rPr>
                <w:rFonts w:ascii="Times New Roman"/>
                <w:sz w:val="18"/>
              </w:rPr>
              <w:t>46.96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0"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25,811,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186.96</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47,980,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596.85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47,980,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596.85</w:t>
            </w: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26,640,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591.40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26,640,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591.40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5,464,0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57.33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362" w:lineRule="auto" w:before="91"/>
              <w:ind w:left="105"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15,973,</w:t>
            </w:r>
          </w:p>
          <w:p>
            <w:pPr>
              <w:pStyle w:val="TableParagraph"/>
              <w:spacing w:line="240" w:lineRule="auto" w:before="3"/>
              <w:ind w:left="151" w:right="0"/>
              <w:jc w:val="left"/>
              <w:rPr>
                <w:rFonts w:ascii="Times New Roman" w:hAnsi="Times New Roman" w:cs="Times New Roman" w:eastAsia="Times New Roman" w:hint="default"/>
                <w:sz w:val="18"/>
                <w:szCs w:val="18"/>
              </w:rPr>
            </w:pPr>
            <w:r>
              <w:rPr>
                <w:rFonts w:ascii="Times New Roman"/>
                <w:sz w:val="18"/>
              </w:rPr>
              <w:t>807.33</w:t>
            </w:r>
          </w:p>
        </w:tc>
        <w:tc>
          <w:tcPr>
            <w:tcW w:w="650"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362" w:lineRule="auto" w:before="91"/>
              <w:ind w:left="86" w:right="20"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10,509,</w:t>
            </w:r>
          </w:p>
          <w:p>
            <w:pPr>
              <w:pStyle w:val="TableParagraph"/>
              <w:spacing w:line="240" w:lineRule="auto" w:before="3"/>
              <w:ind w:left="131" w:right="0"/>
              <w:jc w:val="left"/>
              <w:rPr>
                <w:rFonts w:ascii="Times New Roman" w:hAnsi="Times New Roman" w:cs="Times New Roman" w:eastAsia="Times New Roman" w:hint="default"/>
                <w:sz w:val="18"/>
                <w:szCs w:val="18"/>
              </w:rPr>
            </w:pPr>
            <w:r>
              <w:rPr>
                <w:rFonts w:ascii="Times New Roman"/>
                <w:sz w:val="18"/>
              </w:rPr>
              <w:t>750.00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5,464,0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1"/>
        <w:gridCol w:w="530"/>
        <w:gridCol w:w="665"/>
        <w:gridCol w:w="665"/>
        <w:gridCol w:w="665"/>
        <w:gridCol w:w="665"/>
        <w:gridCol w:w="665"/>
        <w:gridCol w:w="665"/>
        <w:gridCol w:w="680"/>
        <w:gridCol w:w="650"/>
        <w:gridCol w:w="660"/>
      </w:tblGrid>
      <w:tr>
        <w:trPr>
          <w:trHeight w:val="67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57.33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1" w:right="0"/>
              <w:jc w:val="center"/>
              <w:rPr>
                <w:rFonts w:ascii="Times New Roman" w:hAnsi="Times New Roman" w:cs="Times New Roman" w:eastAsia="Times New Roman" w:hint="default"/>
                <w:sz w:val="18"/>
                <w:szCs w:val="18"/>
              </w:rPr>
            </w:pPr>
            <w:r>
              <w:rPr>
                <w:rFonts w:ascii="Times New Roman"/>
                <w:sz w:val="18"/>
              </w:rPr>
              <w:t>5,464,0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57.33</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5" w:right="21"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10,509,</w:t>
            </w:r>
          </w:p>
          <w:p>
            <w:pPr>
              <w:pStyle w:val="TableParagraph"/>
              <w:spacing w:line="240" w:lineRule="auto" w:before="3"/>
              <w:ind w:left="151" w:right="0"/>
              <w:jc w:val="left"/>
              <w:rPr>
                <w:rFonts w:ascii="Times New Roman" w:hAnsi="Times New Roman" w:cs="Times New Roman" w:eastAsia="Times New Roman" w:hint="default"/>
                <w:sz w:val="18"/>
                <w:szCs w:val="18"/>
              </w:rPr>
            </w:pPr>
            <w:r>
              <w:rPr>
                <w:rFonts w:ascii="Times New Roman"/>
                <w:sz w:val="18"/>
              </w:rPr>
              <w:t>750.00</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6" w:right="20"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10,509,</w:t>
            </w:r>
          </w:p>
          <w:p>
            <w:pPr>
              <w:pStyle w:val="TableParagraph"/>
              <w:spacing w:line="240" w:lineRule="auto" w:before="3"/>
              <w:ind w:left="131" w:right="0"/>
              <w:jc w:val="left"/>
              <w:rPr>
                <w:rFonts w:ascii="Times New Roman" w:hAnsi="Times New Roman" w:cs="Times New Roman" w:eastAsia="Times New Roman" w:hint="default"/>
                <w:sz w:val="18"/>
                <w:szCs w:val="18"/>
              </w:rPr>
            </w:pPr>
            <w:r>
              <w:rPr>
                <w:rFonts w:ascii="Times New Roman"/>
                <w:sz w:val="18"/>
              </w:rPr>
              <w:t>750.00</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42"/>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140,13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7"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140,135</w:t>
            </w:r>
          </w:p>
          <w:p>
            <w:pPr>
              <w:pStyle w:val="TableParagraph"/>
              <w:spacing w:line="240" w:lineRule="auto" w:before="4"/>
              <w:ind w:left="9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140,13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7" w:right="19" w:firstLine="525"/>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140,135</w:t>
            </w:r>
          </w:p>
          <w:p>
            <w:pPr>
              <w:pStyle w:val="TableParagraph"/>
              <w:spacing w:line="240" w:lineRule="auto" w:before="3"/>
              <w:ind w:left="93"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210,99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273,735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,706.94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97,747,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403.04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283.22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302,173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,025.37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31,470,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719.65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756,339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,332.14</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39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7"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99" w:hRule="exact"/>
        </w:trPr>
        <w:tc>
          <w:tcPr>
            <w:tcW w:w="144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206"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210,996,</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273,735,7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06.94</w:t>
            </w:r>
          </w:p>
        </w:tc>
        <w:tc>
          <w:tcPr>
            <w:tcW w:w="800"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48" w:right="0"/>
              <w:jc w:val="left"/>
              <w:rPr>
                <w:rFonts w:ascii="Times New Roman" w:hAnsi="Times New Roman" w:cs="Times New Roman" w:eastAsia="Times New Roman" w:hint="default"/>
                <w:sz w:val="18"/>
                <w:szCs w:val="18"/>
              </w:rPr>
            </w:pPr>
            <w:r>
              <w:rPr>
                <w:rFonts w:ascii="Times New Roman"/>
                <w:sz w:val="18"/>
              </w:rPr>
              <w:t>97,747,40</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3.04</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35,711,28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3.22</w:t>
            </w:r>
          </w:p>
        </w:tc>
        <w:tc>
          <w:tcPr>
            <w:tcW w:w="674"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300,691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,798.81</w:t>
            </w:r>
          </w:p>
        </w:tc>
        <w:tc>
          <w:tcPr>
            <w:tcW w:w="782"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723,387,3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85.93</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210,996,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273,735,7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06.94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97,747,40</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3.04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35,711,28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300,691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,798.81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723,387,3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85.93</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31,805,8</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1,225,892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,718.96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83,617,26</w:t>
            </w:r>
          </w:p>
          <w:p>
            <w:pPr>
              <w:pStyle w:val="TableParagraph"/>
              <w:spacing w:line="240" w:lineRule="auto" w:before="102"/>
              <w:ind w:left="454" w:right="0"/>
              <w:jc w:val="left"/>
              <w:rPr>
                <w:rFonts w:ascii="Times New Roman" w:hAnsi="Times New Roman" w:cs="Times New Roman" w:eastAsia="Times New Roman" w:hint="default"/>
                <w:sz w:val="18"/>
                <w:szCs w:val="18"/>
              </w:rPr>
            </w:pPr>
            <w:r>
              <w:rPr>
                <w:rFonts w:ascii="Times New Roman"/>
                <w:sz w:val="18"/>
              </w:rPr>
              <w:t>4.75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5,805,596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27,968,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248.41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1,207,855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,186.12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55,993,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847.30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55,993,84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7.30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31,805,8</w:t>
            </w:r>
          </w:p>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1,225,892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,718.96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83,617,26</w:t>
            </w:r>
          </w:p>
          <w:p>
            <w:pPr>
              <w:pStyle w:val="TableParagraph"/>
              <w:spacing w:line="240" w:lineRule="auto" w:before="102"/>
              <w:ind w:left="454" w:right="0"/>
              <w:jc w:val="left"/>
              <w:rPr>
                <w:rFonts w:ascii="Times New Roman" w:hAnsi="Times New Roman" w:cs="Times New Roman" w:eastAsia="Times New Roman" w:hint="default"/>
                <w:sz w:val="18"/>
                <w:szCs w:val="18"/>
              </w:rPr>
            </w:pPr>
            <w:r>
              <w:rPr>
                <w:rFonts w:ascii="Times New Roman"/>
                <w:sz w:val="18"/>
              </w:rPr>
              <w:t>4.75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1,174,081</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,341.21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31,805,8</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1,203,439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,858.78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83,617,26</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4.75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1,151,628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,481.03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22,452,86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22,452,86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0.18</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5,805,596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30,087,</w:t>
            </w:r>
          </w:p>
          <w:p>
            <w:pPr>
              <w:pStyle w:val="TableParagraph"/>
              <w:spacing w:line="240" w:lineRule="auto" w:before="3"/>
              <w:ind w:left="148" w:right="0"/>
              <w:jc w:val="left"/>
              <w:rPr>
                <w:rFonts w:ascii="Times New Roman" w:hAnsi="Times New Roman" w:cs="Times New Roman" w:eastAsia="Times New Roman" w:hint="default"/>
                <w:sz w:val="18"/>
                <w:szCs w:val="18"/>
              </w:rPr>
            </w:pPr>
            <w:r>
              <w:rPr>
                <w:rFonts w:ascii="Times New Roman"/>
                <w:sz w:val="18"/>
              </w:rPr>
              <w:t>716.55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24,282,12</w:t>
            </w:r>
          </w:p>
          <w:p>
            <w:pPr>
              <w:pStyle w:val="TableParagraph"/>
              <w:spacing w:line="240" w:lineRule="auto" w:before="3"/>
              <w:ind w:left="434" w:right="0"/>
              <w:jc w:val="left"/>
              <w:rPr>
                <w:rFonts w:ascii="Times New Roman" w:hAnsi="Times New Roman" w:cs="Times New Roman" w:eastAsia="Times New Roman" w:hint="default"/>
                <w:sz w:val="18"/>
                <w:szCs w:val="18"/>
              </w:rPr>
            </w:pPr>
            <w:r>
              <w:rPr>
                <w:rFonts w:ascii="Times New Roman"/>
                <w:sz w:val="18"/>
              </w:rPr>
              <w:t>0.05</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5,805,596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5,805,5</w:t>
            </w:r>
          </w:p>
          <w:p>
            <w:pPr>
              <w:pStyle w:val="TableParagraph"/>
              <w:spacing w:line="240" w:lineRule="auto" w:before="5"/>
              <w:ind w:left="237" w:right="0"/>
              <w:jc w:val="left"/>
              <w:rPr>
                <w:rFonts w:ascii="Times New Roman" w:hAnsi="Times New Roman" w:cs="Times New Roman" w:eastAsia="Times New Roman" w:hint="default"/>
                <w:sz w:val="18"/>
                <w:szCs w:val="18"/>
              </w:rPr>
            </w:pPr>
            <w:r>
              <w:rPr>
                <w:rFonts w:ascii="Times New Roman"/>
                <w:sz w:val="18"/>
              </w:rPr>
              <w:t>96.50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24,282,</w:t>
            </w:r>
          </w:p>
          <w:p>
            <w:pPr>
              <w:pStyle w:val="TableParagraph"/>
              <w:spacing w:line="240" w:lineRule="auto" w:before="4"/>
              <w:ind w:left="148" w:right="0"/>
              <w:jc w:val="left"/>
              <w:rPr>
                <w:rFonts w:ascii="Times New Roman" w:hAnsi="Times New Roman" w:cs="Times New Roman" w:eastAsia="Times New Roman" w:hint="default"/>
                <w:sz w:val="18"/>
                <w:szCs w:val="18"/>
              </w:rPr>
            </w:pPr>
            <w:r>
              <w:rPr>
                <w:rFonts w:ascii="Times New Roman"/>
                <w:sz w:val="18"/>
              </w:rPr>
              <w:t>120.05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24,282,12</w:t>
            </w:r>
          </w:p>
          <w:p>
            <w:pPr>
              <w:pStyle w:val="TableParagraph"/>
              <w:spacing w:line="240" w:lineRule="auto" w:before="4"/>
              <w:ind w:left="434" w:right="0"/>
              <w:jc w:val="lef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2,062,1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17.66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2,062,117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.66</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242,801,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1,499,628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,425.90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181,364,6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67.79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41,516,87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328,660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,047.22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1,931,242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,572.05</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418"/>
        <w:gridCol w:w="702"/>
        <w:gridCol w:w="665"/>
        <w:gridCol w:w="665"/>
        <w:gridCol w:w="665"/>
        <w:gridCol w:w="797"/>
        <w:gridCol w:w="800"/>
        <w:gridCol w:w="797"/>
        <w:gridCol w:w="799"/>
        <w:gridCol w:w="797"/>
        <w:gridCol w:w="674"/>
        <w:gridCol w:w="782"/>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7"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70,067,5</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346,872,1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70.09</w:t>
            </w:r>
          </w:p>
        </w:tc>
        <w:tc>
          <w:tcPr>
            <w:tcW w:w="800"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48" w:right="0"/>
              <w:jc w:val="left"/>
              <w:rPr>
                <w:rFonts w:ascii="Times New Roman" w:hAnsi="Times New Roman" w:cs="Times New Roman" w:eastAsia="Times New Roman" w:hint="default"/>
                <w:sz w:val="18"/>
                <w:szCs w:val="18"/>
              </w:rPr>
            </w:pPr>
            <w:r>
              <w:rPr>
                <w:rFonts w:ascii="Times New Roman"/>
                <w:sz w:val="18"/>
              </w:rPr>
              <w:t>103,747,1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18" w:space="0" w:color="D2D2D2"/>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30,247,22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5.89</w:t>
            </w:r>
          </w:p>
        </w:tc>
        <w:tc>
          <w:tcPr>
            <w:tcW w:w="674"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262,025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,032.89</w:t>
            </w:r>
          </w:p>
        </w:tc>
        <w:tc>
          <w:tcPr>
            <w:tcW w:w="782"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605,464,7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78.87</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加：会计政 策变更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70,067,5</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346,872,1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70.09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103,747,1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30,247,22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5.89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262,025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,032.89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605,464,7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78.87</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5"/>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140,928,</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73,136,46</w:t>
            </w:r>
          </w:p>
          <w:p>
            <w:pPr>
              <w:pStyle w:val="TableParagraph"/>
              <w:spacing w:line="240" w:lineRule="auto" w:before="5"/>
              <w:ind w:left="451" w:right="0"/>
              <w:jc w:val="left"/>
              <w:rPr>
                <w:rFonts w:ascii="Times New Roman" w:hAnsi="Times New Roman" w:cs="Times New Roman" w:eastAsia="Times New Roman" w:hint="default"/>
                <w:sz w:val="18"/>
                <w:szCs w:val="18"/>
              </w:rPr>
            </w:pPr>
            <w:r>
              <w:rPr>
                <w:rFonts w:ascii="Times New Roman"/>
                <w:sz w:val="18"/>
              </w:rPr>
              <w:t>3.15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48"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5,999,746</w:t>
            </w:r>
          </w:p>
          <w:p>
            <w:pPr>
              <w:pStyle w:val="TableParagraph"/>
              <w:spacing w:line="240" w:lineRule="auto" w:before="5"/>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5,464,057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38,666,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765.92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117,922,6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07.06</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54,640,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573.25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54,640,57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3.25</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793,500.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66,998,53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6.85</w:t>
            </w:r>
          </w:p>
        </w:tc>
        <w:tc>
          <w:tcPr>
            <w:tcW w:w="800" w:type="dxa"/>
            <w:vMerge w:val="restart"/>
            <w:tcBorders>
              <w:top w:val="single" w:sz="4" w:space="0" w:color="000000"/>
              <w:left w:val="single" w:sz="4" w:space="0" w:color="000000"/>
              <w:right w:val="single" w:sz="4" w:space="0" w:color="000000"/>
            </w:tcBorders>
          </w:tcPr>
          <w:p>
            <w:pPr>
              <w:pStyle w:val="TableParagraph"/>
              <w:spacing w:line="360" w:lineRule="auto" w:before="91"/>
              <w:ind w:left="48"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5,999,746</w:t>
            </w:r>
          </w:p>
          <w:p>
            <w:pPr>
              <w:pStyle w:val="TableParagraph"/>
              <w:spacing w:line="240" w:lineRule="auto" w:before="5"/>
              <w:ind w:right="18"/>
              <w:jc w:val="right"/>
              <w:rPr>
                <w:rFonts w:ascii="Times New Roman" w:hAnsi="Times New Roman" w:cs="Times New Roman" w:eastAsia="Times New Roman" w:hint="default"/>
                <w:sz w:val="18"/>
                <w:szCs w:val="18"/>
              </w:rPr>
            </w:pPr>
            <w:r>
              <w:rPr>
                <w:rFonts w:ascii="Times New Roman"/>
                <w:sz w:val="18"/>
              </w:rPr>
              <w:t>.96</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73,791,78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3.81</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793,500.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19,017,94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vMerge w:val="restart"/>
            <w:tcBorders>
              <w:top w:val="single" w:sz="4" w:space="0" w:color="000000"/>
              <w:left w:val="single" w:sz="4" w:space="0" w:color="000000"/>
              <w:right w:val="single" w:sz="4" w:space="0" w:color="000000"/>
            </w:tcBorders>
          </w:tcPr>
          <w:p>
            <w:pPr>
              <w:pStyle w:val="TableParagraph"/>
              <w:spacing w:line="362" w:lineRule="auto" w:before="91"/>
              <w:ind w:left="48"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5,999,746</w:t>
            </w:r>
          </w:p>
          <w:p>
            <w:pPr>
              <w:pStyle w:val="TableParagraph"/>
              <w:spacing w:line="240" w:lineRule="auto" w:before="3"/>
              <w:ind w:right="18"/>
              <w:jc w:val="right"/>
              <w:rPr>
                <w:rFonts w:ascii="Times New Roman" w:hAnsi="Times New Roman" w:cs="Times New Roman" w:eastAsia="Times New Roman" w:hint="default"/>
                <w:sz w:val="18"/>
                <w:szCs w:val="18"/>
              </w:rPr>
            </w:pPr>
            <w:r>
              <w:rPr>
                <w:rFonts w:ascii="Times New Roman"/>
                <w:sz w:val="18"/>
              </w:rPr>
              <w:t>.96</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25,811,18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6.96</w:t>
            </w:r>
          </w:p>
        </w:tc>
      </w:tr>
      <w:tr>
        <w:trPr>
          <w:trHeight w:val="706"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47,980,59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47,980,59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6.85</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5,464,057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15,973,</w:t>
            </w:r>
          </w:p>
          <w:p>
            <w:pPr>
              <w:pStyle w:val="TableParagraph"/>
              <w:spacing w:line="240" w:lineRule="auto" w:before="3"/>
              <w:ind w:left="148" w:right="0"/>
              <w:jc w:val="left"/>
              <w:rPr>
                <w:rFonts w:ascii="Times New Roman" w:hAnsi="Times New Roman" w:cs="Times New Roman" w:eastAsia="Times New Roman" w:hint="default"/>
                <w:sz w:val="18"/>
                <w:szCs w:val="18"/>
              </w:rPr>
            </w:pPr>
            <w:r>
              <w:rPr>
                <w:rFonts w:ascii="Times New Roman"/>
                <w:sz w:val="18"/>
              </w:rPr>
              <w:t>807.33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10,509,75</w:t>
            </w:r>
          </w:p>
          <w:p>
            <w:pPr>
              <w:pStyle w:val="TableParagraph"/>
              <w:spacing w:line="240" w:lineRule="auto" w:before="3"/>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5,464,057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9"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5,464,0</w:t>
            </w:r>
          </w:p>
          <w:p>
            <w:pPr>
              <w:pStyle w:val="TableParagraph"/>
              <w:spacing w:line="240" w:lineRule="auto" w:before="5"/>
              <w:ind w:left="237" w:right="0"/>
              <w:jc w:val="left"/>
              <w:rPr>
                <w:rFonts w:ascii="Times New Roman" w:hAnsi="Times New Roman" w:cs="Times New Roman" w:eastAsia="Times New Roman" w:hint="default"/>
                <w:sz w:val="18"/>
                <w:szCs w:val="18"/>
              </w:rPr>
            </w:pPr>
            <w:r>
              <w:rPr>
                <w:rFonts w:ascii="Times New Roman"/>
                <w:sz w:val="18"/>
              </w:rPr>
              <w:t>57.33</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8" w:firstLine="48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10,509,</w:t>
            </w:r>
          </w:p>
          <w:p>
            <w:pPr>
              <w:pStyle w:val="TableParagraph"/>
              <w:spacing w:line="240" w:lineRule="auto" w:before="3"/>
              <w:ind w:left="148" w:right="0"/>
              <w:jc w:val="left"/>
              <w:rPr>
                <w:rFonts w:ascii="Times New Roman" w:hAnsi="Times New Roman" w:cs="Times New Roman" w:eastAsia="Times New Roman" w:hint="default"/>
                <w:sz w:val="18"/>
                <w:szCs w:val="18"/>
              </w:rPr>
            </w:pPr>
            <w:r>
              <w:rPr>
                <w:rFonts w:ascii="Times New Roman"/>
                <w:sz w:val="18"/>
              </w:rPr>
              <w:t>750.00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8" w:right="21"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10,509,75</w:t>
            </w:r>
          </w:p>
          <w:p>
            <w:pPr>
              <w:pStyle w:val="TableParagraph"/>
              <w:spacing w:line="240" w:lineRule="auto" w:before="3"/>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140,135,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140,135,0</w:t>
            </w:r>
          </w:p>
          <w:p>
            <w:pPr>
              <w:pStyle w:val="TableParagraph"/>
              <w:spacing w:line="240" w:lineRule="auto" w:before="3"/>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140,135,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45"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140,135,0</w:t>
            </w:r>
          </w:p>
          <w:p>
            <w:pPr>
              <w:pStyle w:val="TableParagraph"/>
              <w:spacing w:line="240" w:lineRule="auto" w:before="5"/>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210,996,</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273,735,7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06.94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97,747,40</w:t>
            </w:r>
          </w:p>
          <w:p>
            <w:pPr>
              <w:pStyle w:val="TableParagraph"/>
              <w:spacing w:line="240" w:lineRule="auto" w:before="102"/>
              <w:ind w:left="454" w:right="0"/>
              <w:jc w:val="left"/>
              <w:rPr>
                <w:rFonts w:ascii="Times New Roman" w:hAnsi="Times New Roman" w:cs="Times New Roman" w:eastAsia="Times New Roman" w:hint="default"/>
                <w:sz w:val="18"/>
                <w:szCs w:val="18"/>
              </w:rPr>
            </w:pPr>
            <w:r>
              <w:rPr>
                <w:rFonts w:ascii="Times New Roman"/>
                <w:sz w:val="18"/>
              </w:rPr>
              <w:t>3.04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35,711,28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300,691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,798.81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723,387,3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85.93</w:t>
            </w:r>
          </w:p>
        </w:tc>
      </w:tr>
    </w:tbl>
    <w:p>
      <w:pPr>
        <w:spacing w:line="240" w:lineRule="auto" w:before="1"/>
        <w:rPr>
          <w:rFonts w:ascii="宋体" w:hAnsi="宋体" w:cs="宋体" w:eastAsia="宋体" w:hint="default"/>
          <w:sz w:val="18"/>
          <w:szCs w:val="18"/>
        </w:rPr>
      </w:pPr>
    </w:p>
    <w:p>
      <w:pPr>
        <w:pStyle w:val="Heading2"/>
        <w:spacing w:line="367" w:lineRule="exact"/>
        <w:ind w:right="94"/>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4" w:lineRule="auto"/>
        <w:ind w:right="99" w:firstLine="420"/>
        <w:jc w:val="left"/>
      </w:pPr>
      <w:r>
        <w:rPr/>
        <w:t>创业软件股份有限公司（以下简称公司或本公司）系经浙江省人民政府企业上市工作领导小组《关于同意变更设立杭 州创业软件股份有限公司的批复》（浙上市〔</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33</w:t>
      </w:r>
      <w:r>
        <w:rPr/>
        <w:t>号）批准，由杭州创业软件集团有限公司以</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日的净资产</w:t>
      </w:r>
      <w:r>
        <w:rPr>
          <w:spacing w:val="-86"/>
        </w:rPr>
        <w:t> </w:t>
      </w:r>
      <w:r>
        <w:rPr>
          <w:spacing w:val="-86"/>
        </w:rPr>
      </w:r>
      <w:r>
        <w:rPr/>
        <w:t>为基准整体变更设立，于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日在浙江省工商行政管理局登记注册，总部位于浙江省杭州市。公司现持有统一社会</w:t>
      </w:r>
      <w:r>
        <w:rPr>
          <w:spacing w:val="-85"/>
        </w:rPr>
        <w:t> </w:t>
      </w:r>
      <w:r>
        <w:rPr>
          <w:spacing w:val="-85"/>
        </w:rPr>
      </w:r>
      <w:r>
        <w:rPr/>
        <w:t>信用代码为</w:t>
      </w:r>
      <w:r>
        <w:rPr>
          <w:rFonts w:ascii="Times New Roman" w:hAnsi="Times New Roman" w:cs="Times New Roman" w:eastAsia="Times New Roman" w:hint="default"/>
        </w:rPr>
        <w:t>9133000025393934X6</w:t>
      </w:r>
      <w:r>
        <w:rPr/>
        <w:t>的营业执照，注册资本</w:t>
      </w:r>
      <w:r>
        <w:rPr>
          <w:rFonts w:ascii="Times New Roman" w:hAnsi="Times New Roman" w:cs="Times New Roman" w:eastAsia="Times New Roman" w:hint="default"/>
        </w:rPr>
        <w:t>242,801,887.00</w:t>
      </w:r>
      <w:r>
        <w:rPr/>
        <w:t>元，股份总数</w:t>
      </w:r>
      <w:r>
        <w:rPr>
          <w:rFonts w:ascii="Times New Roman" w:hAnsi="Times New Roman" w:cs="Times New Roman" w:eastAsia="Times New Roman" w:hint="default"/>
        </w:rPr>
        <w:t>242,801,887</w:t>
      </w:r>
      <w:r>
        <w:rPr/>
        <w:t>股（每股面值</w:t>
      </w:r>
      <w:r>
        <w:rPr>
          <w:rFonts w:ascii="Times New Roman" w:hAnsi="Times New Roman" w:cs="Times New Roman" w:eastAsia="Times New Roman" w:hint="default"/>
        </w:rPr>
        <w:t>1</w:t>
      </w:r>
      <w:r>
        <w:rPr/>
        <w:t>元）。其中， </w:t>
      </w:r>
      <w:r>
        <w:rPr>
          <w:spacing w:val="-2"/>
        </w:rPr>
        <w:t>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113,751,505</w:t>
      </w:r>
      <w:r>
        <w:rPr>
          <w:spacing w:val="-2"/>
        </w:rPr>
        <w:t>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129,050,382</w:t>
      </w:r>
      <w:r>
        <w:rPr>
          <w:spacing w:val="-2"/>
        </w:rPr>
        <w:t>股。公司股票已于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日在深圳证</w:t>
      </w:r>
      <w:r>
        <w:rPr>
          <w:spacing w:val="-31"/>
        </w:rPr>
        <w:t> </w:t>
      </w:r>
      <w:r>
        <w:rPr/>
        <w:t>券交易所挂牌交易。</w:t>
      </w:r>
    </w:p>
    <w:p>
      <w:pPr>
        <w:pStyle w:val="BodyText"/>
        <w:spacing w:line="300" w:lineRule="auto" w:before="28"/>
        <w:ind w:right="94" w:firstLine="420"/>
        <w:jc w:val="left"/>
      </w:pPr>
      <w:r>
        <w:rPr/>
        <w:t>本公司属软件行业。公司主要业务包括医疗卫生信息化应用软件业务和基于信息技术的系统集成业务以及</w:t>
      </w:r>
      <w:r>
        <w:rPr>
          <w:rFonts w:ascii="Times New Roman" w:hAnsi="Times New Roman" w:cs="Times New Roman" w:eastAsia="Times New Roman" w:hint="default"/>
        </w:rPr>
        <w:t>IT</w:t>
      </w:r>
      <w:r>
        <w:rPr/>
        <w:t>运维服务 业务。</w:t>
      </w:r>
    </w:p>
    <w:p>
      <w:pPr>
        <w:pStyle w:val="BodyText"/>
        <w:spacing w:line="300" w:lineRule="auto" w:before="32"/>
        <w:ind w:left="513" w:right="453"/>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日召开的六届七次董事会批准对外报出。 本公司将杭州联旗科技有限公司、苏州创业亿康信息科技有限公司、上海创航软件有限公司、创业软件南京有限公</w:t>
      </w:r>
    </w:p>
    <w:p>
      <w:pPr>
        <w:spacing w:after="0" w:line="300" w:lineRule="auto"/>
        <w:jc w:val="left"/>
        <w:sectPr>
          <w:footerReference w:type="default" r:id="rId23"/>
          <w:pgSz w:w="11910" w:h="16840"/>
          <w:pgMar w:footer="979" w:header="745" w:top="1060" w:bottom="1160" w:left="980" w:right="940"/>
          <w:pgNumType w:start="110"/>
        </w:sectPr>
      </w:pPr>
    </w:p>
    <w:p>
      <w:pPr>
        <w:spacing w:line="240" w:lineRule="auto" w:before="10"/>
        <w:rPr>
          <w:rFonts w:ascii="宋体" w:hAnsi="宋体" w:cs="宋体" w:eastAsia="宋体" w:hint="default"/>
          <w:sz w:val="25"/>
          <w:szCs w:val="25"/>
        </w:rPr>
      </w:pPr>
    </w:p>
    <w:p>
      <w:pPr>
        <w:pStyle w:val="BodyText"/>
        <w:spacing w:line="316" w:lineRule="auto" w:before="44"/>
        <w:ind w:right="249"/>
        <w:jc w:val="both"/>
      </w:pPr>
      <w:r>
        <w:rPr/>
        <w:t>司、新疆创什信息科技有限公司、重庆创易康软件有限公司、天津创津科技有限公司、杭州惟勤科技有限公司、广东中拓 信息技术有限公司、中山市蓝天电脑有限公司、中山市杭创科技有限公司、宁海杭创网络科技有限公司、杭州博泰信息技 术服务有限公司、杭州卓腾信息技术有限公司、杭州合美物业管理有限公司、杭州梅清数码科技有限公司、杭州美诺泰科 科技有限公司、杭州鼎泰医康科技有限公司、浙江医康数据科技研究院有限公司等子公司纳入本期合并财务报表范围，情 况详见本财务报表附注合并范围的变更和在其他主体中的权益之说明。</w:t>
      </w: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73" w:right="0"/>
        <w:jc w:val="left"/>
      </w:pPr>
      <w:r>
        <w:rPr/>
        <w:t>本公司财务报表以持续经营为编制基础。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73"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14"/>
        <w:jc w:val="left"/>
      </w:pPr>
      <w:r>
        <w:rPr/>
        <w:t>公司是否需要遵守特殊行业的披露要求 否</w:t>
      </w:r>
    </w:p>
    <w:p>
      <w:pPr>
        <w:pStyle w:val="BodyText"/>
        <w:spacing w:line="338" w:lineRule="auto" w:before="25"/>
        <w:ind w:right="234"/>
        <w:jc w:val="left"/>
      </w:pPr>
      <w:r>
        <w:rPr/>
        <w:t>具体会计政策和会计估计提示： 本公司根据实际生产经营特点针对应收款项坏账准备计提、固定资产折旧、无形资产摊销、收入确认等交易或事项制定了 具体会计政策和会计估计。</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firstLine="420"/>
        <w:jc w:val="left"/>
      </w:pPr>
      <w:r>
        <w:rPr/>
        <w:t>本公司所编制的财务报表符合企业会计准则的要求，真实、完整地反映了公司的财务状况、经营成果和现金流量等有 关信息。</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73"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73"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73" w:right="0"/>
        <w:jc w:val="left"/>
      </w:pPr>
      <w:r>
        <w:rPr/>
        <w:t>采用人民币为记账本位币。</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0"/>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73" w:right="94"/>
        <w:jc w:val="left"/>
      </w:pPr>
      <w:r>
        <w:rPr>
          <w:rFonts w:ascii="Times New Roman" w:hAnsi="Times New Roman" w:cs="Times New Roman" w:eastAsia="Times New Roman" w:hint="default"/>
        </w:rPr>
        <w:t>1.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1"/>
        <w:ind w:right="94"/>
        <w:jc w:val="left"/>
      </w:pPr>
      <w:r>
        <w:rPr/>
        <w:t>被合并方所有者权益在最终控制方合并财务报表中的账面价值份额与支付的合并对价账面价值或发行股份面值总额的差额，</w:t>
      </w:r>
      <w:r>
        <w:rPr>
          <w:spacing w:val="-83"/>
        </w:rPr>
        <w:t> </w:t>
      </w:r>
      <w:r>
        <w:rPr>
          <w:spacing w:val="-83"/>
        </w:rPr>
      </w:r>
      <w:r>
        <w:rPr/>
        <w:t>调整资本公积；资本公积不足冲减的，调整留存收益。</w:t>
      </w:r>
    </w:p>
    <w:p>
      <w:pPr>
        <w:pStyle w:val="BodyText"/>
        <w:spacing w:line="300" w:lineRule="auto" w:before="19"/>
        <w:ind w:left="573" w:right="94"/>
        <w:jc w:val="left"/>
      </w:pPr>
      <w:r>
        <w:rPr>
          <w:rFonts w:ascii="Times New Roman" w:hAnsi="Times New Roman" w:cs="Times New Roman" w:eastAsia="Times New Roman" w:hint="default"/>
        </w:rPr>
        <w:t>2. </w:t>
      </w:r>
      <w:r>
        <w:rPr/>
        <w:t>非同一控制下企业合并的会计处理方法 公司在购买日对合并成本大于合并中取得的被购买方可辨认净资产公允价值份额的差额，确认为商誉；如果合并成本</w:t>
      </w:r>
    </w:p>
    <w:p>
      <w:pPr>
        <w:pStyle w:val="BodyText"/>
        <w:spacing w:line="319" w:lineRule="auto" w:before="31"/>
        <w:ind w:right="193"/>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98" w:firstLine="420"/>
        <w:jc w:val="both"/>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8" w:firstLine="420"/>
        <w:jc w:val="both"/>
      </w:pPr>
      <w:r>
        <w:rPr/>
        <w:t>列示于现金流量表中的现金是指库存现金以及可以随时用于支付的存款。现金等价物是指企业持有的期限短、流动性 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89" w:firstLine="420"/>
        <w:jc w:val="both"/>
      </w:pPr>
      <w:r>
        <w:rPr/>
        <w:t>外币交易在初始确认时，采用交易发生日即期汇率的近似汇率折算为人民币金额。资产负债表日，外币货币性项目采 </w:t>
      </w:r>
      <w:r>
        <w:rPr>
          <w:spacing w:val="-2"/>
        </w:rPr>
        <w:t>用资产负债表日即期汇率折算，因汇率不同而产生的汇兑差额，除与购建符合资本化条件资产有关的外币专门借款本金及利</w:t>
      </w:r>
      <w:r>
        <w:rPr>
          <w:spacing w:val="-64"/>
        </w:rPr>
        <w:t> </w:t>
      </w:r>
      <w:r>
        <w:rPr>
          <w:spacing w:val="-64"/>
        </w:rPr>
      </w:r>
      <w:r>
        <w:rPr>
          <w:spacing w:val="-2"/>
        </w:rPr>
        <w:t>息的汇兑差额外，计入当期损益；以历史成本计量的外币非货币性项目仍采用交易发生日的即期汇率折算，不改变其人民币</w:t>
      </w:r>
      <w:r>
        <w:rPr>
          <w:spacing w:val="-62"/>
        </w:rPr>
        <w:t> </w:t>
      </w:r>
      <w:r>
        <w:rPr>
          <w:spacing w:val="-62"/>
        </w:rPr>
      </w:r>
      <w:r>
        <w:rPr/>
        <w:t>金额；以公允价值计量的外币非货币性项目，采用公允价值确定日的即期汇率折算，差额计入当期损益或其他综合收益。</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7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金融资产和金融负债的分类 金融资产在初始确认时划分为以下四类：以公允价值计量且其变动计入当期损益的金融资产（包括交易性金融资产和</w:t>
      </w:r>
    </w:p>
    <w:p>
      <w:pPr>
        <w:pStyle w:val="BodyText"/>
        <w:spacing w:line="316" w:lineRule="auto" w:before="31"/>
        <w:ind w:right="94"/>
        <w:jc w:val="left"/>
      </w:pPr>
      <w:r>
        <w:rPr>
          <w:spacing w:val="-2"/>
        </w:rPr>
        <w:t>在初始确认时指定为以公允价值计量且其变动计入当期损益的金融资产）、持有至到期投资、贷款和应收款项、可供出售金</w:t>
      </w:r>
      <w:r>
        <w:rPr>
          <w:spacing w:val="-65"/>
        </w:rPr>
        <w:t> </w:t>
      </w:r>
      <w:r>
        <w:rPr>
          <w:spacing w:val="-65"/>
        </w:rPr>
      </w:r>
      <w:r>
        <w:rPr/>
        <w:t>融资产。</w:t>
      </w:r>
    </w:p>
    <w:p>
      <w:pPr>
        <w:pStyle w:val="BodyText"/>
        <w:spacing w:line="316" w:lineRule="auto" w:before="19"/>
        <w:ind w:right="198" w:firstLine="420"/>
        <w:jc w:val="both"/>
      </w:pPr>
      <w:r>
        <w:rPr/>
        <w:t>金融负债在初始确认时划分为以下两类：以公允价值计量且其变动计入当期损益的金融负债（包括交易性金融负债和 </w:t>
      </w:r>
      <w:r>
        <w:rPr>
          <w:spacing w:val="-3"/>
        </w:rPr>
        <w:t>在初始确认时指定为以公允价值计量且其变动计入当期损益的金融负债）、其他金融负债。</w:t>
      </w:r>
    </w:p>
    <w:p>
      <w:pPr>
        <w:pStyle w:val="BodyText"/>
        <w:spacing w:line="300" w:lineRule="auto" w:before="19"/>
        <w:ind w:left="573" w:right="94"/>
        <w:jc w:val="left"/>
      </w:pPr>
      <w:r>
        <w:rPr>
          <w:rFonts w:ascii="Times New Roman" w:hAnsi="Times New Roman" w:cs="Times New Roman" w:eastAsia="Times New Roman" w:hint="default"/>
        </w:rPr>
        <w:t>2. </w:t>
      </w:r>
      <w:r>
        <w:rPr/>
        <w:t>金融资产和金融负债的确认依据、计量方法和终止确认条件 公司成为金融工具合同的一方时，确认一项金融资产或金融负债。初始确认金融资产或金融负债时，按照公允价值计</w:t>
      </w:r>
    </w:p>
    <w:p>
      <w:pPr>
        <w:spacing w:after="0" w:line="300" w:lineRule="auto"/>
        <w:jc w:val="left"/>
        <w:sectPr>
          <w:footerReference w:type="default" r:id="rId24"/>
          <w:pgSz w:w="11910" w:h="16840"/>
          <w:pgMar w:footer="979" w:header="745" w:top="1060" w:bottom="1160" w:left="980" w:right="940"/>
          <w:pgNumType w:start="112"/>
        </w:sectPr>
      </w:pPr>
    </w:p>
    <w:p>
      <w:pPr>
        <w:spacing w:line="240" w:lineRule="auto" w:before="10"/>
        <w:rPr>
          <w:rFonts w:ascii="宋体" w:hAnsi="宋体" w:cs="宋体" w:eastAsia="宋体" w:hint="default"/>
          <w:sz w:val="25"/>
          <w:szCs w:val="25"/>
        </w:rPr>
      </w:pPr>
    </w:p>
    <w:p>
      <w:pPr>
        <w:pStyle w:val="BodyText"/>
        <w:spacing w:line="316" w:lineRule="auto" w:before="44"/>
        <w:ind w:right="190"/>
        <w:jc w:val="both"/>
      </w:pPr>
      <w:r>
        <w:rPr>
          <w:spacing w:val="-2"/>
        </w:rPr>
        <w:t>量；对于以公允价值计量且其变动计入当期损益的金融资产和金融负债，相关交易费用直接计入当期损益；对于其他类别的</w:t>
      </w:r>
      <w:r>
        <w:rPr>
          <w:spacing w:val="-63"/>
        </w:rPr>
        <w:t> </w:t>
      </w:r>
      <w:r>
        <w:rPr>
          <w:spacing w:val="-63"/>
        </w:rPr>
      </w:r>
      <w:r>
        <w:rPr/>
        <w:t>金融资产或金融负债，相关交易费用计入初始确认金额。</w:t>
      </w:r>
    </w:p>
    <w:p>
      <w:pPr>
        <w:pStyle w:val="BodyText"/>
        <w:spacing w:line="309" w:lineRule="auto" w:before="19"/>
        <w:ind w:right="194" w:firstLine="420"/>
        <w:jc w:val="both"/>
      </w:pPr>
      <w:r>
        <w:rPr>
          <w:spacing w:val="-3"/>
        </w:rPr>
        <w:t>公司按照公允价值对金融资产进行后续计量，且不扣除将来处置该金融资产时可能发生的交易费用，但下列情况除外：</w:t>
      </w:r>
      <w:r>
        <w:rPr/>
        <w:t>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在活跃市场中没有报价且其公允价值不能 可靠计量的权益工具投资，以及与该权益工具挂钩并须通过交付该权益工具结算的衍生金融资产，按照成本计量。</w:t>
      </w:r>
    </w:p>
    <w:p>
      <w:pPr>
        <w:pStyle w:val="BodyText"/>
        <w:spacing w:line="302" w:lineRule="auto" w:before="24"/>
        <w:ind w:right="94" w:firstLine="420"/>
        <w:jc w:val="left"/>
      </w:pPr>
      <w:r>
        <w:rPr>
          <w:spacing w:val="-3"/>
        </w:rPr>
        <w:t>公司采用实际利率法，按摊余成本对金融负债进行后续计量，但下列情况除外：</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7"/>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 </w:t>
      </w:r>
      <w:r>
        <w:rPr/>
        <w:t>与在活跃市场中没有报价、</w:t>
      </w:r>
      <w:r>
        <w:rPr>
          <w:spacing w:val="-74"/>
        </w:rPr>
        <w:t> </w:t>
      </w:r>
      <w:r>
        <w:rPr>
          <w:spacing w:val="-74"/>
        </w:rPr>
      </w:r>
      <w:r>
        <w:rPr/>
        <w:t>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不属于指定为以 公允价值计量且其变动计入当期损益的金融负债的财务担保合同，或没有指定为以公允价值计量且其变动计入当期损益并</w:t>
      </w:r>
      <w:r>
        <w:rPr>
          <w:spacing w:val="-11"/>
        </w:rPr>
        <w:t> </w:t>
      </w:r>
      <w:r>
        <w:rPr>
          <w:spacing w:val="-11"/>
        </w:rPr>
      </w:r>
      <w:r>
        <w:rPr/>
        <w:t>将以低于市场利率贷款的贷款承诺，在初始确认后按照下列两项金额之中的较高者进行后续计量：</w:t>
      </w:r>
      <w:r>
        <w:rPr>
          <w:rFonts w:ascii="Times New Roman" w:hAnsi="Times New Roman" w:cs="Times New Roman" w:eastAsia="Times New Roman" w:hint="default"/>
        </w:rPr>
        <w:t>1) </w:t>
      </w:r>
      <w:r>
        <w:rPr/>
        <w:t>按照《企业会计准则</w:t>
      </w:r>
      <w:r>
        <w:rPr>
          <w:spacing w:val="-55"/>
        </w:rPr>
        <w:t> </w:t>
      </w:r>
      <w:r>
        <w:rPr>
          <w:spacing w:val="-55"/>
        </w:rPr>
      </w:r>
      <w:r>
        <w:rPr/>
        <w:t>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w:t>
      </w:r>
      <w:r>
        <w:rPr>
          <w:spacing w:val="-58"/>
        </w:rPr>
        <w:t> </w:t>
      </w:r>
      <w:r>
        <w:rPr>
          <w:spacing w:val="-58"/>
        </w:rPr>
      </w:r>
      <w:r>
        <w:rPr/>
        <w:t>后的余额。</w:t>
      </w:r>
    </w:p>
    <w:p>
      <w:pPr>
        <w:pStyle w:val="BodyText"/>
        <w:spacing w:line="312" w:lineRule="auto" w:before="29"/>
        <w:ind w:right="186"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3"/>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4"/>
        </w:rPr>
        <w:t> </w:t>
      </w:r>
      <w:r>
        <w:rPr>
          <w:spacing w:val="-64"/>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3"/>
        </w:rPr>
        <w:t> </w:t>
      </w:r>
      <w:r>
        <w:rPr>
          <w:spacing w:val="-63"/>
        </w:rPr>
      </w:r>
      <w:r>
        <w:rPr/>
        <w:t>账面价值扣除原直接计入其他综合收益的公允价值变动累计额之后的差额确认为投资收益。</w:t>
      </w:r>
    </w:p>
    <w:p>
      <w:pPr>
        <w:pStyle w:val="BodyText"/>
        <w:spacing w:line="316" w:lineRule="auto" w:before="22"/>
        <w:ind w:right="198"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300" w:lineRule="auto" w:before="19"/>
        <w:ind w:left="573" w:right="94"/>
        <w:jc w:val="left"/>
      </w:pPr>
      <w:r>
        <w:rPr>
          <w:rFonts w:ascii="Times New Roman" w:hAnsi="Times New Roman" w:cs="Times New Roman" w:eastAsia="Times New Roman" w:hint="default"/>
        </w:rPr>
        <w:t>3. </w:t>
      </w:r>
      <w:r>
        <w:rPr/>
        <w:t>金融资产转移的确认依据和计量方法 公司已将金融资产所有权上几乎所有的风险和报酬转移给了转入方的，终止确认该金融资产；保留了金融资产所有权</w:t>
      </w:r>
    </w:p>
    <w:p>
      <w:pPr>
        <w:pStyle w:val="BodyText"/>
        <w:spacing w:line="309" w:lineRule="auto" w:before="31"/>
        <w:ind w:right="189"/>
        <w:jc w:val="both"/>
      </w:pPr>
      <w:r>
        <w:rPr>
          <w:spacing w:val="-2"/>
        </w:rPr>
        <w:t>上几乎所有的风险和报酬的，继续确认所转移的金融资产，并将收到的对价确认为一项金融负债。公司既没有转移也没有保</w:t>
      </w:r>
      <w:r>
        <w:rPr>
          <w:spacing w:val="-62"/>
        </w:rPr>
        <w:t> </w:t>
      </w:r>
      <w:r>
        <w:rPr>
          <w:spacing w:val="-62"/>
        </w:rPr>
      </w:r>
      <w:r>
        <w:rPr>
          <w:spacing w:val="-5"/>
        </w:rPr>
        <w:t>留金融资产所有权上几乎所有的风险和报酬的，分别下列情况处理：</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12"/>
        </w:rPr>
        <w:t> </w:t>
      </w:r>
      <w:r>
        <w:rPr>
          <w:spacing w:val="-4"/>
        </w:rPr>
        <w:t>放弃了对该金融资产控制的，终止确认该金融资产；</w:t>
      </w:r>
      <w:r>
        <w:rPr>
          <w:spacing w:val="-84"/>
        </w:rPr>
        <w:t> </w:t>
      </w:r>
      <w:r>
        <w:rPr>
          <w:spacing w:val="-84"/>
        </w:rPr>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未放弃对该金融资产控制的，按照继续涉入所转移金融资产的程度确认有关金融资产，并相应确认有关负债。</w:t>
      </w:r>
    </w:p>
    <w:p>
      <w:pPr>
        <w:pStyle w:val="BodyText"/>
        <w:spacing w:line="309" w:lineRule="auto" w:before="5"/>
        <w:ind w:right="188"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所转移金融资产的账面价值；</w:t>
      </w:r>
      <w:r>
        <w:rPr>
          <w:rFonts w:ascii="Times New Roman" w:hAnsi="Times New Roman" w:cs="Times New Roman" w:eastAsia="Times New Roman" w:hint="default"/>
        </w:rPr>
        <w:t>(2) </w:t>
      </w:r>
      <w:r>
        <w:rPr>
          <w:spacing w:val="-2"/>
        </w:rPr>
        <w:t>因转移而收到的对价，与原直接计入所有者权益的公允价值变动累计额之和。金融资产部分转移满足终止确认条件的，将所</w:t>
      </w:r>
      <w:r>
        <w:rPr>
          <w:spacing w:val="-63"/>
        </w:rPr>
        <w:t> </w:t>
      </w:r>
      <w:r>
        <w:rPr>
          <w:spacing w:val="-63"/>
        </w:rPr>
      </w:r>
      <w:r>
        <w:rPr>
          <w:spacing w:val="-2"/>
        </w:rPr>
        <w:t>转移金融资产整体的账面价值，在终止确认部分和未终止确认部分之间，按照各自的相对公允价值进行分摊，并将下列两项</w:t>
      </w:r>
      <w:r>
        <w:rPr>
          <w:spacing w:val="-62"/>
        </w:rPr>
        <w:t> </w:t>
      </w:r>
      <w:r>
        <w:rPr>
          <w:spacing w:val="-62"/>
        </w:rPr>
      </w:r>
      <w:r>
        <w:rPr/>
        <w:t>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终止确认部分的对价，与原直接计入所有者权益的公允价值</w:t>
      </w:r>
      <w:r>
        <w:rPr>
          <w:spacing w:val="-88"/>
        </w:rPr>
        <w:t> </w:t>
      </w:r>
      <w:r>
        <w:rPr>
          <w:spacing w:val="-88"/>
        </w:rPr>
      </w:r>
      <w:r>
        <w:rPr/>
        <w:t>变动累计额中对应终止确认部分的金额之和。</w:t>
      </w:r>
    </w:p>
    <w:p>
      <w:pPr>
        <w:pStyle w:val="BodyText"/>
        <w:spacing w:line="300" w:lineRule="auto" w:before="24"/>
        <w:ind w:left="573" w:right="94"/>
        <w:jc w:val="left"/>
      </w:pPr>
      <w:r>
        <w:rPr>
          <w:rFonts w:ascii="Times New Roman" w:hAnsi="Times New Roman" w:cs="Times New Roman" w:eastAsia="Times New Roman" w:hint="default"/>
        </w:rPr>
        <w:t>4.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2"/>
        <w:ind w:right="0"/>
        <w:jc w:val="both"/>
      </w:pPr>
      <w:r>
        <w:rPr/>
        <w:t>值。公司将估值技术使用的输入值分以下层级，并依次使用：</w:t>
      </w:r>
    </w:p>
    <w:p>
      <w:pPr>
        <w:pStyle w:val="BodyText"/>
        <w:spacing w:line="240" w:lineRule="auto" w:before="76"/>
        <w:ind w:left="57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第一层次输入值是在计量日能够取得的相同资产或负债在活跃市场上未经调整的报价；</w:t>
      </w:r>
    </w:p>
    <w:p>
      <w:pPr>
        <w:pStyle w:val="BodyText"/>
        <w:spacing w:line="309" w:lineRule="auto" w:before="63"/>
        <w:ind w:right="19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spacing w:val="-2"/>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4"/>
        </w:rPr>
        <w:t> </w:t>
      </w:r>
      <w:r>
        <w:rPr>
          <w:spacing w:val="-64"/>
        </w:rPr>
      </w:r>
      <w:r>
        <w:rPr/>
        <w:t>的利率和收益率曲线等；市场验证的输入值等；</w:t>
      </w:r>
    </w:p>
    <w:p>
      <w:pPr>
        <w:pStyle w:val="BodyText"/>
        <w:spacing w:line="300" w:lineRule="auto" w:before="24"/>
        <w:ind w:right="19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2"/>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573" w:right="94"/>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金融资产的减值测试和减值准备计提方法</w:t>
      </w:r>
    </w:p>
    <w:p>
      <w:pPr>
        <w:pStyle w:val="BodyText"/>
        <w:spacing w:line="300" w:lineRule="auto" w:before="63"/>
        <w:ind w:right="20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资产负债表日对以公允价值计量且其变动计入当期损益的金融资产以外的金融资产的账面价值进行检查，如有客</w:t>
      </w:r>
      <w:r>
        <w:rPr>
          <w:w w:val="99"/>
        </w:rPr>
        <w:t> </w:t>
      </w:r>
      <w:r>
        <w:rPr/>
        <w:t>观证据表明该金融资产发生减值的，计提减值准备。</w:t>
      </w:r>
    </w:p>
    <w:p>
      <w:pPr>
        <w:pStyle w:val="BodyText"/>
        <w:spacing w:line="300" w:lineRule="auto" w:before="32"/>
        <w:ind w:right="274"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对于持有至到期投资、贷款和应收款，先将单项金额重大的金融资产区分开来，单独进行减值测试；对单项金额</w:t>
      </w:r>
      <w:r>
        <w:rPr>
          <w:w w:val="99"/>
        </w:rPr>
        <w:t> </w:t>
      </w:r>
      <w:r>
        <w:rPr/>
        <w:t>不重大的金融资产，可以单独进行减值测试，或包括在具有类似信用风险特征的金融资产组合中进行减值测试；单独测试</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未发生减值的金融资产（包括单项金额重大和不重大的金融资产），包括在具有类似信用风险特征的金融资产组合中再进行</w:t>
      </w:r>
      <w:r>
        <w:rPr>
          <w:spacing w:val="-72"/>
        </w:rPr>
        <w:t> </w:t>
      </w:r>
      <w:r>
        <w:rPr>
          <w:spacing w:val="-72"/>
        </w:rPr>
      </w:r>
      <w:r>
        <w:rPr/>
        <w:t>减值测试。测试结果表明其发生了减值的，根据其账面价值高于预计未来现金流量现值的差额确认减值损失。</w:t>
      </w:r>
    </w:p>
    <w:p>
      <w:pPr>
        <w:pStyle w:val="BodyText"/>
        <w:spacing w:line="240" w:lineRule="auto" w:before="19"/>
        <w:ind w:left="573"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
        </w:rPr>
        <w:t> </w:t>
      </w:r>
      <w:r>
        <w:rPr/>
        <w:t>可供出售金融资产</w:t>
      </w:r>
    </w:p>
    <w:p>
      <w:pPr>
        <w:pStyle w:val="BodyText"/>
        <w:spacing w:line="24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表明可供出售债务工具投资发生减值的客观证据包括：</w:t>
      </w:r>
    </w:p>
    <w:p>
      <w:pPr>
        <w:pStyle w:val="BodyText"/>
        <w:spacing w:line="240" w:lineRule="auto" w:before="63"/>
        <w:ind w:left="573" w:right="0"/>
        <w:jc w:val="left"/>
      </w:pPr>
      <w:r>
        <w:rPr/>
        <w:t>①</w:t>
      </w:r>
      <w:r>
        <w:rPr>
          <w:spacing w:val="1"/>
        </w:rPr>
        <w:t> </w:t>
      </w:r>
      <w:r>
        <w:rPr/>
        <w:t>债务人发生严重财务困难；</w:t>
      </w:r>
    </w:p>
    <w:p>
      <w:pPr>
        <w:pStyle w:val="BodyText"/>
        <w:spacing w:line="240" w:lineRule="auto" w:before="76"/>
        <w:ind w:left="573" w:right="0"/>
        <w:jc w:val="left"/>
      </w:pPr>
      <w:r>
        <w:rPr/>
        <w:t>②</w:t>
      </w:r>
      <w:r>
        <w:rPr>
          <w:spacing w:val="1"/>
        </w:rPr>
        <w:t> </w:t>
      </w:r>
      <w:r>
        <w:rPr/>
        <w:t>债务人违反了合同条款，如偿付利息或本金发生违约或逾期；</w:t>
      </w:r>
    </w:p>
    <w:p>
      <w:pPr>
        <w:pStyle w:val="BodyText"/>
        <w:spacing w:line="240" w:lineRule="auto" w:before="76"/>
        <w:ind w:left="573" w:right="0"/>
        <w:jc w:val="left"/>
      </w:pPr>
      <w:r>
        <w:rPr/>
        <w:t>③</w:t>
      </w:r>
      <w:r>
        <w:rPr>
          <w:spacing w:val="1"/>
        </w:rPr>
        <w:t> </w:t>
      </w:r>
      <w:r>
        <w:rPr/>
        <w:t>公司出于经济或法律等方面因素的考虑，对发生财务困难的债务人作出让步；</w:t>
      </w:r>
    </w:p>
    <w:p>
      <w:pPr>
        <w:pStyle w:val="BodyText"/>
        <w:spacing w:line="240" w:lineRule="auto" w:before="76"/>
        <w:ind w:left="573" w:right="0"/>
        <w:jc w:val="left"/>
      </w:pPr>
      <w:r>
        <w:rPr/>
        <w:t>④</w:t>
      </w:r>
      <w:r>
        <w:rPr>
          <w:spacing w:val="1"/>
        </w:rPr>
        <w:t> </w:t>
      </w:r>
      <w:r>
        <w:rPr/>
        <w:t>债务人很可能倒闭或进行其他财务重组；</w:t>
      </w:r>
    </w:p>
    <w:p>
      <w:pPr>
        <w:pStyle w:val="BodyText"/>
        <w:spacing w:line="240" w:lineRule="auto" w:before="76"/>
        <w:ind w:left="573" w:right="0"/>
        <w:jc w:val="left"/>
      </w:pPr>
      <w:r>
        <w:rPr/>
        <w:t>⑤</w:t>
      </w:r>
      <w:r>
        <w:rPr>
          <w:spacing w:val="1"/>
        </w:rPr>
        <w:t> </w:t>
      </w:r>
      <w:r>
        <w:rPr/>
        <w:t>因债务人发生重大财务困难，该债务工具无法在活跃市场继续交易；</w:t>
      </w:r>
    </w:p>
    <w:p>
      <w:pPr>
        <w:pStyle w:val="BodyText"/>
        <w:spacing w:line="240" w:lineRule="auto" w:before="76"/>
        <w:ind w:left="573" w:right="0"/>
        <w:jc w:val="left"/>
      </w:pPr>
      <w:r>
        <w:rPr/>
        <w:t>⑥</w:t>
      </w:r>
      <w:r>
        <w:rPr>
          <w:spacing w:val="1"/>
        </w:rPr>
        <w:t> </w:t>
      </w:r>
      <w:r>
        <w:rPr/>
        <w:t>其他表明可供出售债务工具已经发生减值的情况。</w:t>
      </w:r>
    </w:p>
    <w:p>
      <w:pPr>
        <w:pStyle w:val="BodyText"/>
        <w:spacing w:line="300" w:lineRule="auto" w:before="76"/>
        <w:ind w:right="13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BodyText"/>
        <w:spacing w:line="307" w:lineRule="auto" w:before="31"/>
        <w:ind w:right="151" w:firstLine="420"/>
        <w:jc w:val="both"/>
      </w:pPr>
      <w:r>
        <w:rPr/>
        <w:t>本公司于资产负债表日对各项可供出售权益工具投资单独进行检查。对于以公允价值计量的权益工具投资，若其于资 </w:t>
      </w:r>
      <w:r>
        <w:rPr>
          <w:spacing w:val="-1"/>
        </w:rPr>
        <w:t>产负债表日的公允价值低于其成本超过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个月）的，则表明其发生减</w:t>
      </w:r>
      <w:r>
        <w:rPr>
          <w:spacing w:val="-60"/>
        </w:rPr>
        <w:t> </w:t>
      </w:r>
      <w:r>
        <w:rPr>
          <w:spacing w:val="-60"/>
        </w:rPr>
      </w:r>
      <w:r>
        <w:rPr>
          <w:spacing w:val="-5"/>
        </w:rPr>
        <w:t>值；若其于资产负债表日的公允价值低于其成本超过</w:t>
      </w:r>
      <w:r>
        <w:rPr>
          <w:rFonts w:ascii="Times New Roman" w:hAnsi="Times New Roman" w:cs="Times New Roman" w:eastAsia="Times New Roman" w:hint="default"/>
          <w:spacing w:val="-5"/>
        </w:rPr>
        <w:t>20%</w:t>
      </w:r>
      <w:r>
        <w:rPr>
          <w:spacing w:val="-5"/>
        </w:rPr>
        <w:t>（含</w:t>
      </w:r>
      <w:r>
        <w:rPr>
          <w:rFonts w:ascii="Times New Roman" w:hAnsi="Times New Roman" w:cs="Times New Roman" w:eastAsia="Times New Roman" w:hint="default"/>
          <w:spacing w:val="-5"/>
        </w:rPr>
        <w:t>20%</w:t>
      </w:r>
      <w:r>
        <w:rPr>
          <w:spacing w:val="-5"/>
        </w:rPr>
        <w:t>）但尚未达到</w:t>
      </w:r>
      <w:r>
        <w:rPr>
          <w:rFonts w:ascii="Times New Roman" w:hAnsi="Times New Roman" w:cs="Times New Roman" w:eastAsia="Times New Roman" w:hint="default"/>
          <w:spacing w:val="-5"/>
        </w:rPr>
        <w:t>50%</w:t>
      </w:r>
      <w:r>
        <w:rPr>
          <w:spacing w:val="-5"/>
        </w:rPr>
        <w:t>的，或低于其成本持续时间超过</w:t>
      </w:r>
      <w:r>
        <w:rPr>
          <w:rFonts w:ascii="Times New Roman" w:hAnsi="Times New Roman" w:cs="Times New Roman" w:eastAsia="Times New Roman" w:hint="default"/>
          <w:spacing w:val="-5"/>
        </w:rPr>
        <w:t>6</w:t>
      </w:r>
      <w:r>
        <w:rPr>
          <w:spacing w:val="-5"/>
        </w:rPr>
        <w:t>个月（含</w:t>
      </w:r>
      <w:r>
        <w:rPr>
          <w:spacing w:val="-61"/>
        </w:rPr>
        <w:t> </w:t>
      </w:r>
      <w:r>
        <w:rPr>
          <w:spacing w:val="-61"/>
        </w:rPr>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个月的，本公司会综合考虑其他相关因素，诸如价格波动率等，判断该权益工具投资是否发生减值。对</w:t>
      </w:r>
      <w:r>
        <w:rPr>
          <w:spacing w:val="-85"/>
        </w:rPr>
        <w:t> </w:t>
      </w:r>
      <w:r>
        <w:rPr>
          <w:spacing w:val="-85"/>
        </w:rPr>
      </w:r>
      <w:r>
        <w:rPr>
          <w:spacing w:val="-5"/>
        </w:rPr>
        <w:t>于以成本计量的权益工具投资，公司综合考虑被投资单位经营所处的技术、市场、经济或法律环境等是否发生重大不利变化，</w:t>
      </w:r>
      <w:r>
        <w:rPr>
          <w:spacing w:val="-79"/>
        </w:rPr>
        <w:t> </w:t>
      </w:r>
      <w:r>
        <w:rPr>
          <w:spacing w:val="-79"/>
        </w:rPr>
      </w:r>
      <w:r>
        <w:rPr/>
        <w:t>判断该权益工具是否发生减值。</w:t>
      </w:r>
    </w:p>
    <w:p>
      <w:pPr>
        <w:pStyle w:val="BodyText"/>
        <w:spacing w:line="319" w:lineRule="auto" w:before="26"/>
        <w:ind w:right="150" w:firstLine="420"/>
        <w:jc w:val="both"/>
      </w:pPr>
      <w:r>
        <w:rPr/>
        <w:t>以公允价值计量的可供出售金融资产发生减值时，原直接计入其他综合收益的因公允价值下降形成的累计损失予以转 </w:t>
      </w: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3"/>
        </w:rPr>
        <w:t> </w:t>
      </w:r>
      <w:r>
        <w:rPr>
          <w:spacing w:val="-63"/>
        </w:rPr>
      </w:r>
      <w:r>
        <w:rPr/>
        <w:t>直接计入其他综合收益。</w:t>
      </w:r>
    </w:p>
    <w:p>
      <w:pPr>
        <w:pStyle w:val="BodyText"/>
        <w:spacing w:line="316" w:lineRule="auto" w:before="17"/>
        <w:ind w:right="0" w:firstLine="420"/>
        <w:jc w:val="left"/>
      </w:pPr>
      <w:r>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余额占应收款项账面余额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93" w:type="dxa"/>
        <w:tblLayout w:type="fixed"/>
        <w:tblCellMar>
          <w:top w:w="0" w:type="dxa"/>
          <w:left w:w="0" w:type="dxa"/>
          <w:bottom w:w="0" w:type="dxa"/>
          <w:right w:w="0" w:type="dxa"/>
        </w:tblCellMar>
        <w:tblLook w:val="01E0"/>
      </w:tblPr>
      <w:tblGrid>
        <w:gridCol w:w="3167"/>
        <w:gridCol w:w="3202"/>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6714"/>
        <w:jc w:val="left"/>
      </w:pPr>
      <w:r>
        <w:rPr/>
        <w:t>公司是否需要遵守特殊行业的披露要求 否</w:t>
      </w:r>
    </w:p>
    <w:p>
      <w:pPr>
        <w:pStyle w:val="BodyText"/>
        <w:spacing w:line="300" w:lineRule="auto" w:before="25"/>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存货的分类 存货包括在日常活动中持有以备出售的产成品或商品、处在生产过程中的在产品、在生产过程或提供劳务过程中耗用</w:t>
      </w:r>
    </w:p>
    <w:p>
      <w:pPr>
        <w:pStyle w:val="BodyText"/>
        <w:spacing w:line="240" w:lineRule="auto" w:before="31"/>
        <w:ind w:right="0"/>
        <w:jc w:val="left"/>
      </w:pPr>
      <w:r>
        <w:rPr/>
        <w:t>的材料和物料等。</w:t>
      </w:r>
    </w:p>
    <w:p>
      <w:pPr>
        <w:pStyle w:val="BodyText"/>
        <w:spacing w:line="309" w:lineRule="auto" w:before="76"/>
        <w:ind w:left="573" w:right="48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发出存货的计价方法 本公司发出存货采用个别计价法和月末一次加权平均法。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存货可变现净值的确定依据</w:t>
      </w:r>
    </w:p>
    <w:p>
      <w:pPr>
        <w:pStyle w:val="BodyText"/>
        <w:spacing w:line="319" w:lineRule="auto" w:before="5"/>
        <w:ind w:right="150" w:firstLine="420"/>
        <w:jc w:val="both"/>
      </w:pPr>
      <w:r>
        <w:rPr/>
        <w:t>资产负债表日，存货采用成本与可变现净值孰低计量，按照单个存货成本高于可变现净值的差额计提存货跌价准备。 直接用于出售的存货，在正常生产经营过程中以该存货的估计售价减去估计的销售费用和相关税费后的金额确定其可变现</w:t>
      </w:r>
      <w:r>
        <w:rPr>
          <w:spacing w:val="-11"/>
        </w:rPr>
        <w:t> </w:t>
      </w:r>
      <w:r>
        <w:rPr>
          <w:spacing w:val="-11"/>
        </w:rPr>
      </w:r>
      <w:r>
        <w:rPr>
          <w:spacing w:val="-2"/>
        </w:rPr>
        <w:t>净值；需要经过加工的存货，在正常生产经营过程中以所生产的产成品的估计售价减去至完工时估计将要发生的成本、估计</w:t>
      </w:r>
      <w:r>
        <w:rPr>
          <w:spacing w:val="-65"/>
        </w:rPr>
        <w:t> </w:t>
      </w:r>
      <w:r>
        <w:rPr>
          <w:spacing w:val="-65"/>
        </w:rPr>
      </w:r>
      <w:r>
        <w:rPr>
          <w:spacing w:val="-2"/>
        </w:rPr>
        <w:t>的销售费用和相关税费后的金额确定其可变现净值；资产负债表日，同一项存货中一部分有合同价格约定、其他部分不存在</w:t>
      </w:r>
      <w:r>
        <w:rPr>
          <w:spacing w:val="-63"/>
        </w:rPr>
        <w:t> </w:t>
      </w:r>
      <w:r>
        <w:rPr>
          <w:spacing w:val="-63"/>
        </w:rPr>
      </w:r>
      <w:r>
        <w:rPr/>
        <w:t>合同价格的，分别确定其可变现净值，并与其对应的成本进行比较，分别确定存货跌价准备的计提或转回的金额。</w:t>
      </w:r>
    </w:p>
    <w:p>
      <w:pPr>
        <w:pStyle w:val="BodyText"/>
        <w:spacing w:line="300" w:lineRule="auto" w:before="17"/>
        <w:ind w:left="573" w:right="683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存货的盘存制度 存货的盘存制度为永续盘存制。</w:t>
      </w:r>
    </w:p>
    <w:p>
      <w:pPr>
        <w:pStyle w:val="BodyText"/>
        <w:spacing w:line="240" w:lineRule="auto" w:before="31"/>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低值易耗品和包装物的摊销方法</w:t>
      </w:r>
    </w:p>
    <w:p>
      <w:pPr>
        <w:pStyle w:val="BodyText"/>
        <w:spacing w:line="307" w:lineRule="auto" w:before="63"/>
        <w:ind w:left="573" w:right="719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包装物</w:t>
      </w:r>
      <w:r>
        <w:rPr>
          <w:w w:val="99"/>
        </w:rPr>
        <w:t> </w:t>
      </w:r>
      <w:r>
        <w:rPr/>
        <w:t>按照一次转销法进行摊销。</w:t>
      </w:r>
    </w:p>
    <w:p>
      <w:pPr>
        <w:spacing w:after="0" w:line="30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9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73" w:right="8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共同控制、重要影响的判断 </w:t>
      </w:r>
      <w:r>
        <w:rPr>
          <w:spacing w:val="-1"/>
        </w:rPr>
        <w:t>按照相关约定对某项安排存在共有的控制，并且该安排的相关活动必须经过分享控制权的参与方一致同意后才能决策，</w:t>
      </w:r>
    </w:p>
    <w:p>
      <w:pPr>
        <w:pStyle w:val="BodyText"/>
        <w:spacing w:line="316" w:lineRule="auto" w:before="31"/>
        <w:ind w:right="94"/>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9"/>
        <w:ind w:left="573" w:right="94"/>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投资成本的确定</w:t>
      </w:r>
    </w:p>
    <w:p>
      <w:pPr>
        <w:pStyle w:val="BodyText"/>
        <w:spacing w:line="312" w:lineRule="auto" w:before="63"/>
        <w:ind w:right="192" w:firstLine="420"/>
        <w:jc w:val="both"/>
      </w:pPr>
      <w:r>
        <w:rPr>
          <w:rFonts w:ascii="Times New Roman" w:hAnsi="Times New Roman" w:cs="Times New Roman" w:eastAsia="Times New Roman" w:hint="default"/>
          <w:w w:val="99"/>
        </w:rPr>
        <w:t>(1)</w:t>
      </w:r>
      <w:r>
        <w:rPr>
          <w:rFonts w:ascii="Times New Roman" w:hAnsi="Times New Roman" w:cs="Times New Roman" w:eastAsia="Times New Roman" w:hint="default"/>
          <w:spacing w:val="36"/>
          <w:w w:val="99"/>
        </w:rPr>
        <w:t> </w:t>
      </w:r>
      <w:r>
        <w:rPr>
          <w:spacing w:val="-6"/>
          <w:w w:val="99"/>
        </w:rPr>
        <w:t>同一控制下的企业合并形成的，合并方以支付现金、转让非现金资产、承担债务或发行权益性证券作为合并对价的，</w:t>
      </w:r>
      <w:r>
        <w:rPr>
          <w:w w:val="99"/>
        </w:rPr>
        <w:t> </w:t>
      </w:r>
      <w:r>
        <w:rPr/>
        <w:t>在合并日按照取得被合并方所有者权益在最终控制方合并财务报表中的账面价值的份额作为其初始投资成本。长期股权投</w:t>
      </w:r>
      <w:r>
        <w:rPr>
          <w:spacing w:val="-11"/>
        </w:rPr>
        <w:t> </w:t>
      </w:r>
      <w:r>
        <w:rPr>
          <w:spacing w:val="-11"/>
        </w:rPr>
      </w:r>
      <w:r>
        <w:rPr>
          <w:spacing w:val="-2"/>
        </w:rPr>
        <w:t>资初始投资成本与支付的合并对价的账面价值或发行股份的面值总额之间的差额调整资本公积；资本公积不足冲减的，调整</w:t>
      </w:r>
      <w:r>
        <w:rPr>
          <w:spacing w:val="-65"/>
        </w:rPr>
        <w:t> </w:t>
      </w:r>
      <w:r>
        <w:rPr>
          <w:spacing w:val="-65"/>
        </w:rPr>
      </w:r>
      <w:r>
        <w:rPr/>
        <w:t>留存收益。</w:t>
      </w:r>
    </w:p>
    <w:p>
      <w:pPr>
        <w:pStyle w:val="BodyText"/>
        <w:spacing w:line="309" w:lineRule="auto" w:before="23"/>
        <w:ind w:right="189"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1"/>
        </w:rPr>
        <w:t> </w:t>
      </w:r>
      <w:r>
        <w:rPr>
          <w:spacing w:val="-41"/>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24"/>
        <w:ind w:left="573" w:right="94"/>
        <w:jc w:val="left"/>
      </w:pPr>
      <w:r>
        <w:rPr>
          <w:rFonts w:ascii="Times New Roman" w:hAnsi="Times New Roman" w:cs="Times New Roman" w:eastAsia="Times New Roman" w:hint="default"/>
        </w:rPr>
        <w:t>(2)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right="94"/>
        <w:jc w:val="left"/>
      </w:pPr>
      <w:r>
        <w:rPr/>
        <w:t>会计处理：</w:t>
      </w:r>
    </w:p>
    <w:p>
      <w:pPr>
        <w:pStyle w:val="BodyText"/>
        <w:spacing w:line="240" w:lineRule="auto" w:before="76"/>
        <w:ind w:left="57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在个别财务报表中，按照原持有的股权投资的账面价值加上新增投资成本之和，作为改按成本法核算的初始投资成</w:t>
      </w:r>
    </w:p>
    <w:p>
      <w:pPr>
        <w:pStyle w:val="BodyText"/>
        <w:spacing w:line="240" w:lineRule="auto" w:before="63"/>
        <w:ind w:right="94"/>
        <w:jc w:val="left"/>
      </w:pPr>
      <w:r>
        <w:rPr/>
        <w:t>本。</w:t>
      </w:r>
    </w:p>
    <w:p>
      <w:pPr>
        <w:pStyle w:val="BodyText"/>
        <w:spacing w:line="240" w:lineRule="auto" w:before="77"/>
        <w:ind w:left="573" w:right="94"/>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2"/>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w:t>
      </w:r>
    </w:p>
    <w:p>
      <w:pPr>
        <w:pStyle w:val="BodyText"/>
        <w:spacing w:line="312" w:lineRule="auto" w:before="63"/>
        <w:ind w:right="191"/>
        <w:jc w:val="both"/>
      </w:pP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4"/>
        </w:rPr>
        <w:t> </w:t>
      </w:r>
      <w:r>
        <w:rPr>
          <w:spacing w:val="-44"/>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3"/>
        </w:rPr>
        <w:t> </w:t>
      </w:r>
      <w:r>
        <w:rPr>
          <w:spacing w:val="-63"/>
        </w:rPr>
      </w:r>
      <w:r>
        <w:rPr/>
        <w:t>产生的其他综合收益除外。</w:t>
      </w:r>
    </w:p>
    <w:p>
      <w:pPr>
        <w:pStyle w:val="BodyText"/>
        <w:spacing w:line="300" w:lineRule="auto" w:before="22"/>
        <w:ind w:right="18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1"/>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3"/>
        </w:rPr>
        <w:t> </w:t>
      </w:r>
      <w:r>
        <w:rPr>
          <w:spacing w:val="-83"/>
        </w:rPr>
      </w:r>
      <w:r>
        <w:rPr/>
        <w:t>成本。</w:t>
      </w:r>
    </w:p>
    <w:p>
      <w:pPr>
        <w:pStyle w:val="BodyText"/>
        <w:spacing w:line="309" w:lineRule="auto" w:before="31"/>
        <w:ind w:left="573" w:right="21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后续计量及损益确认方法 对被投资单位实施控制的长期股权投资采用成本法核算；对联营企业和合营企业的长期股权投资，采用权益法核算。 </w:t>
      </w: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通过多次交易分步处置对子公司投资至丧失控制权的处理方法</w:t>
      </w:r>
    </w:p>
    <w:p>
      <w:pPr>
        <w:pStyle w:val="BodyText"/>
        <w:spacing w:line="300" w:lineRule="auto" w:before="5"/>
        <w:ind w:left="57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29"/>
        <w:ind w:right="191"/>
        <w:jc w:val="both"/>
      </w:pPr>
      <w:r>
        <w:rPr>
          <w:spacing w:val="-2"/>
        </w:rPr>
        <w:t>响或者与其他方一起实施共同控制的，转为权益法核算；不能再对被投资单位实施控制、共同控制或重大影响的，确认为金</w:t>
      </w:r>
      <w:r>
        <w:rPr>
          <w:spacing w:val="-64"/>
        </w:rPr>
        <w:t> </w:t>
      </w:r>
      <w:r>
        <w:rPr>
          <w:spacing w:val="-64"/>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ind w:left="573" w:right="94"/>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合并财务报表</w:t>
      </w:r>
    </w:p>
    <w:p>
      <w:pPr>
        <w:pStyle w:val="BodyText"/>
        <w:spacing w:line="300" w:lineRule="auto" w:before="63"/>
        <w:ind w:left="573" w:right="94"/>
        <w:jc w:val="left"/>
      </w:pPr>
      <w:r>
        <w:rPr>
          <w:rFonts w:ascii="Times New Roman" w:hAnsi="Times New Roman" w:cs="Times New Roman" w:eastAsia="Times New Roman" w:hint="default"/>
        </w:rPr>
        <w:t>1)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316" w:lineRule="auto" w:before="31"/>
        <w:ind w:left="573" w:right="94" w:hanging="421"/>
        <w:jc w:val="left"/>
      </w:pPr>
      <w:r>
        <w:rPr>
          <w:spacing w:val="-3"/>
        </w:rPr>
        <w:t>间的差额，调整资本公积（资本溢价），资本溢价不足冲减的，冲减留存收益。</w:t>
      </w:r>
      <w:r>
        <w:rPr>
          <w:spacing w:val="-75"/>
        </w:rPr>
        <w:t> </w:t>
      </w:r>
      <w:r>
        <w:rPr>
          <w:spacing w:val="-75"/>
        </w:rPr>
      </w:r>
      <w:r>
        <w:rPr/>
        <w:t>丧失对原子公司控制权时，对于剩余股权，按照其在丧失控制权日的公允价值进行重新计量。处置股权取得的对价与</w:t>
      </w:r>
    </w:p>
    <w:p>
      <w:pPr>
        <w:pStyle w:val="BodyText"/>
        <w:spacing w:line="316" w:lineRule="auto" w:before="19"/>
        <w:ind w:right="191"/>
        <w:jc w:val="both"/>
      </w:pPr>
      <w:r>
        <w:rPr/>
        <w:t>剩余股权公允价值之和，减去按原持股比例计算应享有原有子公司自购买日或合并日开始持续计算的净资产的份额之间的</w:t>
      </w:r>
      <w:r>
        <w:rPr>
          <w:spacing w:val="-11"/>
        </w:rPr>
        <w:t> </w:t>
      </w:r>
      <w:r>
        <w:rPr>
          <w:spacing w:val="-11"/>
        </w:rPr>
      </w:r>
      <w:r>
        <w:rPr>
          <w:spacing w:val="-2"/>
        </w:rPr>
        <w:t>差额，计入丧失控制权当期的投资收益，同时冲减商誉。与原有子公司股权投资相关的其他综合收益等，应当在丧失控制权</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时转为当期投资收益。</w:t>
      </w:r>
    </w:p>
    <w:p>
      <w:pPr>
        <w:pStyle w:val="BodyText"/>
        <w:spacing w:line="300" w:lineRule="auto" w:before="76"/>
        <w:ind w:left="573" w:right="94"/>
        <w:jc w:val="left"/>
      </w:pPr>
      <w:r>
        <w:rPr>
          <w:rFonts w:ascii="Times New Roman" w:hAnsi="Times New Roman" w:cs="Times New Roman" w:eastAsia="Times New Roman" w:hint="default"/>
        </w:rPr>
        <w:t>2)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pStyle w:val="BodyText"/>
        <w:spacing w:line="316" w:lineRule="auto" w:before="31"/>
        <w:ind w:right="94"/>
        <w:jc w:val="left"/>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014"/>
        <w:jc w:val="left"/>
      </w:pPr>
      <w:r>
        <w:rPr/>
        <w:t>投资性房地产计量模式 成本法计量 折旧或摊销方法</w:t>
      </w:r>
    </w:p>
    <w:p>
      <w:pPr>
        <w:pStyle w:val="BodyText"/>
        <w:spacing w:line="240" w:lineRule="auto" w:before="29"/>
        <w:ind w:left="573" w:right="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投资性房地产包括已出租的土地使用权、持有并准备增值后转让的土地使用权和已出租的建筑物。</w:t>
      </w:r>
    </w:p>
    <w:p>
      <w:pPr>
        <w:pStyle w:val="BodyText"/>
        <w:spacing w:line="300" w:lineRule="auto" w:before="63"/>
        <w:ind w:right="17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投资性房地产按照成本进行初始计量，采用成本模式进行后续计量，并采用与固定资产和无形资产相同的方法计提 折旧或进行摊销。</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274"/>
        <w:jc w:val="left"/>
      </w:pPr>
      <w:r>
        <w:rPr/>
        <w:t>固定资产是指为生产商品、提供劳务、出租或经营管理而持有的，使用年限超过一个会计年度的有形资产。固定资产在同 时满足经济利益很可能流入、成本能够可靠计量时予以确认。</w:t>
      </w:r>
    </w:p>
    <w:p>
      <w:pPr>
        <w:spacing w:line="240" w:lineRule="auto" w:before="7"/>
        <w:rPr>
          <w:rFonts w:ascii="宋体" w:hAnsi="宋体" w:cs="宋体" w:eastAsia="宋体" w:hint="default"/>
          <w:sz w:val="17"/>
          <w:szCs w:val="17"/>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4.75-1.90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19.00-9.50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31.67-9.50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54"/>
        <w:jc w:val="left"/>
      </w:pPr>
      <w:r>
        <w:rPr/>
        <w:t>公司是否需要遵守特殊行业的披露要求 否</w:t>
      </w:r>
    </w:p>
    <w:p>
      <w:pPr>
        <w:pStyle w:val="BodyText"/>
        <w:spacing w:line="300" w:lineRule="auto" w:before="27"/>
        <w:ind w:right="176"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在建工程同时满足经济利益很可能流入、成本能够可靠计量则予以确认。在建工程按建造该项资产达到预定可使用 状态前所发生的实际成本计量。</w:t>
      </w:r>
    </w:p>
    <w:p>
      <w:pPr>
        <w:pStyle w:val="BodyText"/>
        <w:spacing w:line="300" w:lineRule="auto" w:before="31"/>
        <w:ind w:right="94"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right="0"/>
        <w:jc w:val="both"/>
      </w:pPr>
      <w:r>
        <w:rPr/>
        <w:t>他借款费用，在发生时确认为费用，计入当期损益。</w:t>
      </w:r>
    </w:p>
    <w:p>
      <w:pPr>
        <w:pStyle w:val="BodyText"/>
        <w:spacing w:line="240" w:lineRule="auto" w:before="76"/>
        <w:ind w:left="57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借款费用资本化期间</w:t>
      </w:r>
    </w:p>
    <w:p>
      <w:pPr>
        <w:pStyle w:val="BodyText"/>
        <w:spacing w:line="300" w:lineRule="auto" w:before="63"/>
        <w:ind w:right="0"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为使资产达到预</w:t>
      </w:r>
      <w:r>
        <w:rPr>
          <w:w w:val="99"/>
        </w:rPr>
        <w:t> </w:t>
      </w:r>
      <w:r>
        <w:rPr/>
        <w:t>定可使用或可销售状态所必要的购建或者生产活动已经开始。</w:t>
      </w:r>
    </w:p>
    <w:p>
      <w:pPr>
        <w:pStyle w:val="BodyText"/>
        <w:spacing w:line="300" w:lineRule="auto" w:before="31"/>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240" w:lineRule="auto" w:before="31"/>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当所购建或者生产符合资本化条件的资产达到预定可使用或可销售状态时，借款费用停止资本化。</w:t>
      </w:r>
    </w:p>
    <w:p>
      <w:pPr>
        <w:pStyle w:val="BodyText"/>
        <w:spacing w:line="300" w:lineRule="auto" w:before="63"/>
        <w:ind w:left="573" w:right="0"/>
        <w:jc w:val="left"/>
      </w:pPr>
      <w:r>
        <w:rPr>
          <w:rFonts w:ascii="Times New Roman" w:hAnsi="Times New Roman" w:cs="Times New Roman" w:eastAsia="Times New Roman" w:hint="default"/>
        </w:rPr>
        <w:t>3. </w:t>
      </w:r>
      <w:r>
        <w:rPr/>
        <w:t>借款费用资本化率以及资本化金额 为购建或者生产符合资本化条件的资产而借入专门借款的，以专门借款当期实际发生的利息费用（包括按照实际利率</w:t>
      </w:r>
    </w:p>
    <w:p>
      <w:pPr>
        <w:pStyle w:val="BodyText"/>
        <w:spacing w:line="316" w:lineRule="auto" w:before="31"/>
        <w:ind w:right="150"/>
        <w:jc w:val="both"/>
      </w:pPr>
      <w:r>
        <w:rPr>
          <w:spacing w:val="-2"/>
        </w:rPr>
        <w:t>法确定的折价或溢价的摊销），减去将尚未动用的借款资金存入银行取得的利息收入或进行暂时性投资取得的投资收益后的</w:t>
      </w:r>
      <w:r>
        <w:rPr>
          <w:spacing w:val="-65"/>
        </w:rPr>
        <w:t> </w:t>
      </w:r>
      <w:r>
        <w:rPr>
          <w:spacing w:val="-65"/>
        </w:rPr>
      </w:r>
      <w:r>
        <w:rPr>
          <w:spacing w:val="-2"/>
        </w:rPr>
        <w:t>金额，确定应予资本化的利息金额；为购建或者生产符合资本化条件的资产占用了一般借款的，根据累计资产支出超过专门</w:t>
      </w:r>
      <w:r>
        <w:rPr>
          <w:spacing w:val="-63"/>
        </w:rPr>
        <w:t> </w:t>
      </w:r>
      <w:r>
        <w:rPr>
          <w:spacing w:val="-63"/>
        </w:rPr>
      </w:r>
      <w:r>
        <w:rPr/>
        <w:t>借款的资产支出加权平均数乘以占用一般借款的资本化率，计算确定一般借款应予资本化的利息金额。</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14"/>
        <w:jc w:val="left"/>
      </w:pPr>
      <w:r>
        <w:rPr/>
        <w:t>公司是否需要遵守特殊行业的披露要求 否</w:t>
      </w:r>
    </w:p>
    <w:p>
      <w:pPr>
        <w:pStyle w:val="BodyText"/>
        <w:spacing w:line="240" w:lineRule="auto" w:before="29"/>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无形资产包括土地使用权、专利权及非专利技术等，按成本进行初始计量。</w:t>
      </w:r>
    </w:p>
    <w:p>
      <w:pPr>
        <w:pStyle w:val="BodyText"/>
        <w:spacing w:line="300" w:lineRule="auto" w:before="63"/>
        <w:ind w:right="137"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使用寿命有限的无形资产，在使用寿命内按照与该项无形资产有关的经济利益的预期实现方式系统合理地摊销，无 法可靠确定预期实现方式的，采用直线法摊销。具体年限如下：</w:t>
      </w:r>
    </w:p>
    <w:tbl>
      <w:tblPr>
        <w:tblW w:w="0" w:type="auto"/>
        <w:jc w:val="left"/>
        <w:tblInd w:w="152" w:type="dxa"/>
        <w:tblLayout w:type="fixed"/>
        <w:tblCellMar>
          <w:top w:w="0" w:type="dxa"/>
          <w:left w:w="0" w:type="dxa"/>
          <w:bottom w:w="0" w:type="dxa"/>
          <w:right w:w="0" w:type="dxa"/>
        </w:tblCellMar>
        <w:tblLook w:val="01E0"/>
      </w:tblPr>
      <w:tblGrid>
        <w:gridCol w:w="4818"/>
        <w:gridCol w:w="4815"/>
      </w:tblGrid>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4815"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1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8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50</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48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1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8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0"/>
        <w:rPr>
          <w:rFonts w:ascii="宋体" w:hAnsi="宋体" w:cs="宋体" w:eastAsia="宋体" w:hint="default"/>
          <w:sz w:val="21"/>
          <w:szCs w:val="21"/>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4" w:lineRule="auto"/>
        <w:ind w:right="152" w:firstLine="420"/>
        <w:jc w:val="both"/>
      </w:pPr>
      <w:r>
        <w:rPr/>
        <w:t>内部研究开发项目研究阶段的支出，于发生时计入当期损益。内部研究开发项目开发阶段的支出，同时满足下列条件 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具有完成该无形资产并使用或</w:t>
      </w:r>
      <w:r>
        <w:rPr>
          <w:spacing w:val="-88"/>
        </w:rPr>
        <w:t> </w:t>
      </w:r>
      <w:r>
        <w:rPr>
          <w:spacing w:val="-88"/>
        </w:rPr>
      </w:r>
      <w:r>
        <w:rPr/>
        <w:t>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无形资产产生经济利益的方式，包括能够证明运用该无形资产生产的产品存在市场或无形资产自身存在市 </w:t>
      </w:r>
      <w:r>
        <w:rPr>
          <w:spacing w:val="-5"/>
        </w:rPr>
        <w:t>场，无形资产将在内部使用的，能证明其有用性；</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16"/>
        </w:rPr>
        <w:t> </w:t>
      </w:r>
      <w:r>
        <w:rPr>
          <w:spacing w:val="-3"/>
        </w:rPr>
        <w:t>有足够的技术、财务资源和其他资源支持，以完成该无形资产的开发，</w:t>
      </w:r>
      <w:r>
        <w:rPr/>
        <w:t> 并有能力使用或出售该无形资产；</w:t>
      </w:r>
      <w:r>
        <w:rPr>
          <w:rFonts w:ascii="Times New Roman" w:hAnsi="Times New Roman" w:cs="Times New Roman" w:eastAsia="Times New Roman" w:hint="default"/>
        </w:rPr>
        <w:t>(5)  </w:t>
      </w:r>
      <w:r>
        <w:rPr/>
        <w:t>归属于该无形资产开发阶段的支出能够可靠地计量。</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51" w:firstLine="420"/>
        <w:jc w:val="both"/>
      </w:pPr>
      <w:r>
        <w:rPr>
          <w:spacing w:val="-1"/>
        </w:rPr>
        <w:t>对长期股权投资、采用成本模式计量的投资性房地产、固定资产、在建工程和使用寿命有限的无形资产等长期资产</w:t>
      </w:r>
      <w:r>
        <w:rPr>
          <w:rFonts w:ascii="Times New Roman" w:hAnsi="Times New Roman" w:cs="Times New Roman" w:eastAsia="Times New Roman" w:hint="default"/>
          <w:spacing w:val="-1"/>
        </w:rPr>
        <w:t>,</w:t>
      </w:r>
      <w:r>
        <w:rPr>
          <w:spacing w:val="-1"/>
        </w:rPr>
        <w:t>在</w:t>
      </w:r>
      <w:r>
        <w:rPr/>
        <w:t> </w:t>
      </w:r>
      <w:r>
        <w:rPr>
          <w:spacing w:val="-2"/>
        </w:rPr>
        <w:t>资产负债表日有迹象表明发生减值的，估计其可收回金额。对因企业合并所形成的商誉和使用寿命不确定的无形资产，无论</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573" w:right="1714" w:hanging="421"/>
        <w:jc w:val="left"/>
      </w:pPr>
      <w:r>
        <w:rPr/>
        <w:t>是否存在减值迹象，每年都进行减值测试。商誉结合与其相关的资产组或者资产组组合进行减值测试。 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98" w:firstLine="420"/>
        <w:jc w:val="both"/>
      </w:pP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年）的各项费用。长期待摊费用按实际发生额入账，在受益 期或规定的期限内分期平均摊销。如果长期待摊的费用项目不能使以后会计期间受益则将尚未摊销的该项目的摊余价值全</w:t>
      </w:r>
      <w:r>
        <w:rPr>
          <w:spacing w:val="-11"/>
        </w:rPr>
        <w:t> </w:t>
      </w:r>
      <w:r>
        <w:rPr>
          <w:spacing w:val="-11"/>
        </w:rPr>
      </w:r>
      <w:r>
        <w:rPr/>
        <w:t>部转入当期损益。</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73" w:right="94"/>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73" w:right="94"/>
        <w:jc w:val="left"/>
      </w:pPr>
      <w:r>
        <w:rPr/>
        <w:t>离职后福利分为设定提存计划和设定受益计划。</w:t>
      </w:r>
    </w:p>
    <w:p>
      <w:pPr>
        <w:pStyle w:val="BodyText"/>
        <w:spacing w:line="300" w:lineRule="auto" w:before="76"/>
        <w:ind w:right="19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1"/>
        <w:ind w:left="573"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对设定受益计划的会计处理通常包括下列步骤：</w:t>
      </w:r>
    </w:p>
    <w:p>
      <w:pPr>
        <w:pStyle w:val="BodyText"/>
        <w:spacing w:line="309" w:lineRule="auto" w:before="63"/>
        <w:ind w:right="19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根据预期累计福利单位法，采用无偏且相互一致的精算假设对有关人口统计变量和财务变量等作出估计，计量设定 </w:t>
      </w:r>
      <w:r>
        <w:rPr>
          <w:spacing w:val="-2"/>
        </w:rPr>
        <w:t>受益计划所产生的义务，并确定相关义务的所属期间。同时，对设定受益计划所产生的义务予以折现，以确定设定受益计划</w:t>
      </w:r>
      <w:r>
        <w:rPr>
          <w:spacing w:val="-65"/>
        </w:rPr>
        <w:t> </w:t>
      </w:r>
      <w:r>
        <w:rPr>
          <w:spacing w:val="-65"/>
        </w:rPr>
      </w:r>
      <w:r>
        <w:rPr/>
        <w:t>义务的现值和当期服务成本；</w:t>
      </w:r>
    </w:p>
    <w:p>
      <w:pPr>
        <w:pStyle w:val="BodyText"/>
        <w:spacing w:line="309" w:lineRule="auto" w:before="24"/>
        <w:ind w:right="19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r>
        <w:rPr>
          <w:spacing w:val="-63"/>
        </w:rPr>
        <w:t> </w:t>
      </w:r>
      <w:r>
        <w:rPr>
          <w:spacing w:val="-63"/>
        </w:rPr>
      </w:r>
      <w:r>
        <w:rPr/>
        <w:t>计划净资产；</w:t>
      </w:r>
    </w:p>
    <w:p>
      <w:pPr>
        <w:pStyle w:val="BodyText"/>
        <w:spacing w:line="312" w:lineRule="auto" w:before="24"/>
        <w:ind w:right="193"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w:t>
      </w:r>
      <w:r>
        <w:rPr>
          <w:spacing w:val="-11"/>
        </w:rPr>
        <w:t> </w:t>
      </w:r>
      <w:r>
        <w:rPr>
          <w:spacing w:val="-11"/>
        </w:rPr>
      </w:r>
      <w:r>
        <w:rPr>
          <w:spacing w:val="-2"/>
        </w:rPr>
        <w:t>期损益或相关资产成本，重新计量设定受益计划净负债或净资产所产生的变动计入其他综合收益，并且在后续会计期间不允</w:t>
      </w:r>
      <w:r>
        <w:rPr>
          <w:spacing w:val="-64"/>
        </w:rPr>
        <w:t> </w:t>
      </w:r>
      <w:r>
        <w:rPr>
          <w:spacing w:val="-64"/>
        </w:rPr>
      </w:r>
      <w:r>
        <w:rPr/>
        <w:t>许转回至损益，但可以在权益范围内转移这些在其他综合收益确认的金额。</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04" w:firstLine="420"/>
        <w:jc w:val="both"/>
      </w:pPr>
      <w:r>
        <w:rPr/>
        <w:t>向职工提供的辞退福利，在下列两者孰早日确认辞退福利产生的职工薪酬负债，并计入当期损益：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公司不能单方面 撤回因解除劳动关系计划或裁减建议所提供的辞退福利时；</w:t>
      </w:r>
      <w:r>
        <w:rPr>
          <w:rFonts w:ascii="Times New Roman" w:hAnsi="Times New Roman" w:cs="Times New Roman" w:eastAsia="Times New Roman" w:hint="default"/>
        </w:rPr>
        <w:t>(2)  </w:t>
      </w:r>
      <w:r>
        <w:rPr>
          <w:rFonts w:ascii="Times New Roman" w:hAnsi="Times New Roman" w:cs="Times New Roman" w:eastAsia="Times New Roman" w:hint="default"/>
          <w:spacing w:val="15"/>
        </w:rPr>
        <w:t> </w:t>
      </w:r>
      <w:r>
        <w:rPr/>
        <w:t>公司确认与涉及支付辞退福利的重组相关的成本或费用时。</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573" w:right="94"/>
        <w:jc w:val="left"/>
      </w:pPr>
      <w:r>
        <w:rPr/>
        <w:t>向职工提供的其他长期福利，符合设定提存计划条件的，按照设定提存计划的有关规定进行会计处理；除此之外的其</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jc w:val="both"/>
      </w:pPr>
      <w:r>
        <w:rPr>
          <w:spacing w:val="-5"/>
        </w:rPr>
        <w:t>他长期福利，按照设定受益计划的有关规定进行会计处理，为简化相关会计处理，将其产生的职工薪酬成本确认为服务成本、</w:t>
      </w:r>
      <w:r>
        <w:rPr>
          <w:spacing w:val="-76"/>
        </w:rPr>
        <w:t> </w:t>
      </w:r>
      <w:r>
        <w:rPr>
          <w:spacing w:val="-76"/>
        </w:rPr>
      </w:r>
      <w:r>
        <w:rPr/>
        <w:t>其他长期职工福利净负债或净资产的利息净额以及重新计量其他长期职工福利净负债或净资产所产生的变动等组成项目的</w:t>
      </w:r>
      <w:r>
        <w:rPr>
          <w:spacing w:val="-4"/>
        </w:rPr>
        <w:t> </w:t>
      </w:r>
      <w:r>
        <w:rPr>
          <w:spacing w:val="-4"/>
        </w:rPr>
      </w:r>
      <w:r>
        <w:rPr/>
        <w:t>总净额计入当期损益或相关资产成本。</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left="573" w:right="50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股份支付的种类 包括以权益结算的股份支付和以现金结算的股份支付。 </w:t>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实施、修改、终止股份支付计划的相关会计处理</w:t>
      </w:r>
    </w:p>
    <w:p>
      <w:pPr>
        <w:pStyle w:val="BodyText"/>
        <w:spacing w:line="300" w:lineRule="auto" w:before="5"/>
        <w:ind w:left="573" w:right="8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以权益结算的股份支付</w:t>
      </w:r>
      <w:r>
        <w:rPr>
          <w:w w:val="99"/>
        </w:rPr>
        <w:t> </w:t>
      </w:r>
      <w:r>
        <w:rPr>
          <w:spacing w:val="-1"/>
        </w:rPr>
        <w:t>授予后立即可行权的换取职工服务的以权益结算的股份支付，在授予日按照权益工具的公允价值计入相关成本或费用，</w:t>
      </w:r>
    </w:p>
    <w:p>
      <w:pPr>
        <w:pStyle w:val="BodyText"/>
        <w:spacing w:line="316" w:lineRule="auto" w:before="31"/>
        <w:ind w:right="190"/>
        <w:jc w:val="both"/>
      </w:pPr>
      <w:r>
        <w:rPr>
          <w:spacing w:val="-2"/>
        </w:rPr>
        <w:t>相应调整资本公积。完成等待期内的服务或达到规定业绩条件才可行权的换取职工服务的以权益结算的股份支付，在等待期</w:t>
      </w:r>
      <w:r>
        <w:rPr>
          <w:spacing w:val="-64"/>
        </w:rPr>
        <w:t> </w:t>
      </w:r>
      <w:r>
        <w:rPr>
          <w:spacing w:val="-64"/>
        </w:rPr>
      </w:r>
      <w:r>
        <w:rPr>
          <w:spacing w:val="-2"/>
        </w:rPr>
        <w:t>内的每个资产负债表日，以对可行权权益工具数量的最佳估计为基础，按权益工具授予日的公允价值，将当期取得的服务计</w:t>
      </w:r>
      <w:r>
        <w:rPr>
          <w:spacing w:val="-63"/>
        </w:rPr>
        <w:t> </w:t>
      </w:r>
      <w:r>
        <w:rPr>
          <w:spacing w:val="-63"/>
        </w:rPr>
      </w:r>
      <w:r>
        <w:rPr/>
        <w:t>入相关成本或费用，相应调整资本公积。</w:t>
      </w:r>
    </w:p>
    <w:p>
      <w:pPr>
        <w:pStyle w:val="BodyText"/>
        <w:spacing w:line="316" w:lineRule="auto" w:before="19"/>
        <w:ind w:right="190" w:firstLine="420"/>
        <w:jc w:val="both"/>
      </w:pPr>
      <w:r>
        <w:rPr/>
        <w:t>换取其他方服务的权益结算的股份支付，如果其他方服务的公允价值能够可靠计量的，按照其他方服务在取得日的公 </w:t>
      </w:r>
      <w:r>
        <w:rPr>
          <w:spacing w:val="-2"/>
        </w:rPr>
        <w:t>允价值计量；如果其他方服务的公允价值不能可靠计量，但权益工具的公允价值能够可靠计量的，按照权益工具在服务取得</w:t>
      </w:r>
      <w:r>
        <w:rPr>
          <w:spacing w:val="-63"/>
        </w:rPr>
        <w:t> </w:t>
      </w:r>
      <w:r>
        <w:rPr>
          <w:spacing w:val="-63"/>
        </w:rPr>
      </w:r>
      <w:r>
        <w:rPr/>
        <w:t>日的公允价值计量，计入相关成本或费用，相应增加所有者权益。</w:t>
      </w:r>
    </w:p>
    <w:p>
      <w:pPr>
        <w:pStyle w:val="BodyText"/>
        <w:spacing w:line="300" w:lineRule="auto" w:before="19"/>
        <w:ind w:left="573"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以现金结算的股份支付</w:t>
      </w:r>
      <w:r>
        <w:rPr>
          <w:w w:val="99"/>
        </w:rPr>
        <w:t> </w:t>
      </w:r>
      <w:r>
        <w:rPr/>
        <w:t>授予后立即可行权的换取职工服务的以现金结算的股份支付，在授予日按公司承担负债的公允价值计入相关成本或费</w:t>
      </w:r>
    </w:p>
    <w:p>
      <w:pPr>
        <w:pStyle w:val="BodyText"/>
        <w:spacing w:line="319" w:lineRule="auto" w:before="31"/>
        <w:ind w:right="190"/>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内的每个资产负债表日，以对可行权情况的最佳估计为基础，按公司承担负债的公允价值，将当期取得的服务计入相关成本</w:t>
      </w:r>
      <w:r>
        <w:rPr>
          <w:spacing w:val="-63"/>
        </w:rPr>
        <w:t> </w:t>
      </w:r>
      <w:r>
        <w:rPr>
          <w:spacing w:val="-63"/>
        </w:rPr>
      </w:r>
      <w:r>
        <w:rPr/>
        <w:t>或费用和相应的负债。</w:t>
      </w:r>
    </w:p>
    <w:p>
      <w:pPr>
        <w:pStyle w:val="BodyText"/>
        <w:spacing w:line="300" w:lineRule="auto" w:before="17"/>
        <w:ind w:left="573" w:right="9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修改、终止股份支付计划</w:t>
      </w:r>
      <w:r>
        <w:rPr>
          <w:w w:val="99"/>
        </w:rPr>
        <w:t> </w:t>
      </w:r>
      <w:r>
        <w:rPr/>
        <w:t>如果修改增加了所授予的权益工具的公允价值，公司按照权益工具公允价值的增加相应地确认取得服务的增加；如果</w:t>
      </w:r>
    </w:p>
    <w:p>
      <w:pPr>
        <w:pStyle w:val="BodyText"/>
        <w:spacing w:line="316" w:lineRule="auto" w:before="31"/>
        <w:ind w:right="193"/>
        <w:jc w:val="both"/>
      </w:pPr>
      <w:r>
        <w:rPr>
          <w:spacing w:val="-2"/>
        </w:rPr>
        <w:t>修改增加了所授予的权益工具的数量，公司将增加的权益工具的公允价值相应地确认为取得服务的增加；如果公司按照有利</w:t>
      </w:r>
      <w:r>
        <w:rPr>
          <w:spacing w:val="-64"/>
        </w:rPr>
        <w:t> </w:t>
      </w:r>
      <w:r>
        <w:rPr>
          <w:spacing w:val="-64"/>
        </w:rPr>
      </w:r>
      <w:r>
        <w:rPr/>
        <w:t>于职工的方式修改可行权条件，公司在处理可行权条件时，考虑修改后的可行权条件。</w:t>
      </w:r>
    </w:p>
    <w:p>
      <w:pPr>
        <w:pStyle w:val="BodyText"/>
        <w:spacing w:line="316" w:lineRule="auto" w:before="19"/>
        <w:ind w:right="193" w:firstLine="420"/>
        <w:jc w:val="both"/>
      </w:pPr>
      <w:r>
        <w:rPr>
          <w:spacing w:val="-3"/>
        </w:rPr>
        <w:t>如果修改减少了授予的权益工具的公允价值，公司继续以权益工具在授予日的公允价值为基础，确认取得服务的金额，</w:t>
      </w:r>
      <w:r>
        <w:rPr/>
        <w:t>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16" w:lineRule="auto" w:before="19"/>
        <w:ind w:right="195" w:firstLine="420"/>
        <w:jc w:val="both"/>
      </w:pPr>
      <w:r>
        <w:rPr>
          <w:spacing w:val="-3"/>
        </w:rPr>
        <w:t>如果公司在等待期内取消了所授予的权益工具或结算了所授予的权益工具（因未满足可行权条件而被取消的除外），则</w:t>
      </w:r>
      <w:r>
        <w:rPr/>
        <w:t> 将取消或结算作为加速可行权处理，立即确认原本在剩余等待期内确认的金额。</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22</w:t>
      </w:r>
      <w:r>
        <w:rPr/>
        <w:t>、收入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54"/>
        <w:jc w:val="left"/>
      </w:pPr>
      <w:r>
        <w:rPr/>
        <w:t>公司是否需要遵守特殊行业的披露要求 否</w:t>
      </w:r>
    </w:p>
    <w:p>
      <w:pPr>
        <w:pStyle w:val="BodyText"/>
        <w:spacing w:line="240" w:lineRule="auto" w:before="25"/>
        <w:ind w:left="573" w:right="9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收入确认原则</w:t>
      </w:r>
    </w:p>
    <w:p>
      <w:pPr>
        <w:pStyle w:val="BodyText"/>
        <w:spacing w:line="240" w:lineRule="auto" w:before="63"/>
        <w:ind w:left="573" w:right="9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销售商品</w:t>
      </w:r>
    </w:p>
    <w:p>
      <w:pPr>
        <w:pStyle w:val="BodyText"/>
        <w:spacing w:line="300" w:lineRule="auto" w:before="63"/>
        <w:ind w:right="188" w:firstLine="42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相关的已发生或将发生的成本能够可靠地计量。</w:t>
      </w:r>
    </w:p>
    <w:p>
      <w:pPr>
        <w:pStyle w:val="BodyText"/>
        <w:spacing w:line="240" w:lineRule="auto" w:before="13"/>
        <w:ind w:left="573" w:right="94"/>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提供劳务</w:t>
      </w:r>
    </w:p>
    <w:p>
      <w:pPr>
        <w:spacing w:after="0" w:line="240" w:lineRule="auto"/>
        <w:jc w:val="left"/>
        <w:sectPr>
          <w:footerReference w:type="default" r:id="rId25"/>
          <w:pgSz w:w="11910" w:h="16840"/>
          <w:pgMar w:footer="979" w:header="745" w:top="1060" w:bottom="1160" w:left="980" w:right="940"/>
          <w:pgNumType w:start="120"/>
        </w:sectPr>
      </w:pPr>
    </w:p>
    <w:p>
      <w:pPr>
        <w:spacing w:line="240" w:lineRule="auto" w:before="10"/>
        <w:rPr>
          <w:rFonts w:ascii="宋体" w:hAnsi="宋体" w:cs="宋体" w:eastAsia="宋体" w:hint="default"/>
          <w:sz w:val="25"/>
          <w:szCs w:val="25"/>
        </w:rPr>
      </w:pPr>
    </w:p>
    <w:p>
      <w:pPr>
        <w:pStyle w:val="BodyText"/>
        <w:spacing w:line="316" w:lineRule="auto" w:before="44"/>
        <w:ind w:right="148" w:firstLine="420"/>
        <w:jc w:val="both"/>
      </w:pPr>
      <w:r>
        <w:rPr/>
        <w:t>提供劳务交易的结果在资产负债表日能够可靠估计的（同时满足收入的金额能够可靠地计量、相关经济利益很可能流 </w:t>
      </w:r>
      <w:r>
        <w:rPr>
          <w:spacing w:val="-2"/>
        </w:rPr>
        <w:t>入、交易的完工进度能够可靠地确定、交易中已发生和将发生的成本能够可靠地计量），采用完工百分比法确认提供劳务的</w:t>
      </w:r>
      <w:r>
        <w:rPr>
          <w:spacing w:val="-65"/>
        </w:rPr>
        <w:t> </w:t>
      </w:r>
      <w:r>
        <w:rPr>
          <w:spacing w:val="-65"/>
        </w:rPr>
      </w:r>
      <w:r>
        <w:rPr>
          <w:spacing w:val="-2"/>
        </w:rPr>
        <w:t>收入，并按已经提供劳务占应提供劳务总量的比例确定提供劳务交易的完工进度。提供劳务交易的结果在资产负债表日不能</w:t>
      </w:r>
      <w:r>
        <w:rPr>
          <w:spacing w:val="-64"/>
        </w:rPr>
        <w:t> </w:t>
      </w:r>
      <w:r>
        <w:rPr>
          <w:spacing w:val="-64"/>
        </w:rPr>
      </w:r>
      <w:r>
        <w:rPr>
          <w:spacing w:val="-2"/>
        </w:rPr>
        <w:t>够可靠估计的，若已经发生的劳务成本预计能够得到补偿，按已经发生的劳务成本金额确认提供劳务收入，并按相同金额结</w:t>
      </w:r>
      <w:r>
        <w:rPr>
          <w:spacing w:val="-61"/>
        </w:rPr>
        <w:t> </w:t>
      </w:r>
      <w:r>
        <w:rPr>
          <w:spacing w:val="-61"/>
        </w:rPr>
      </w:r>
      <w:r>
        <w:rPr/>
        <w:t>转劳务成本；若已经发生的劳务成本预计不能够得到补偿，将已经发生的劳务成本计入当期损益，不确认劳务收入。</w:t>
      </w:r>
    </w:p>
    <w:p>
      <w:pPr>
        <w:pStyle w:val="BodyText"/>
        <w:spacing w:line="300" w:lineRule="auto" w:before="19"/>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让渡资产使用权</w:t>
      </w:r>
      <w:r>
        <w:rPr>
          <w:w w:val="99"/>
        </w:rPr>
        <w:t> </w:t>
      </w:r>
      <w:r>
        <w:rPr/>
        <w:t>让渡资产使用权在同时满足相关的经济利益很可能流入、收入金额能够可靠计量时，确认让渡资产使用权的收入。利</w:t>
      </w:r>
    </w:p>
    <w:p>
      <w:pPr>
        <w:pStyle w:val="BodyText"/>
        <w:spacing w:line="316" w:lineRule="auto" w:before="31"/>
        <w:ind w:right="0"/>
        <w:jc w:val="left"/>
      </w:pPr>
      <w:r>
        <w:rPr/>
        <w:t>息收入按照他人使用本公司货币资金的时间和实际利率计算确定；使用费收入按有关合同或协议约定的收费时间和方法计</w:t>
      </w:r>
      <w:r>
        <w:rPr>
          <w:spacing w:val="-11"/>
        </w:rPr>
        <w:t> </w:t>
      </w:r>
      <w:r>
        <w:rPr>
          <w:spacing w:val="-11"/>
        </w:rPr>
      </w:r>
      <w:r>
        <w:rPr/>
        <w:t>算确定。</w:t>
      </w:r>
    </w:p>
    <w:p>
      <w:pPr>
        <w:pStyle w:val="BodyText"/>
        <w:spacing w:line="300" w:lineRule="auto" w:before="19"/>
        <w:ind w:left="573" w:right="3963" w:firstLine="9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收入确认的具体方法 公司主要产品为医疗卫生信息化应用软件、系统集成和</w:t>
      </w:r>
      <w:r>
        <w:rPr>
          <w:rFonts w:ascii="Times New Roman" w:hAnsi="Times New Roman" w:cs="Times New Roman" w:eastAsia="Times New Roman" w:hint="default"/>
        </w:rPr>
        <w:t>IT</w:t>
      </w:r>
      <w:r>
        <w:rPr/>
        <w:t>运维服务。 </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医疗卫生信息化应用软件业务</w:t>
      </w:r>
    </w:p>
    <w:p>
      <w:pPr>
        <w:pStyle w:val="BodyText"/>
        <w:spacing w:line="316" w:lineRule="auto" w:before="13"/>
        <w:ind w:right="150" w:firstLine="420"/>
        <w:jc w:val="both"/>
      </w:pPr>
      <w:r>
        <w:rPr/>
        <w:t>医疗卫生信息化应用软件业务主要包括医院信息化应用软件和公共卫生信息化应用软件产品的开发与销售，在同时满 </w:t>
      </w:r>
      <w:r>
        <w:rPr>
          <w:spacing w:val="-2"/>
        </w:rPr>
        <w:t>足收入的金额能够可靠计量、相关经济利益很可能流入、交易的完工进度能够可靠确定、交易中已发生和将发生的成本能够</w:t>
      </w:r>
      <w:r>
        <w:rPr>
          <w:spacing w:val="-63"/>
        </w:rPr>
        <w:t> </w:t>
      </w:r>
      <w:r>
        <w:rPr>
          <w:spacing w:val="-63"/>
        </w:rPr>
      </w:r>
      <w:r>
        <w:rPr/>
        <w:t>可靠计量的前提下，采用完工百分比法确认收入。</w:t>
      </w:r>
    </w:p>
    <w:p>
      <w:pPr>
        <w:pStyle w:val="BodyText"/>
        <w:spacing w:line="300" w:lineRule="auto" w:before="19"/>
        <w:ind w:left="573" w:right="0"/>
        <w:jc w:val="left"/>
      </w:pPr>
      <w:r>
        <w:rPr>
          <w:rFonts w:ascii="Times New Roman" w:hAnsi="Times New Roman" w:cs="Times New Roman" w:eastAsia="Times New Roman" w:hint="default"/>
        </w:rPr>
        <w:t>(2) </w:t>
      </w:r>
      <w:r>
        <w:rPr/>
        <w:t>计算机信息设备系统集成业务和智能化网络布线工程集成业务</w:t>
      </w:r>
      <w:r>
        <w:rPr>
          <w:w w:val="99"/>
        </w:rPr>
        <w:t> </w:t>
      </w:r>
      <w:r>
        <w:rPr/>
        <w:t>计算机信息设备系统集成业务在同时满足商品所有权上的主要风险和报酬转移给购货方、公司不再保留通常与所有权</w:t>
      </w:r>
    </w:p>
    <w:p>
      <w:pPr>
        <w:pStyle w:val="BodyText"/>
        <w:spacing w:line="316" w:lineRule="auto" w:before="31"/>
        <w:ind w:right="0"/>
        <w:jc w:val="left"/>
      </w:pPr>
      <w:r>
        <w:rPr>
          <w:spacing w:val="-2"/>
        </w:rPr>
        <w:t>相联系的继续管理权，也不再对已售出的商品实施有效控制、收入的金额能够可靠地计量、相关的经济利益很可能流入、相</w:t>
      </w:r>
      <w:r>
        <w:rPr>
          <w:spacing w:val="-62"/>
        </w:rPr>
        <w:t> </w:t>
      </w:r>
      <w:r>
        <w:rPr>
          <w:spacing w:val="-62"/>
        </w:rPr>
      </w:r>
      <w:r>
        <w:rPr/>
        <w:t>关的已发生或将发生的成本能够可靠地计量时，于整个项目最终验收完成时一次性确认收入。</w:t>
      </w:r>
    </w:p>
    <w:p>
      <w:pPr>
        <w:pStyle w:val="BodyText"/>
        <w:spacing w:line="316" w:lineRule="auto" w:before="19"/>
        <w:ind w:right="158" w:firstLine="420"/>
        <w:jc w:val="both"/>
      </w:pPr>
      <w:r>
        <w:rPr/>
        <w:t>智能化网络布线工程集成业务在同时满足收入金额能够可靠计量、相关经济利益很可能流入、交易的完工进度能够可 靠确定、交易中已发生和将发生的成本能够可靠计量的前提下，采用完工百分比法确认收入。</w:t>
      </w:r>
    </w:p>
    <w:p>
      <w:pPr>
        <w:pStyle w:val="BodyText"/>
        <w:spacing w:line="240" w:lineRule="auto" w:before="19"/>
        <w:ind w:left="573" w:right="0"/>
        <w:jc w:val="left"/>
      </w:pPr>
      <w:r>
        <w:rPr>
          <w:rFonts w:ascii="Times New Roman" w:hAnsi="Times New Roman" w:cs="Times New Roman" w:eastAsia="Times New Roman" w:hint="default"/>
        </w:rPr>
        <w:t>(3) IT</w:t>
      </w:r>
      <w:r>
        <w:rPr>
          <w:rFonts w:ascii="Times New Roman" w:hAnsi="Times New Roman" w:cs="Times New Roman" w:eastAsia="Times New Roman" w:hint="default"/>
          <w:spacing w:val="43"/>
        </w:rPr>
        <w:t> </w:t>
      </w:r>
      <w:r>
        <w:rPr/>
        <w:t>运维服务</w:t>
      </w:r>
    </w:p>
    <w:p>
      <w:pPr>
        <w:pStyle w:val="BodyText"/>
        <w:spacing w:line="300" w:lineRule="auto" w:before="63"/>
        <w:ind w:right="150" w:firstLine="420"/>
        <w:jc w:val="both"/>
      </w:pP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运维服务在同时满足相关劳务已经提供、收入的金额能够可靠计量、相关经济利益很可能流入、交易中已发生和将</w:t>
      </w:r>
      <w:r>
        <w:rPr>
          <w:w w:val="99"/>
        </w:rPr>
        <w:t> </w:t>
      </w:r>
      <w:r>
        <w:rPr/>
        <w:t>发生的成本能够可靠计量的前提下，在服务期限内平均摊销确认收入。</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150" w:firstLine="420"/>
        <w:jc w:val="both"/>
      </w:pPr>
      <w:r>
        <w:rPr>
          <w:spacing w:val="-3"/>
        </w:rPr>
        <w:t>公司取得的、用于购建或以其他方式形成长期资产的政府补助划分为与资产相关的政府补助。与资产相关的政府补助，</w:t>
      </w:r>
      <w:r>
        <w:rPr/>
        <w:t> </w:t>
      </w:r>
      <w:r>
        <w:rPr>
          <w:spacing w:val="-2"/>
        </w:rPr>
        <w:t>冲减相关资产的账面价值或确认为递延收益。与资产相关补助确认为递延收益的，在相关资产使用寿命内按照合理、系统的</w:t>
      </w:r>
      <w:r>
        <w:rPr>
          <w:spacing w:val="-63"/>
        </w:rPr>
        <w:t> </w:t>
      </w:r>
      <w:r>
        <w:rPr>
          <w:spacing w:val="-63"/>
        </w:rPr>
      </w:r>
      <w:r>
        <w:rPr>
          <w:spacing w:val="-2"/>
        </w:rPr>
        <w:t>方法分期计入损益。按照名义金额计量的政府补助，直接计入当期损益。相关资产在使用寿命结束前被出售、转让、报废或</w:t>
      </w:r>
      <w:r>
        <w:rPr>
          <w:spacing w:val="-67"/>
        </w:rPr>
        <w:t> </w:t>
      </w:r>
      <w:r>
        <w:rPr>
          <w:spacing w:val="-67"/>
        </w:rPr>
      </w:r>
      <w:r>
        <w:rPr/>
        <w:t>发生毁损的，将尚未分配的相关递延收益余额转入资产处置当期的损益。</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1" w:firstLine="420"/>
        <w:jc w:val="both"/>
      </w:pPr>
      <w:r>
        <w:rPr/>
        <w:t>除与资产相关的政府补助之外的政府补助划分为与收益相关的政府补助。对于同时包含与资产相关部分和与收益相关 </w:t>
      </w:r>
      <w:r>
        <w:rPr>
          <w:spacing w:val="-2"/>
        </w:rPr>
        <w:t>部分的政府补助，难以区分与资产相关或与收益相关的，整体归类为与收益相关的政府补助。与收益相关的政府补助，用于</w:t>
      </w:r>
      <w:r>
        <w:rPr>
          <w:spacing w:val="-64"/>
        </w:rPr>
        <w:t> </w:t>
      </w:r>
      <w:r>
        <w:rPr>
          <w:spacing w:val="-64"/>
        </w:rPr>
      </w:r>
      <w:r>
        <w:rPr>
          <w:spacing w:val="-2"/>
        </w:rPr>
        <w:t>补偿以后期间的相关成本费用或损失的，确认为递延收益，在确认相关成本费用或损失的期间，计入当期损益或冲减相关成</w:t>
      </w:r>
      <w:r>
        <w:rPr>
          <w:spacing w:val="-65"/>
        </w:rPr>
        <w:t> </w:t>
      </w:r>
      <w:r>
        <w:rPr>
          <w:spacing w:val="-65"/>
        </w:rPr>
      </w:r>
      <w:r>
        <w:rPr/>
        <w:t>本；用于补偿已发生的相关成本费用或损失的，直接计入当期损益或冲减相关成本。</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5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5"/>
        </w:rPr>
        <w:t> </w:t>
      </w:r>
      <w:r>
        <w:rPr>
          <w:spacing w:val="-65"/>
        </w:rPr>
      </w:r>
      <w:r>
        <w:rPr/>
        <w:t>或递延所得税负债。</w:t>
      </w:r>
    </w:p>
    <w:p>
      <w:pPr>
        <w:pStyle w:val="BodyText"/>
        <w:spacing w:line="300" w:lineRule="auto" w:before="24"/>
        <w:ind w:right="15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1"/>
        <w:ind w:right="15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00" w:lineRule="auto" w:before="31"/>
        <w:ind w:right="156" w:firstLine="420"/>
        <w:jc w:val="both"/>
      </w:pPr>
      <w:r>
        <w:rPr>
          <w:rFonts w:ascii="Times New Roman" w:hAnsi="Times New Roman" w:cs="Times New Roman" w:eastAsia="Times New Roman" w:hint="default"/>
        </w:rPr>
        <w:t>4. </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企业合 并；</w:t>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直接在所有者权益中确认的交易或者事项。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25</w:t>
      </w:r>
      <w:r>
        <w:rPr/>
        <w:t>、租赁</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5" w:firstLine="420"/>
        <w:jc w:val="both"/>
      </w:pPr>
      <w:r>
        <w:rPr>
          <w:spacing w:val="-3"/>
        </w:rPr>
        <w:t>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9"/>
        <w:ind w:right="158" w:firstLine="420"/>
        <w:jc w:val="both"/>
      </w:pPr>
      <w:r>
        <w:rPr/>
        <w:t>公司为出租人时，在租赁期内各个期间按照直线法将租金确认为当期损益，发生的初始直接费用，除金额较大的予以 资本化并分期计入损益外，均直接计入当期损益。或有租金在实际发生时计入当期损益。</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26</w:t>
      </w:r>
      <w:r>
        <w:rPr/>
        <w:t>、其他重要的会计政策和会计估计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0" w:firstLine="420"/>
        <w:jc w:val="both"/>
      </w:pPr>
      <w:r>
        <w:rPr/>
        <w:t>因减少注册资本或奖励职工等原因收购本公司股份的，按实际支付的金额作为库存股处理，同时进行备查登记。如果 将回购的股份注销，则将按注销股票面值和注销股数计算的股票面值总额与实际回购所支付的金额之间的差额冲减资本公</w:t>
      </w:r>
      <w:r>
        <w:rPr>
          <w:spacing w:val="-11"/>
        </w:rPr>
        <w:t> </w:t>
      </w:r>
      <w:r>
        <w:rPr>
          <w:spacing w:val="-11"/>
        </w:rPr>
      </w:r>
      <w:r>
        <w:rPr>
          <w:spacing w:val="-2"/>
        </w:rPr>
        <w:t>积，资本公积不足冲减的，冲减留存收益；如果将回购的股份奖励给本公司职工属于以权益结算的股份支付，于职工行权购</w:t>
      </w:r>
      <w:r>
        <w:rPr>
          <w:spacing w:val="-63"/>
        </w:rPr>
        <w:t> </w:t>
      </w:r>
      <w:r>
        <w:rPr>
          <w:spacing w:val="-63"/>
        </w:rPr>
      </w:r>
      <w:r>
        <w:rPr>
          <w:spacing w:val="-2"/>
        </w:rPr>
        <w:t>买本公司股份收到价款时，转销交付职工的库存股成本和等待期内资本公积（其他资本公积）累计金额，同时，按照其差额</w:t>
      </w:r>
      <w:r>
        <w:rPr>
          <w:spacing w:val="-65"/>
        </w:rPr>
        <w:t> </w:t>
      </w:r>
      <w:r>
        <w:rPr>
          <w:spacing w:val="-65"/>
        </w:rPr>
      </w:r>
      <w:r>
        <w:rPr>
          <w:spacing w:val="-8"/>
        </w:rPr>
        <w:t>调整资本公积（股本溢价）。</w:t>
      </w: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962"/>
        <w:gridCol w:w="1419"/>
        <w:gridCol w:w="3190"/>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日起执行财政部制定的《企业会计准则第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持有待售的非流动资产、处置组和终止经营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本次会计政策变更采用未来适用法处理</w:t>
            </w:r>
          </w:p>
        </w:tc>
      </w:tr>
      <w:tr>
        <w:trPr>
          <w:trHeight w:val="71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日起执行经修订的《企业会计准则第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本次会计政策变更采用未来适用法处理</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本公司编制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年度报表执行《财政部关于修订印发一般企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0"/>
              <w:jc w:val="center"/>
              <w:rPr>
                <w:rFonts w:ascii="宋体" w:hAnsi="宋体" w:cs="宋体" w:eastAsia="宋体" w:hint="default"/>
                <w:sz w:val="18"/>
                <w:szCs w:val="18"/>
              </w:rPr>
            </w:pPr>
            <w:r>
              <w:rPr>
                <w:rFonts w:ascii="宋体" w:hAnsi="宋体" w:cs="宋体" w:eastAsia="宋体" w:hint="default"/>
                <w:sz w:val="18"/>
                <w:szCs w:val="18"/>
              </w:rPr>
              <w:t>此项会计政策变更采用追溯调整法，对</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79" w:type="dxa"/>
        <w:tblLayout w:type="fixed"/>
        <w:tblCellMar>
          <w:top w:w="0" w:type="dxa"/>
          <w:left w:w="0" w:type="dxa"/>
          <w:bottom w:w="0" w:type="dxa"/>
          <w:right w:w="0" w:type="dxa"/>
        </w:tblCellMar>
        <w:tblLook w:val="01E0"/>
      </w:tblPr>
      <w:tblGrid>
        <w:gridCol w:w="4964"/>
        <w:gridCol w:w="1419"/>
        <w:gridCol w:w="3190"/>
      </w:tblGrid>
      <w:tr>
        <w:trPr>
          <w:trHeight w:val="987"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86"/>
              <w:jc w:val="left"/>
              <w:rPr>
                <w:rFonts w:ascii="宋体" w:hAnsi="宋体" w:cs="宋体" w:eastAsia="宋体" w:hint="default"/>
                <w:sz w:val="18"/>
                <w:szCs w:val="18"/>
              </w:rPr>
            </w:pPr>
            <w:r>
              <w:rPr>
                <w:rFonts w:ascii="宋体" w:hAnsi="宋体" w:cs="宋体" w:eastAsia="宋体" w:hint="default"/>
                <w:sz w:val="18"/>
                <w:szCs w:val="18"/>
              </w:rPr>
              <w:t>业财务报表格式的通知》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，将原列报于 </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的非流动资产处置利得和损失和 非货币性资产交换利得和损失变更为列报于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公司上期无影响。</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杭州美诺泰科科技有限公司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杭州惟勤科技有限公司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1025"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6"/>
              <w:jc w:val="both"/>
              <w:rPr>
                <w:rFonts w:ascii="宋体" w:hAnsi="宋体" w:cs="宋体" w:eastAsia="宋体" w:hint="default"/>
                <w:sz w:val="18"/>
                <w:szCs w:val="18"/>
              </w:rPr>
            </w:pPr>
            <w:r>
              <w:rPr>
                <w:rFonts w:ascii="宋体" w:hAnsi="宋体" w:cs="宋体" w:eastAsia="宋体" w:hint="default"/>
                <w:sz w:val="18"/>
                <w:szCs w:val="18"/>
              </w:rPr>
              <w:t>广东中拓信息技术有限公司、浙江创源环境科技股份有限公 司、杭州博泰信息技术服务有限公司和杭州梅清数码科技有 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1339"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6"/>
              <w:jc w:val="both"/>
              <w:rPr>
                <w:rFonts w:ascii="宋体" w:hAnsi="宋体" w:cs="宋体" w:eastAsia="宋体" w:hint="default"/>
                <w:sz w:val="18"/>
                <w:szCs w:val="18"/>
              </w:rPr>
            </w:pPr>
            <w:r>
              <w:rPr>
                <w:rFonts w:ascii="宋体" w:hAnsi="宋体" w:cs="宋体" w:eastAsia="宋体" w:hint="default"/>
                <w:sz w:val="18"/>
                <w:szCs w:val="18"/>
              </w:rPr>
              <w:t>新疆创什信息科技有限公司、苏州创业亿康信息科技有限公 司、重庆创易康软件有限公司、天津创津科技有限公司、创 业软件南京有限公司、中山市杭创科技有限公司和杭州合美 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5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spacing w:val="-6"/>
        </w:rPr>
        <w:t>根据财政部、国家税务总局《关于软件产品增值税政策的通知》（财税〔</w:t>
      </w:r>
      <w:r>
        <w:rPr>
          <w:rFonts w:ascii="Times New Roman" w:hAnsi="Times New Roman" w:cs="Times New Roman" w:eastAsia="Times New Roman" w:hint="default"/>
          <w:spacing w:val="-6"/>
        </w:rPr>
        <w:t>2011</w:t>
      </w:r>
      <w:r>
        <w:rPr>
          <w:spacing w:val="-6"/>
        </w:rPr>
        <w:t>〕</w:t>
      </w:r>
      <w:r>
        <w:rPr>
          <w:rFonts w:ascii="Times New Roman" w:hAnsi="Times New Roman" w:cs="Times New Roman" w:eastAsia="Times New Roman" w:hint="default"/>
          <w:spacing w:val="-6"/>
        </w:rPr>
        <w:t>100</w:t>
      </w:r>
      <w:r>
        <w:rPr>
          <w:spacing w:val="-6"/>
        </w:rPr>
        <w:t>号），本公司、杭州惟勤科技有限</w:t>
      </w:r>
      <w:r>
        <w:rPr/>
        <w:t> </w:t>
      </w:r>
      <w:r>
        <w:rPr>
          <w:spacing w:val="-2"/>
        </w:rPr>
        <w:t>公司、广东中拓信息技术有限公司、杭州博泰信息技术服务有限公司和杭州美诺泰科科技有限公司软件产品销售增值税实际</w:t>
      </w:r>
      <w:r>
        <w:rPr>
          <w:spacing w:val="-64"/>
        </w:rPr>
        <w:t> </w:t>
      </w:r>
      <w:r>
        <w:rPr>
          <w:spacing w:val="-64"/>
        </w:rPr>
      </w:r>
      <w:r>
        <w:rPr/>
        <w:t>税负超过</w:t>
      </w:r>
      <w:r>
        <w:rPr>
          <w:rFonts w:ascii="Times New Roman" w:hAnsi="Times New Roman" w:cs="Times New Roman" w:eastAsia="Times New Roman" w:hint="default"/>
        </w:rPr>
        <w:t>3%</w:t>
      </w:r>
      <w:r>
        <w:rPr/>
        <w:t>部分享受即征即退税收优惠政策。</w:t>
      </w:r>
    </w:p>
    <w:p>
      <w:pPr>
        <w:spacing w:after="0" w:line="30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9" w:lineRule="auto" w:before="44"/>
        <w:ind w:right="15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4"/>
        </w:rPr>
        <w:t>根据财政部、国家税务总局《关于全面推开营业税改征增值税试点的通知》（财税〔</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36</w:t>
      </w:r>
      <w:r>
        <w:rPr>
          <w:spacing w:val="-4"/>
        </w:rPr>
        <w:t>号）的规定，本公司、</w:t>
      </w:r>
      <w:r>
        <w:rPr/>
        <w:t> </w:t>
      </w:r>
      <w:r>
        <w:rPr>
          <w:spacing w:val="-2"/>
        </w:rPr>
        <w:t>创业软件南京有限公司和杭州美诺泰科科技有限公司从事技术转让、技术开发业务和与之相关的技术咨询、技术服务业务取</w:t>
      </w:r>
      <w:r>
        <w:rPr>
          <w:spacing w:val="-64"/>
        </w:rPr>
        <w:t> </w:t>
      </w:r>
      <w:r>
        <w:rPr>
          <w:spacing w:val="-64"/>
        </w:rPr>
      </w:r>
      <w:r>
        <w:rPr/>
        <w:t>得的收入免缴增值税。</w:t>
      </w:r>
    </w:p>
    <w:p>
      <w:pPr>
        <w:pStyle w:val="BodyText"/>
        <w:spacing w:line="240" w:lineRule="auto" w:before="24"/>
        <w:ind w:left="573" w:right="0"/>
        <w:jc w:val="left"/>
      </w:pP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根据财政</w:t>
      </w:r>
      <w:r>
        <w:rPr>
          <w:spacing w:val="-3"/>
        </w:rPr>
        <w:t>部</w:t>
      </w:r>
      <w:r>
        <w:rPr>
          <w:spacing w:val="-32"/>
        </w:rPr>
        <w:t>、</w:t>
      </w:r>
      <w:r>
        <w:rPr/>
        <w:t>国家税务总</w:t>
      </w:r>
      <w:r>
        <w:rPr>
          <w:spacing w:val="-34"/>
        </w:rPr>
        <w:t>局</w:t>
      </w:r>
      <w:r>
        <w:rPr/>
        <w:t>《关于进一步鼓励软件产业和集成电路产业发展企业所得税政策的通知</w:t>
      </w:r>
      <w:r>
        <w:rPr>
          <w:spacing w:val="-123"/>
        </w:rPr>
        <w:t>》</w:t>
      </w:r>
      <w:r>
        <w:rPr/>
        <w:t>（财税</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w:t>
      </w:r>
    </w:p>
    <w:p>
      <w:pPr>
        <w:pStyle w:val="BodyText"/>
        <w:spacing w:line="240" w:lineRule="auto" w:before="63"/>
        <w:ind w:right="0"/>
        <w:jc w:val="both"/>
      </w:pPr>
      <w:r>
        <w:rPr>
          <w:rFonts w:ascii="Times New Roman" w:hAnsi="Times New Roman" w:cs="Times New Roman" w:eastAsia="Times New Roman" w:hint="default"/>
        </w:rPr>
        <w:t>27</w:t>
      </w:r>
      <w:r>
        <w:rPr/>
        <w:t>号）的规定</w:t>
      </w:r>
      <w:r>
        <w:rPr>
          <w:rFonts w:ascii="Times New Roman" w:hAnsi="Times New Roman" w:cs="Times New Roman" w:eastAsia="Times New Roman" w:hint="default"/>
        </w:rPr>
        <w:t>,</w:t>
      </w:r>
      <w:r>
        <w:rPr/>
        <w:t>本公司为国家规划布局内重点软件企业，可减按</w:t>
      </w:r>
      <w:r>
        <w:rPr>
          <w:rFonts w:ascii="Times New Roman" w:hAnsi="Times New Roman" w:cs="Times New Roman" w:eastAsia="Times New Roman" w:hint="default"/>
        </w:rPr>
        <w:t>10%</w:t>
      </w:r>
      <w:r>
        <w:rPr/>
        <w:t>的税率计缴企业所得税。</w:t>
      </w:r>
    </w:p>
    <w:p>
      <w:pPr>
        <w:pStyle w:val="BodyText"/>
        <w:spacing w:line="240" w:lineRule="auto" w:before="63"/>
        <w:ind w:left="573" w:right="0"/>
        <w:jc w:val="left"/>
      </w:pPr>
      <w:r>
        <w:rPr>
          <w:rFonts w:ascii="Times New Roman" w:hAnsi="Times New Roman" w:cs="Times New Roman" w:eastAsia="Times New Roman" w:hint="default"/>
          <w:spacing w:val="1"/>
        </w:rPr>
        <w:t>4</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根据财政</w:t>
      </w:r>
      <w:r>
        <w:rPr>
          <w:spacing w:val="-3"/>
        </w:rPr>
        <w:t>部</w:t>
      </w:r>
      <w:r>
        <w:rPr>
          <w:spacing w:val="-32"/>
        </w:rPr>
        <w:t>、</w:t>
      </w:r>
      <w:r>
        <w:rPr/>
        <w:t>国家税务总</w:t>
      </w:r>
      <w:r>
        <w:rPr>
          <w:spacing w:val="-34"/>
        </w:rPr>
        <w:t>局</w:t>
      </w:r>
      <w:r>
        <w:rPr/>
        <w:t>《关于进一步鼓励软件产业和集成电路产业发展企业所得税政策的通知</w:t>
      </w:r>
      <w:r>
        <w:rPr>
          <w:spacing w:val="-123"/>
        </w:rPr>
        <w:t>》</w:t>
      </w:r>
      <w:r>
        <w:rPr/>
        <w:t>（财税</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w:t>
      </w:r>
    </w:p>
    <w:p>
      <w:pPr>
        <w:pStyle w:val="BodyText"/>
        <w:spacing w:line="300" w:lineRule="auto" w:before="63"/>
        <w:ind w:right="148"/>
        <w:jc w:val="both"/>
      </w:pPr>
      <w:r>
        <w:rPr>
          <w:rFonts w:ascii="Times New Roman" w:hAnsi="Times New Roman" w:cs="Times New Roman" w:eastAsia="Times New Roman" w:hint="default"/>
        </w:rPr>
        <w:t>27</w:t>
      </w:r>
      <w:r>
        <w:rPr/>
        <w:t>号）的规定</w:t>
      </w:r>
      <w:r>
        <w:rPr>
          <w:rFonts w:ascii="Times New Roman" w:hAnsi="Times New Roman" w:cs="Times New Roman" w:eastAsia="Times New Roman" w:hint="default"/>
        </w:rPr>
        <w:t>, </w:t>
      </w:r>
      <w:r>
        <w:rPr/>
        <w:t>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日前杭州惟勤科技有限公司和杭州美诺泰科科技有限公司自获利年度起享受企业所得税</w:t>
      </w:r>
      <w:r>
        <w:rPr>
          <w:rFonts w:ascii="Times New Roman" w:hAnsi="Times New Roman" w:cs="Times New Roman" w:eastAsia="Times New Roman" w:hint="default"/>
        </w:rPr>
        <w:t>“</w:t>
      </w:r>
      <w:r>
        <w:rPr/>
        <w:t>两</w:t>
      </w:r>
      <w:r>
        <w:rPr>
          <w:spacing w:val="-80"/>
        </w:rPr>
        <w:t> </w:t>
      </w:r>
      <w:r>
        <w:rPr/>
        <w:t>免三减半</w:t>
      </w:r>
      <w:r>
        <w:rPr>
          <w:rFonts w:ascii="Times New Roman" w:hAnsi="Times New Roman" w:cs="Times New Roman" w:eastAsia="Times New Roman" w:hint="default"/>
        </w:rPr>
        <w:t>”</w:t>
      </w:r>
      <w:r>
        <w:rPr/>
        <w:t>的优惠政策。因杭州惟勤科技有限公司</w:t>
      </w:r>
      <w:r>
        <w:rPr>
          <w:rFonts w:ascii="Times New Roman" w:hAnsi="Times New Roman" w:cs="Times New Roman" w:eastAsia="Times New Roman" w:hint="default"/>
        </w:rPr>
        <w:t>2015</w:t>
      </w:r>
      <w:r>
        <w:rPr/>
        <w:t>年度开始获利，故</w:t>
      </w:r>
      <w:r>
        <w:rPr>
          <w:rFonts w:ascii="Times New Roman" w:hAnsi="Times New Roman" w:cs="Times New Roman" w:eastAsia="Times New Roman" w:hint="default"/>
        </w:rPr>
        <w:t>2017</w:t>
      </w:r>
      <w:r>
        <w:rPr/>
        <w:t>年度减半征收企业所得税；因杭州美诺泰科科</w:t>
      </w:r>
      <w:r>
        <w:rPr>
          <w:spacing w:val="-75"/>
        </w:rPr>
        <w:t> </w:t>
      </w:r>
      <w:r>
        <w:rPr>
          <w:spacing w:val="-75"/>
        </w:rPr>
      </w:r>
      <w:r>
        <w:rPr/>
        <w:t>技有限公司</w:t>
      </w:r>
      <w:r>
        <w:rPr>
          <w:rFonts w:ascii="Times New Roman" w:hAnsi="Times New Roman" w:cs="Times New Roman" w:eastAsia="Times New Roman" w:hint="default"/>
        </w:rPr>
        <w:t>2016</w:t>
      </w:r>
      <w:r>
        <w:rPr/>
        <w:t>年度开始获利，故</w:t>
      </w:r>
      <w:r>
        <w:rPr>
          <w:rFonts w:ascii="Times New Roman" w:hAnsi="Times New Roman" w:cs="Times New Roman" w:eastAsia="Times New Roman" w:hint="default"/>
        </w:rPr>
        <w:t>2017</w:t>
      </w:r>
      <w:r>
        <w:rPr/>
        <w:t>年度免征企业所得税。</w:t>
      </w:r>
    </w:p>
    <w:p>
      <w:pPr>
        <w:pStyle w:val="BodyText"/>
        <w:spacing w:line="240" w:lineRule="auto" w:before="13"/>
        <w:ind w:left="573" w:right="0"/>
        <w:jc w:val="left"/>
      </w:pPr>
      <w:r>
        <w:rPr>
          <w:rFonts w:ascii="Times New Roman" w:hAnsi="Times New Roman" w:cs="Times New Roman" w:eastAsia="Times New Roman" w:hint="default"/>
          <w:spacing w:val="1"/>
        </w:rPr>
        <w:t>5</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根据</w:t>
      </w:r>
      <w:r>
        <w:rPr>
          <w:spacing w:val="-1"/>
        </w:rPr>
        <w:t>科</w:t>
      </w:r>
      <w:r>
        <w:rPr/>
        <w:t>学技术部火炬高技</w:t>
      </w:r>
      <w:r>
        <w:rPr>
          <w:spacing w:val="-3"/>
        </w:rPr>
        <w:t>术</w:t>
      </w:r>
      <w:r>
        <w:rPr/>
        <w:t>产业开发中</w:t>
      </w:r>
      <w:r>
        <w:rPr>
          <w:spacing w:val="-32"/>
        </w:rPr>
        <w:t>心</w:t>
      </w:r>
      <w:r>
        <w:rPr/>
        <w:t>《关于浙江省</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spacing w:val="1"/>
        </w:rPr>
        <w:t>7</w:t>
      </w:r>
      <w:r>
        <w:rPr/>
        <w:t>年第一批高新技术企业备案的复函</w:t>
      </w:r>
      <w:r>
        <w:rPr>
          <w:spacing w:val="-123"/>
        </w:rPr>
        <w:t>》</w:t>
      </w:r>
      <w:r>
        <w:rPr/>
        <w:t>（国科火</w:t>
      </w:r>
      <w:r>
        <w:rPr>
          <w:spacing w:val="-32"/>
        </w:rPr>
        <w:t>字</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17</w:t>
      </w:r>
      <w:r>
        <w:rPr/>
        <w:t>〕</w:t>
      </w:r>
    </w:p>
    <w:p>
      <w:pPr>
        <w:pStyle w:val="BodyText"/>
        <w:spacing w:line="300" w:lineRule="auto" w:before="63"/>
        <w:ind w:right="152"/>
        <w:jc w:val="both"/>
      </w:pPr>
      <w:r>
        <w:rPr>
          <w:rFonts w:ascii="Times New Roman" w:hAnsi="Times New Roman" w:cs="Times New Roman" w:eastAsia="Times New Roman" w:hint="default"/>
          <w:spacing w:val="-4"/>
        </w:rPr>
        <w:t>201</w:t>
      </w:r>
      <w:r>
        <w:rPr>
          <w:spacing w:val="-4"/>
        </w:rPr>
        <w:t>号），浙江创源环境科技股份有限公司、杭州博泰信息技术服务有限公司和杭州梅清数码科技有限公司被评定为高新技术</w:t>
      </w:r>
      <w:r>
        <w:rPr>
          <w:spacing w:val="-40"/>
        </w:rPr>
        <w:t> </w:t>
      </w:r>
      <w:r>
        <w:rPr>
          <w:spacing w:val="-40"/>
        </w:rPr>
      </w:r>
      <w:r>
        <w:rPr/>
        <w:t>企业，故减按</w:t>
      </w:r>
      <w:r>
        <w:rPr>
          <w:rFonts w:ascii="Times New Roman" w:hAnsi="Times New Roman" w:cs="Times New Roman" w:eastAsia="Times New Roman" w:hint="default"/>
        </w:rPr>
        <w:t>15%</w:t>
      </w:r>
      <w:r>
        <w:rPr/>
        <w:t>的税率计缴。</w:t>
      </w:r>
    </w:p>
    <w:p>
      <w:pPr>
        <w:pStyle w:val="BodyText"/>
        <w:spacing w:line="300" w:lineRule="auto" w:before="13"/>
        <w:ind w:right="148" w:firstLine="42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38"/>
        </w:rPr>
        <w:t> </w:t>
      </w:r>
      <w:r>
        <w:rPr/>
        <w:t>根据广东省科学技术厅、广东省财政厅、广东省国家税务局和广东省地方税务局《关于公布广东省</w:t>
      </w:r>
      <w:r>
        <w:rPr>
          <w:rFonts w:ascii="Times New Roman" w:hAnsi="Times New Roman" w:cs="Times New Roman" w:eastAsia="Times New Roman" w:hint="default"/>
        </w:rPr>
        <w:t>2015</w:t>
      </w:r>
      <w:r>
        <w:rPr/>
        <w:t>年高新技术 </w:t>
      </w:r>
      <w:r>
        <w:rPr>
          <w:spacing w:val="-5"/>
        </w:rPr>
        <w:t>企业名单的通知》（粤科高字〔</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17</w:t>
      </w:r>
      <w:r>
        <w:rPr>
          <w:spacing w:val="-5"/>
        </w:rPr>
        <w:t>号），广东中拓信息技术有限公司被评定为高新技术企业，故</w:t>
      </w:r>
      <w:r>
        <w:rPr>
          <w:rFonts w:ascii="Times New Roman" w:hAnsi="Times New Roman" w:cs="Times New Roman" w:eastAsia="Times New Roman" w:hint="default"/>
          <w:spacing w:val="-5"/>
        </w:rPr>
        <w:t>2017</w:t>
      </w:r>
      <w:r>
        <w:rPr>
          <w:spacing w:val="-5"/>
        </w:rPr>
        <w:t>年企业所得税减按</w:t>
      </w:r>
      <w:r>
        <w:rPr>
          <w:spacing w:val="-57"/>
        </w:rPr>
        <w:t> </w:t>
      </w:r>
      <w:r>
        <w:rPr>
          <w:spacing w:val="-57"/>
        </w:rPr>
      </w:r>
      <w:r>
        <w:rPr>
          <w:rFonts w:ascii="Times New Roman" w:hAnsi="Times New Roman" w:cs="Times New Roman" w:eastAsia="Times New Roman" w:hint="default"/>
        </w:rPr>
        <w:t>15%</w:t>
      </w:r>
      <w:r>
        <w:rPr/>
        <w:t>的税率计缴。</w:t>
      </w:r>
    </w:p>
    <w:p>
      <w:pPr>
        <w:pStyle w:val="BodyText"/>
        <w:spacing w:line="307" w:lineRule="auto" w:before="13"/>
        <w:ind w:right="151"/>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spacing w:val="-6"/>
        </w:rPr>
        <w:t>根据财政部、国家税务总局《关于小型微利企业所得税优惠政策有关问题的通知》（财税〔</w:t>
      </w:r>
      <w:r>
        <w:rPr>
          <w:rFonts w:ascii="Times New Roman" w:hAnsi="Times New Roman" w:cs="Times New Roman" w:eastAsia="Times New Roman" w:hint="default"/>
          <w:spacing w:val="-6"/>
        </w:rPr>
        <w:t>2015</w:t>
      </w:r>
      <w:r>
        <w:rPr>
          <w:spacing w:val="-6"/>
        </w:rPr>
        <w:t>〕</w:t>
      </w:r>
      <w:r>
        <w:rPr>
          <w:rFonts w:ascii="Times New Roman" w:hAnsi="Times New Roman" w:cs="Times New Roman" w:eastAsia="Times New Roman" w:hint="default"/>
          <w:spacing w:val="-6"/>
        </w:rPr>
        <w:t>34</w:t>
      </w:r>
      <w:r>
        <w:rPr>
          <w:spacing w:val="-6"/>
        </w:rPr>
        <w:t>号），子公司新疆创什</w:t>
      </w:r>
      <w:r>
        <w:rPr>
          <w:spacing w:val="-87"/>
        </w:rPr>
        <w:t> </w:t>
      </w:r>
      <w:r>
        <w:rPr>
          <w:spacing w:val="-87"/>
        </w:rPr>
      </w:r>
      <w:r>
        <w:rPr>
          <w:spacing w:val="-2"/>
        </w:rPr>
        <w:t>信息科技有限公司、苏州创业亿康信息科技有限公司、重庆创易康软件有限公司、天津创津科技有限公司、创业软件南京有</w:t>
      </w:r>
      <w:r>
        <w:rPr>
          <w:spacing w:val="-65"/>
        </w:rPr>
        <w:t> </w:t>
      </w:r>
      <w:r>
        <w:rPr>
          <w:spacing w:val="-65"/>
        </w:rPr>
      </w:r>
      <w:r>
        <w:rPr>
          <w:spacing w:val="-1"/>
        </w:rPr>
        <w:t>限公司、中山市杭创科技有限公司和杭州合美物业管理有限公司符合小型微利企业条件，</w:t>
      </w:r>
      <w:r>
        <w:rPr>
          <w:rFonts w:ascii="Times New Roman" w:hAnsi="Times New Roman" w:cs="Times New Roman" w:eastAsia="Times New Roman" w:hint="default"/>
          <w:spacing w:val="-1"/>
        </w:rPr>
        <w:t>2017</w:t>
      </w:r>
      <w:r>
        <w:rPr>
          <w:spacing w:val="-1"/>
        </w:rPr>
        <w:t>年度企业所得减按</w:t>
      </w:r>
      <w:r>
        <w:rPr>
          <w:rFonts w:ascii="Times New Roman" w:hAnsi="Times New Roman" w:cs="Times New Roman" w:eastAsia="Times New Roman" w:hint="default"/>
          <w:spacing w:val="-1"/>
        </w:rPr>
        <w:t>50%</w:t>
      </w:r>
      <w:r>
        <w:rPr>
          <w:spacing w:val="-1"/>
        </w:rPr>
        <w:t>计入应</w:t>
      </w:r>
      <w:r>
        <w:rPr>
          <w:spacing w:val="-86"/>
        </w:rPr>
        <w:t> </w:t>
      </w:r>
      <w:r>
        <w:rPr>
          <w:spacing w:val="-86"/>
        </w:rPr>
      </w:r>
      <w:r>
        <w:rPr/>
        <w:t>纳税所得额，并按</w:t>
      </w:r>
      <w:r>
        <w:rPr>
          <w:rFonts w:ascii="Times New Roman" w:hAnsi="Times New Roman" w:cs="Times New Roman" w:eastAsia="Times New Roman" w:hint="default"/>
        </w:rPr>
        <w:t>20%</w:t>
      </w:r>
      <w:r>
        <w:rPr/>
        <w:t>的税率缴纳企业所得税。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line="376" w:lineRule="auto" w:before="0"/>
        <w:ind w:left="152" w:right="68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pStyle w:val="BodyText"/>
        <w:spacing w:line="240" w:lineRule="auto" w:before="17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7"/>
        <w:gridCol w:w="3202"/>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130,869.17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100,289.56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360,157,416.61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317,682,356.88</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793,674.03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361,081,959.81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317,942,646.44</w:t>
            </w:r>
          </w:p>
        </w:tc>
      </w:tr>
    </w:tbl>
    <w:p>
      <w:pPr>
        <w:pStyle w:val="BodyText"/>
        <w:spacing w:line="240" w:lineRule="auto" w:before="49"/>
        <w:ind w:right="0"/>
        <w:jc w:val="left"/>
      </w:pPr>
      <w:r>
        <w:rPr/>
        <w:t>其他说明</w:t>
      </w:r>
    </w:p>
    <w:p>
      <w:pPr>
        <w:pStyle w:val="BodyText"/>
        <w:spacing w:line="300" w:lineRule="auto" w:before="115"/>
        <w:ind w:right="0" w:firstLine="420"/>
        <w:jc w:val="left"/>
      </w:pPr>
      <w:r>
        <w:rPr>
          <w:spacing w:val="-2"/>
        </w:rPr>
        <w:t>期末，其他货币资金中有银行承兑汇票保证金</w:t>
      </w:r>
      <w:r>
        <w:rPr>
          <w:rFonts w:ascii="Times New Roman" w:hAnsi="Times New Roman" w:cs="Times New Roman" w:eastAsia="Times New Roman" w:hint="default"/>
          <w:spacing w:val="-2"/>
        </w:rPr>
        <w:t>188,679.10</w:t>
      </w:r>
      <w:r>
        <w:rPr>
          <w:spacing w:val="-2"/>
        </w:rPr>
        <w:t>元、保函保证金</w:t>
      </w:r>
      <w:r>
        <w:rPr>
          <w:rFonts w:ascii="Times New Roman" w:hAnsi="Times New Roman" w:cs="Times New Roman" w:eastAsia="Times New Roman" w:hint="default"/>
          <w:spacing w:val="-2"/>
        </w:rPr>
        <w:t>604,800.00</w:t>
      </w:r>
      <w:r>
        <w:rPr>
          <w:spacing w:val="-2"/>
        </w:rPr>
        <w:t>元和其他存款</w:t>
      </w:r>
      <w:r>
        <w:rPr>
          <w:rFonts w:ascii="Times New Roman" w:hAnsi="Times New Roman" w:cs="Times New Roman" w:eastAsia="Times New Roman" w:hint="default"/>
          <w:spacing w:val="-2"/>
        </w:rPr>
        <w:t>194.93</w:t>
      </w:r>
      <w:r>
        <w:rPr>
          <w:spacing w:val="-2"/>
        </w:rPr>
        <w:t>元。上述款项使</w:t>
      </w:r>
      <w:r>
        <w:rPr/>
        <w:t> 用受限。</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3167"/>
        <w:gridCol w:w="3202"/>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2,411,984.51</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3,501,984.51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5"/>
        <w:gridCol w:w="4783"/>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79"/>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5"/>
        <w:gridCol w:w="4783"/>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611"/>
        <w:gridCol w:w="775"/>
        <w:gridCol w:w="761"/>
        <w:gridCol w:w="763"/>
        <w:gridCol w:w="761"/>
        <w:gridCol w:w="790"/>
        <w:gridCol w:w="655"/>
        <w:gridCol w:w="761"/>
        <w:gridCol w:w="814"/>
        <w:gridCol w:w="932"/>
        <w:gridCol w:w="934"/>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517,720,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957.83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70,046,0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447,674,8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75.18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363,909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,873.60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50,939,00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312,970,86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7.07</w:t>
            </w:r>
          </w:p>
        </w:tc>
      </w:tr>
      <w:tr>
        <w:trPr>
          <w:trHeight w:val="102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709,033.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709,033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709,033.6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0"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518,429,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991.48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70,755,1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16.30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13.67%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447,674,8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75.18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364,618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,907.25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51,648,04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14.16%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312,970,86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7.07</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10"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期末单项金额重大并单项计提坏账准备的应收账款：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6"/>
          <w:pgSz w:w="11910" w:h="16840"/>
          <w:pgMar w:footer="979" w:header="745" w:top="1060" w:bottom="1160" w:left="980" w:right="980"/>
          <w:pgNumType w:start="126"/>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362,583,808.16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18,129,190.41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362,583,808.16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18,129,190.41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74,147,720.84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14,829,544.17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41,423,735.58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12,427,120.67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29,810,931.71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14,905,465.86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9,754,761.54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9,754,761.54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517,720,957.83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70,046,082.65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13.53%</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40" w:lineRule="auto" w:before="44"/>
        <w:ind w:right="-14"/>
        <w:jc w:val="left"/>
      </w:pPr>
      <w:r>
        <w:rPr/>
        <w:t>本期计提坏账准备金额</w:t>
      </w:r>
      <w:r>
        <w:rPr>
          <w:spacing w:val="-48"/>
        </w:rPr>
        <w:t> </w:t>
      </w:r>
      <w:r>
        <w:rPr>
          <w:rFonts w:ascii="Times New Roman" w:hAnsi="Times New Roman" w:cs="Times New Roman" w:eastAsia="Times New Roman" w:hint="default"/>
        </w:rPr>
        <w:t>18,661,289.46</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140" w:space="2689"/>
            <w:col w:w="1121"/>
          </w:cols>
        </w:sectPr>
      </w:pP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7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5"/>
        <w:gridCol w:w="4783"/>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5"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应收账款核销说明：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14"/>
        <w:jc w:val="left"/>
      </w:pPr>
      <w:r>
        <w:rPr/>
        <w:t>公司是否需要遵守特殊行业的披露要求 否</w:t>
      </w:r>
    </w:p>
    <w:p>
      <w:pPr>
        <w:spacing w:after="0" w:line="357"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0" w:firstLine="420"/>
        <w:jc w:val="left"/>
      </w:pPr>
      <w:r>
        <w:rPr>
          <w:spacing w:val="-1"/>
        </w:rPr>
        <w:t>期末余额前</w:t>
      </w:r>
      <w:r>
        <w:rPr>
          <w:rFonts w:ascii="Times New Roman" w:hAnsi="Times New Roman" w:cs="Times New Roman" w:eastAsia="Times New Roman" w:hint="default"/>
          <w:spacing w:val="-1"/>
        </w:rPr>
        <w:t>5</w:t>
      </w:r>
      <w:r>
        <w:rPr>
          <w:spacing w:val="-1"/>
        </w:rPr>
        <w:t>名的应收账款合计数为</w:t>
      </w:r>
      <w:r>
        <w:rPr>
          <w:rFonts w:ascii="Times New Roman" w:hAnsi="Times New Roman" w:cs="Times New Roman" w:eastAsia="Times New Roman" w:hint="default"/>
          <w:spacing w:val="-1"/>
        </w:rPr>
        <w:t>66,312,102.60</w:t>
      </w:r>
      <w:r>
        <w:rPr>
          <w:spacing w:val="-1"/>
        </w:rPr>
        <w:t>元，占应收账款期末余额合计数的比例为</w:t>
      </w:r>
      <w:r>
        <w:rPr>
          <w:rFonts w:ascii="Times New Roman" w:hAnsi="Times New Roman" w:cs="Times New Roman" w:eastAsia="Times New Roman" w:hint="default"/>
          <w:spacing w:val="-1"/>
        </w:rPr>
        <w:t>12.79%</w:t>
      </w:r>
      <w:r>
        <w:rPr>
          <w:spacing w:val="-1"/>
        </w:rPr>
        <w:t>，相应计提的坏账准</w:t>
      </w:r>
      <w:r>
        <w:rPr/>
        <w:t> 备合计数为</w:t>
      </w:r>
      <w:r>
        <w:rPr>
          <w:rFonts w:ascii="Times New Roman" w:hAnsi="Times New Roman" w:cs="Times New Roman" w:eastAsia="Times New Roman" w:hint="default"/>
        </w:rPr>
        <w:t>3,315,605.13</w:t>
      </w:r>
      <w:r>
        <w:rPr/>
        <w:t>元。</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7"/>
        <w:gridCol w:w="1916"/>
        <w:gridCol w:w="1913"/>
        <w:gridCol w:w="1916"/>
      </w:tblGrid>
      <w:tr>
        <w:trPr>
          <w:trHeight w:val="206" w:hRule="exact"/>
        </w:trPr>
        <w:tc>
          <w:tcPr>
            <w:tcW w:w="1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8"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15,221,188.47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10,141,508.79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87.90%</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846,289.83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979,456.14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903,619.72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308,856.34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r>
      <w:tr>
        <w:trPr>
          <w:trHeight w:val="404"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368,908.84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17,340,006.86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11,538,181.27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1644" w:firstLine="420"/>
        <w:jc w:val="left"/>
      </w:pPr>
      <w:r>
        <w:rPr/>
        <w:t>期末余额前</w:t>
      </w:r>
      <w:r>
        <w:rPr>
          <w:rFonts w:ascii="Times New Roman" w:hAnsi="Times New Roman" w:cs="Times New Roman" w:eastAsia="Times New Roman" w:hint="default"/>
        </w:rPr>
        <w:t>5</w:t>
      </w:r>
      <w:r>
        <w:rPr/>
        <w:t>名的预付款项合计数为</w:t>
      </w:r>
      <w:r>
        <w:rPr>
          <w:rFonts w:ascii="Times New Roman" w:hAnsi="Times New Roman" w:cs="Times New Roman" w:eastAsia="Times New Roman" w:hint="default"/>
        </w:rPr>
        <w:t>6,314,540.00</w:t>
      </w:r>
      <w:r>
        <w:rPr/>
        <w:t>元，占预付款项期末余额合计数的比例为</w:t>
      </w:r>
      <w:r>
        <w:rPr>
          <w:rFonts w:ascii="Times New Roman" w:hAnsi="Times New Roman" w:cs="Times New Roman" w:eastAsia="Times New Roman" w:hint="default"/>
        </w:rPr>
        <w:t>36.42%</w:t>
      </w:r>
      <w:r>
        <w:rPr/>
        <w:t>。 其他说明：</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623"/>
        <w:gridCol w:w="763"/>
        <w:gridCol w:w="761"/>
        <w:gridCol w:w="763"/>
        <w:gridCol w:w="761"/>
        <w:gridCol w:w="790"/>
        <w:gridCol w:w="655"/>
        <w:gridCol w:w="761"/>
        <w:gridCol w:w="814"/>
        <w:gridCol w:w="932"/>
        <w:gridCol w:w="934"/>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52,725,5</w:t>
            </w:r>
          </w:p>
          <w:p>
            <w:pPr>
              <w:pStyle w:val="TableParagraph"/>
              <w:spacing w:line="240" w:lineRule="auto" w:before="102"/>
              <w:ind w:left="314" w:right="0"/>
              <w:jc w:val="left"/>
              <w:rPr>
                <w:rFonts w:ascii="Times New Roman" w:hAnsi="Times New Roman" w:cs="Times New Roman" w:eastAsia="Times New Roman" w:hint="default"/>
                <w:sz w:val="18"/>
                <w:szCs w:val="18"/>
              </w:rPr>
            </w:pPr>
            <w:r>
              <w:rPr>
                <w:rFonts w:ascii="Times New Roman"/>
                <w:sz w:val="18"/>
              </w:rPr>
              <w:t>85.21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10,990,2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03.93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41,735,38</w:t>
            </w:r>
          </w:p>
          <w:p>
            <w:pPr>
              <w:pStyle w:val="TableParagraph"/>
              <w:spacing w:line="240" w:lineRule="auto" w:before="102"/>
              <w:ind w:left="444" w:right="0"/>
              <w:jc w:val="left"/>
              <w:rPr>
                <w:rFonts w:ascii="Times New Roman" w:hAnsi="Times New Roman" w:cs="Times New Roman" w:eastAsia="Times New Roman" w:hint="default"/>
                <w:sz w:val="18"/>
                <w:szCs w:val="18"/>
              </w:rPr>
            </w:pPr>
            <w:r>
              <w:rPr>
                <w:rFonts w:ascii="Times New Roman"/>
                <w:sz w:val="18"/>
              </w:rPr>
              <w:t>1.28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54,827,</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175.09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9,488,952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45,338,222.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434,972.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434,972.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6" w:right="0"/>
              <w:jc w:val="left"/>
              <w:rPr>
                <w:rFonts w:ascii="Times New Roman" w:hAnsi="Times New Roman" w:cs="Times New Roman" w:eastAsia="Times New Roman" w:hint="default"/>
                <w:sz w:val="18"/>
                <w:szCs w:val="18"/>
              </w:rPr>
            </w:pPr>
            <w:r>
              <w:rPr>
                <w:rFonts w:ascii="Times New Roman"/>
                <w:sz w:val="18"/>
              </w:rPr>
              <w:t>434,972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 w:right="0"/>
              <w:jc w:val="left"/>
              <w:rPr>
                <w:rFonts w:ascii="Times New Roman" w:hAnsi="Times New Roman" w:cs="Times New Roman" w:eastAsia="Times New Roman" w:hint="default"/>
                <w:sz w:val="18"/>
                <w:szCs w:val="18"/>
              </w:rPr>
            </w:pPr>
            <w:r>
              <w:rPr>
                <w:rFonts w:ascii="Times New Roman"/>
                <w:sz w:val="18"/>
              </w:rPr>
              <w:t>434,972.2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67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59"/>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25</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6" w:right="0"/>
              <w:jc w:val="left"/>
              <w:rPr>
                <w:rFonts w:ascii="Times New Roman" w:hAnsi="Times New Roman" w:cs="Times New Roman" w:eastAsia="Times New Roman" w:hint="default"/>
                <w:sz w:val="18"/>
                <w:szCs w:val="18"/>
              </w:rPr>
            </w:pPr>
            <w:r>
              <w:rPr>
                <w:rFonts w:ascii="Times New Roman"/>
                <w:sz w:val="18"/>
              </w:rPr>
              <w:t>.25</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53,160,5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57.46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11,425,1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21.49%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41,735,38</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1.28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55,262,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147.34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9,923,924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45,338,222.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21,724,574.31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1,086,228.72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21,724,574.31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1,086,228.72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17,172,152.82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3,434,430.56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7,369,934.49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2,210,980.35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4,400,718.59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2,200,359.30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2,058,205.00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2,058,205.00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52,725,585.21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10,990,203.93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20.84%</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38" w:lineRule="auto" w:before="44"/>
        <w:ind w:right="-15"/>
        <w:jc w:val="left"/>
      </w:pPr>
      <w:r>
        <w:rPr/>
        <w:t>本期计提坏账准备金额</w:t>
      </w:r>
      <w:r>
        <w:rPr>
          <w:rFonts w:ascii="Times New Roman" w:hAnsi="Times New Roman" w:cs="Times New Roman" w:eastAsia="Times New Roman" w:hint="default"/>
        </w:rPr>
        <w:t>-184,026.62</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931" w:space="2898"/>
            <w:col w:w="112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82"/>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其他应收款核销说明：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42,673,191.86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48,044,892.99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4,754,059.29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4,189,766.16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5,733,306.31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3,027,488.19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53,160,557.46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55,262,147.34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中国人民解放军第 八五医院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894,800.00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中山市财政局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北京好望角视真科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长寿健康保险股份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w:t>
            </w:r>
          </w:p>
        </w:tc>
      </w:tr>
      <w:tr>
        <w:trPr>
          <w:trHeight w:val="164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江阴市财政局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300" w:lineRule="auto" w:before="63"/>
              <w:ind w:left="23" w:right="10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1,535,000.00</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w:t>
            </w:r>
            <w:r>
              <w:rPr>
                <w:rFonts w:ascii="宋体" w:hAnsi="宋体" w:cs="宋体" w:eastAsia="宋体" w:hint="default"/>
                <w:sz w:val="18"/>
                <w:szCs w:val="18"/>
              </w:rPr>
              <w:t>；</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420,000.00</w:t>
            </w:r>
            <w:r>
              <w:rPr>
                <w:rFonts w:ascii="宋体" w:hAnsi="宋体" w:cs="宋体" w:eastAsia="宋体" w:hint="default"/>
                <w:sz w:val="18"/>
                <w:szCs w:val="18"/>
              </w:rPr>
              <w:t>；</w:t>
            </w: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234,250.00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14,616,000.00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3,049,050.00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3"/>
        <w:gridCol w:w="1915"/>
        <w:gridCol w:w="1905"/>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39"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534"/>
        <w:jc w:val="left"/>
      </w:pPr>
      <w:r>
        <w:rPr/>
        <w:t>公司是否需要遵守房地产行业的披露要求 否</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346"/>
        <w:gridCol w:w="1379"/>
        <w:gridCol w:w="1366"/>
        <w:gridCol w:w="1368"/>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5,310,459.23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5,310,459.23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351,411.56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351,411.56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84,635,521.17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472,545.62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84,162,975.55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44,738,963.20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472,545.62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44,266,417.58</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90,297,391.96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472,545.62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89,824,846.34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44,738,963.20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472,545.62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44,266,417.58</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3"/>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356"/>
        <w:gridCol w:w="1369"/>
        <w:gridCol w:w="1366"/>
        <w:gridCol w:w="1368"/>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472,545.62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472,545.62</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472,545.62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472,545.62</w:t>
            </w:r>
          </w:p>
        </w:tc>
      </w:tr>
    </w:tbl>
    <w:p>
      <w:pPr>
        <w:pStyle w:val="BodyText"/>
        <w:spacing w:line="316" w:lineRule="auto" w:before="8"/>
        <w:ind w:right="0" w:firstLine="420"/>
        <w:jc w:val="left"/>
      </w:pPr>
      <w:r>
        <w:rPr/>
        <w:t>资产负债表日，存货采用成本与可变现净值孰低计量，按照单个存货成本高于可变现净值的差额计提存货跌价准备。 库存商品以该存货的估计售价减去估计的销售费用和相关税费后的金额确定其可变现净值。</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银行短期理财产品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4,982,378.79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151,386.54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房屋及车辆租赁费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3,296,956.38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118,213.91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30,097,549.08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50,151,386.54</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977"/>
        <w:gridCol w:w="1207"/>
        <w:gridCol w:w="1195"/>
        <w:gridCol w:w="1198"/>
        <w:gridCol w:w="1248"/>
        <w:gridCol w:w="1366"/>
        <w:gridCol w:w="1368"/>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167,800,000.00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167,800,000.00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167,800,000.00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7"/>
        <w:gridCol w:w="1913"/>
        <w:gridCol w:w="1914"/>
        <w:gridCol w:w="190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62"/>
        <w:gridCol w:w="3481"/>
        <w:gridCol w:w="3481"/>
        <w:gridCol w:w="871"/>
        <w:gridCol w:w="869"/>
      </w:tblGrid>
      <w:tr>
        <w:trPr>
          <w:trHeight w:val="401"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7"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862"/>
        <w:gridCol w:w="871"/>
        <w:gridCol w:w="869"/>
        <w:gridCol w:w="872"/>
        <w:gridCol w:w="869"/>
        <w:gridCol w:w="872"/>
        <w:gridCol w:w="869"/>
        <w:gridCol w:w="871"/>
        <w:gridCol w:w="869"/>
        <w:gridCol w:w="871"/>
        <w:gridCol w:w="869"/>
      </w:tblGrid>
      <w:tr>
        <w:trPr>
          <w:trHeight w:val="675"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9" w:right="71"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1025"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苏州网新 创业科技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上海卫生 信息工程 技术研究 中心有限 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杭州吾桐 树信息科 技有限公 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杭州中福 投资管理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14.42%</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杭州安丰 上盈创业 投资合伙 企业（有 限合伙）</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浙江浙商 产融股权 投资基金 合伙企业</w:t>
            </w:r>
          </w:p>
          <w:p>
            <w:pPr>
              <w:pStyle w:val="TableParagraph"/>
              <w:spacing w:line="316" w:lineRule="auto" w:before="19"/>
              <w:ind w:left="24" w:right="106"/>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6"/>
              <w:jc w:val="both"/>
              <w:rPr>
                <w:rFonts w:ascii="宋体" w:hAnsi="宋体" w:cs="宋体" w:eastAsia="宋体" w:hint="default"/>
                <w:sz w:val="18"/>
                <w:szCs w:val="18"/>
              </w:rPr>
            </w:pPr>
            <w:r>
              <w:rPr>
                <w:rFonts w:ascii="宋体" w:hAnsi="宋体" w:cs="宋体" w:eastAsia="宋体" w:hint="default"/>
                <w:sz w:val="18"/>
                <w:szCs w:val="18"/>
              </w:rPr>
              <w:t>浙江大健 康产业股 权投资基 金（有限 合伙）</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152,500,00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167,800,00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902"/>
        <w:gridCol w:w="1915"/>
        <w:gridCol w:w="1913"/>
        <w:gridCol w:w="1915"/>
        <w:gridCol w:w="1913"/>
      </w:tblGrid>
      <w:tr>
        <w:trPr>
          <w:trHeight w:val="404"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28" w:right="0"/>
              <w:jc w:val="left"/>
              <w:rPr>
                <w:rFonts w:ascii="Times New Roman" w:hAnsi="Times New Roman" w:cs="Times New Roman" w:eastAsia="Times New Roman" w:hint="default"/>
                <w:sz w:val="18"/>
                <w:szCs w:val="18"/>
              </w:rPr>
            </w:pPr>
            <w:r>
              <w:rPr>
                <w:rFonts w:ascii="Times New Roman"/>
                <w:sz w:val="18"/>
              </w:rPr>
              <w:t>1,800,000.00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1,800,000.00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1,800,000.00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1,800,000.00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02"/>
        <w:gridCol w:w="1169"/>
        <w:gridCol w:w="1167"/>
        <w:gridCol w:w="1166"/>
        <w:gridCol w:w="1167"/>
        <w:gridCol w:w="1169"/>
        <w:gridCol w:w="1165"/>
        <w:gridCol w:w="1166"/>
      </w:tblGrid>
      <w:tr>
        <w:trPr>
          <w:trHeight w:val="402"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债权性投资</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15,000,000.00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15,000,000.00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15,000,000.00</w:t>
            </w: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15,000,000.00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15,000,000.00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center"/>
              <w:rPr>
                <w:rFonts w:ascii="Times New Roman" w:hAnsi="Times New Roman" w:cs="Times New Roman" w:eastAsia="Times New Roman" w:hint="default"/>
                <w:sz w:val="18"/>
                <w:szCs w:val="18"/>
              </w:rPr>
            </w:pPr>
            <w:r>
              <w:rPr>
                <w:rFonts w:ascii="Times New Roman"/>
                <w:sz w:val="18"/>
              </w:rPr>
              <w:t>15,000,000.00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15,000,000.00</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pStyle w:val="BodyText"/>
        <w:spacing w:line="300" w:lineRule="auto" w:before="117"/>
        <w:ind w:right="309"/>
        <w:jc w:val="left"/>
      </w:pPr>
      <w:r>
        <w:rPr>
          <w:rFonts w:ascii="Times New Roman" w:hAnsi="Times New Roman" w:cs="Times New Roman" w:eastAsia="Times New Roman" w:hint="default"/>
        </w:rPr>
        <w:t>2016</w:t>
      </w:r>
      <w:r>
        <w:rPr/>
        <w:t>年，公司作为有限合伙人对义乌钱塘体育文化投资合伙企业（有限合伙）进行投资，并约定每年可以获得</w:t>
      </w:r>
      <w:r>
        <w:rPr>
          <w:rFonts w:ascii="Times New Roman" w:hAnsi="Times New Roman" w:cs="Times New Roman" w:eastAsia="Times New Roman" w:hint="default"/>
        </w:rPr>
        <w:t>4.75%</w:t>
      </w:r>
      <w:r>
        <w:rPr/>
        <w:t>的固 定回报。投资三年后进入退出期，故将该项投资认定为债权性投资。</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403"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北京童康 医疗信息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3,231,930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3,476,564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164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浙江美康 网新云健 康科技股 份有限公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3,782,465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857,086.7</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2,925,378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浙江创源 环境科技 有限公司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5,204,940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2,062,117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35,767,05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7,014,395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2,062,117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42,169,00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7,014,395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4,592,488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w w:val="95"/>
                <w:sz w:val="18"/>
              </w:rPr>
              <w:t>2,062,117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42,169,00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300" w:lineRule="auto" w:before="115"/>
        <w:ind w:right="144"/>
        <w:jc w:val="left"/>
      </w:pPr>
      <w:r>
        <w:rPr>
          <w:spacing w:val="-2"/>
        </w:rPr>
        <w:t>本报告期，浙江创源环境科技股份有限公司</w:t>
      </w:r>
      <w:r>
        <w:rPr>
          <w:rFonts w:ascii="Times New Roman" w:hAnsi="Times New Roman" w:cs="Times New Roman" w:eastAsia="Times New Roman" w:hint="default"/>
          <w:spacing w:val="-2"/>
        </w:rPr>
        <w:t>(</w:t>
      </w:r>
      <w:r>
        <w:rPr>
          <w:spacing w:val="-2"/>
        </w:rPr>
        <w:t>以下简称创源环境公司</w:t>
      </w:r>
      <w:r>
        <w:rPr>
          <w:rFonts w:ascii="Times New Roman" w:hAnsi="Times New Roman" w:cs="Times New Roman" w:eastAsia="Times New Roman" w:hint="default"/>
          <w:spacing w:val="-2"/>
        </w:rPr>
        <w:t>)</w:t>
      </w:r>
      <w:r>
        <w:rPr>
          <w:spacing w:val="-2"/>
        </w:rPr>
        <w:t>股东陈晓军与吴建钢签订《股份转让协议》，陈晓军受</w:t>
      </w:r>
      <w:r>
        <w:rPr>
          <w:spacing w:val="-72"/>
        </w:rPr>
        <w:t> </w:t>
      </w:r>
      <w:r>
        <w:rPr>
          <w:spacing w:val="-72"/>
        </w:rPr>
      </w:r>
      <w:r>
        <w:rPr/>
        <w:t>让吴建钢持有的创源环境公司</w:t>
      </w:r>
      <w:r>
        <w:rPr>
          <w:rFonts w:ascii="Times New Roman" w:hAnsi="Times New Roman" w:cs="Times New Roman" w:eastAsia="Times New Roman" w:hint="default"/>
        </w:rPr>
        <w:t>11.50%</w:t>
      </w:r>
      <w:r>
        <w:rPr/>
        <w:t>股份。股份转让后，陈晓军持有创源环境公司</w:t>
      </w:r>
      <w:r>
        <w:rPr>
          <w:rFonts w:ascii="Times New Roman" w:hAnsi="Times New Roman" w:cs="Times New Roman" w:eastAsia="Times New Roman" w:hint="default"/>
        </w:rPr>
        <w:t>49.00%</w:t>
      </w:r>
      <w:r>
        <w:rPr/>
        <w:t>股权，成为创源环境公司的第一 大股东。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日，创源环境公司股东大会通过董事会改选议案，新董事会由</w:t>
      </w:r>
      <w:r>
        <w:rPr>
          <w:rFonts w:ascii="Times New Roman" w:hAnsi="Times New Roman" w:cs="Times New Roman" w:eastAsia="Times New Roman" w:hint="default"/>
        </w:rPr>
        <w:t>5</w:t>
      </w:r>
      <w:r>
        <w:rPr/>
        <w:t>人组成，其中由陈晓军委派</w:t>
      </w:r>
      <w:r>
        <w:rPr>
          <w:rFonts w:ascii="Times New Roman" w:hAnsi="Times New Roman" w:cs="Times New Roman" w:eastAsia="Times New Roman" w:hint="default"/>
        </w:rPr>
        <w:t>3</w:t>
      </w:r>
      <w:r>
        <w:rPr/>
        <w:t>名董事， 本公司委派</w:t>
      </w:r>
      <w:r>
        <w:rPr>
          <w:rFonts w:ascii="Times New Roman" w:hAnsi="Times New Roman" w:cs="Times New Roman" w:eastAsia="Times New Roman" w:hint="default"/>
        </w:rPr>
        <w:t>2</w:t>
      </w:r>
      <w:r>
        <w:rPr/>
        <w:t>名董事，陈晓军为董事长，创源环境公司实际控制人变更为陈晓军。自此，本公司不再控制创源环境公司，创 源环境公司变更为本公司联营企业。</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9"/>
        <w:gridCol w:w="1913"/>
        <w:gridCol w:w="1915"/>
        <w:gridCol w:w="1913"/>
      </w:tblGrid>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45" w:right="0"/>
              <w:jc w:val="left"/>
              <w:rPr>
                <w:rFonts w:ascii="Times New Roman" w:hAnsi="Times New Roman" w:cs="Times New Roman" w:eastAsia="Times New Roman" w:hint="default"/>
                <w:sz w:val="18"/>
                <w:szCs w:val="18"/>
              </w:rPr>
            </w:pPr>
            <w:r>
              <w:rPr>
                <w:rFonts w:ascii="Times New Roman"/>
                <w:sz w:val="18"/>
              </w:rPr>
              <w:t>4,669,984.15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4,669,984.15</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 加</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4,669,984.15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4,669,984.15</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756,224.27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756,224.27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221,925.24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221,925.24</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221,925.24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221,925.24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978,149.51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978,149.51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3,691,834.64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3,691,834.64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3,913,759.88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3,913,759.88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8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0"/>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220,515,024.88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27,675,635.21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30,138,400.34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278,329,060.43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74,329,807.56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6,010,810.77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23,637,272.28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103,977,890.61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11,186,510.44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3,106,968.63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5,457,108.54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19,750,587.61</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 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7,174,028.98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3,705,142.32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10,879,171.30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 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55,969,268.14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2,903,842.14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14,475,021.42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73,348,131.70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1,446,062.80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4,772,851.07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2,898,330.94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9,117,244.81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621,338.80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1,180,568.57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1,860,159.37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企业合并减少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4,714,599.07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1,717,762.37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7,257,085.44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293,398,769.64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28,913,594.91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50,877,341.68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373,189,706.23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9,237,877.01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12,795,190.79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10,925,134.47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32,958,202.27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18,896,655.44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2,915,404.33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14,568,008.34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36,380,068.11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8,335,639.51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1,165,233.36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7,828,197.43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17,329,070.30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10,561,015.93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1,750,170.97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6,739,810.91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19,050,997.81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302,655.52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3,783,648.64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2,273,688.24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6,359,992.40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152,487.14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33,818.72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1,116,364.36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1,302,670.22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企业合并减少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150,168.38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3,749,829.92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1,157,323.88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5,057,322.18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27,831,876.93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11,926,946.48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23,219,454.57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62,978,277.98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265,566,892.71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16,986,648.43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27,657,887.11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310,211,428.25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211,277,147.87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14,880,444.42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19,213,265.87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245,370,858.16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5"/>
        <w:gridCol w:w="1593"/>
        <w:gridCol w:w="1594"/>
        <w:gridCol w:w="1596"/>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9"/>
        <w:gridCol w:w="1912"/>
        <w:gridCol w:w="1915"/>
        <w:gridCol w:w="190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57,802,340.48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10,806,927.08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正在办理相关手续</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中山市区域卫生 信息平台建设运 营项目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30,115,818.07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30,115,818.07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5,864,956.72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5,864,956.72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5,288,571.75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5,288,571.75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3,165,946.67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3,165,946.67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35,404,389.82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35,404,389.82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9,030,903.39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9,030,903.39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32"/>
        <w:gridCol w:w="734"/>
        <w:gridCol w:w="737"/>
        <w:gridCol w:w="737"/>
        <w:gridCol w:w="734"/>
        <w:gridCol w:w="737"/>
        <w:gridCol w:w="737"/>
        <w:gridCol w:w="735"/>
        <w:gridCol w:w="737"/>
        <w:gridCol w:w="737"/>
        <w:gridCol w:w="735"/>
        <w:gridCol w:w="737"/>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5"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4"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5"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中山市 区域卫 生信息 平台建 设运营 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113,319,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5,864,95</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24,250,8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61.35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30,115,8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18.07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26.58%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4"/>
              <w:jc w:val="center"/>
              <w:rPr>
                <w:rFonts w:ascii="Times New Roman" w:hAnsi="Times New Roman" w:cs="Times New Roman" w:eastAsia="Times New Roman" w:hint="default"/>
                <w:sz w:val="18"/>
                <w:szCs w:val="18"/>
              </w:rPr>
            </w:pPr>
            <w:r>
              <w:rPr>
                <w:rFonts w:ascii="Times New Roman"/>
                <w:sz w:val="18"/>
              </w:rPr>
              <w:t>45.00%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3,165,94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13,053,0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10,879,1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5,288,57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113,319,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9,030,90</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3.39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37,303,9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29.18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10,879,1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51,271.4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35,404,3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89.82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571"/>
        <w:gridCol w:w="1605"/>
        <w:gridCol w:w="1594"/>
        <w:gridCol w:w="1594"/>
        <w:gridCol w:w="1597"/>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3,797,541.36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6,004,946.25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9,802,487.61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0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24,893,004.30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25,393,004.30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680,104.00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680,104.00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tc>
        <w:tc>
          <w:tcPr>
            <w:tcW w:w="1605"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24,212,900.30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24,712,900.30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3,797,541.36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30,897,950.55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35,195,491.91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234,181.88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3,031,556.71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3,265,738.59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75,950.88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212,500.08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8,487,176.46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8,775,627.42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75,950.88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3,871,276.11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3,984,727.02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4,615,900.35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4,790,900.40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212,500.08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11,518,733.17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12,041,366.01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3,487,408.60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287,499.92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19,379,217.38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23,154,125.90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3,563,359.48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2,973,389.54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6,536,749.02</w:t>
            </w:r>
          </w:p>
        </w:tc>
      </w:tr>
    </w:tbl>
    <w:p>
      <w:pPr>
        <w:pStyle w:val="BodyText"/>
        <w:spacing w:line="240" w:lineRule="auto" w:before="49"/>
        <w:ind w:right="0"/>
        <w:jc w:val="left"/>
      </w:pPr>
      <w:r>
        <w:rPr/>
        <w:t>本期末通过公司内部研发形成的无形资产占无形资产余额的比例。</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8"/>
        <w:gridCol w:w="1366"/>
        <w:gridCol w:w="1368"/>
        <w:gridCol w:w="1366"/>
        <w:gridCol w:w="1368"/>
      </w:tblGrid>
      <w:tr>
        <w:trPr>
          <w:trHeight w:val="360" w:hRule="exact"/>
        </w:trPr>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66" w:type="dxa"/>
            <w:vMerge/>
            <w:tcBorders>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0" w:space="0" w:color="D2D2D2"/>
              <w:right w:val="single" w:sz="13" w:space="0" w:color="D2D2D2"/>
            </w:tcBorders>
            <w:shd w:val="clear" w:color="auto" w:fill="E0FFFF"/>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6"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0" w:space="0" w:color="D2D2D2"/>
              <w:right w:val="single" w:sz="13" w:space="0" w:color="D2D2D2"/>
            </w:tcBorders>
            <w:shd w:val="clear" w:color="auto" w:fill="E0FFFF"/>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vMerge/>
            <w:tcBorders>
              <w:left w:val="single" w:sz="13" w:space="0" w:color="D2D2D2"/>
              <w:right w:val="single" w:sz="9" w:space="0" w:color="D2D2D2"/>
            </w:tcBorders>
            <w:shd w:val="clear" w:color="auto" w:fill="E0FFFF"/>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0" w:space="0" w:color="D2D2D2"/>
              <w:bottom w:val="single" w:sz="4" w:space="0" w:color="000000"/>
              <w:right w:val="single" w:sz="13" w:space="0" w:color="D2D2D2"/>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3" w:space="0" w:color="D2D2D2"/>
              <w:bottom w:val="single" w:sz="4" w:space="0" w:color="000000"/>
              <w:right w:val="single" w:sz="9" w:space="0" w:color="D2D2D2"/>
            </w:tcBorders>
            <w:shd w:val="clear" w:color="auto" w:fill="E0FFFF"/>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杭州惟勤科技有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1,121,977.72</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1,121,977.72</w:t>
            </w:r>
          </w:p>
        </w:tc>
      </w:tr>
      <w:tr>
        <w:trPr>
          <w:trHeight w:val="1339"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z w:val="18"/>
                <w:szCs w:val="18"/>
              </w:rPr>
              <w:t>广东中拓信息技 术有限公司和中 山市蓝天电脑有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19,965,281.29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19,965,281.29</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浙江创源环境科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10,161,712.57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10,161,712.57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杭州博泰信息技 术服务有限公司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1,021,541,839.57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1,021,541,839.57</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杭州卓腾信息技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15,989,472.27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15,989,472.27</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杭州梅清数码科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14,733,850.83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14,733,850.83</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杭州美诺泰科科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34,652,019.35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34,652,019.35</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31,248,971.58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1,086,917,182.02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10,161,712.57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1,108,004,441.03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2734"/>
        <w:gridCol w:w="2734"/>
        <w:gridCol w:w="1368"/>
      </w:tblGrid>
      <w:tr>
        <w:trPr>
          <w:trHeight w:val="1027"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left="573" w:right="0" w:hanging="421"/>
        <w:jc w:val="left"/>
      </w:pPr>
      <w:r>
        <w:rPr/>
        <w:t>说明商誉减值测试过程、参数及商誉减值损失的确认方法： 公司期于对上述被投资单位商誉进行了减值测试。公司在进行减值测试时，首先将商誉分摊至其对应的资产组，然后</w:t>
      </w:r>
    </w:p>
    <w:p>
      <w:pPr>
        <w:pStyle w:val="BodyText"/>
        <w:spacing w:line="237" w:lineRule="exact"/>
        <w:ind w:right="0"/>
        <w:jc w:val="left"/>
      </w:pPr>
      <w:r>
        <w:rPr/>
        <w:t>根据经公司管理层批准的各子公司下年度经营预算，结合历史的业绩增长情况、行业的发展趋势等，预计各资产组未来</w:t>
      </w:r>
      <w:r>
        <w:rPr>
          <w:rFonts w:ascii="Times New Roman" w:hAnsi="Times New Roman" w:cs="Times New Roman" w:eastAsia="Times New Roman" w:hint="default"/>
        </w:rPr>
        <w:t>5</w:t>
      </w:r>
      <w:r>
        <w:rPr/>
        <w:t>年</w:t>
      </w:r>
    </w:p>
    <w:p>
      <w:pPr>
        <w:spacing w:after="0" w:line="237" w:lineRule="exact"/>
        <w:jc w:val="left"/>
        <w:sectPr>
          <w:footerReference w:type="default" r:id="rId27"/>
          <w:pgSz w:w="11910" w:h="16840"/>
          <w:pgMar w:footer="979" w:header="745" w:top="1060" w:bottom="1160" w:left="980" w:right="980"/>
          <w:pgNumType w:start="140"/>
        </w:sectPr>
      </w:pPr>
    </w:p>
    <w:p>
      <w:pPr>
        <w:spacing w:line="240" w:lineRule="auto" w:before="10"/>
        <w:rPr>
          <w:rFonts w:ascii="宋体" w:hAnsi="宋体" w:cs="宋体" w:eastAsia="宋体" w:hint="default"/>
          <w:sz w:val="25"/>
          <w:szCs w:val="25"/>
        </w:rPr>
      </w:pPr>
    </w:p>
    <w:p>
      <w:pPr>
        <w:pStyle w:val="BodyText"/>
        <w:spacing w:line="309" w:lineRule="auto" w:before="44"/>
        <w:ind w:right="150"/>
        <w:jc w:val="both"/>
      </w:pPr>
      <w:r>
        <w:rPr/>
        <w:t>内现金流量，并假设其后年度保持预测期第</w:t>
      </w:r>
      <w:r>
        <w:rPr>
          <w:rFonts w:ascii="Times New Roman" w:hAnsi="Times New Roman" w:cs="Times New Roman" w:eastAsia="Times New Roman" w:hint="default"/>
        </w:rPr>
        <w:t>5</w:t>
      </w:r>
      <w:r>
        <w:rPr/>
        <w:t>年的现金流量水平。现金流量中采用的关键数据包括预计收入、营业成本及其</w:t>
      </w:r>
      <w:r>
        <w:rPr>
          <w:spacing w:val="-83"/>
        </w:rPr>
        <w:t> </w:t>
      </w:r>
      <w:r>
        <w:rPr>
          <w:spacing w:val="-83"/>
        </w:rPr>
      </w:r>
      <w:r>
        <w:rPr>
          <w:spacing w:val="-2"/>
        </w:rPr>
        <w:t>他相关费用，系公司根据各子公司历史经验及对市场发展的预测确定上述关键数据。公司采用合理的折现率作为计算未来现</w:t>
      </w:r>
      <w:r>
        <w:rPr>
          <w:spacing w:val="-64"/>
        </w:rPr>
        <w:t> </w:t>
      </w:r>
      <w:r>
        <w:rPr>
          <w:spacing w:val="-64"/>
        </w:rPr>
      </w:r>
      <w:r>
        <w:rPr>
          <w:spacing w:val="-2"/>
        </w:rPr>
        <w:t>金流量现值的税前折现率，采用的折现率</w:t>
      </w:r>
      <w:r>
        <w:rPr>
          <w:rFonts w:ascii="Times New Roman" w:hAnsi="Times New Roman" w:cs="Times New Roman" w:eastAsia="Times New Roman" w:hint="default"/>
          <w:spacing w:val="-2"/>
        </w:rPr>
        <w:t>13-14%</w:t>
      </w:r>
      <w:r>
        <w:rPr>
          <w:spacing w:val="-2"/>
        </w:rPr>
        <w:t>已考虑了各公司的债务成本、长期国债利率、市场预期报酬率等因素，反映</w:t>
      </w:r>
      <w:r>
        <w:rPr/>
        <w:t> </w:t>
      </w:r>
      <w:r>
        <w:rPr>
          <w:spacing w:val="-2"/>
        </w:rPr>
        <w:t>了各资产组的风险。根据各资产组的税前折现率，对预计的各资产组未来现金流量进行折现，以计算包含商誉的资产组的可</w:t>
      </w:r>
      <w:r>
        <w:rPr>
          <w:spacing w:val="-63"/>
        </w:rPr>
        <w:t> </w:t>
      </w:r>
      <w:r>
        <w:rPr>
          <w:spacing w:val="-63"/>
        </w:rPr>
      </w:r>
      <w:r>
        <w:rPr/>
        <w:t>回收金额，并据以确定是否需计提商誉减值准备。</w:t>
      </w:r>
    </w:p>
    <w:p>
      <w:pPr>
        <w:pStyle w:val="BodyText"/>
        <w:spacing w:line="360" w:lineRule="auto" w:before="24"/>
        <w:ind w:right="3832" w:firstLine="362"/>
        <w:jc w:val="left"/>
      </w:pPr>
      <w:r>
        <w:rPr/>
        <w:t>通过对上述被投资单位可收回金额的预计表明商誉并未出现减值损失。 其他说明</w:t>
      </w:r>
    </w:p>
    <w:p>
      <w:pPr>
        <w:spacing w:line="240" w:lineRule="auto" w:before="0"/>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831,186.69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313,326.84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517,859.85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831,186.69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313,326.84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517,859.85</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9"/>
        <w:gridCol w:w="1913"/>
        <w:gridCol w:w="1915"/>
        <w:gridCol w:w="1913"/>
      </w:tblGrid>
      <w:tr>
        <w:trPr>
          <w:trHeight w:val="206" w:hRule="exact"/>
        </w:trPr>
        <w:tc>
          <w:tcPr>
            <w:tcW w:w="1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8" w:type="dxa"/>
            <w:vMerge/>
            <w:tcBorders>
              <w:left w:val="single" w:sz="4" w:space="0" w:color="000000"/>
              <w:bottom w:val="nil" w:sz="6" w:space="0" w:color="auto"/>
              <w:right w:val="single" w:sz="4" w:space="0" w:color="000000"/>
            </w:tcBorders>
            <w:shd w:val="clear" w:color="auto" w:fill="D2D2D2"/>
          </w:tcPr>
          <w:p>
            <w:pPr/>
          </w:p>
        </w:tc>
        <w:tc>
          <w:tcPr>
            <w:tcW w:w="1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4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67,173,967.79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7,082,924.78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48,664,699.19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5,071,272.08</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67,173,967.79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7,082,924.78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48,664,699.19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5,071,272.08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03"/>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912"/>
        <w:gridCol w:w="1906"/>
        <w:gridCol w:w="1912"/>
        <w:gridCol w:w="1915"/>
        <w:gridCol w:w="1903"/>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37"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6" w:type="dxa"/>
            <w:vMerge/>
            <w:tcBorders>
              <w:left w:val="single" w:sz="4" w:space="0" w:color="000000"/>
              <w:right w:val="single" w:sz="4" w:space="0" w:color="000000"/>
            </w:tcBorders>
            <w:shd w:val="clear" w:color="auto" w:fill="D2D2D2"/>
          </w:tcPr>
          <w:p>
            <w:pPr/>
          </w:p>
        </w:tc>
        <w:tc>
          <w:tcPr>
            <w:tcW w:w="1912"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6"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6" w:type="dxa"/>
            <w:tcBorders>
              <w:top w:val="single" w:sz="4" w:space="0" w:color="000000"/>
              <w:left w:val="single" w:sz="10" w:space="0" w:color="D2D2D2"/>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7,082,924.78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5,071,272.08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17,278,870.31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15,179,811.52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17,278,870.31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15,179,811.52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7"/>
        <w:gridCol w:w="2392"/>
        <w:gridCol w:w="2380"/>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10,728,519.00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10,728,519.00</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保证及质押借款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r>
    </w:tbl>
    <w:p>
      <w:pPr>
        <w:pStyle w:val="BodyText"/>
        <w:spacing w:line="240" w:lineRule="auto" w:before="49"/>
        <w:ind w:right="0"/>
        <w:jc w:val="left"/>
      </w:pPr>
      <w:r>
        <w:rPr/>
        <w:t>短期借款分类的说明：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9"/>
        <w:gridCol w:w="1912"/>
        <w:gridCol w:w="1915"/>
        <w:gridCol w:w="1903"/>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135,989,593.06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77,259,531.29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16,396,088.64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30,087,274.97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7,141,499.38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126,559.63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159,527,181.08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107,473,365.89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171,602,219.70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97,392,653.30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457,383.17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172,059,602.87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97,392,653.30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9"/>
        <w:gridCol w:w="1913"/>
        <w:gridCol w:w="1915"/>
        <w:gridCol w:w="1913"/>
      </w:tblGrid>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15,156,473.84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437,998,454.10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405,613,376.08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47,541,551.86</w:t>
            </w:r>
          </w:p>
        </w:tc>
      </w:tr>
      <w:tr>
        <w:trPr>
          <w:trHeight w:val="715"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747,343.06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23,530,173.69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21,660,679.72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2,616,837.03</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15,903,816.90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461,528,627.79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427,274,055.80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50,158,388.89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9"/>
        <w:gridCol w:w="1913"/>
        <w:gridCol w:w="1915"/>
        <w:gridCol w:w="1913"/>
      </w:tblGrid>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14,538,144.33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377,112,407.48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348,190,988.09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43,459,563.72</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23,212,863.00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22,862,792.04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350,070.96</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556,529.83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15,865,229.94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14,237,083.14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2,184,676.63</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501,863.02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14,403,815.76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12,931,477.42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1,974,201.36</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359,655.62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333,457.92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36,291.52</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1,101,758.56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972,147.80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174,183.75</w:t>
            </w:r>
          </w:p>
        </w:tc>
      </w:tr>
      <w:tr>
        <w:trPr>
          <w:trHeight w:val="404"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17,059,268.93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16,661,195.93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398,073.00</w:t>
            </w:r>
          </w:p>
        </w:tc>
      </w:tr>
      <w:tr>
        <w:trPr>
          <w:trHeight w:val="71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 育经费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61,799.68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4,748,684.75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3,661,316.88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1,149,167.55</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15,156,473.84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437,998,454.10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405,613,376.08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47,541,551.86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9"/>
        <w:gridCol w:w="1913"/>
        <w:gridCol w:w="1915"/>
        <w:gridCol w:w="1913"/>
      </w:tblGrid>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703,120.42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22,385,686.29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20,563,379.96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2,525,426.75</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44,222.64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1,144,487.40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1,097,299.76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91,410.28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5" w:right="0"/>
              <w:jc w:val="left"/>
              <w:rPr>
                <w:rFonts w:ascii="Times New Roman" w:hAnsi="Times New Roman" w:cs="Times New Roman" w:eastAsia="Times New Roman" w:hint="default"/>
                <w:sz w:val="18"/>
                <w:szCs w:val="18"/>
              </w:rPr>
            </w:pPr>
            <w:r>
              <w:rPr>
                <w:rFonts w:ascii="Times New Roman"/>
                <w:sz w:val="18"/>
              </w:rPr>
              <w:t>747,343.06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23,530,173.69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21,660,679.72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2,616,837.03</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18,218,438.09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10,316,788.78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21,266,238.94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6,710,005.30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692,932.16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888,151.59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1,438,449.97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817,324.11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618,252.83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354,051.32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394,675.93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218,503.38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170,216.07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171,947.99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620,279.19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67,700.04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42,924,691.75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20,097,172.23</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9,045.62</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9,045.62</w:t>
            </w:r>
          </w:p>
        </w:tc>
      </w:tr>
    </w:tbl>
    <w:p>
      <w:pPr>
        <w:pStyle w:val="BodyText"/>
        <w:spacing w:line="240" w:lineRule="auto" w:before="49"/>
        <w:ind w:right="0"/>
        <w:jc w:val="left"/>
      </w:pPr>
      <w:r>
        <w:rPr/>
        <w:t>重要的已逾期未支付的利息情况：</w:t>
      </w:r>
    </w:p>
    <w:p>
      <w:pPr>
        <w:pStyle w:val="BodyText"/>
        <w:spacing w:line="240" w:lineRule="auto" w:before="118"/>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26</w:t>
      </w:r>
      <w:r>
        <w:rPr/>
        <w:t>、应付股利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4"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309,750.01</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309,750.01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3,559,973.32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2,209,490.00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8,132,823.93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5,799,089.35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61,355,035.98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97,259,048.04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6,741,282.57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2,672,570.83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79,789,115.80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107,940,198.22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61,355,035.98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尚未解锁</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61,355,035.98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684"/>
        <w:jc w:val="left"/>
      </w:pPr>
      <w:r>
        <w:rPr/>
        <w:t>其他说明 限制性股票回购义务具体情况详见本财务报表附注库存股之注释。另，库存股项目列示的限制性股票回购义务 </w:t>
      </w:r>
      <w:r>
        <w:rPr>
          <w:rFonts w:ascii="Times New Roman" w:hAnsi="Times New Roman" w:cs="Times New Roman" w:eastAsia="Times New Roman" w:hint="default"/>
        </w:rPr>
        <w:t>61,964,549.02</w:t>
      </w:r>
      <w:r>
        <w:rPr/>
        <w:t>元大于其他应付款</w:t>
      </w:r>
      <w:r>
        <w:rPr>
          <w:rFonts w:ascii="Times New Roman" w:hAnsi="Times New Roman" w:cs="Times New Roman" w:eastAsia="Times New Roman" w:hint="default"/>
        </w:rPr>
        <w:t>61,355,035.98</w:t>
      </w:r>
      <w:r>
        <w:rPr/>
        <w:t>元的差额</w:t>
      </w:r>
      <w:r>
        <w:rPr>
          <w:rFonts w:ascii="Times New Roman" w:hAnsi="Times New Roman" w:cs="Times New Roman" w:eastAsia="Times New Roman" w:hint="default"/>
        </w:rPr>
        <w:t>609,513.04</w:t>
      </w:r>
      <w:r>
        <w:rPr/>
        <w:t>元，系本期公司已回购陈振等</w:t>
      </w:r>
      <w:r>
        <w:rPr>
          <w:rFonts w:ascii="Times New Roman" w:hAnsi="Times New Roman" w:cs="Times New Roman" w:eastAsia="Times New Roman" w:hint="default"/>
        </w:rPr>
        <w:t>5</w:t>
      </w:r>
      <w:r>
        <w:rPr/>
        <w:t>位自然人限制性股票</w:t>
      </w:r>
    </w:p>
    <w:p>
      <w:pPr>
        <w:pStyle w:val="BodyText"/>
        <w:spacing w:line="230" w:lineRule="exact"/>
        <w:ind w:right="0"/>
        <w:jc w:val="left"/>
      </w:pPr>
      <w:r>
        <w:rPr>
          <w:rFonts w:ascii="Times New Roman" w:hAnsi="Times New Roman" w:cs="Times New Roman" w:eastAsia="Times New Roman" w:hint="default"/>
        </w:rPr>
        <w:t>34,088.00</w:t>
      </w:r>
      <w:r>
        <w:rPr/>
        <w:t>股，但尚未完成股票注销手续所致。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571"/>
        <w:gridCol w:w="1607"/>
        <w:gridCol w:w="1594"/>
        <w:gridCol w:w="1594"/>
        <w:gridCol w:w="1594"/>
        <w:gridCol w:w="1596"/>
      </w:tblGrid>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21,359,800.00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8,065,916.36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20,643,883.64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21,359,800.00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8,065,916.36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20,643,883.64</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71"/>
        <w:gridCol w:w="1366"/>
        <w:gridCol w:w="1368"/>
        <w:gridCol w:w="1368"/>
        <w:gridCol w:w="1366"/>
        <w:gridCol w:w="1368"/>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2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0"/>
              <w:jc w:val="both"/>
              <w:rPr>
                <w:rFonts w:ascii="宋体" w:hAnsi="宋体" w:cs="宋体" w:eastAsia="宋体" w:hint="default"/>
                <w:sz w:val="18"/>
                <w:szCs w:val="18"/>
              </w:rPr>
            </w:pPr>
            <w:r>
              <w:rPr>
                <w:rFonts w:ascii="宋体" w:hAnsi="宋体" w:cs="宋体" w:eastAsia="宋体" w:hint="default"/>
                <w:sz w:val="18"/>
                <w:szCs w:val="18"/>
              </w:rPr>
              <w:t>战略性新兴产业 </w:t>
            </w:r>
            <w:r>
              <w:rPr>
                <w:rFonts w:ascii="Times New Roman" w:hAnsi="Times New Roman" w:cs="Times New Roman" w:eastAsia="Times New Roman" w:hint="default"/>
                <w:sz w:val="18"/>
                <w:szCs w:val="18"/>
              </w:rPr>
              <w:t>"</w:t>
            </w:r>
            <w:r>
              <w:rPr>
                <w:rFonts w:ascii="宋体" w:hAnsi="宋体" w:cs="宋体" w:eastAsia="宋体" w:hint="default"/>
                <w:sz w:val="18"/>
                <w:szCs w:val="18"/>
              </w:rPr>
              <w:t>智慧医疗</w:t>
            </w:r>
            <w:r>
              <w:rPr>
                <w:rFonts w:ascii="Times New Roman" w:hAnsi="Times New Roman" w:cs="Times New Roman" w:eastAsia="Times New Roman" w:hint="default"/>
                <w:sz w:val="18"/>
                <w:szCs w:val="18"/>
              </w:rPr>
              <w:t>"</w:t>
            </w:r>
            <w:r>
              <w:rPr>
                <w:rFonts w:ascii="宋体" w:hAnsi="宋体" w:cs="宋体" w:eastAsia="宋体" w:hint="default"/>
                <w:sz w:val="18"/>
                <w:szCs w:val="18"/>
              </w:rPr>
              <w:t>软件 技术创新综合试 点企业研究院建</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7,500,000.00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6"/>
        <w:gridCol w:w="1371"/>
        <w:gridCol w:w="1366"/>
        <w:gridCol w:w="1368"/>
        <w:gridCol w:w="1368"/>
        <w:gridCol w:w="1366"/>
        <w:gridCol w:w="1368"/>
      </w:tblGrid>
      <w:tr>
        <w:trPr>
          <w:trHeight w:val="36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设补助</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z w:val="18"/>
                <w:szCs w:val="18"/>
              </w:rPr>
              <w:t>基于电子健康档 案的智能社区医 疗服务系统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面向医院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统的综合运维服 务托管支撑平台 研发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801,000.00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医学临床图像智 能处理系统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基于互联网的移 动健康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 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0"/>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XML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的医 学影像知识库系 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基于有源射频识 别技术（</w:t>
            </w:r>
            <w:r>
              <w:rPr>
                <w:rFonts w:ascii="Times New Roman" w:hAnsi="Times New Roman" w:cs="Times New Roman" w:eastAsia="Times New Roman" w:hint="default"/>
                <w:sz w:val="18"/>
                <w:szCs w:val="18"/>
              </w:rPr>
              <w:t>RFID</w:t>
            </w:r>
            <w:r>
              <w:rPr>
                <w:rFonts w:ascii="宋体" w:hAnsi="宋体" w:cs="宋体" w:eastAsia="宋体" w:hint="default"/>
                <w:sz w:val="18"/>
                <w:szCs w:val="18"/>
              </w:rPr>
              <w:t>） 婴儿智能防盗系 统</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z w:val="18"/>
                <w:szCs w:val="18"/>
              </w:rPr>
              <w:t>高端软件及应用 系统集聚发展实 施项目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z w:val="18"/>
                <w:szCs w:val="18"/>
              </w:rPr>
              <w:t>基于移动互联网 的网络医院云服 务平台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z w:val="18"/>
                <w:szCs w:val="18"/>
              </w:rPr>
              <w:t>基于大数据的杭 州市智慧医疗服 务平台研发</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z w:val="18"/>
                <w:szCs w:val="18"/>
              </w:rPr>
              <w:t>创业智慧医疗软 件生产基地建设 工程开工奖励</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0"/>
              <w:jc w:val="both"/>
              <w:rPr>
                <w:rFonts w:ascii="宋体" w:hAnsi="宋体" w:cs="宋体" w:eastAsia="宋体" w:hint="default"/>
                <w:sz w:val="18"/>
                <w:szCs w:val="18"/>
              </w:rPr>
            </w:pPr>
            <w:r>
              <w:rPr>
                <w:rFonts w:ascii="宋体" w:hAnsi="宋体" w:cs="宋体" w:eastAsia="宋体" w:hint="default"/>
                <w:sz w:val="18"/>
                <w:szCs w:val="18"/>
              </w:rPr>
              <w:t>创业智慧医疗软 件生产基地建设 工程竣工奖励</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-27,116.36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1,312,883.64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21,359,800.00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-8,065,916.36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20,643,883.64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1184"/>
        <w:gridCol w:w="1198"/>
        <w:gridCol w:w="1196"/>
        <w:gridCol w:w="1195"/>
        <w:gridCol w:w="1196"/>
        <w:gridCol w:w="1198"/>
        <w:gridCol w:w="1185"/>
        <w:gridCol w:w="1206"/>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210,996,000.00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31,953,263.00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-147,376.00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31,805,887.00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242,801,887.00</w:t>
            </w:r>
          </w:p>
        </w:tc>
      </w:tr>
    </w:tbl>
    <w:p>
      <w:pPr>
        <w:pStyle w:val="BodyText"/>
        <w:spacing w:line="240" w:lineRule="auto" w:before="49"/>
        <w:ind w:right="0"/>
        <w:jc w:val="left"/>
      </w:pPr>
      <w:r>
        <w:rPr/>
        <w:t>其他说明：</w:t>
      </w:r>
    </w:p>
    <w:p>
      <w:pPr>
        <w:pStyle w:val="BodyText"/>
        <w:spacing w:line="302" w:lineRule="auto" w:before="115"/>
        <w:ind w:right="14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根据公司五届二十三次董事会会议、</w:t>
      </w:r>
      <w:r>
        <w:rPr>
          <w:rFonts w:ascii="Times New Roman" w:hAnsi="Times New Roman" w:cs="Times New Roman" w:eastAsia="Times New Roman" w:hint="default"/>
        </w:rPr>
        <w:t>2016</w:t>
      </w:r>
      <w:r>
        <w:rPr/>
        <w:t>年第三次临时股东大会决议和修改后章程的规定，并经中国证券监督管理 </w:t>
      </w:r>
      <w:r>
        <w:rPr>
          <w:spacing w:val="-2"/>
        </w:rPr>
        <w:t>委员会《关于核准创业软件股份有限公司向杭州鑫粟投资管理有限公司等发行股份购买资产并募集配套资金的批复》（证监</w:t>
      </w:r>
      <w:r>
        <w:rPr>
          <w:spacing w:val="-65"/>
        </w:rPr>
        <w:t> </w:t>
      </w:r>
      <w:r>
        <w:rPr>
          <w:spacing w:val="-65"/>
        </w:rPr>
      </w:r>
      <w:r>
        <w:rPr>
          <w:spacing w:val="-4"/>
        </w:rPr>
        <w:t>许可﹝</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3122</w:t>
      </w:r>
      <w:r>
        <w:rPr>
          <w:spacing w:val="-4"/>
        </w:rPr>
        <w:t>号）核准，公司获准向杭州鑫粟投资管理有限公司、杭州铜粟投资管理有限公司发行人民币普通股（</w:t>
      </w:r>
      <w:r>
        <w:rPr>
          <w:rFonts w:ascii="Times New Roman" w:hAnsi="Times New Roman" w:cs="Times New Roman" w:eastAsia="Times New Roman" w:hint="default"/>
          <w:spacing w:val="-4"/>
        </w:rPr>
        <w:t>A</w:t>
      </w:r>
      <w:r>
        <w:rPr>
          <w:spacing w:val="-4"/>
        </w:rPr>
        <w:t>股）</w:t>
      </w:r>
      <w:r>
        <w:rPr>
          <w:spacing w:val="-68"/>
        </w:rPr>
        <w:t> </w:t>
      </w:r>
      <w:r>
        <w:rPr>
          <w:spacing w:val="-2"/>
        </w:rPr>
        <w:t>股票</w:t>
      </w:r>
      <w:r>
        <w:rPr>
          <w:rFonts w:ascii="Times New Roman" w:hAnsi="Times New Roman" w:cs="Times New Roman" w:eastAsia="Times New Roman" w:hint="default"/>
          <w:spacing w:val="-2"/>
        </w:rPr>
        <w:t>29,872,999</w:t>
      </w:r>
      <w:r>
        <w:rPr>
          <w:spacing w:val="-2"/>
        </w:rPr>
        <w:t>股，向葛航、周建新发行人民币普通股（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2,080,264</w:t>
      </w:r>
      <w:r>
        <w:rPr>
          <w:spacing w:val="-2"/>
        </w:rPr>
        <w:t>股，每股面值</w:t>
      </w:r>
      <w:r>
        <w:rPr>
          <w:rFonts w:ascii="Times New Roman" w:hAnsi="Times New Roman" w:cs="Times New Roman" w:eastAsia="Times New Roman" w:hint="default"/>
          <w:spacing w:val="-2"/>
        </w:rPr>
        <w:t>1</w:t>
      </w:r>
      <w:r>
        <w:rPr>
          <w:spacing w:val="-2"/>
        </w:rPr>
        <w:t>元，每股发行价格为人民币</w:t>
      </w:r>
      <w:r>
        <w:rPr>
          <w:rFonts w:ascii="Times New Roman" w:hAnsi="Times New Roman" w:cs="Times New Roman" w:eastAsia="Times New Roman" w:hint="default"/>
          <w:spacing w:val="-2"/>
        </w:rPr>
        <w:t>39.37</w:t>
      </w:r>
      <w:r>
        <w:rPr>
          <w:rFonts w:ascii="Times New Roman" w:hAnsi="Times New Roman" w:cs="Times New Roman" w:eastAsia="Times New Roman" w:hint="default"/>
        </w:rPr>
        <w:t> </w:t>
      </w:r>
      <w:r>
        <w:rPr>
          <w:rFonts w:ascii="Times New Roman" w:hAnsi="Times New Roman" w:cs="Times New Roman" w:eastAsia="Times New Roman" w:hint="default"/>
        </w:rPr>
      </w:r>
      <w:r>
        <w:rPr/>
        <w:t>元，合计</w:t>
      </w:r>
      <w:r>
        <w:rPr>
          <w:rFonts w:ascii="Times New Roman" w:hAnsi="Times New Roman" w:cs="Times New Roman" w:eastAsia="Times New Roman" w:hint="default"/>
        </w:rPr>
        <w:t>1,258,000,000.00</w:t>
      </w:r>
      <w:r>
        <w:rPr/>
        <w:t>元，减除发行费用</w:t>
      </w:r>
      <w:r>
        <w:rPr>
          <w:rFonts w:ascii="Times New Roman" w:hAnsi="Times New Roman" w:cs="Times New Roman" w:eastAsia="Times New Roman" w:hint="default"/>
        </w:rPr>
        <w:t>20,032,000.00</w:t>
      </w:r>
      <w:r>
        <w:rPr/>
        <w:t>元后，增加公司股本</w:t>
      </w:r>
      <w:r>
        <w:rPr>
          <w:rFonts w:ascii="Times New Roman" w:hAnsi="Times New Roman" w:cs="Times New Roman" w:eastAsia="Times New Roman" w:hint="default"/>
        </w:rPr>
        <w:t>31,953,263.00</w:t>
      </w:r>
      <w:r>
        <w:rPr/>
        <w:t>元，增加资本公积（股本溢价） </w:t>
      </w:r>
      <w:r>
        <w:rPr>
          <w:rFonts w:ascii="Times New Roman" w:hAnsi="Times New Roman" w:cs="Times New Roman" w:eastAsia="Times New Roman" w:hint="default"/>
          <w:spacing w:val="-1"/>
        </w:rPr>
        <w:t>1,206,014,737.00</w:t>
      </w:r>
      <w:r>
        <w:rPr>
          <w:spacing w:val="-1"/>
        </w:rPr>
        <w:t>元。变更后注册资本为人民币</w:t>
      </w:r>
      <w:r>
        <w:rPr>
          <w:rFonts w:ascii="Times New Roman" w:hAnsi="Times New Roman" w:cs="Times New Roman" w:eastAsia="Times New Roman" w:hint="default"/>
          <w:spacing w:val="-1"/>
        </w:rPr>
        <w:t>242,949,263.00</w:t>
      </w:r>
      <w:r>
        <w:rPr>
          <w:spacing w:val="-1"/>
        </w:rPr>
        <w:t>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日，本公司已收到向葛航、周建新非公开</w:t>
      </w:r>
      <w:r>
        <w:rPr>
          <w:spacing w:val="-68"/>
        </w:rPr>
        <w:t> </w:t>
      </w:r>
      <w:r>
        <w:rPr>
          <w:spacing w:val="-68"/>
        </w:rPr>
      </w:r>
      <w:r>
        <w:rPr>
          <w:spacing w:val="-3"/>
        </w:rPr>
        <w:t>发行股票的现金出资款。该次增资业经天健会计师事务所（特殊普通合伙）审验，并由其于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18</w:t>
      </w:r>
      <w:r>
        <w:rPr>
          <w:spacing w:val="-3"/>
        </w:rPr>
        <w:t>日出具《验资报告》</w:t>
      </w:r>
    </w:p>
    <w:p>
      <w:pPr>
        <w:pStyle w:val="BodyText"/>
        <w:spacing w:line="240" w:lineRule="auto" w:before="11"/>
        <w:ind w:right="0"/>
        <w:jc w:val="left"/>
      </w:pPr>
      <w:r>
        <w:rPr/>
        <w:t>（天健验〔</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号</w:t>
      </w:r>
      <w:r>
        <w:rPr>
          <w:spacing w:val="-92"/>
        </w:rPr>
        <w:t>）</w:t>
      </w:r>
      <w:r>
        <w:rPr/>
        <w:t>。</w:t>
      </w:r>
    </w:p>
    <w:p>
      <w:pPr>
        <w:pStyle w:val="BodyText"/>
        <w:spacing w:line="300" w:lineRule="auto" w:before="63"/>
        <w:ind w:right="14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根据公司</w:t>
      </w:r>
      <w:r>
        <w:rPr>
          <w:rFonts w:ascii="Times New Roman" w:hAnsi="Times New Roman" w:cs="Times New Roman" w:eastAsia="Times New Roman" w:hint="default"/>
        </w:rPr>
        <w:t>2015</w:t>
      </w:r>
      <w:r>
        <w:rPr/>
        <w:t>年第三次临时股东大会授权并经五届二十七次、三十次、三十四次、三十六次、三十七次董事会决议 </w:t>
      </w:r>
      <w:r>
        <w:rPr>
          <w:spacing w:val="-2"/>
        </w:rPr>
        <w:t>和修改后的章程规定，公司以货币资金</w:t>
      </w:r>
      <w:r>
        <w:rPr>
          <w:rFonts w:ascii="Times New Roman" w:hAnsi="Times New Roman" w:cs="Times New Roman" w:eastAsia="Times New Roman" w:hint="default"/>
          <w:spacing w:val="-2"/>
        </w:rPr>
        <w:t>2,722,254.22</w:t>
      </w:r>
      <w:r>
        <w:rPr>
          <w:spacing w:val="-2"/>
        </w:rPr>
        <w:t>元回购已授予赵臣威等</w:t>
      </w:r>
      <w:r>
        <w:rPr>
          <w:rFonts w:ascii="Times New Roman" w:hAnsi="Times New Roman" w:cs="Times New Roman" w:eastAsia="Times New Roman" w:hint="default"/>
          <w:spacing w:val="-2"/>
        </w:rPr>
        <w:t>19</w:t>
      </w:r>
      <w:r>
        <w:rPr>
          <w:spacing w:val="-2"/>
        </w:rPr>
        <w:t>位自然人但尚未解锁的限制性人民币普通股（</w:t>
      </w:r>
      <w:r>
        <w:rPr>
          <w:rFonts w:ascii="Times New Roman" w:hAnsi="Times New Roman" w:cs="Times New Roman" w:eastAsia="Times New Roman" w:hint="default"/>
          <w:spacing w:val="-2"/>
        </w:rPr>
        <w:t>A</w:t>
      </w:r>
      <w:r>
        <w:rPr>
          <w:rFonts w:ascii="Times New Roman" w:hAnsi="Times New Roman" w:cs="Times New Roman" w:eastAsia="Times New Roman" w:hint="default"/>
          <w:spacing w:val="-4"/>
        </w:rPr>
        <w:t> </w:t>
      </w:r>
      <w:r>
        <w:rPr>
          <w:spacing w:val="-3"/>
        </w:rPr>
        <w:t>股）</w:t>
      </w:r>
      <w:r>
        <w:rPr>
          <w:rFonts w:ascii="Times New Roman" w:hAnsi="Times New Roman" w:cs="Times New Roman" w:eastAsia="Times New Roman" w:hint="default"/>
          <w:spacing w:val="-3"/>
        </w:rPr>
        <w:t>147,376</w:t>
      </w:r>
      <w:r>
        <w:rPr>
          <w:spacing w:val="-3"/>
        </w:rPr>
        <w:t>股，故相应减少股本</w:t>
      </w:r>
      <w:r>
        <w:rPr>
          <w:rFonts w:ascii="Times New Roman" w:hAnsi="Times New Roman" w:cs="Times New Roman" w:eastAsia="Times New Roman" w:hint="default"/>
          <w:spacing w:val="-3"/>
        </w:rPr>
        <w:t>147,376</w:t>
      </w:r>
      <w:r>
        <w:rPr>
          <w:spacing w:val="-3"/>
        </w:rPr>
        <w:t>元，减少资本公积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)2,574,878.22</w:t>
      </w:r>
      <w:r>
        <w:rPr>
          <w:spacing w:val="-3"/>
        </w:rPr>
        <w:t>元，变更后注册资本为人民币</w:t>
      </w:r>
      <w:r>
        <w:rPr>
          <w:rFonts w:ascii="Times New Roman" w:hAnsi="Times New Roman" w:cs="Times New Roman" w:eastAsia="Times New Roman" w:hint="default"/>
          <w:spacing w:val="-3"/>
        </w:rPr>
        <w:t>242,801,887.00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5"/>
        </w:rPr>
        <w:t>元。该次减资业经天健会计师事务所（特殊普通合伙）审验，并由其于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1</w:t>
      </w:r>
      <w:r>
        <w:rPr>
          <w:spacing w:val="-5"/>
        </w:rPr>
        <w:t>日出具《验资报告》（天健验〔</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485</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31"/>
        </w:rPr>
        <w:t>号）。</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9"/>
        <w:gridCol w:w="1913"/>
        <w:gridCol w:w="1915"/>
        <w:gridCol w:w="1913"/>
      </w:tblGrid>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204,781,997.00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1,214,260,516.62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2,574,878.22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1,416,467,635.40</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68,953,709.94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22,452,860.18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8,245,779.62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83,160,790.50</w:t>
            </w:r>
          </w:p>
        </w:tc>
      </w:tr>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273,735,706.94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1,236,713,376.80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10,820,657.84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1,499,628,425.90</w:t>
            </w:r>
          </w:p>
        </w:tc>
      </w:tr>
    </w:tbl>
    <w:p>
      <w:pPr>
        <w:pStyle w:val="BodyText"/>
        <w:spacing w:line="240" w:lineRule="auto" w:before="49"/>
        <w:ind w:right="0"/>
        <w:jc w:val="left"/>
      </w:pPr>
      <w:r>
        <w:rPr/>
        <w:t>其他说明，包括本期增减变动情况、变动原因说明：</w:t>
      </w:r>
    </w:p>
    <w:p>
      <w:pPr>
        <w:pStyle w:val="BodyText"/>
        <w:spacing w:line="300" w:lineRule="auto" w:before="117"/>
        <w:ind w:right="15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增加</w:t>
      </w:r>
      <w:r>
        <w:rPr>
          <w:rFonts w:ascii="Times New Roman" w:hAnsi="Times New Roman" w:cs="Times New Roman" w:eastAsia="Times New Roman" w:hint="default"/>
        </w:rPr>
        <w:t>1,214,260,516.62</w:t>
      </w:r>
      <w:r>
        <w:rPr/>
        <w:t>元、资本公积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减少</w:t>
      </w:r>
      <w:r>
        <w:rPr>
          <w:rFonts w:ascii="Times New Roman" w:hAnsi="Times New Roman" w:cs="Times New Roman" w:eastAsia="Times New Roman" w:hint="default"/>
        </w:rPr>
        <w:t>8,245,779.62</w:t>
      </w:r>
      <w:r>
        <w:rPr/>
        <w:t>元，系本期发行股票增加资 </w:t>
      </w:r>
      <w:r>
        <w:rPr>
          <w:spacing w:val="-1"/>
        </w:rPr>
        <w:t>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)1,206,014,737.00</w:t>
      </w:r>
      <w:r>
        <w:rPr>
          <w:spacing w:val="-1"/>
        </w:rPr>
        <w:t>元，详见本财务报表附注股本之说明；本期部分限制性股票解锁，相应将原确认的对应股</w:t>
      </w:r>
      <w:r>
        <w:rPr>
          <w:spacing w:val="-57"/>
        </w:rPr>
        <w:t> </w:t>
      </w:r>
      <w:r>
        <w:rPr>
          <w:spacing w:val="-57"/>
        </w:rPr>
      </w:r>
      <w:r>
        <w:rPr/>
        <w:t>份的股份支付费用</w:t>
      </w:r>
      <w:r>
        <w:rPr>
          <w:rFonts w:ascii="Times New Roman" w:hAnsi="Times New Roman" w:cs="Times New Roman" w:eastAsia="Times New Roman" w:hint="default"/>
        </w:rPr>
        <w:t>8,245,779.62</w:t>
      </w:r>
      <w:r>
        <w:rPr/>
        <w:t>元由资本公积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转入资本公积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240" w:lineRule="auto" w:before="13"/>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减少</w:t>
      </w:r>
      <w:r>
        <w:rPr>
          <w:rFonts w:ascii="Times New Roman" w:hAnsi="Times New Roman" w:cs="Times New Roman" w:eastAsia="Times New Roman" w:hint="default"/>
        </w:rPr>
        <w:t>2,574,878.22</w:t>
      </w:r>
      <w:r>
        <w:rPr/>
        <w:t>元，系本期回购尚未解锁的限制性股票，详见本财务报表附注股本之说明。</w:t>
      </w:r>
    </w:p>
    <w:p>
      <w:pPr>
        <w:pStyle w:val="BodyText"/>
        <w:spacing w:line="240" w:lineRule="auto" w:before="63"/>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其他资本公积增加</w:t>
      </w:r>
      <w:r>
        <w:rPr>
          <w:rFonts w:ascii="Times New Roman" w:hAnsi="Times New Roman" w:cs="Times New Roman" w:eastAsia="Times New Roman" w:hint="default"/>
        </w:rPr>
        <w:t>22,452,860.18</w:t>
      </w:r>
      <w:r>
        <w:rPr/>
        <w:t>元，系本期确认的股份支付费用，详见本财务报表附注股份支付之说明。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、库存股</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2" w:right="0"/>
              <w:jc w:val="left"/>
              <w:rPr>
                <w:rFonts w:ascii="Times New Roman" w:hAnsi="Times New Roman" w:cs="Times New Roman" w:eastAsia="Times New Roman" w:hint="default"/>
                <w:sz w:val="18"/>
                <w:szCs w:val="18"/>
              </w:rPr>
            </w:pPr>
            <w:r>
              <w:rPr>
                <w:rFonts w:ascii="Times New Roman"/>
                <w:sz w:val="18"/>
              </w:rPr>
              <w:t>97,747,403.04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35,782,854.02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61,964,549.02</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回购股票</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119,400,118.77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119,400,118.77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97,747,403.04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119,400,118.77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35,782,854.02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181,364,667.79</w:t>
            </w:r>
          </w:p>
        </w:tc>
      </w:tr>
    </w:tbl>
    <w:p>
      <w:pPr>
        <w:pStyle w:val="BodyText"/>
        <w:spacing w:line="240" w:lineRule="auto" w:before="49"/>
        <w:ind w:right="0"/>
        <w:jc w:val="left"/>
      </w:pPr>
      <w:r>
        <w:rPr/>
        <w:t>其他说明，包括本期增减变动情况、变动原因说明：</w:t>
      </w:r>
    </w:p>
    <w:p>
      <w:pPr>
        <w:pStyle w:val="BodyText"/>
        <w:spacing w:line="240" w:lineRule="auto" w:before="115"/>
        <w:ind w:left="0" w:right="139"/>
        <w:jc w:val="right"/>
      </w:pPr>
      <w:r>
        <w:rPr>
          <w:rFonts w:ascii="宋体" w:hAnsi="宋体" w:cs="宋体" w:eastAsia="宋体" w:hint="default"/>
        </w:rPr>
        <w:t>1)</w:t>
      </w:r>
      <w:r>
        <w:rPr>
          <w:rFonts w:ascii="宋体" w:hAnsi="宋体" w:cs="宋体" w:eastAsia="宋体" w:hint="default"/>
          <w:spacing w:val="81"/>
        </w:rPr>
        <w:t> </w:t>
      </w:r>
      <w:r>
        <w:rPr>
          <w:spacing w:val="8"/>
        </w:rPr>
        <w:t>限制性股票回购义务减少</w:t>
      </w:r>
      <w:r>
        <w:rPr>
          <w:rFonts w:ascii="宋体" w:hAnsi="宋体" w:cs="宋体" w:eastAsia="宋体" w:hint="default"/>
          <w:spacing w:val="8"/>
        </w:rPr>
        <w:t>35,782,854.02</w:t>
      </w:r>
      <w:r>
        <w:rPr>
          <w:spacing w:val="8"/>
        </w:rPr>
        <w:t>元，包括：因本期回购尚未解锁的限制性股票</w:t>
      </w:r>
      <w:r>
        <w:rPr>
          <w:rFonts w:ascii="宋体" w:hAnsi="宋体" w:cs="宋体" w:eastAsia="宋体" w:hint="default"/>
          <w:spacing w:val="8"/>
        </w:rPr>
        <w:t>147</w:t>
      </w:r>
      <w:r>
        <w:rPr>
          <w:rFonts w:ascii="Times New Roman" w:hAnsi="Times New Roman" w:cs="Times New Roman" w:eastAsia="Times New Roman" w:hint="default"/>
          <w:spacing w:val="8"/>
        </w:rPr>
        <w:t>,</w:t>
      </w:r>
      <w:r>
        <w:rPr>
          <w:rFonts w:ascii="宋体" w:hAnsi="宋体" w:cs="宋体" w:eastAsia="宋体" w:hint="default"/>
          <w:spacing w:val="8"/>
        </w:rPr>
        <w:t>376</w:t>
      </w:r>
      <w:r>
        <w:rPr>
          <w:spacing w:val="8"/>
        </w:rPr>
        <w:t>股，相应转出</w:t>
      </w:r>
      <w:r>
        <w:rPr/>
      </w:r>
    </w:p>
    <w:p>
      <w:pPr>
        <w:pStyle w:val="BodyText"/>
        <w:spacing w:line="316" w:lineRule="auto" w:before="63"/>
        <w:ind w:right="144"/>
        <w:jc w:val="left"/>
        <w:rPr>
          <w:rFonts w:ascii="宋体" w:hAnsi="宋体" w:cs="宋体" w:eastAsia="宋体" w:hint="default"/>
        </w:rPr>
      </w:pPr>
      <w:r>
        <w:rPr>
          <w:rFonts w:ascii="宋体" w:hAnsi="宋体" w:cs="宋体" w:eastAsia="宋体" w:hint="default"/>
        </w:rPr>
        <w:t>2,722,254.22</w:t>
      </w:r>
      <w:r>
        <w:rPr/>
        <w:t>元；因本期解锁</w:t>
      </w:r>
      <w:r>
        <w:rPr>
          <w:rFonts w:ascii="宋体" w:hAnsi="宋体" w:cs="宋体" w:eastAsia="宋体" w:hint="default"/>
        </w:rPr>
        <w:t>1,821,030</w:t>
      </w:r>
      <w:r>
        <w:rPr/>
        <w:t>股限制性股票，相应转出</w:t>
      </w:r>
      <w:r>
        <w:rPr>
          <w:rFonts w:ascii="宋体" w:hAnsi="宋体" w:cs="宋体" w:eastAsia="宋体" w:hint="default"/>
        </w:rPr>
        <w:t>33,060,599.80</w:t>
      </w:r>
      <w:r>
        <w:rPr/>
        <w:t>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日，尚有</w:t>
      </w:r>
      <w:r>
        <w:rPr>
          <w:rFonts w:ascii="宋体" w:hAnsi="宋体" w:cs="宋体" w:eastAsia="宋体" w:hint="default"/>
        </w:rPr>
        <w:t>3,484,478 </w:t>
      </w:r>
      <w:r>
        <w:rPr/>
        <w:t>股限制性股票未解锁，因公司仍负有回购义务，故仍列于本项目（同时计列其他应付款项目）。</w:t>
      </w:r>
      <w:r>
        <w:rPr>
          <w:rFonts w:ascii="宋体" w:hAnsi="宋体" w:cs="宋体" w:eastAsia="宋体" w:hint="default"/>
        </w:rPr>
        <w:t> </w:t>
      </w:r>
    </w:p>
    <w:p>
      <w:pPr>
        <w:pStyle w:val="BodyText"/>
        <w:spacing w:line="316" w:lineRule="auto" w:before="59"/>
        <w:ind w:right="148" w:firstLine="420"/>
        <w:jc w:val="both"/>
      </w:pPr>
      <w:r>
        <w:rPr>
          <w:rFonts w:ascii="宋体" w:hAnsi="宋体" w:cs="宋体" w:eastAsia="宋体" w:hint="default"/>
        </w:rPr>
        <w:t>2)</w:t>
      </w:r>
      <w:r>
        <w:rPr>
          <w:rFonts w:ascii="宋体" w:hAnsi="宋体" w:cs="宋体" w:eastAsia="宋体" w:hint="default"/>
          <w:spacing w:val="-50"/>
        </w:rPr>
        <w:t> </w:t>
      </w:r>
      <w:r>
        <w:rPr/>
        <w:t>回购股票增加</w:t>
      </w:r>
      <w:r>
        <w:rPr>
          <w:rFonts w:ascii="宋体" w:hAnsi="宋体" w:cs="宋体" w:eastAsia="宋体" w:hint="default"/>
        </w:rPr>
        <w:t>119,400,118.77</w:t>
      </w:r>
      <w:r>
        <w:rPr/>
        <w:t>元，系根据公司</w:t>
      </w:r>
      <w:r>
        <w:rPr>
          <w:rFonts w:ascii="宋体" w:hAnsi="宋体" w:cs="宋体" w:eastAsia="宋体" w:hint="default"/>
        </w:rPr>
        <w:t>2017</w:t>
      </w:r>
      <w:r>
        <w:rPr/>
        <w:t>年第二次临时性股东大会，公司本期以自筹资金回购股票用于实 施员工持股计划，以集中竞价方式累计回购公司股票共计</w:t>
      </w:r>
      <w:r>
        <w:rPr>
          <w:rFonts w:ascii="宋体" w:hAnsi="宋体" w:cs="宋体" w:eastAsia="宋体" w:hint="default"/>
        </w:rPr>
        <w:t>3,800,016</w:t>
      </w:r>
      <w:r>
        <w:rPr/>
        <w:t>股，合计回购价款</w:t>
      </w:r>
      <w:r>
        <w:rPr>
          <w:rFonts w:ascii="宋体" w:hAnsi="宋体" w:cs="宋体" w:eastAsia="宋体" w:hint="default"/>
        </w:rPr>
        <w:t>119,400,118.77</w:t>
      </w:r>
      <w:r>
        <w:rPr/>
        <w:t>元，相应增加库存股</w:t>
      </w:r>
      <w:r>
        <w:rPr>
          <w:spacing w:val="-85"/>
        </w:rPr>
        <w:t> </w:t>
      </w:r>
      <w:r>
        <w:rPr>
          <w:rFonts w:ascii="宋体" w:hAnsi="宋体" w:cs="宋体" w:eastAsia="宋体" w:hint="default"/>
        </w:rPr>
        <w:t>119,400,118.77</w:t>
      </w:r>
      <w:r>
        <w:rPr/>
        <w:t>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日，该回购股票尚未过户至员工持股计划账户。</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888"/>
        <w:gridCol w:w="1929"/>
        <w:gridCol w:w="1913"/>
        <w:gridCol w:w="1915"/>
        <w:gridCol w:w="1913"/>
      </w:tblGrid>
      <w:tr>
        <w:trPr>
          <w:trHeight w:val="401"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35,711,283.22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5,805,596.50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41,516,879.72</w:t>
            </w:r>
          </w:p>
        </w:tc>
      </w:tr>
      <w:tr>
        <w:trPr>
          <w:trHeight w:val="403" w:hRule="exact"/>
        </w:trPr>
        <w:tc>
          <w:tcPr>
            <w:tcW w:w="1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35,711,283.22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5,805,596.50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41,516,879.72</w:t>
            </w:r>
          </w:p>
        </w:tc>
      </w:tr>
    </w:tbl>
    <w:p>
      <w:pPr>
        <w:pStyle w:val="BodyText"/>
        <w:spacing w:line="240" w:lineRule="auto" w:before="49"/>
        <w:ind w:right="0"/>
        <w:jc w:val="left"/>
      </w:pPr>
      <w:r>
        <w:rPr/>
        <w:t>盈余公积说明，包括本期增减变动情况、变动原因说明：</w:t>
      </w:r>
    </w:p>
    <w:p>
      <w:pPr>
        <w:pStyle w:val="BodyText"/>
        <w:spacing w:line="309" w:lineRule="auto" w:before="115"/>
        <w:ind w:right="174"/>
        <w:jc w:val="left"/>
      </w:pPr>
      <w:r>
        <w:rPr/>
        <w:t>本期盈余公积增加</w:t>
      </w:r>
      <w:r>
        <w:rPr>
          <w:rFonts w:ascii="Times New Roman" w:hAnsi="Times New Roman" w:cs="Times New Roman" w:eastAsia="Times New Roman" w:hint="default"/>
        </w:rPr>
        <w:t>5,805,596.50</w:t>
      </w:r>
      <w:r>
        <w:rPr/>
        <w:t>元，包括：根据</w:t>
      </w:r>
      <w:r>
        <w:rPr>
          <w:rFonts w:ascii="Times New Roman" w:hAnsi="Times New Roman" w:cs="Times New Roman" w:eastAsia="Times New Roman" w:hint="default"/>
        </w:rPr>
        <w:t>2017</w:t>
      </w:r>
      <w:r>
        <w:rPr/>
        <w:t>年度母公司实现净利润的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5,599,384.73</w:t>
      </w:r>
      <w:r>
        <w:rPr/>
        <w:t>元；本期浙 江创源环境科技股份有限公司由控股子公司变更为联营企业，母公司对其由成本法改为权益法，母公司对于原取得投资时 至本期期初该公司实现的净损益中应享有的份额，相应调整增加法定盈余公积</w:t>
      </w:r>
      <w:r>
        <w:rPr>
          <w:rFonts w:ascii="Times New Roman" w:hAnsi="Times New Roman" w:cs="Times New Roman" w:eastAsia="Times New Roman" w:hint="default"/>
        </w:rPr>
        <w:t>206,211.77</w:t>
      </w:r>
      <w:r>
        <w:rPr/>
        <w:t>元。</w:t>
      </w: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302,173,025.37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255,143,379.55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302,173,025.37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255,143,379.55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163,244,227.81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63,003,453.15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5,805,596.50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5,464,057.33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24,282,120.05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10,509,750.00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435,329,536.63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302,173,025.37</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34</w:t>
      </w:r>
      <w:r>
        <w:rPr/>
        <w:t>、营业收入和营业成本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1,148,642,985.21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587,319,847.01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548,019,714.07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279,737,935.77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4,309,952.88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1,408,045.02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625,593.47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355,690.20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1,152,952,938.09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588,727,892.03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548,645,307.54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280,093,625.97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35</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4,429,749.57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2,984,225.38</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1,904,933.39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1,291,482.09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2,965,734.86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403,112.11</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58,204.78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36,390.85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13,340.00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1,371,765.55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789,685.90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1,270,721.34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850,742.40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916,580.59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-773,141.50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12,959,030.08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5,595,837.23</w:t>
            </w:r>
          </w:p>
        </w:tc>
      </w:tr>
    </w:tbl>
    <w:p>
      <w:pPr>
        <w:pStyle w:val="BodyText"/>
        <w:spacing w:line="240" w:lineRule="auto" w:before="49"/>
        <w:ind w:right="0"/>
        <w:jc w:val="left"/>
      </w:pPr>
      <w:r>
        <w:rPr/>
        <w:t>其他说明：</w:t>
      </w:r>
    </w:p>
    <w:p>
      <w:pPr>
        <w:pStyle w:val="BodyText"/>
        <w:spacing w:line="300" w:lineRule="auto" w:before="115"/>
        <w:ind w:right="0" w:firstLine="362"/>
        <w:jc w:val="left"/>
      </w:pPr>
      <w:r>
        <w:rPr>
          <w:spacing w:val="-2"/>
        </w:rPr>
        <w:t>根据财政部《增值税会计处理规定》</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以及《关于</w:t>
      </w:r>
      <w:r>
        <w:rPr>
          <w:rFonts w:ascii="Times New Roman" w:hAnsi="Times New Roman" w:cs="Times New Roman" w:eastAsia="Times New Roman" w:hint="default"/>
          <w:spacing w:val="-2"/>
        </w:rPr>
        <w:t>&lt;</w:t>
      </w:r>
      <w:r>
        <w:rPr>
          <w:spacing w:val="-2"/>
        </w:rPr>
        <w:t>增值税会计处理规定</w:t>
      </w:r>
      <w:r>
        <w:rPr>
          <w:rFonts w:ascii="Times New Roman" w:hAnsi="Times New Roman" w:cs="Times New Roman" w:eastAsia="Times New Roman" w:hint="default"/>
          <w:spacing w:val="-2"/>
        </w:rPr>
        <w:t>&gt;</w:t>
      </w:r>
      <w:r>
        <w:rPr>
          <w:spacing w:val="-2"/>
        </w:rPr>
        <w:t>有关问题的解读》，本公司</w:t>
      </w:r>
      <w:r>
        <w:rPr/>
        <w:t> 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月之后的房产税、土地使用税、车船税和印花税的发生额列报于</w:t>
      </w:r>
      <w:r>
        <w:rPr>
          <w:rFonts w:ascii="Times New Roman" w:hAnsi="Times New Roman" w:cs="Times New Roman" w:eastAsia="Times New Roman" w:hint="default"/>
        </w:rPr>
        <w:t>“</w:t>
      </w:r>
      <w:r>
        <w:rPr/>
        <w:t>税金及附加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月之前的发生额仍</w:t>
      </w:r>
      <w:r>
        <w:rPr>
          <w:spacing w:val="-88"/>
        </w:rPr>
        <w:t> </w:t>
      </w:r>
      <w:r>
        <w:rPr/>
        <w:t>列报于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34,853,042.76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31,057,411.97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15,162,158.40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8,543,628.47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17,610,535.36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10,177,216.92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14,310,735.08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9,760,123.99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15,748,060.23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4,785,272.01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1,449,030.36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542,006.58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1,118,960.05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926,567.53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554,801.70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1,084,574.73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4,690,716.19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2,689,961.71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271,756.54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108,188,001.84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67,148,558.74</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96,686,150.13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45,127,087.05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115,725,190.48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84,530,838.31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17,805,479.38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9,781,923.61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11,398,210.74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7,050,300.75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5,754,204.28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3,361,251.26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10,569,954.07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3,310,726.70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3,877,751.26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889,614.86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537,610.93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274,278.40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5,786,602.59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3,386,674.63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268,141,153.86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157,712,695.57</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2,951,816.52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108,678.75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5,131,741.59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7,751,591.40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195,516.49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65,686.75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-1,984,408.58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-7,577,225.90</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18,477,262.84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8,148,713.77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18,477,262.84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8,148,713.77</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459"/>
        <w:gridCol w:w="3192"/>
        <w:gridCol w:w="2917"/>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3,568,415.05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1,111,939.65</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银行短期理财产品收益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1,161,069.00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4,729,484.05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1,111,939.65</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41</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431,148.34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37,623,937.23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35,477,700.76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428,596.70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428,596.70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428,596.70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35,500,050.94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428,596.70</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增值税返还</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杭州市国库 滨江区支库</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因从事国家 鼓励和扶持 特定行业、 产业而获得 的补助（按 国家级政策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24,596,995.2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4"/>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规定依法取 得）</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地方水利建 设基金返还</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杭州市地方 税务局高新</w:t>
            </w:r>
          </w:p>
          <w:p>
            <w:pPr>
              <w:pStyle w:val="TableParagraph"/>
              <w:spacing w:line="316" w:lineRule="auto" w:before="19"/>
              <w:ind w:left="23" w:right="125"/>
              <w:jc w:val="left"/>
              <w:rPr>
                <w:rFonts w:ascii="宋体" w:hAnsi="宋体" w:cs="宋体" w:eastAsia="宋体" w:hint="default"/>
                <w:sz w:val="18"/>
                <w:szCs w:val="18"/>
              </w:rPr>
            </w:pPr>
            <w:r>
              <w:rPr>
                <w:rFonts w:ascii="宋体" w:hAnsi="宋体" w:cs="宋体" w:eastAsia="宋体" w:hint="default"/>
                <w:sz w:val="18"/>
                <w:szCs w:val="18"/>
              </w:rPr>
              <w:t>（滨江）税 务分局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因研究开 发、技术更 新及改造等 获得的补助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303,280.35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杭州滨江区 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工业发展资 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25"/>
              <w:jc w:val="left"/>
              <w:rPr>
                <w:rFonts w:ascii="宋体" w:hAnsi="宋体" w:cs="宋体" w:eastAsia="宋体" w:hint="default"/>
                <w:sz w:val="18"/>
                <w:szCs w:val="18"/>
              </w:rPr>
            </w:pPr>
            <w:r>
              <w:rPr>
                <w:rFonts w:ascii="宋体" w:hAnsi="宋体" w:cs="宋体" w:eastAsia="宋体" w:hint="default"/>
                <w:sz w:val="18"/>
                <w:szCs w:val="18"/>
              </w:rPr>
              <w:t>嘉兴市财政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因从事国家 鼓励和扶持 特定行业、 产业而获得 的补助（按 国家级政策 规定依法取 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其他零星补 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245,425.18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递延收益转 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因从事国家 鼓励和扶持 特定行业、 产业而获得 的补助（按 国家级政策 规定依法取 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9,332,000.00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35,477,700.7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78,823.70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220,469.50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78,823.70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71,353.29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556,257.79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556,257.79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8" w:right="0"/>
              <w:jc w:val="left"/>
              <w:rPr>
                <w:rFonts w:ascii="Times New Roman" w:hAnsi="Times New Roman" w:cs="Times New Roman" w:eastAsia="Times New Roman" w:hint="default"/>
                <w:sz w:val="18"/>
                <w:szCs w:val="18"/>
              </w:rPr>
            </w:pPr>
            <w:r>
              <w:rPr>
                <w:rFonts w:ascii="Times New Roman"/>
                <w:sz w:val="18"/>
              </w:rPr>
              <w:t>1,016,434.78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278,780.66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1,016,434.78</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4"/>
        <w:gridCol w:w="3204"/>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33,812,660.46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6,240,066.95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-1,956,497.99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510,122.66</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31,856,162.47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6,750,189.61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200,640,737.56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20,064,073.76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6,868,069.94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128,569.03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-416,211.00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7,371,589.37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-91,891.06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3,119,622.97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-5,185,122.62</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税率影响导致递延所得税差异</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-2,537.92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31,856,162.47</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46</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6,969,865.51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9,297,425.18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w:t>
            </w:r>
            <w:r>
              <w:rPr>
                <w:rFonts w:ascii="Times New Roman" w:hAnsi="Times New Roman" w:cs="Times New Roman" w:eastAsia="Times New Roman" w:hint="default"/>
                <w:sz w:val="18"/>
                <w:szCs w:val="18"/>
              </w:rPr>
              <w:t>/</w:t>
            </w:r>
            <w:r>
              <w:rPr>
                <w:rFonts w:ascii="宋体" w:hAnsi="宋体" w:cs="宋体" w:eastAsia="宋体" w:hint="default"/>
                <w:sz w:val="18"/>
                <w:szCs w:val="18"/>
              </w:rPr>
              <w:t>收到押金保证金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6,722,184.45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收回不符合现金及现金等价物定义的保 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5,674,750.00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634,302.71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1,073,852.24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4,070,225.31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622,593.47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1,939,721.35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3,774,860.93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20,996,299.33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21,656,281.82</w:t>
            </w:r>
          </w:p>
        </w:tc>
      </w:tr>
    </w:tbl>
    <w:p>
      <w:pPr>
        <w:pStyle w:val="BodyText"/>
        <w:spacing w:line="240" w:lineRule="auto" w:before="49"/>
        <w:ind w:right="0"/>
        <w:jc w:val="left"/>
      </w:pPr>
      <w:r>
        <w:rPr/>
        <w:t>收到的其他与经营活动有关的现金说明：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支付不符合现金及现金等价物定义的保 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793,479.10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付现经营费用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115,304,939.26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64,996,803.04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10,227,523.90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1,912,938.04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120,597.91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118,011,356.40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75,344,924.85</w:t>
            </w:r>
          </w:p>
        </w:tc>
      </w:tr>
    </w:tbl>
    <w:p>
      <w:pPr>
        <w:pStyle w:val="BodyText"/>
        <w:spacing w:line="240" w:lineRule="auto" w:before="49"/>
        <w:ind w:right="0"/>
        <w:jc w:val="left"/>
      </w:pPr>
      <w:r>
        <w:rPr/>
        <w:t>支付的其他与经营活动有关的现金说明：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4,497,438.88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6,677,739.16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赎回银行短期理财产品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取得子公司杭州惟勤科技有限公司时收 到的现金净额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441,985.33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183,837,438.88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141,559,724.49</w:t>
            </w:r>
          </w:p>
        </w:tc>
      </w:tr>
    </w:tbl>
    <w:p>
      <w:pPr>
        <w:pStyle w:val="BodyText"/>
        <w:spacing w:line="240" w:lineRule="auto" w:before="49"/>
        <w:ind w:right="0"/>
        <w:jc w:val="left"/>
      </w:pPr>
      <w:r>
        <w:rPr/>
        <w:t>收到的其他与投资活动有关的现金说明：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减少子公司浙江创源环境科技股份有限 公司时减少的现金净额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612,373.40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22,312,373.40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49"/>
        <w:ind w:right="0"/>
        <w:jc w:val="left"/>
      </w:pPr>
      <w:r>
        <w:rPr/>
        <w:t>支付的其他与投资活动有关的现金说明：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7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3,850,943.40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2,122,641.51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2,843,412.26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613,805.00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119,400,118.77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偿还拆借款及利息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2,252,979.33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128,347,453.76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2,736,446.51</w:t>
            </w:r>
          </w:p>
        </w:tc>
      </w:tr>
    </w:tbl>
    <w:p>
      <w:pPr>
        <w:pStyle w:val="BodyText"/>
        <w:spacing w:line="240" w:lineRule="auto" w:before="49"/>
        <w:ind w:right="0"/>
        <w:jc w:val="left"/>
      </w:pPr>
      <w:r>
        <w:rPr/>
        <w:t>支付的其他与筹资活动有关的现金说明：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05"/>
        <w:gridCol w:w="3069"/>
        <w:gridCol w:w="3183"/>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168,784,575.09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67,106,122.48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18,477,262.84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8,148,713.77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17,550,995.54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6,916,239.50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3,984,727.02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1,005,223.52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313,326.84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17,125.70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-431,148.34</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71,353.29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3305"/>
        <w:gridCol w:w="3069"/>
        <w:gridCol w:w="3183"/>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-1,566,828.16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-6,569,060.41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-4,729,484.05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-384,589.22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41"/>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-1,956,497.99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510,122.66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-50,651,481.43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3,813,015.65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-56,025,934.89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-47,600,871.77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57,852,615.71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38,041,495.64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22,452,860.18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47,980,596.85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174,126,341.65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118,987,534.37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74"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360,288,285.78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317,282,646.44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317,282,646.44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298,476,707.75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43,005,639.34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18,805,938.69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128,528,932.80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杭州博泰信息技术服务有限公司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杭州卓腾信息技术有限公司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14,829,104.80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杭州梅清数码科技有限公司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杭州美诺泰科科技有限公司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40,799,828.00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36,800,982.26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杭州博泰信息技术服务有限公司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35,747,696.82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杭州卓腾信息技术有限公司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128,418.21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杭州梅清数码科技有限公司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309,556.69</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杭州美诺泰科科技有限公司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615,310.54</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91,727,950.54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9"/>
        <w:gridCol w:w="4579"/>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05"/>
        <w:gridCol w:w="3069"/>
        <w:gridCol w:w="3183"/>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360,288,285.78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317,282,646.44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130,869.17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100,289.56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360,157,416.61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317,182,356.88</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360,288,285.78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317,282,646.44</w:t>
            </w:r>
          </w:p>
        </w:tc>
      </w:tr>
    </w:tbl>
    <w:p>
      <w:pPr>
        <w:pStyle w:val="BodyText"/>
        <w:spacing w:line="240" w:lineRule="auto" w:before="49"/>
        <w:ind w:right="0"/>
        <w:jc w:val="left"/>
      </w:pPr>
      <w:r>
        <w:rPr/>
        <w:t>其他说明：</w:t>
      </w:r>
    </w:p>
    <w:p>
      <w:pPr>
        <w:pStyle w:val="BodyText"/>
        <w:spacing w:line="300" w:lineRule="auto" w:before="115"/>
        <w:ind w:right="151" w:firstLine="420"/>
        <w:jc w:val="both"/>
      </w:pPr>
      <w:r>
        <w:rPr>
          <w:spacing w:val="-1"/>
        </w:rPr>
        <w:t>合并现金流量表</w:t>
      </w:r>
      <w:r>
        <w:rPr>
          <w:rFonts w:ascii="Times New Roman" w:hAnsi="Times New Roman" w:cs="Times New Roman" w:eastAsia="Times New Roman" w:hint="default"/>
          <w:spacing w:val="-1"/>
        </w:rPr>
        <w:t>“</w:t>
      </w:r>
      <w:r>
        <w:rPr>
          <w:spacing w:val="-1"/>
        </w:rPr>
        <w:t>期末现金及现金等价物余额</w:t>
      </w:r>
      <w:r>
        <w:rPr>
          <w:rFonts w:ascii="Times New Roman" w:hAnsi="Times New Roman" w:cs="Times New Roman" w:eastAsia="Times New Roman" w:hint="default"/>
          <w:spacing w:val="-1"/>
        </w:rPr>
        <w:t>”</w:t>
      </w:r>
      <w:r>
        <w:rPr>
          <w:spacing w:val="-1"/>
        </w:rPr>
        <w:t>为</w:t>
      </w:r>
      <w:r>
        <w:rPr>
          <w:rFonts w:ascii="Times New Roman" w:hAnsi="Times New Roman" w:cs="Times New Roman" w:eastAsia="Times New Roman" w:hint="default"/>
          <w:spacing w:val="-1"/>
        </w:rPr>
        <w:t>360,288,285.78</w:t>
      </w:r>
      <w:r>
        <w:rPr>
          <w:spacing w:val="-1"/>
        </w:rPr>
        <w:t>元，合并资产负债表</w:t>
      </w:r>
      <w:r>
        <w:rPr>
          <w:rFonts w:ascii="Times New Roman" w:hAnsi="Times New Roman" w:cs="Times New Roman" w:eastAsia="Times New Roman" w:hint="default"/>
          <w:spacing w:val="-1"/>
        </w:rPr>
        <w:t>“</w:t>
      </w:r>
      <w:r>
        <w:rPr>
          <w:spacing w:val="-1"/>
        </w:rPr>
        <w:t>货币资金</w:t>
      </w:r>
      <w:r>
        <w:rPr>
          <w:rFonts w:ascii="Times New Roman" w:hAnsi="Times New Roman" w:cs="Times New Roman" w:eastAsia="Times New Roman" w:hint="default"/>
          <w:spacing w:val="-1"/>
        </w:rPr>
        <w:t>”</w:t>
      </w:r>
      <w:r>
        <w:rPr>
          <w:spacing w:val="-1"/>
        </w:rPr>
        <w:t>期末数为</w:t>
      </w:r>
      <w:r>
        <w:rPr>
          <w:rFonts w:ascii="Times New Roman" w:hAnsi="Times New Roman" w:cs="Times New Roman" w:eastAsia="Times New Roman" w:hint="default"/>
          <w:spacing w:val="-1"/>
        </w:rPr>
        <w:t>361,081,959.81</w:t>
      </w:r>
      <w:r>
        <w:rPr>
          <w:rFonts w:ascii="Times New Roman" w:hAnsi="Times New Roman" w:cs="Times New Roman" w:eastAsia="Times New Roman" w:hint="default"/>
        </w:rPr>
        <w:t> </w:t>
      </w:r>
      <w:r>
        <w:rPr/>
        <w:t>元，差异</w:t>
      </w:r>
      <w:r>
        <w:rPr>
          <w:rFonts w:ascii="Times New Roman" w:hAnsi="Times New Roman" w:cs="Times New Roman" w:eastAsia="Times New Roman" w:hint="default"/>
        </w:rPr>
        <w:t>793,674.03</w:t>
      </w:r>
      <w:r>
        <w:rPr/>
        <w:t>元，系合并现金流量表</w:t>
      </w:r>
      <w:r>
        <w:rPr>
          <w:rFonts w:ascii="Times New Roman" w:hAnsi="Times New Roman" w:cs="Times New Roman" w:eastAsia="Times New Roman" w:hint="default"/>
        </w:rPr>
        <w:t>“</w:t>
      </w:r>
      <w:r>
        <w:rPr/>
        <w:t>期末现金及现金等价物余额</w:t>
      </w:r>
      <w:r>
        <w:rPr>
          <w:rFonts w:ascii="Times New Roman" w:hAnsi="Times New Roman" w:cs="Times New Roman" w:eastAsia="Times New Roman" w:hint="default"/>
        </w:rPr>
        <w:t>”</w:t>
      </w:r>
      <w:r>
        <w:rPr/>
        <w:t>扣除了不符合现金及现金等价物标准的其他货币资</w:t>
      </w:r>
      <w:r>
        <w:rPr>
          <w:spacing w:val="-68"/>
        </w:rPr>
        <w:t> </w:t>
      </w:r>
      <w:r>
        <w:rPr>
          <w:spacing w:val="-68"/>
        </w:rPr>
      </w:r>
      <w:r>
        <w:rPr/>
        <w:t>金</w:t>
      </w:r>
      <w:r>
        <w:rPr>
          <w:rFonts w:ascii="Times New Roman" w:hAnsi="Times New Roman" w:cs="Times New Roman" w:eastAsia="Times New Roman" w:hint="default"/>
        </w:rPr>
        <w:t>793,674.03</w:t>
      </w:r>
      <w:r>
        <w:rPr/>
        <w:t>元。</w:t>
      </w:r>
    </w:p>
    <w:p>
      <w:pPr>
        <w:pStyle w:val="BodyText"/>
        <w:spacing w:line="300" w:lineRule="auto" w:before="13"/>
        <w:ind w:right="151" w:firstLine="360"/>
        <w:jc w:val="both"/>
      </w:pPr>
      <w:r>
        <w:rPr/>
        <w:t>合并现金流量表</w:t>
      </w:r>
      <w:r>
        <w:rPr>
          <w:rFonts w:ascii="Times New Roman" w:hAnsi="Times New Roman" w:cs="Times New Roman" w:eastAsia="Times New Roman" w:hint="default"/>
        </w:rPr>
        <w:t>“</w:t>
      </w:r>
      <w:r>
        <w:rPr/>
        <w:t>期初现金及现金等价物余额</w:t>
      </w:r>
      <w:r>
        <w:rPr>
          <w:rFonts w:ascii="Times New Roman" w:hAnsi="Times New Roman" w:cs="Times New Roman" w:eastAsia="Times New Roman" w:hint="default"/>
        </w:rPr>
        <w:t>”</w:t>
      </w:r>
      <w:r>
        <w:rPr/>
        <w:t>为</w:t>
      </w:r>
      <w:r>
        <w:rPr>
          <w:rFonts w:ascii="Times New Roman" w:hAnsi="Times New Roman" w:cs="Times New Roman" w:eastAsia="Times New Roman" w:hint="default"/>
        </w:rPr>
        <w:t>317,282,646.44</w:t>
      </w:r>
      <w:r>
        <w:rPr/>
        <w:t>元，合并资产负债表</w:t>
      </w:r>
      <w:r>
        <w:rPr>
          <w:rFonts w:ascii="Times New Roman" w:hAnsi="Times New Roman" w:cs="Times New Roman" w:eastAsia="Times New Roman" w:hint="default"/>
        </w:rPr>
        <w:t>“</w:t>
      </w:r>
      <w:r>
        <w:rPr/>
        <w:t>货币资金</w:t>
      </w:r>
      <w:r>
        <w:rPr>
          <w:rFonts w:ascii="Times New Roman" w:hAnsi="Times New Roman" w:cs="Times New Roman" w:eastAsia="Times New Roman" w:hint="default"/>
        </w:rPr>
        <w:t>”</w:t>
      </w:r>
      <w:r>
        <w:rPr/>
        <w:t>期初数为</w:t>
      </w:r>
      <w:r>
        <w:rPr>
          <w:rFonts w:ascii="Times New Roman" w:hAnsi="Times New Roman" w:cs="Times New Roman" w:eastAsia="Times New Roman" w:hint="default"/>
        </w:rPr>
        <w:t>317,942,646.44 </w:t>
      </w:r>
      <w:r>
        <w:rPr/>
        <w:t>元，差异</w:t>
      </w:r>
      <w:r>
        <w:rPr>
          <w:rFonts w:ascii="Times New Roman" w:hAnsi="Times New Roman" w:cs="Times New Roman" w:eastAsia="Times New Roman" w:hint="default"/>
        </w:rPr>
        <w:t>660,000.00</w:t>
      </w:r>
      <w:r>
        <w:rPr/>
        <w:t>元，系合并现金流量表</w:t>
      </w:r>
      <w:r>
        <w:rPr>
          <w:rFonts w:ascii="Times New Roman" w:hAnsi="Times New Roman" w:cs="Times New Roman" w:eastAsia="Times New Roman" w:hint="default"/>
        </w:rPr>
        <w:t>“</w:t>
      </w:r>
      <w:r>
        <w:rPr/>
        <w:t>期初现金及现金等价物余额</w:t>
      </w:r>
      <w:r>
        <w:rPr>
          <w:rFonts w:ascii="Times New Roman" w:hAnsi="Times New Roman" w:cs="Times New Roman" w:eastAsia="Times New Roman" w:hint="default"/>
        </w:rPr>
        <w:t>”</w:t>
      </w:r>
      <w:r>
        <w:rPr/>
        <w:t>扣除了不符合现金及现金等价物标准的保函保证金</w:t>
      </w:r>
      <w:r>
        <w:rPr>
          <w:spacing w:val="-68"/>
        </w:rPr>
        <w:t> </w:t>
      </w:r>
      <w:r>
        <w:rPr>
          <w:spacing w:val="-68"/>
        </w:rPr>
      </w:r>
      <w:r>
        <w:rPr>
          <w:rFonts w:ascii="Times New Roman" w:hAnsi="Times New Roman" w:cs="Times New Roman" w:eastAsia="Times New Roman" w:hint="default"/>
        </w:rPr>
        <w:t>160,000.00</w:t>
      </w:r>
      <w:r>
        <w:rPr/>
        <w:t>元和已作为项目保证金的定期存款</w:t>
      </w:r>
      <w:r>
        <w:rPr>
          <w:rFonts w:ascii="Times New Roman" w:hAnsi="Times New Roman" w:cs="Times New Roman" w:eastAsia="Times New Roman" w:hint="default"/>
        </w:rPr>
        <w:t>500,000.00</w:t>
      </w:r>
      <w:r>
        <w:rPr/>
        <w:t>元。</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48</w:t>
      </w:r>
      <w:r>
        <w:rPr/>
        <w:t>、所有权或使用权受到限制的资产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15"/>
        <w:gridCol w:w="3058"/>
        <w:gridCol w:w="3183"/>
      </w:tblGrid>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7" w:hRule="exact"/>
        </w:trPr>
        <w:tc>
          <w:tcPr>
            <w:tcW w:w="331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793,674.03</w:t>
            </w:r>
          </w:p>
        </w:tc>
        <w:tc>
          <w:tcPr>
            <w:tcW w:w="3183"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188,679.10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函保证金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604,800.00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元和其他存款</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194.93 </w:t>
            </w:r>
            <w:r>
              <w:rPr>
                <w:rFonts w:ascii="宋体" w:hAnsi="宋体" w:cs="宋体" w:eastAsia="宋体" w:hint="default"/>
                <w:sz w:val="18"/>
                <w:szCs w:val="18"/>
              </w:rPr>
              <w:t>元。</w:t>
            </w:r>
          </w:p>
        </w:tc>
      </w:tr>
      <w:tr>
        <w:trPr>
          <w:trHeight w:val="391" w:hRule="exact"/>
        </w:trPr>
        <w:tc>
          <w:tcPr>
            <w:tcW w:w="33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9" w:space="0" w:color="D2D2D2"/>
              <w:right w:val="single" w:sz="4" w:space="0" w:color="000000"/>
            </w:tcBorders>
          </w:tcPr>
          <w:p>
            <w:pPr/>
          </w:p>
        </w:tc>
        <w:tc>
          <w:tcPr>
            <w:tcW w:w="3183" w:type="dxa"/>
            <w:vMerge/>
            <w:tcBorders>
              <w:left w:val="single" w:sz="4" w:space="0" w:color="000000"/>
              <w:right w:val="single" w:sz="4" w:space="0" w:color="000000"/>
            </w:tcBorders>
          </w:tcPr>
          <w:p>
            <w:pPr/>
          </w:p>
        </w:tc>
      </w:tr>
      <w:tr>
        <w:trPr>
          <w:trHeight w:val="317" w:hRule="exact"/>
        </w:trPr>
        <w:tc>
          <w:tcPr>
            <w:tcW w:w="3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9" w:space="0" w:color="D2D2D2"/>
              <w:bottom w:val="single" w:sz="4" w:space="0" w:color="000000"/>
              <w:right w:val="single" w:sz="4" w:space="0" w:color="000000"/>
            </w:tcBorders>
          </w:tcPr>
          <w:p>
            <w:pPr/>
          </w:p>
        </w:tc>
        <w:tc>
          <w:tcPr>
            <w:tcW w:w="3183" w:type="dxa"/>
            <w:vMerge/>
            <w:tcBorders>
              <w:left w:val="single" w:sz="4" w:space="0" w:color="000000"/>
              <w:bottom w:val="single" w:sz="4" w:space="0" w:color="000000"/>
              <w:right w:val="single" w:sz="4" w:space="0" w:color="000000"/>
            </w:tcBorders>
          </w:tcPr>
          <w:p>
            <w:pPr/>
          </w:p>
        </w:tc>
      </w:tr>
      <w:tr>
        <w:trPr>
          <w:trHeight w:val="403"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793,674.03</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4"/>
        <w:gridCol w:w="1063"/>
        <w:gridCol w:w="1064"/>
        <w:gridCol w:w="1066"/>
        <w:gridCol w:w="1064"/>
        <w:gridCol w:w="1063"/>
        <w:gridCol w:w="816"/>
        <w:gridCol w:w="1309"/>
        <w:gridCol w:w="1063"/>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1"/>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6"/>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6" w:right="74"/>
              <w:jc w:val="both"/>
              <w:rPr>
                <w:rFonts w:ascii="宋体" w:hAnsi="宋体" w:cs="宋体" w:eastAsia="宋体" w:hint="default"/>
                <w:sz w:val="18"/>
                <w:szCs w:val="18"/>
              </w:rPr>
            </w:pPr>
            <w:r>
              <w:rPr>
                <w:rFonts w:ascii="宋体" w:hAnsi="宋体" w:cs="宋体" w:eastAsia="宋体" w:hint="default"/>
                <w:sz w:val="18"/>
                <w:szCs w:val="18"/>
              </w:rPr>
              <w:t>杭州博泰信 息技术服务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取得实际 控制权</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458,141,913.39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105,975,893.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杭州卓腾信 息技术有限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14,829,104.8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取得实际 控制权</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1,468,505.07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123,080.59</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杭州梅清数 码科技有限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取得实际 控制权</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15,630,347.85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3,243,889.99</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杭州美诺泰 科科技有限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40,799,828.0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2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60"/>
              <w:jc w:val="left"/>
              <w:rPr>
                <w:rFonts w:ascii="宋体" w:hAnsi="宋体" w:cs="宋体" w:eastAsia="宋体" w:hint="default"/>
                <w:sz w:val="18"/>
                <w:szCs w:val="18"/>
              </w:rPr>
            </w:pPr>
            <w:r>
              <w:rPr>
                <w:rFonts w:ascii="宋体" w:hAnsi="宋体" w:cs="宋体" w:eastAsia="宋体" w:hint="default"/>
                <w:sz w:val="18"/>
                <w:szCs w:val="18"/>
              </w:rPr>
              <w:t>取得实际 控制权</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8,727,456.81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1,407,680.14</w:t>
            </w:r>
          </w:p>
        </w:tc>
      </w:tr>
    </w:tbl>
    <w:p>
      <w:pPr>
        <w:spacing w:line="240" w:lineRule="auto" w:before="2"/>
        <w:rPr>
          <w:rFonts w:ascii="宋体" w:hAnsi="宋体" w:cs="宋体" w:eastAsia="宋体" w:hint="default"/>
          <w:sz w:val="27"/>
          <w:szCs w:val="27"/>
        </w:rPr>
      </w:pPr>
    </w:p>
    <w:p>
      <w:pPr>
        <w:pStyle w:val="BodyText"/>
        <w:spacing w:line="360" w:lineRule="auto" w:before="44"/>
        <w:ind w:right="774"/>
        <w:jc w:val="left"/>
      </w:pPr>
      <w:r>
        <w:rPr/>
        <w:t>注：分步实现企业合并且在本期取得控制权的交易，应分别说明前期和本期取得股权的时点、成本、比例及方式。 其他说明：</w:t>
      </w:r>
    </w:p>
    <w:p>
      <w:pPr>
        <w:pStyle w:val="BodyText"/>
        <w:spacing w:line="300" w:lineRule="auto" w:before="27"/>
        <w:ind w:right="14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根据本公司与杭州鑫粟投资管理有限公司、杭州铜粟投资管理有限公司共同签署的《发行股份及支付现金购买资产 协议》，本公司向杭州鑫粟投资管理有限公司非公开发行股份</w:t>
      </w:r>
      <w:r>
        <w:rPr>
          <w:rFonts w:ascii="Times New Roman" w:hAnsi="Times New Roman" w:cs="Times New Roman" w:eastAsia="Times New Roman" w:hint="default"/>
        </w:rPr>
        <w:t>27,710,194</w:t>
      </w:r>
      <w:r>
        <w:rPr/>
        <w:t>股、向杭州铜粟投资管理有限公司非公开发行股份</w:t>
      </w:r>
      <w:r>
        <w:rPr>
          <w:spacing w:val="-85"/>
        </w:rPr>
        <w:t> </w:t>
      </w:r>
      <w:r>
        <w:rPr>
          <w:spacing w:val="-85"/>
        </w:rPr>
      </w:r>
      <w:r>
        <w:rPr>
          <w:rFonts w:ascii="Times New Roman" w:hAnsi="Times New Roman" w:cs="Times New Roman" w:eastAsia="Times New Roman" w:hint="default"/>
          <w:spacing w:val="-1"/>
        </w:rPr>
        <w:t>2,162,805</w:t>
      </w:r>
      <w:r>
        <w:rPr>
          <w:spacing w:val="-1"/>
        </w:rPr>
        <w:t>股，每股发行价格</w:t>
      </w:r>
      <w:r>
        <w:rPr>
          <w:rFonts w:ascii="Times New Roman" w:hAnsi="Times New Roman" w:cs="Times New Roman" w:eastAsia="Times New Roman" w:hint="default"/>
          <w:spacing w:val="-1"/>
        </w:rPr>
        <w:t>39.37</w:t>
      </w:r>
      <w:r>
        <w:rPr>
          <w:spacing w:val="-1"/>
        </w:rPr>
        <w:t>元，连同向自然人葛航、周建新非公开发行股份募集的配套资金</w:t>
      </w:r>
      <w:r>
        <w:rPr>
          <w:rFonts w:ascii="Times New Roman" w:hAnsi="Times New Roman" w:cs="Times New Roman" w:eastAsia="Times New Roman" w:hint="default"/>
          <w:spacing w:val="-1"/>
        </w:rPr>
        <w:t>8,190.00</w:t>
      </w:r>
      <w:r>
        <w:rPr>
          <w:spacing w:val="-1"/>
        </w:rPr>
        <w:t>万元，用于收购杭</w:t>
      </w:r>
      <w:r>
        <w:rPr>
          <w:spacing w:val="-70"/>
        </w:rPr>
        <w:t> </w:t>
      </w:r>
      <w:r>
        <w:rPr>
          <w:spacing w:val="-70"/>
        </w:rPr>
      </w:r>
      <w:r>
        <w:rPr>
          <w:spacing w:val="18"/>
        </w:rPr>
        <w:t>州博泰信息技术服务有限公司</w:t>
      </w:r>
      <w:r>
        <w:rPr>
          <w:spacing w:val="-6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5"/>
        </w:rPr>
        <w:t> </w:t>
      </w:r>
      <w:r>
        <w:rPr>
          <w:spacing w:val="17"/>
        </w:rPr>
        <w:t>股份及发行相关费用，</w:t>
      </w:r>
      <w:r>
        <w:rPr>
          <w:spacing w:val="-66"/>
        </w:rPr>
        <w:t> </w:t>
      </w:r>
      <w:r>
        <w:rPr>
          <w:spacing w:val="13"/>
        </w:rPr>
        <w:t>其中，</w:t>
      </w:r>
      <w:r>
        <w:rPr>
          <w:spacing w:val="-66"/>
        </w:rPr>
        <w:t> </w:t>
      </w:r>
      <w:r>
        <w:rPr>
          <w:spacing w:val="19"/>
        </w:rPr>
        <w:t>收购杭州博泰信息技术服务有限公司的成本为</w:t>
      </w:r>
      <w:r>
        <w:rPr>
          <w:spacing w:val="-86"/>
        </w:rPr>
        <w:t> </w:t>
      </w:r>
      <w:r>
        <w:rPr>
          <w:spacing w:val="-86"/>
        </w:rPr>
      </w:r>
      <w:r>
        <w:rPr>
          <w:rFonts w:ascii="Times New Roman" w:hAnsi="Times New Roman" w:cs="Times New Roman" w:eastAsia="Times New Roman" w:hint="default"/>
        </w:rPr>
        <w:t>1,238,000,000.00</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日，本公司已收到向葛航、周建新非公开发行股票的现金出资款</w:t>
      </w:r>
      <w:r>
        <w:rPr>
          <w:rFonts w:ascii="Times New Roman" w:hAnsi="Times New Roman" w:cs="Times New Roman" w:eastAsia="Times New Roman" w:hint="default"/>
        </w:rPr>
        <w:t>8,190.00</w:t>
      </w:r>
      <w:r>
        <w:rPr/>
        <w:t>万</w:t>
      </w:r>
      <w:r>
        <w:rPr>
          <w:rFonts w:ascii="Times New Roman" w:hAnsi="Times New Roman" w:cs="Times New Roman" w:eastAsia="Times New Roman" w:hint="default"/>
        </w:rPr>
        <w:t>,</w:t>
      </w:r>
      <w:r>
        <w:rPr/>
        <w:t>且杭州博</w:t>
      </w:r>
      <w:r>
        <w:rPr>
          <w:spacing w:val="-48"/>
        </w:rPr>
        <w:t> </w:t>
      </w:r>
      <w:r>
        <w:rPr>
          <w:spacing w:val="-48"/>
        </w:rPr>
      </w:r>
      <w:r>
        <w:rPr/>
        <w:t>泰信息技术服务有限公司已完成董事会改选，本公司实质控制了该公司，故自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月起将其纳入合并财务报表范围。</w:t>
      </w:r>
    </w:p>
    <w:p>
      <w:pPr>
        <w:pStyle w:val="BodyText"/>
        <w:spacing w:line="300" w:lineRule="auto" w:before="13"/>
        <w:ind w:right="14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4"/>
        </w:rPr>
        <w:t>根据本公司与自然人叶志前、王鑫鑫、姜磊于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月签署的《股权转让协议》及</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月签署的《补充协议》，</w:t>
      </w:r>
      <w:r>
        <w:rPr/>
        <w:t> </w:t>
      </w:r>
      <w:r>
        <w:rPr>
          <w:spacing w:val="-2"/>
        </w:rPr>
        <w:t>本公司以</w:t>
      </w:r>
      <w:r>
        <w:rPr>
          <w:rFonts w:ascii="Times New Roman" w:hAnsi="Times New Roman" w:cs="Times New Roman" w:eastAsia="Times New Roman" w:hint="default"/>
          <w:spacing w:val="-2"/>
        </w:rPr>
        <w:t>14,829,104.80</w:t>
      </w:r>
      <w:r>
        <w:rPr>
          <w:spacing w:val="-2"/>
        </w:rPr>
        <w:t>元的价格受让自然人叶志前、王鑫鑫、姜磊持有的杭州卓腾信息技术有限公司</w:t>
      </w:r>
      <w:r>
        <w:rPr>
          <w:rFonts w:ascii="Times New Roman" w:hAnsi="Times New Roman" w:cs="Times New Roman" w:eastAsia="Times New Roman" w:hint="default"/>
          <w:spacing w:val="-2"/>
        </w:rPr>
        <w:t>100%</w:t>
      </w:r>
      <w:r>
        <w:rPr>
          <w:spacing w:val="-2"/>
        </w:rPr>
        <w:t>股权。截至</w:t>
      </w:r>
      <w:r>
        <w:rPr>
          <w:rFonts w:ascii="Times New Roman" w:hAnsi="Times New Roman" w:cs="Times New Roman" w:eastAsia="Times New Roman" w:hint="default"/>
          <w:spacing w:val="-2"/>
        </w:rPr>
        <w:t>2017</w:t>
      </w:r>
      <w:r>
        <w:rPr>
          <w:spacing w:val="-2"/>
        </w:rPr>
        <w:t>年</w:t>
      </w:r>
      <w:r>
        <w:rPr>
          <w:spacing w:val="-66"/>
        </w:rPr>
        <w:t>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日，本公司已支付了全部股权转让款并实质控制了该公司，故自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月起将其纳入合并财务报表范围。</w:t>
      </w:r>
    </w:p>
    <w:p>
      <w:pPr>
        <w:pStyle w:val="BodyText"/>
        <w:spacing w:line="300" w:lineRule="auto" w:before="13"/>
        <w:ind w:right="14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根据本公司与自然人张洪涛、杨梅青于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月签署的《股权投资协议》，本公司以</w:t>
      </w:r>
      <w:r>
        <w:rPr>
          <w:rFonts w:ascii="Times New Roman" w:hAnsi="Times New Roman" w:cs="Times New Roman" w:eastAsia="Times New Roman" w:hint="default"/>
        </w:rPr>
        <w:t>6,000,000.00</w:t>
      </w:r>
      <w:r>
        <w:rPr/>
        <w:t>元的价格受让自 然人张洪涛持有的杭州梅清数码科技有限公司</w:t>
      </w:r>
      <w:r>
        <w:rPr>
          <w:rFonts w:ascii="Times New Roman" w:hAnsi="Times New Roman" w:cs="Times New Roman" w:eastAsia="Times New Roman" w:hint="default"/>
        </w:rPr>
        <w:t>20.00%</w:t>
      </w:r>
      <w:r>
        <w:rPr/>
        <w:t>股权</w:t>
      </w:r>
      <w:r>
        <w:rPr>
          <w:rFonts w:ascii="Times New Roman" w:hAnsi="Times New Roman" w:cs="Times New Roman" w:eastAsia="Times New Roman" w:hint="default"/>
        </w:rPr>
        <w:t>,</w:t>
      </w:r>
      <w:r>
        <w:rPr/>
        <w:t>同时本公司以货币资金对梅清公司增资</w:t>
      </w:r>
      <w:r>
        <w:rPr>
          <w:rFonts w:ascii="Times New Roman" w:hAnsi="Times New Roman" w:cs="Times New Roman" w:eastAsia="Times New Roman" w:hint="default"/>
        </w:rPr>
        <w:t>24,000,000.00</w:t>
      </w:r>
      <w:r>
        <w:rPr/>
        <w:t>元</w:t>
      </w:r>
      <w:r>
        <w:rPr>
          <w:rFonts w:ascii="Times New Roman" w:hAnsi="Times New Roman" w:cs="Times New Roman" w:eastAsia="Times New Roman" w:hint="default"/>
        </w:rPr>
        <w:t>,</w:t>
      </w:r>
      <w:r>
        <w:rPr/>
        <w:t>增资后，</w:t>
      </w:r>
      <w:r>
        <w:rPr>
          <w:spacing w:val="-58"/>
        </w:rPr>
        <w:t> </w:t>
      </w:r>
      <w:r>
        <w:rPr>
          <w:spacing w:val="-1"/>
        </w:rPr>
        <w:t>本公司持有梅清公司</w:t>
      </w:r>
      <w:r>
        <w:rPr>
          <w:rFonts w:ascii="Times New Roman" w:hAnsi="Times New Roman" w:cs="Times New Roman" w:eastAsia="Times New Roman" w:hint="default"/>
          <w:spacing w:val="-1"/>
        </w:rPr>
        <w:t>51.00%</w:t>
      </w:r>
      <w:r>
        <w:rPr>
          <w:spacing w:val="-1"/>
        </w:rPr>
        <w:t>股权。截至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22</w:t>
      </w:r>
      <w:r>
        <w:rPr>
          <w:spacing w:val="-1"/>
        </w:rPr>
        <w:t>日，本公司已支付了全部股权转让款（增资款将陆续分期到位</w:t>
      </w:r>
      <w:r>
        <w:rPr>
          <w:rFonts w:ascii="Times New Roman" w:hAnsi="Times New Roman" w:cs="Times New Roman" w:eastAsia="Times New Roman" w:hint="default"/>
          <w:spacing w:val="-1"/>
        </w:rPr>
        <w:t>,</w:t>
      </w:r>
      <w:r>
        <w:rPr>
          <w:spacing w:val="-1"/>
        </w:rPr>
        <w:t>本期已支</w:t>
      </w:r>
      <w:r>
        <w:rPr>
          <w:spacing w:val="-87"/>
        </w:rPr>
        <w:t> </w:t>
      </w:r>
      <w:r>
        <w:rPr/>
        <w:t>付</w:t>
      </w:r>
      <w:r>
        <w:rPr>
          <w:rFonts w:ascii="Times New Roman" w:hAnsi="Times New Roman" w:cs="Times New Roman" w:eastAsia="Times New Roman" w:hint="default"/>
        </w:rPr>
        <w:t>5,000,000.00</w:t>
      </w:r>
      <w:r>
        <w:rPr/>
        <w:t>元）并实质控制了该公司，故自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月起将其纳入合并财务报表范围。</w:t>
      </w:r>
    </w:p>
    <w:p>
      <w:pPr>
        <w:pStyle w:val="BodyText"/>
        <w:spacing w:line="300" w:lineRule="auto" w:before="13"/>
        <w:ind w:right="151"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3"/>
        </w:rPr>
        <w:t>根据本公司与张莉、俞青、谢琛、嘉兴天禀投资合伙企业（有限合伙）、江苏苏大天宫创业投资管理有限公司于</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9</w:t>
      </w:r>
      <w:r>
        <w:rPr>
          <w:spacing w:val="-3"/>
        </w:rPr>
        <w:t>月签署的《股权转让协议》，本公司以</w:t>
      </w:r>
      <w:r>
        <w:rPr>
          <w:rFonts w:ascii="Times New Roman" w:hAnsi="Times New Roman" w:cs="Times New Roman" w:eastAsia="Times New Roman" w:hint="default"/>
          <w:spacing w:val="-3"/>
        </w:rPr>
        <w:t>40,799,828.00</w:t>
      </w:r>
      <w:r>
        <w:rPr>
          <w:spacing w:val="-3"/>
        </w:rPr>
        <w:t>元的价格受让原股东持有的杭州美诺泰科科技有限公司</w:t>
      </w:r>
      <w:r>
        <w:rPr>
          <w:rFonts w:ascii="Times New Roman" w:hAnsi="Times New Roman" w:cs="Times New Roman" w:eastAsia="Times New Roman" w:hint="default"/>
          <w:spacing w:val="-3"/>
        </w:rPr>
        <w:t>51.00%</w:t>
      </w:r>
      <w:r>
        <w:rPr>
          <w:spacing w:val="-3"/>
        </w:rPr>
        <w:t>股权。</w:t>
      </w:r>
      <w:r>
        <w:rPr>
          <w:spacing w:val="-46"/>
        </w:rPr>
        <w:t> </w:t>
      </w:r>
      <w:r>
        <w:rPr>
          <w:spacing w:val="-46"/>
        </w:rPr>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日，本公司已支付了股权转让款</w:t>
      </w:r>
      <w:r>
        <w:rPr>
          <w:rFonts w:ascii="Times New Roman" w:hAnsi="Times New Roman" w:cs="Times New Roman" w:eastAsia="Times New Roman" w:hint="default"/>
          <w:spacing w:val="-1"/>
        </w:rPr>
        <w:t>20,807,912.00</w:t>
      </w:r>
      <w:r>
        <w:rPr>
          <w:spacing w:val="-1"/>
        </w:rPr>
        <w:t>元（剩余款项已于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w:t>
      </w:r>
      <w:r>
        <w:rPr>
          <w:spacing w:val="-1"/>
        </w:rPr>
        <w:t>日前支付）并实质控制了该公</w:t>
      </w:r>
      <w:r>
        <w:rPr>
          <w:spacing w:val="-75"/>
        </w:rPr>
        <w:t> </w:t>
      </w:r>
      <w:r>
        <w:rPr>
          <w:spacing w:val="-75"/>
        </w:rPr>
      </w:r>
      <w:r>
        <w:rPr/>
        <w:t>司，故自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月起将其纳入合并财务报表范围。</w:t>
      </w:r>
    </w:p>
    <w:p>
      <w:pPr>
        <w:spacing w:after="0" w:line="30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0"/>
        <w:ind w:right="99"/>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2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592" w:right="51" w:hanging="540"/>
              <w:jc w:val="left"/>
              <w:rPr>
                <w:rFonts w:ascii="宋体" w:hAnsi="宋体" w:cs="宋体" w:eastAsia="宋体" w:hint="default"/>
                <w:sz w:val="18"/>
                <w:szCs w:val="18"/>
              </w:rPr>
            </w:pPr>
            <w:r>
              <w:rPr>
                <w:rFonts w:ascii="宋体" w:hAnsi="宋体" w:cs="宋体" w:eastAsia="宋体" w:hint="default"/>
                <w:sz w:val="18"/>
                <w:szCs w:val="18"/>
              </w:rPr>
              <w:t>杭州博泰信息技术服务 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772" w:right="48" w:hanging="720"/>
              <w:jc w:val="left"/>
              <w:rPr>
                <w:rFonts w:ascii="宋体" w:hAnsi="宋体" w:cs="宋体" w:eastAsia="宋体" w:hint="default"/>
                <w:sz w:val="18"/>
                <w:szCs w:val="18"/>
              </w:rPr>
            </w:pPr>
            <w:r>
              <w:rPr>
                <w:rFonts w:ascii="宋体" w:hAnsi="宋体" w:cs="宋体" w:eastAsia="宋体" w:hint="default"/>
                <w:sz w:val="18"/>
                <w:szCs w:val="18"/>
              </w:rPr>
              <w:t>杭州卓腾信息技术有限 公司</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杭州梅清数码科技有限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773" w:right="48" w:hanging="720"/>
              <w:jc w:val="left"/>
              <w:rPr>
                <w:rFonts w:ascii="宋体" w:hAnsi="宋体" w:cs="宋体" w:eastAsia="宋体" w:hint="default"/>
                <w:sz w:val="18"/>
                <w:szCs w:val="18"/>
              </w:rPr>
            </w:pPr>
            <w:r>
              <w:rPr>
                <w:rFonts w:ascii="宋体" w:hAnsi="宋体" w:cs="宋体" w:eastAsia="宋体" w:hint="default"/>
                <w:sz w:val="18"/>
                <w:szCs w:val="18"/>
              </w:rPr>
              <w:t>杭州美诺泰科科技有限 公司</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14,829,104.80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40,799,828.00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w:t>
            </w:r>
            <w:r>
              <w:rPr>
                <w:rFonts w:ascii="宋体" w:hAnsi="宋体" w:cs="宋体" w:eastAsia="宋体" w:hint="default"/>
                <w:w w:val="99"/>
                <w:sz w:val="18"/>
                <w:szCs w:val="18"/>
              </w:rPr>
              <w:t> </w:t>
            </w:r>
            <w:r>
              <w:rPr>
                <w:rFonts w:ascii="宋体" w:hAnsi="宋体" w:cs="宋体" w:eastAsia="宋体" w:hint="default"/>
                <w:sz w:val="18"/>
                <w:szCs w:val="18"/>
              </w:rPr>
              <w:t>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w:t>
            </w:r>
            <w:r>
              <w:rPr>
                <w:rFonts w:ascii="宋体" w:hAnsi="宋体" w:cs="宋体" w:eastAsia="宋体" w:hint="default"/>
                <w:w w:val="99"/>
                <w:sz w:val="18"/>
                <w:szCs w:val="18"/>
              </w:rPr>
              <w:t> </w:t>
            </w: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w:t>
            </w:r>
            <w:r>
              <w:rPr>
                <w:rFonts w:ascii="宋体" w:hAnsi="宋体" w:cs="宋体" w:eastAsia="宋体" w:hint="default"/>
                <w:w w:val="99"/>
                <w:sz w:val="18"/>
                <w:szCs w:val="18"/>
              </w:rPr>
              <w:t> </w:t>
            </w: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1,176,100,000.00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w:t>
            </w:r>
            <w:r>
              <w:rPr>
                <w:rFonts w:ascii="宋体" w:hAnsi="宋体" w:cs="宋体" w:eastAsia="宋体" w:hint="default"/>
                <w:w w:val="99"/>
                <w:sz w:val="18"/>
                <w:szCs w:val="18"/>
              </w:rPr>
              <w:t> </w:t>
            </w:r>
            <w:r>
              <w:rPr>
                <w:rFonts w:ascii="宋体" w:hAnsi="宋体" w:cs="宋体" w:eastAsia="宋体" w:hint="default"/>
                <w:sz w:val="18"/>
                <w:szCs w:val="18"/>
              </w:rPr>
              <w:t>权于购买日的公允价值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14,829,104.80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40,799,828.00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减：取得的可辨认净资 产公允价值份额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216,458,160.43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-1,160,367.47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15,266,149.17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6,147,808.65</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6"/>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 的可辨认净资产公允价 值份额的金额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1,021,541,839.57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15,989,472.27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14,733,850.83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34,652,019.35</w:t>
            </w:r>
          </w:p>
        </w:tc>
      </w:tr>
    </w:tbl>
    <w:p>
      <w:pPr>
        <w:pStyle w:val="BodyText"/>
        <w:spacing w:line="357" w:lineRule="auto" w:before="49"/>
        <w:ind w:right="5194"/>
        <w:jc w:val="left"/>
      </w:pPr>
      <w:r>
        <w:rPr/>
        <w:t>合并成本公允价值的确定方法、或有对价及其变动的说明： 大额商誉形成的主要原因：</w:t>
      </w:r>
    </w:p>
    <w:p>
      <w:pPr>
        <w:pStyle w:val="BodyText"/>
        <w:spacing w:line="300" w:lineRule="auto" w:before="29"/>
        <w:ind w:right="99" w:firstLine="420"/>
        <w:jc w:val="left"/>
      </w:pPr>
      <w:r>
        <w:rPr/>
        <w:t>本期公司收购杭州博泰信息技术服务有限公司</w:t>
      </w:r>
      <w:r>
        <w:rPr>
          <w:rFonts w:ascii="Times New Roman" w:hAnsi="Times New Roman" w:cs="Times New Roman" w:eastAsia="Times New Roman" w:hint="default"/>
        </w:rPr>
        <w:t>100.00%</w:t>
      </w:r>
      <w:r>
        <w:rPr/>
        <w:t>股权，投资成本</w:t>
      </w:r>
      <w:r>
        <w:rPr>
          <w:rFonts w:ascii="Times New Roman" w:hAnsi="Times New Roman" w:cs="Times New Roman" w:eastAsia="Times New Roman" w:hint="default"/>
        </w:rPr>
        <w:t>1,238,000,000.00</w:t>
      </w:r>
      <w:r>
        <w:rPr/>
        <w:t>元大于该股权对应的可辨认净资 </w:t>
      </w:r>
      <w:r>
        <w:rPr>
          <w:spacing w:val="-2"/>
        </w:rPr>
        <w:t>产公允价值的部分</w:t>
      </w:r>
      <w:r>
        <w:rPr>
          <w:rFonts w:ascii="Times New Roman" w:hAnsi="Times New Roman" w:cs="Times New Roman" w:eastAsia="Times New Roman" w:hint="default"/>
          <w:spacing w:val="-2"/>
        </w:rPr>
        <w:t>216,458,160.43</w:t>
      </w:r>
      <w:r>
        <w:rPr>
          <w:spacing w:val="-2"/>
        </w:rPr>
        <w:t>元的差额，确认为商誉</w:t>
      </w:r>
      <w:r>
        <w:rPr>
          <w:rFonts w:ascii="Times New Roman" w:hAnsi="Times New Roman" w:cs="Times New Roman" w:eastAsia="Times New Roman" w:hint="default"/>
          <w:spacing w:val="-2"/>
        </w:rPr>
        <w:t>1,021,541,839.57</w:t>
      </w:r>
      <w:r>
        <w:rPr>
          <w:spacing w:val="-2"/>
        </w:rPr>
        <w:t>元；本期公司收购杭州卓腾信息技术有限公司</w:t>
      </w:r>
      <w:r>
        <w:rPr>
          <w:rFonts w:ascii="Times New Roman" w:hAnsi="Times New Roman" w:cs="Times New Roman" w:eastAsia="Times New Roman" w:hint="default"/>
          <w:spacing w:val="-2"/>
        </w:rPr>
        <w:t>100.00%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7"/>
        </w:rPr>
        <w:t>股权，投资成本</w:t>
      </w:r>
      <w:r>
        <w:rPr>
          <w:rFonts w:ascii="Times New Roman" w:hAnsi="Times New Roman" w:cs="Times New Roman" w:eastAsia="Times New Roman" w:hint="default"/>
          <w:spacing w:val="7"/>
        </w:rPr>
        <w:t>14,829,104.80</w:t>
      </w:r>
      <w:r>
        <w:rPr>
          <w:spacing w:val="7"/>
        </w:rPr>
        <w:t>元大于该股权对应的可辨认净资产公允价值的部分</w:t>
      </w:r>
      <w:r>
        <w:rPr>
          <w:rFonts w:ascii="Times New Roman" w:hAnsi="Times New Roman" w:cs="Times New Roman" w:eastAsia="Times New Roman" w:hint="default"/>
          <w:spacing w:val="7"/>
        </w:rPr>
        <w:t>-1,160,367.47</w:t>
      </w:r>
      <w:r>
        <w:rPr>
          <w:rFonts w:ascii="Times New Roman" w:hAnsi="Times New Roman" w:cs="Times New Roman" w:eastAsia="Times New Roman" w:hint="default"/>
          <w:spacing w:val="-27"/>
        </w:rPr>
        <w:t> </w:t>
      </w:r>
      <w:r>
        <w:rPr>
          <w:spacing w:val="14"/>
        </w:rPr>
        <w:t>元的差额，确认为商誉</w:t>
      </w:r>
      <w:r>
        <w:rPr>
          <w:spacing w:val="-65"/>
        </w:rPr>
        <w:t> </w:t>
      </w:r>
      <w:r>
        <w:rPr>
          <w:rFonts w:ascii="Times New Roman" w:hAnsi="Times New Roman" w:cs="Times New Roman" w:eastAsia="Times New Roman" w:hint="default"/>
        </w:rPr>
        <w:t>15,989,472.27</w:t>
      </w:r>
      <w:r>
        <w:rPr/>
        <w:t>元；本期公司收购杭州梅清数码科技有限公司</w:t>
      </w:r>
      <w:r>
        <w:rPr>
          <w:rFonts w:ascii="Times New Roman" w:hAnsi="Times New Roman" w:cs="Times New Roman" w:eastAsia="Times New Roman" w:hint="default"/>
        </w:rPr>
        <w:t>51.00%</w:t>
      </w:r>
      <w:r>
        <w:rPr/>
        <w:t>股权，投资成本</w:t>
      </w:r>
      <w:r>
        <w:rPr>
          <w:rFonts w:ascii="Times New Roman" w:hAnsi="Times New Roman" w:cs="Times New Roman" w:eastAsia="Times New Roman" w:hint="default"/>
        </w:rPr>
        <w:t>30,000,000.00</w:t>
      </w:r>
      <w:r>
        <w:rPr/>
        <w:t>元大于该股权对应的可辨认 </w:t>
      </w:r>
      <w:r>
        <w:rPr>
          <w:spacing w:val="-1"/>
        </w:rPr>
        <w:t>净资产公允价值的部分</w:t>
      </w:r>
      <w:r>
        <w:rPr>
          <w:rFonts w:ascii="Times New Roman" w:hAnsi="Times New Roman" w:cs="Times New Roman" w:eastAsia="Times New Roman" w:hint="default"/>
          <w:spacing w:val="-1"/>
        </w:rPr>
        <w:t>15,266,149.17</w:t>
      </w:r>
      <w:r>
        <w:rPr>
          <w:spacing w:val="-1"/>
        </w:rPr>
        <w:t>元的差额，确认为商誉</w:t>
      </w:r>
      <w:r>
        <w:rPr>
          <w:rFonts w:ascii="Times New Roman" w:hAnsi="Times New Roman" w:cs="Times New Roman" w:eastAsia="Times New Roman" w:hint="default"/>
          <w:spacing w:val="-1"/>
        </w:rPr>
        <w:t>14,733,850.83</w:t>
      </w:r>
      <w:r>
        <w:rPr>
          <w:spacing w:val="-1"/>
        </w:rPr>
        <w:t>元；本期公司收购杭州美诺泰科科技有限公司</w:t>
      </w:r>
      <w:r>
        <w:rPr>
          <w:rFonts w:ascii="Times New Roman" w:hAnsi="Times New Roman" w:cs="Times New Roman" w:eastAsia="Times New Roman" w:hint="default"/>
          <w:spacing w:val="-1"/>
        </w:rPr>
        <w:t>51.00%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10"/>
        </w:rPr>
        <w:t>股权，</w:t>
      </w:r>
      <w:r>
        <w:rPr>
          <w:spacing w:val="-74"/>
        </w:rPr>
        <w:t> </w:t>
      </w:r>
      <w:r>
        <w:rPr>
          <w:spacing w:val="11"/>
        </w:rPr>
        <w:t>投资成本</w:t>
      </w:r>
      <w:r>
        <w:rPr>
          <w:spacing w:val="-74"/>
        </w:rPr>
        <w:t> </w:t>
      </w:r>
      <w:r>
        <w:rPr>
          <w:rFonts w:ascii="Times New Roman" w:hAnsi="Times New Roman" w:cs="Times New Roman" w:eastAsia="Times New Roman" w:hint="default"/>
        </w:rPr>
        <w:t>40,799,828.00</w:t>
      </w:r>
      <w:r>
        <w:rPr>
          <w:rFonts w:ascii="Times New Roman" w:hAnsi="Times New Roman" w:cs="Times New Roman" w:eastAsia="Times New Roman" w:hint="default"/>
          <w:spacing w:val="-29"/>
        </w:rPr>
        <w:t> </w:t>
      </w:r>
      <w:r>
        <w:rPr>
          <w:spacing w:val="14"/>
        </w:rPr>
        <w:t>元大于该股权对应的可辨认净资产公允价值的部分</w:t>
      </w:r>
      <w:r>
        <w:rPr>
          <w:spacing w:val="-70"/>
        </w:rPr>
        <w:t> </w:t>
      </w:r>
      <w:r>
        <w:rPr>
          <w:rFonts w:ascii="Times New Roman" w:hAnsi="Times New Roman" w:cs="Times New Roman" w:eastAsia="Times New Roman" w:hint="default"/>
        </w:rPr>
        <w:t>6,147,808.65</w:t>
      </w:r>
      <w:r>
        <w:rPr>
          <w:rFonts w:ascii="Times New Roman" w:hAnsi="Times New Roman" w:cs="Times New Roman" w:eastAsia="Times New Roman" w:hint="default"/>
          <w:spacing w:val="-26"/>
        </w:rPr>
        <w:t> </w:t>
      </w:r>
      <w:r>
        <w:rPr>
          <w:spacing w:val="12"/>
        </w:rPr>
        <w:t>元的差额，</w:t>
      </w:r>
      <w:r>
        <w:rPr>
          <w:spacing w:val="-74"/>
        </w:rPr>
        <w:t> </w:t>
      </w:r>
      <w:r>
        <w:rPr>
          <w:spacing w:val="12"/>
        </w:rPr>
        <w:t>确认为商誉</w:t>
      </w:r>
      <w:r>
        <w:rPr>
          <w:spacing w:val="-84"/>
        </w:rPr>
        <w:t> </w:t>
      </w:r>
      <w:r>
        <w:rPr>
          <w:spacing w:val="-84"/>
        </w:rPr>
      </w:r>
      <w:r>
        <w:rPr>
          <w:rFonts w:ascii="Times New Roman" w:hAnsi="Times New Roman" w:cs="Times New Roman" w:eastAsia="Times New Roman" w:hint="default"/>
        </w:rPr>
        <w:t>34,652,019.35</w:t>
      </w:r>
      <w:r>
        <w:rPr/>
        <w:t>元。</w:t>
      </w:r>
    </w:p>
    <w:p>
      <w:pPr>
        <w:pStyle w:val="BodyText"/>
        <w:spacing w:line="240" w:lineRule="auto" w:before="53"/>
        <w:ind w:right="99"/>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99"/>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4"/>
        <w:gridCol w:w="2127"/>
        <w:gridCol w:w="2124"/>
        <w:gridCol w:w="2126"/>
        <w:gridCol w:w="2124"/>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789" w:right="65" w:hanging="720"/>
              <w:jc w:val="left"/>
              <w:rPr>
                <w:rFonts w:ascii="宋体" w:hAnsi="宋体" w:cs="宋体" w:eastAsia="宋体" w:hint="default"/>
                <w:sz w:val="18"/>
                <w:szCs w:val="18"/>
              </w:rPr>
            </w:pPr>
            <w:r>
              <w:rPr>
                <w:rFonts w:ascii="宋体" w:hAnsi="宋体" w:cs="宋体" w:eastAsia="宋体" w:hint="default"/>
                <w:sz w:val="18"/>
                <w:szCs w:val="18"/>
              </w:rPr>
              <w:t>杭州博泰信息技术服务有 限公司</w:t>
            </w:r>
          </w:p>
        </w:tc>
        <w:tc>
          <w:tcPr>
            <w:tcW w:w="212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969" w:right="63" w:hanging="900"/>
              <w:jc w:val="left"/>
              <w:rPr>
                <w:rFonts w:ascii="宋体" w:hAnsi="宋体" w:cs="宋体" w:eastAsia="宋体" w:hint="default"/>
                <w:sz w:val="18"/>
                <w:szCs w:val="18"/>
              </w:rPr>
            </w:pPr>
            <w:r>
              <w:rPr>
                <w:rFonts w:ascii="宋体" w:hAnsi="宋体" w:cs="宋体" w:eastAsia="宋体" w:hint="default"/>
                <w:sz w:val="18"/>
                <w:szCs w:val="18"/>
              </w:rPr>
              <w:t>杭州卓腾信息技术有限公 司</w:t>
            </w:r>
          </w:p>
        </w:tc>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969" w:right="65" w:hanging="900"/>
              <w:jc w:val="left"/>
              <w:rPr>
                <w:rFonts w:ascii="宋体" w:hAnsi="宋体" w:cs="宋体" w:eastAsia="宋体" w:hint="default"/>
                <w:sz w:val="18"/>
                <w:szCs w:val="18"/>
              </w:rPr>
            </w:pPr>
            <w:r>
              <w:rPr>
                <w:rFonts w:ascii="宋体" w:hAnsi="宋体" w:cs="宋体" w:eastAsia="宋体" w:hint="default"/>
                <w:sz w:val="18"/>
                <w:szCs w:val="18"/>
              </w:rPr>
              <w:t>杭州梅清数码科技有限公 司</w:t>
            </w:r>
          </w:p>
        </w:tc>
        <w:tc>
          <w:tcPr>
            <w:tcW w:w="212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970" w:right="62" w:hanging="901"/>
              <w:jc w:val="left"/>
              <w:rPr>
                <w:rFonts w:ascii="宋体" w:hAnsi="宋体" w:cs="宋体" w:eastAsia="宋体" w:hint="default"/>
                <w:sz w:val="18"/>
                <w:szCs w:val="18"/>
              </w:rPr>
            </w:pPr>
            <w:r>
              <w:rPr>
                <w:rFonts w:ascii="宋体" w:hAnsi="宋体" w:cs="宋体" w:eastAsia="宋体" w:hint="default"/>
                <w:sz w:val="18"/>
                <w:szCs w:val="18"/>
              </w:rPr>
              <w:t>杭州美诺泰科科技有限公 司</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8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064"/>
        <w:gridCol w:w="1063"/>
        <w:gridCol w:w="1064"/>
        <w:gridCol w:w="1061"/>
        <w:gridCol w:w="1064"/>
        <w:gridCol w:w="1063"/>
        <w:gridCol w:w="1063"/>
        <w:gridCol w:w="1064"/>
        <w:gridCol w:w="1063"/>
      </w:tblGrid>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5"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2"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0" w:right="72"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8" w:right="75" w:hanging="272"/>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购买日账面 价值</w:t>
            </w: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063" w:type="dxa"/>
            <w:tcBorders>
              <w:top w:val="single" w:sz="4" w:space="0" w:color="000000"/>
              <w:left w:val="single" w:sz="13"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35,747,696.8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35,747,696.8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128,418.21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128,418.21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309,556.69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309,556.69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615,310.54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615,310.54</w:t>
            </w:r>
          </w:p>
        </w:tc>
      </w:tr>
      <w:tr>
        <w:trPr>
          <w:trHeight w:val="391"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3"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3"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104,282,087.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104,282,087.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20,299.61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20,299.61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25,584,558.4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25,584,558.4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3,504,138.50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3,504,138.50</w:t>
            </w:r>
          </w:p>
        </w:tc>
      </w:tr>
      <w:tr>
        <w:trPr>
          <w:trHeight w:val="391"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063"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937,354.68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937,354.68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237,171.78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237,171.78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6,672,790.92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6,672,790.92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3,412,189.09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3,412,189.09</w:t>
            </w:r>
          </w:p>
        </w:tc>
      </w:tr>
      <w:tr>
        <w:trPr>
          <w:trHeight w:val="163"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47,219,223.6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38,025,386.1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172,049.06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172,049.06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6,623,658.33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6,623,658.33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282,202.89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282,202.89</w:t>
            </w:r>
          </w:p>
        </w:tc>
      </w:tr>
      <w:tr>
        <w:trPr>
          <w:trHeight w:val="392" w:hRule="exact"/>
        </w:trPr>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63"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9,896,999.95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2,790,333.28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324,999.95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324,999.95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2,323,310.00</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32,340,542.8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32,340,542.8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160,932.86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160,932.86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7,952,601.89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7,952,601.89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4,244,557.83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4,244,557.83</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递延所得税 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216,458,160.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200,157,656.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-1,160,367.47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-1,160,367.47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29,933,625.8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29,933,625.8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12,054,526.7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4,677,836.76</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减：少数股 东权益</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14,667,476.6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14,667,476.6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5,906,718.11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2,292,140.01</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取得的净资 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216,458,160.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200,157,656.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-1,160,367.47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-1,160,367.47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15,266,149.1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15,266,149.1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6,147,808.65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2,385,696.75</w:t>
            </w:r>
          </w:p>
        </w:tc>
      </w:tr>
    </w:tbl>
    <w:p>
      <w:pPr>
        <w:pStyle w:val="BodyText"/>
        <w:spacing w:line="357" w:lineRule="auto" w:before="49"/>
        <w:ind w:right="6551"/>
        <w:jc w:val="both"/>
      </w:pPr>
      <w:r>
        <w:rPr/>
        <w:t>可辨认资产、负债公允价值的确定方法： 企业合并中承担的被购买方的或有负债： 其他说明：</w:t>
      </w:r>
    </w:p>
    <w:p>
      <w:pPr>
        <w:spacing w:line="240" w:lineRule="auto" w:before="5"/>
        <w:rPr>
          <w:rFonts w:ascii="宋体" w:hAnsi="宋体" w:cs="宋体" w:eastAsia="宋体" w:hint="default"/>
          <w:sz w:val="15"/>
          <w:szCs w:val="15"/>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说明其他原因导致的合并范围变动（如，新设子公司、清算子公司等）及其相关情况：</w:t>
      </w:r>
    </w:p>
    <w:p>
      <w:pPr>
        <w:pStyle w:val="Heading4"/>
        <w:spacing w:line="240" w:lineRule="auto" w:before="94"/>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合并范围增加</w:t>
      </w:r>
    </w:p>
    <w:p>
      <w:pPr>
        <w:spacing w:line="240" w:lineRule="auto" w:before="8"/>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1949"/>
        <w:gridCol w:w="1460"/>
        <w:gridCol w:w="1704"/>
        <w:gridCol w:w="1704"/>
        <w:gridCol w:w="1704"/>
      </w:tblGrid>
      <w:tr>
        <w:trPr>
          <w:trHeight w:val="34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5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杭州合美物业管理有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出资设立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1,000,000.00</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w:t>
            </w:r>
          </w:p>
        </w:tc>
      </w:tr>
      <w:tr>
        <w:trPr>
          <w:trHeight w:val="66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杭州鼎泰医康科技有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限公司</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出资设立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0.00[</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100%</w:t>
            </w:r>
          </w:p>
        </w:tc>
      </w:tr>
      <w:tr>
        <w:trPr>
          <w:trHeight w:val="66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浙江医康数据科技研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究院有限公司</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出资设立</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0.00[</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78%</w:t>
            </w:r>
          </w:p>
        </w:tc>
      </w:tr>
    </w:tbl>
    <w:p>
      <w:pPr>
        <w:pStyle w:val="Heading4"/>
        <w:spacing w:line="278" w:lineRule="exact"/>
        <w:ind w:left="573" w:right="0"/>
        <w:jc w:val="left"/>
      </w:pPr>
      <w:r>
        <w:rPr/>
        <w:t>注：截至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w:t>
      </w:r>
    </w:p>
    <w:p>
      <w:pPr>
        <w:spacing w:line="240" w:lineRule="auto" w:before="6"/>
        <w:rPr>
          <w:rFonts w:ascii="宋体" w:hAnsi="宋体" w:cs="宋体" w:eastAsia="宋体" w:hint="default"/>
          <w:sz w:val="25"/>
          <w:szCs w:val="25"/>
        </w:rPr>
      </w:pPr>
    </w:p>
    <w:p>
      <w:pPr>
        <w:pStyle w:val="Heading4"/>
        <w:spacing w:line="240" w:lineRule="auto"/>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合并范围减少</w:t>
      </w:r>
    </w:p>
    <w:p>
      <w:pPr>
        <w:spacing w:line="240" w:lineRule="auto" w:before="8"/>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1949"/>
        <w:gridCol w:w="1702"/>
        <w:gridCol w:w="1462"/>
        <w:gridCol w:w="1704"/>
        <w:gridCol w:w="1704"/>
      </w:tblGrid>
      <w:tr>
        <w:trPr>
          <w:trHeight w:val="658"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6"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532" w:right="214" w:hanging="315"/>
              <w:jc w:val="left"/>
              <w:rPr>
                <w:rFonts w:ascii="宋体" w:hAnsi="宋体" w:cs="宋体" w:eastAsia="宋体" w:hint="default"/>
                <w:sz w:val="21"/>
                <w:szCs w:val="21"/>
              </w:rPr>
            </w:pPr>
            <w:r>
              <w:rPr>
                <w:rFonts w:ascii="宋体" w:hAnsi="宋体" w:cs="宋体" w:eastAsia="宋体" w:hint="default"/>
                <w:sz w:val="21"/>
                <w:szCs w:val="21"/>
              </w:rPr>
              <w:t>期初至处置日</w:t>
            </w:r>
            <w:r>
              <w:rPr>
                <w:rFonts w:ascii="宋体" w:hAnsi="宋体" w:cs="宋体" w:eastAsia="宋体" w:hint="default"/>
                <w:w w:val="100"/>
                <w:sz w:val="21"/>
                <w:szCs w:val="21"/>
              </w:rPr>
              <w:t> </w:t>
            </w:r>
            <w:r>
              <w:rPr>
                <w:rFonts w:ascii="宋体" w:hAnsi="宋体" w:cs="宋体" w:eastAsia="宋体" w:hint="default"/>
                <w:sz w:val="21"/>
                <w:szCs w:val="21"/>
              </w:rPr>
              <w:t>净利润</w:t>
            </w:r>
          </w:p>
        </w:tc>
      </w:tr>
      <w:tr>
        <w:trPr>
          <w:trHeight w:val="66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浙江创源环境科技股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丧失控制权</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80" w:right="-1"/>
              <w:jc w:val="left"/>
              <w:rPr>
                <w:rFonts w:ascii="Times New Roman" w:hAnsi="Times New Roman" w:cs="Times New Roman" w:eastAsia="Times New Roman" w:hint="default"/>
                <w:sz w:val="21"/>
                <w:szCs w:val="21"/>
              </w:rPr>
            </w:pPr>
            <w:r>
              <w:rPr>
                <w:rFonts w:ascii="Times New Roman"/>
                <w:sz w:val="21"/>
              </w:rPr>
              <w:t>45,104,165.71</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587" w:right="0"/>
              <w:jc w:val="left"/>
              <w:rPr>
                <w:rFonts w:ascii="Times New Roman" w:hAnsi="Times New Roman" w:cs="Times New Roman" w:eastAsia="Times New Roman" w:hint="default"/>
                <w:sz w:val="21"/>
                <w:szCs w:val="21"/>
              </w:rPr>
            </w:pPr>
            <w:r>
              <w:rPr>
                <w:rFonts w:ascii="Times New Roman"/>
                <w:sz w:val="21"/>
              </w:rPr>
              <w:t>2,155,944.47</w:t>
            </w:r>
          </w:p>
        </w:tc>
      </w:tr>
    </w:tbl>
    <w:p>
      <w:pPr>
        <w:pStyle w:val="Heading4"/>
        <w:spacing w:line="262" w:lineRule="exact"/>
        <w:ind w:right="0"/>
        <w:jc w:val="left"/>
      </w:pPr>
      <w:r>
        <w:rPr/>
        <w:t>注：详见本财务报表附注长期股权投资之说明。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苏州创业亿康信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上海创航软件有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创业软件南京有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新疆创什信息科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重庆创易康软件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天津创津科技有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中山市杭创科技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宁海杭创网络科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杭州合美物业管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杭州鼎泰医康科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浙江医康数据科 技研究院有限公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杭州联旗科技有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杭州惟勤科技有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广东中拓信息技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中山市蓝天电脑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杭州博泰信息技 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杭州卓腾信息技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杭州梅清数码科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杭州美诺泰科科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57" w:lineRule="auto" w:before="49"/>
        <w:ind w:right="185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6714"/>
        <w:jc w:val="left"/>
      </w:pPr>
      <w:r>
        <w:rPr/>
        <w:t>确定公司是代理人还是委托人的依据：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6"/>
        <w:gridCol w:w="1916"/>
        <w:gridCol w:w="1913"/>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广东中拓信息技术有限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1,480,791.62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6,914,945.81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杭州梅清数码科技有限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1,589,506.10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16,256,982.75</w:t>
            </w:r>
          </w:p>
        </w:tc>
      </w:tr>
    </w:tbl>
    <w:p>
      <w:pPr>
        <w:pStyle w:val="BodyText"/>
        <w:spacing w:line="360" w:lineRule="auto" w:before="49"/>
        <w:ind w:right="5454"/>
        <w:jc w:val="left"/>
      </w:pPr>
      <w:r>
        <w:rPr/>
        <w:t>子公司少数股东的持股比例不同于表决权比例的说明：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35"/>
        <w:gridCol w:w="737"/>
        <w:gridCol w:w="737"/>
        <w:gridCol w:w="735"/>
        <w:gridCol w:w="737"/>
        <w:gridCol w:w="734"/>
        <w:gridCol w:w="737"/>
        <w:gridCol w:w="735"/>
        <w:gridCol w:w="734"/>
        <w:gridCol w:w="734"/>
        <w:gridCol w:w="737"/>
        <w:gridCol w:w="737"/>
        <w:gridCol w:w="737"/>
      </w:tblGrid>
      <w:tr>
        <w:trPr>
          <w:trHeight w:val="403"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89"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5"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4"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广东中 拓信息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44,045,7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15.81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682,052.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44,727,7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10,153,0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38.94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10,153,0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34,958,2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80.65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261,838.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35,220,1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8,049,34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8,049,34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8.14</w:t>
            </w:r>
          </w:p>
        </w:tc>
      </w:tr>
      <w:tr>
        <w:trPr>
          <w:trHeight w:val="133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杭州梅 清数码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39,462,0</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98.88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11,270,8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50,732,9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17,555,3</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84.81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17,555,3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84.81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1"/>
        <w:gridCol w:w="1061"/>
        <w:gridCol w:w="1061"/>
        <w:gridCol w:w="1066"/>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广东中拓信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41,424,929.3</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7,403,958.11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7,403,958.11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4,760,505.75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19,143,702.8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5,262,676.96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5,262,676.96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7,042,923.82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杭州梅清数 码科技有限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15,630,347.8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3,243,889.99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3,243,889.99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2,480,141.81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浙江创源环境科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环保监测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47.50%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8"/>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80"/>
        <w:gridCol w:w="3189"/>
        <w:gridCol w:w="3179"/>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2"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2" w:space="0" w:color="D2D2D2"/>
              <w:bottom w:val="single" w:sz="4" w:space="0" w:color="000000"/>
              <w:right w:val="single" w:sz="4" w:space="0" w:color="000000"/>
            </w:tcBorders>
            <w:shd w:val="clear" w:color="auto" w:fill="E0FFFF"/>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浙江创源环境科技股份有限公司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68,712,723.57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3,493,231.33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72,205,954.90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18,299,963.76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18,299,963.76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25,605,345.79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35,767,058.36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69,459,073.19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10,957,769.90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10,957,769.90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3302"/>
        <w:gridCol w:w="3069"/>
        <w:gridCol w:w="3188"/>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6,401,943.33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7,014,395.36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-612,452.03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384,589.22</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-612,452.03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384,589.22</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2"/>
        <w:gridCol w:w="2392"/>
        <w:gridCol w:w="2393"/>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60" w:right="110"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58" w:firstLine="420"/>
        <w:jc w:val="both"/>
      </w:pPr>
      <w:r>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w:t>
      </w:r>
      <w:r>
        <w:rPr>
          <w:spacing w:val="-11"/>
        </w:rPr>
        <w:t> </w:t>
      </w:r>
      <w:r>
        <w:rPr>
          <w:spacing w:val="-11"/>
        </w:rPr>
      </w:r>
      <w:r>
        <w:rPr/>
        <w:t>险，建立适当的风险承受底线和进行风险管理，并及时可靠地对各种风险进行监督，将风险控制在限定的范围内。</w:t>
      </w:r>
    </w:p>
    <w:p>
      <w:pPr>
        <w:pStyle w:val="BodyText"/>
        <w:spacing w:line="319" w:lineRule="auto" w:before="19"/>
        <w:ind w:right="158" w:firstLine="420"/>
        <w:jc w:val="both"/>
      </w:pPr>
      <w:r>
        <w:rPr/>
        <w:t>本公司在日常活动中面临各种与金融工具相关的风险，主要包括信用风险、流动风险及市场风险。管理层已审议并批 准管理这些风险的政策，概括如下。</w:t>
      </w:r>
    </w:p>
    <w:p>
      <w:pPr>
        <w:pStyle w:val="BodyText"/>
        <w:spacing w:line="300" w:lineRule="auto" w:before="17"/>
        <w:ind w:left="573" w:right="287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信用风险</w:t>
      </w:r>
      <w:r>
        <w:rPr>
          <w:w w:val="99"/>
        </w:rPr>
        <w:t> </w:t>
      </w:r>
      <w:r>
        <w:rPr/>
        <w:t>信用风险，是指金融工具的一方不能履行义务，造成另一方发生财务损失的风险。</w:t>
      </w:r>
    </w:p>
    <w:p>
      <w:pPr>
        <w:pStyle w:val="BodyText"/>
        <w:spacing w:line="240" w:lineRule="auto" w:before="31"/>
        <w:ind w:left="573" w:right="0"/>
        <w:jc w:val="left"/>
      </w:pPr>
      <w:r>
        <w:rPr/>
        <w:t>本公司的信用风险主要来自银行存款和应收款项。为控制上述相关风险，本公司分别采取了以下措施。</w:t>
      </w:r>
    </w:p>
    <w:p>
      <w:pPr>
        <w:pStyle w:val="BodyText"/>
        <w:spacing w:line="309" w:lineRule="auto" w:before="76"/>
        <w:ind w:left="573" w:right="359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银行存款 本公司将银行存款存放于信用评级较高的金融机构，故其信用风险较低。 </w:t>
      </w: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应收款项</w:t>
      </w:r>
    </w:p>
    <w:p>
      <w:pPr>
        <w:pStyle w:val="BodyText"/>
        <w:spacing w:line="316" w:lineRule="auto" w:before="5"/>
        <w:ind w:right="153" w:firstLine="420"/>
        <w:jc w:val="both"/>
      </w:pPr>
      <w:r>
        <w:rPr/>
        <w:t>本公司定期对采用信用方式交易的客户进行信用评估。根据信用评估结果，本公司选择与经认可的且信用良好的客户 进行交易，并对其应收款项余额进行监控，以确保本公司不会面临重大坏账风险。</w:t>
      </w:r>
    </w:p>
    <w:p>
      <w:pPr>
        <w:pStyle w:val="BodyText"/>
        <w:spacing w:line="240" w:lineRule="auto" w:before="19"/>
        <w:ind w:left="573" w:right="0"/>
        <w:jc w:val="left"/>
      </w:pPr>
      <w:r>
        <w:rPr/>
        <w:t>由于本公司的应收账款风险点分布于多个合作方和多个客户，截至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日，本公司应收账款的</w:t>
      </w:r>
      <w:r>
        <w:rPr>
          <w:rFonts w:ascii="Times New Roman" w:hAnsi="Times New Roman" w:cs="Times New Roman" w:eastAsia="Times New Roman" w:hint="default"/>
        </w:rPr>
        <w:t>12.79%(2016</w:t>
      </w:r>
      <w:r>
        <w:rPr/>
        <w:t>年</w:t>
      </w:r>
    </w:p>
    <w:p>
      <w:pPr>
        <w:pStyle w:val="BodyText"/>
        <w:spacing w:line="240" w:lineRule="auto" w:before="63"/>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7.98%)</w:t>
      </w:r>
      <w:r>
        <w:rPr/>
        <w:t>源于余额前五名客户，本公司不存在重大的信用集中风险。</w:t>
      </w:r>
    </w:p>
    <w:p>
      <w:pPr>
        <w:pStyle w:val="BodyText"/>
        <w:spacing w:line="240" w:lineRule="auto" w:before="61"/>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本公司的应收款项中未逾期且未减值的金额，以及虽已逾期但未减值的金额和逾期账龄分析如下：</w:t>
      </w:r>
    </w:p>
    <w:p>
      <w:pPr>
        <w:pStyle w:val="Heading4"/>
        <w:spacing w:line="240" w:lineRule="auto" w:before="42"/>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1606"/>
        <w:gridCol w:w="1882"/>
        <w:gridCol w:w="1601"/>
        <w:gridCol w:w="1443"/>
        <w:gridCol w:w="1496"/>
        <w:gridCol w:w="1605"/>
      </w:tblGrid>
      <w:tr>
        <w:trPr>
          <w:trHeight w:val="348" w:hRule="exact"/>
        </w:trPr>
        <w:tc>
          <w:tcPr>
            <w:tcW w:w="1606" w:type="dxa"/>
            <w:vMerge w:val="restart"/>
            <w:tcBorders>
              <w:top w:val="single" w:sz="6" w:space="0" w:color="000000"/>
              <w:left w:val="single" w:sz="6" w:space="0" w:color="000000"/>
              <w:right w:val="single" w:sz="6" w:space="0" w:color="000000"/>
            </w:tcBorders>
          </w:tcPr>
          <w:p>
            <w:pPr>
              <w:pStyle w:val="TableParagraph"/>
              <w:spacing w:line="240" w:lineRule="auto"/>
              <w:ind w:left="58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802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ind w:left="96"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348" w:hRule="exact"/>
        </w:trPr>
        <w:tc>
          <w:tcPr>
            <w:tcW w:w="1606" w:type="dxa"/>
            <w:vMerge/>
            <w:tcBorders>
              <w:left w:val="single" w:sz="6" w:space="0" w:color="000000"/>
              <w:right w:val="single" w:sz="6" w:space="0" w:color="000000"/>
            </w:tcBorders>
          </w:tcPr>
          <w:p>
            <w:pPr/>
          </w:p>
        </w:tc>
        <w:tc>
          <w:tcPr>
            <w:tcW w:w="1882" w:type="dxa"/>
            <w:vMerge w:val="restart"/>
            <w:tcBorders>
              <w:top w:val="single" w:sz="6" w:space="0" w:color="000000"/>
              <w:left w:val="single" w:sz="6" w:space="0" w:color="000000"/>
              <w:right w:val="single" w:sz="6" w:space="0" w:color="000000"/>
            </w:tcBorders>
          </w:tcPr>
          <w:p>
            <w:pPr>
              <w:pStyle w:val="TableParagraph"/>
              <w:spacing w:line="272" w:lineRule="exact"/>
              <w:ind w:left="302" w:right="0"/>
              <w:jc w:val="left"/>
              <w:rPr>
                <w:rFonts w:ascii="宋体" w:hAnsi="宋体" w:cs="宋体" w:eastAsia="宋体" w:hint="default"/>
                <w:sz w:val="21"/>
                <w:szCs w:val="21"/>
              </w:rPr>
            </w:pPr>
            <w:r>
              <w:rPr>
                <w:rFonts w:ascii="宋体" w:hAnsi="宋体" w:cs="宋体" w:eastAsia="宋体" w:hint="default"/>
                <w:sz w:val="21"/>
                <w:szCs w:val="21"/>
              </w:rPr>
              <w:t>未逾期未减值</w:t>
            </w:r>
            <w:r>
              <w:rPr>
                <w:rFonts w:ascii="宋体" w:hAnsi="宋体" w:cs="宋体" w:eastAsia="宋体" w:hint="default"/>
                <w:sz w:val="21"/>
                <w:szCs w:val="21"/>
              </w:rPr>
              <w:t> </w:t>
            </w:r>
          </w:p>
        </w:tc>
        <w:tc>
          <w:tcPr>
            <w:tcW w:w="45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center"/>
              <w:rPr>
                <w:rFonts w:ascii="宋体" w:hAnsi="宋体" w:cs="宋体" w:eastAsia="宋体" w:hint="default"/>
                <w:sz w:val="21"/>
                <w:szCs w:val="21"/>
              </w:rPr>
            </w:pPr>
            <w:r>
              <w:rPr>
                <w:rFonts w:ascii="宋体" w:hAnsi="宋体" w:cs="宋体" w:eastAsia="宋体" w:hint="default"/>
                <w:sz w:val="21"/>
                <w:szCs w:val="21"/>
              </w:rPr>
              <w:t>已逾期未减值</w:t>
            </w:r>
            <w:r>
              <w:rPr>
                <w:rFonts w:ascii="宋体" w:hAnsi="宋体" w:cs="宋体" w:eastAsia="宋体" w:hint="default"/>
                <w:sz w:val="21"/>
                <w:szCs w:val="21"/>
              </w:rPr>
              <w:t> </w:t>
            </w:r>
          </w:p>
        </w:tc>
        <w:tc>
          <w:tcPr>
            <w:tcW w:w="1605" w:type="dxa"/>
            <w:vMerge w:val="restart"/>
            <w:tcBorders>
              <w:top w:val="single" w:sz="6" w:space="0" w:color="000000"/>
              <w:left w:val="single" w:sz="6" w:space="0" w:color="000000"/>
              <w:right w:val="nil" w:sz="6" w:space="0" w:color="auto"/>
            </w:tcBorders>
          </w:tcPr>
          <w:p>
            <w:pPr>
              <w:pStyle w:val="TableParagraph"/>
              <w:spacing w:line="272" w:lineRule="exact"/>
              <w:ind w:left="58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46" w:hRule="exact"/>
        </w:trPr>
        <w:tc>
          <w:tcPr>
            <w:tcW w:w="1606" w:type="dxa"/>
            <w:vMerge/>
            <w:tcBorders>
              <w:left w:val="single" w:sz="6" w:space="0" w:color="000000"/>
              <w:bottom w:val="single" w:sz="6" w:space="0" w:color="000000"/>
              <w:right w:val="single" w:sz="6" w:space="0" w:color="000000"/>
            </w:tcBorders>
          </w:tcPr>
          <w:p>
            <w:pPr/>
          </w:p>
        </w:tc>
        <w:tc>
          <w:tcPr>
            <w:tcW w:w="1882" w:type="dxa"/>
            <w:vMerge/>
            <w:tcBorders>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r>
              <w:rPr>
                <w:rFonts w:ascii="宋体" w:hAnsi="宋体" w:cs="宋体" w:eastAsia="宋体" w:hint="default"/>
                <w:sz w:val="21"/>
                <w:szCs w:val="21"/>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r>
              <w:rPr>
                <w:rFonts w:ascii="宋体" w:hAnsi="宋体" w:cs="宋体" w:eastAsia="宋体" w:hint="default"/>
                <w:sz w:val="21"/>
                <w:szCs w:val="21"/>
              </w:rPr>
              <w:t> </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年以上</w:t>
            </w:r>
            <w:r>
              <w:rPr>
                <w:rFonts w:ascii="宋体" w:hAnsi="宋体" w:cs="宋体" w:eastAsia="宋体" w:hint="default"/>
                <w:sz w:val="21"/>
                <w:szCs w:val="21"/>
              </w:rPr>
              <w:t> </w:t>
            </w:r>
          </w:p>
        </w:tc>
        <w:tc>
          <w:tcPr>
            <w:tcW w:w="1605" w:type="dxa"/>
            <w:vMerge/>
            <w:tcBorders>
              <w:left w:val="single" w:sz="6" w:space="0" w:color="000000"/>
              <w:bottom w:val="single" w:sz="6" w:space="0" w:color="000000"/>
              <w:right w:val="nil" w:sz="6" w:space="0" w:color="auto"/>
            </w:tcBorders>
          </w:tcPr>
          <w:p>
            <w:pPr/>
          </w:p>
        </w:tc>
      </w:tr>
      <w:tr>
        <w:trPr>
          <w:trHeight w:val="348"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w w:val="100"/>
                <w:sz w:val="21"/>
              </w:rPr>
              <w:t> </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w w:val="100"/>
                <w:sz w:val="21"/>
              </w:rPr>
              <w:t> </w:t>
            </w:r>
          </w:p>
        </w:tc>
        <w:tc>
          <w:tcPr>
            <w:tcW w:w="160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96" w:right="0"/>
              <w:jc w:val="center"/>
              <w:rPr>
                <w:rFonts w:ascii="宋体" w:hAnsi="宋体" w:cs="宋体" w:eastAsia="宋体" w:hint="default"/>
                <w:sz w:val="21"/>
                <w:szCs w:val="21"/>
              </w:rPr>
            </w:pPr>
            <w:r>
              <w:rPr>
                <w:rFonts w:ascii="宋体"/>
                <w:w w:val="100"/>
                <w:sz w:val="21"/>
              </w:rPr>
              <w:t> </w:t>
            </w:r>
          </w:p>
        </w:tc>
      </w:tr>
      <w:tr>
        <w:trPr>
          <w:trHeight w:val="362" w:hRule="exact"/>
        </w:trPr>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w w:val="100"/>
                <w:sz w:val="21"/>
              </w:rPr>
              <w:t> </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8" w:right="0"/>
              <w:jc w:val="center"/>
              <w:rPr>
                <w:rFonts w:ascii="宋体" w:hAnsi="宋体" w:cs="宋体" w:eastAsia="宋体" w:hint="default"/>
                <w:sz w:val="21"/>
                <w:szCs w:val="21"/>
              </w:rPr>
            </w:pPr>
            <w:r>
              <w:rPr>
                <w:rFonts w:ascii="宋体"/>
                <w:w w:val="100"/>
                <w:sz w:val="21"/>
              </w:rPr>
              <w:t> </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w w:val="100"/>
                <w:sz w:val="21"/>
              </w:rPr>
              <w:t> </w:t>
            </w:r>
          </w:p>
        </w:tc>
        <w:tc>
          <w:tcPr>
            <w:tcW w:w="1605"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96" w:right="0"/>
              <w:jc w:val="center"/>
              <w:rPr>
                <w:rFonts w:ascii="宋体" w:hAnsi="宋体" w:cs="宋体" w:eastAsia="宋体" w:hint="default"/>
                <w:sz w:val="21"/>
                <w:szCs w:val="21"/>
              </w:rPr>
            </w:pPr>
            <w:r>
              <w:rPr>
                <w:rFonts w:ascii="宋体"/>
                <w:w w:val="100"/>
                <w:sz w:val="21"/>
              </w:rPr>
              <w:t> </w:t>
            </w:r>
          </w:p>
        </w:tc>
      </w:tr>
      <w:tr>
        <w:trPr>
          <w:trHeight w:val="346" w:hRule="exact"/>
        </w:trPr>
        <w:tc>
          <w:tcPr>
            <w:tcW w:w="1606" w:type="dxa"/>
            <w:vMerge w:val="restart"/>
            <w:tcBorders>
              <w:top w:val="single" w:sz="12" w:space="0" w:color="000000"/>
              <w:left w:val="single" w:sz="6" w:space="0" w:color="000000"/>
              <w:right w:val="single" w:sz="6" w:space="0" w:color="000000"/>
            </w:tcBorders>
          </w:tcPr>
          <w:p>
            <w:pPr>
              <w:pStyle w:val="TableParagraph"/>
              <w:spacing w:line="265" w:lineRule="exact"/>
              <w:ind w:left="58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8027" w:type="dxa"/>
            <w:gridSpan w:val="5"/>
            <w:tcBorders>
              <w:top w:val="single" w:sz="12" w:space="0" w:color="000000"/>
              <w:left w:val="single" w:sz="6" w:space="0" w:color="000000"/>
              <w:bottom w:val="single" w:sz="6" w:space="0" w:color="000000"/>
              <w:right w:val="nil" w:sz="6" w:space="0" w:color="auto"/>
            </w:tcBorders>
          </w:tcPr>
          <w:p>
            <w:pPr>
              <w:pStyle w:val="TableParagraph"/>
              <w:spacing w:line="265" w:lineRule="exact"/>
              <w:ind w:left="96" w:right="0"/>
              <w:jc w:val="center"/>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r>
      <w:tr>
        <w:trPr>
          <w:trHeight w:val="348" w:hRule="exact"/>
        </w:trPr>
        <w:tc>
          <w:tcPr>
            <w:tcW w:w="1606" w:type="dxa"/>
            <w:vMerge/>
            <w:tcBorders>
              <w:left w:val="single" w:sz="6" w:space="0" w:color="000000"/>
              <w:right w:val="single" w:sz="6" w:space="0" w:color="000000"/>
            </w:tcBorders>
          </w:tcPr>
          <w:p>
            <w:pPr/>
          </w:p>
        </w:tc>
        <w:tc>
          <w:tcPr>
            <w:tcW w:w="1882" w:type="dxa"/>
            <w:vMerge w:val="restart"/>
            <w:tcBorders>
              <w:top w:val="single" w:sz="6" w:space="0" w:color="000000"/>
              <w:left w:val="single" w:sz="6" w:space="0" w:color="000000"/>
              <w:right w:val="single" w:sz="6" w:space="0" w:color="000000"/>
            </w:tcBorders>
          </w:tcPr>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未逾期未减值</w:t>
            </w:r>
            <w:r>
              <w:rPr>
                <w:rFonts w:ascii="宋体" w:hAnsi="宋体" w:cs="宋体" w:eastAsia="宋体" w:hint="default"/>
                <w:sz w:val="21"/>
                <w:szCs w:val="21"/>
              </w:rPr>
              <w:t> </w:t>
            </w:r>
          </w:p>
        </w:tc>
        <w:tc>
          <w:tcPr>
            <w:tcW w:w="45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已逾期未减值</w:t>
            </w:r>
            <w:r>
              <w:rPr>
                <w:rFonts w:ascii="宋体" w:hAnsi="宋体" w:cs="宋体" w:eastAsia="宋体" w:hint="default"/>
                <w:sz w:val="21"/>
                <w:szCs w:val="21"/>
              </w:rPr>
              <w:t> </w:t>
            </w:r>
          </w:p>
        </w:tc>
        <w:tc>
          <w:tcPr>
            <w:tcW w:w="1605" w:type="dxa"/>
            <w:vMerge w:val="restart"/>
            <w:tcBorders>
              <w:top w:val="single" w:sz="6" w:space="0" w:color="000000"/>
              <w:left w:val="single" w:sz="6" w:space="0" w:color="000000"/>
              <w:right w:val="nil" w:sz="6" w:space="0" w:color="auto"/>
            </w:tcBorders>
          </w:tcPr>
          <w:p>
            <w:pPr>
              <w:pStyle w:val="TableParagraph"/>
              <w:spacing w:line="274" w:lineRule="exact"/>
              <w:ind w:left="58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46" w:hRule="exact"/>
        </w:trPr>
        <w:tc>
          <w:tcPr>
            <w:tcW w:w="1606" w:type="dxa"/>
            <w:vMerge/>
            <w:tcBorders>
              <w:left w:val="single" w:sz="6" w:space="0" w:color="000000"/>
              <w:bottom w:val="single" w:sz="6" w:space="0" w:color="000000"/>
              <w:right w:val="single" w:sz="6" w:space="0" w:color="000000"/>
            </w:tcBorders>
          </w:tcPr>
          <w:p>
            <w:pPr/>
          </w:p>
        </w:tc>
        <w:tc>
          <w:tcPr>
            <w:tcW w:w="1882" w:type="dxa"/>
            <w:vMerge/>
            <w:tcBorders>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r>
              <w:rPr>
                <w:rFonts w:ascii="宋体" w:hAnsi="宋体" w:cs="宋体" w:eastAsia="宋体" w:hint="default"/>
                <w:sz w:val="21"/>
                <w:szCs w:val="21"/>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r>
              <w:rPr>
                <w:rFonts w:ascii="宋体" w:hAnsi="宋体" w:cs="宋体" w:eastAsia="宋体" w:hint="default"/>
                <w:sz w:val="21"/>
                <w:szCs w:val="21"/>
              </w:rPr>
              <w:t> </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年以上</w:t>
            </w:r>
            <w:r>
              <w:rPr>
                <w:rFonts w:ascii="宋体" w:hAnsi="宋体" w:cs="宋体" w:eastAsia="宋体" w:hint="default"/>
                <w:sz w:val="21"/>
                <w:szCs w:val="21"/>
              </w:rPr>
              <w:t> </w:t>
            </w:r>
          </w:p>
        </w:tc>
        <w:tc>
          <w:tcPr>
            <w:tcW w:w="1605" w:type="dxa"/>
            <w:vMerge/>
            <w:tcBorders>
              <w:left w:val="single" w:sz="6" w:space="0" w:color="000000"/>
              <w:bottom w:val="single" w:sz="6" w:space="0" w:color="000000"/>
              <w:right w:val="nil" w:sz="6" w:space="0" w:color="auto"/>
            </w:tcBorders>
          </w:tcPr>
          <w:p>
            <w:pPr/>
          </w:p>
        </w:tc>
      </w:tr>
      <w:tr>
        <w:trPr>
          <w:trHeight w:val="348"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3,501,984.51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8" w:right="0"/>
              <w:jc w:val="center"/>
              <w:rPr>
                <w:rFonts w:ascii="宋体" w:hAnsi="宋体" w:cs="宋体" w:eastAsia="宋体" w:hint="default"/>
                <w:sz w:val="21"/>
                <w:szCs w:val="21"/>
              </w:rPr>
            </w:pPr>
            <w:r>
              <w:rPr>
                <w:rFonts w:ascii="宋体"/>
                <w:w w:val="100"/>
                <w:sz w:val="21"/>
              </w:rPr>
              <w:t> </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w w:val="100"/>
                <w:sz w:val="21"/>
              </w:rPr>
              <w:t> </w:t>
            </w:r>
          </w:p>
        </w:tc>
        <w:tc>
          <w:tcPr>
            <w:tcW w:w="1605"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4"/>
              <w:jc w:val="right"/>
              <w:rPr>
                <w:rFonts w:ascii="宋体" w:hAnsi="宋体" w:cs="宋体" w:eastAsia="宋体" w:hint="default"/>
                <w:sz w:val="21"/>
                <w:szCs w:val="21"/>
              </w:rPr>
            </w:pPr>
            <w:r>
              <w:rPr>
                <w:rFonts w:ascii="宋体"/>
                <w:spacing w:val="-1"/>
                <w:sz w:val="21"/>
              </w:rPr>
              <w:t>3,501,984.51</w:t>
            </w:r>
          </w:p>
        </w:tc>
      </w:tr>
      <w:tr>
        <w:trPr>
          <w:trHeight w:val="34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3,501,984.51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8" w:right="0"/>
              <w:jc w:val="center"/>
              <w:rPr>
                <w:rFonts w:ascii="宋体" w:hAnsi="宋体" w:cs="宋体" w:eastAsia="宋体" w:hint="default"/>
                <w:sz w:val="21"/>
                <w:szCs w:val="21"/>
              </w:rPr>
            </w:pPr>
            <w:r>
              <w:rPr>
                <w:rFonts w:ascii="宋体"/>
                <w:w w:val="100"/>
                <w:sz w:val="21"/>
              </w:rPr>
              <w:t> </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w w:val="100"/>
                <w:sz w:val="21"/>
              </w:rPr>
              <w:t> </w:t>
            </w:r>
          </w:p>
        </w:tc>
        <w:tc>
          <w:tcPr>
            <w:tcW w:w="1605"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4"/>
              <w:jc w:val="right"/>
              <w:rPr>
                <w:rFonts w:ascii="宋体" w:hAnsi="宋体" w:cs="宋体" w:eastAsia="宋体" w:hint="default"/>
                <w:sz w:val="21"/>
                <w:szCs w:val="21"/>
              </w:rPr>
            </w:pPr>
            <w:r>
              <w:rPr>
                <w:rFonts w:ascii="宋体"/>
                <w:spacing w:val="-1"/>
                <w:sz w:val="21"/>
              </w:rPr>
              <w:t>3,501,984.51</w:t>
            </w:r>
          </w:p>
        </w:tc>
      </w:tr>
    </w:tbl>
    <w:p>
      <w:pPr>
        <w:pStyle w:val="BodyText"/>
        <w:spacing w:line="240" w:lineRule="auto" w:before="8"/>
        <w:ind w:left="66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单项计提减值的应收款项情况见本财务报表附注合并财务报表项目注释之应收款项说明。</w:t>
      </w:r>
    </w:p>
    <w:p>
      <w:pPr>
        <w:pStyle w:val="BodyText"/>
        <w:spacing w:line="300" w:lineRule="auto" w:before="63"/>
        <w:ind w:left="57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流动风险</w:t>
      </w:r>
      <w:r>
        <w:rPr>
          <w:w w:val="99"/>
        </w:rPr>
        <w:t> </w:t>
      </w:r>
      <w:r>
        <w:rPr/>
        <w:t>流动风险，是指本公司在履行以交付现金或其他金融资产的方式结算的义务时发生资金短缺的风险。流动风险可能源</w:t>
      </w:r>
    </w:p>
    <w:p>
      <w:pPr>
        <w:pStyle w:val="BodyText"/>
        <w:spacing w:line="316" w:lineRule="auto" w:before="31"/>
        <w:ind w:right="0"/>
        <w:jc w:val="left"/>
      </w:pPr>
      <w:r>
        <w:rPr>
          <w:spacing w:val="-2"/>
        </w:rPr>
        <w:t>于无法尽快以公允价值售出金融资产；或者源于对方无法偿还其合同债务；或者源于提前到期的债务；或者源于无法产生预</w:t>
      </w:r>
      <w:r>
        <w:rPr>
          <w:spacing w:val="-63"/>
        </w:rPr>
        <w:t> </w:t>
      </w:r>
      <w:r>
        <w:rPr>
          <w:spacing w:val="-63"/>
        </w:rPr>
      </w:r>
      <w:r>
        <w:rPr/>
        <w:t>期的现金流量。</w:t>
      </w:r>
    </w:p>
    <w:p>
      <w:pPr>
        <w:pStyle w:val="BodyText"/>
        <w:spacing w:line="316" w:lineRule="auto" w:before="19"/>
        <w:ind w:right="0" w:firstLine="420"/>
        <w:jc w:val="left"/>
      </w:pPr>
      <w:r>
        <w:rPr/>
        <w:t>为控制该项风险，本公司综合运用票据结算、银行借款等多种融资手段，优化融资结构的方法，保持融资持续性与灵 活性之间的平衡。本公司已从多家商业银行取得银行授信额度以满足营运资金需求和资本开支。</w:t>
      </w:r>
    </w:p>
    <w:p>
      <w:pPr>
        <w:pStyle w:val="BodyText"/>
        <w:spacing w:line="240" w:lineRule="auto" w:before="19"/>
        <w:ind w:left="573" w:right="0"/>
        <w:jc w:val="left"/>
      </w:pPr>
      <w:r>
        <w:rPr/>
        <w:t>金融负债按剩余到期日分类</w:t>
      </w:r>
    </w:p>
    <w:p>
      <w:pPr>
        <w:spacing w:line="240" w:lineRule="auto" w:before="3"/>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1510"/>
        <w:gridCol w:w="1714"/>
        <w:gridCol w:w="1714"/>
        <w:gridCol w:w="1714"/>
        <w:gridCol w:w="1491"/>
        <w:gridCol w:w="1488"/>
      </w:tblGrid>
      <w:tr>
        <w:trPr>
          <w:trHeight w:val="322" w:hRule="exact"/>
        </w:trPr>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2" w:hRule="exact"/>
        </w:trPr>
        <w:tc>
          <w:tcPr>
            <w:tcW w:w="1510"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1"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未折现合同金额</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r>
              <w:rPr>
                <w:rFonts w:ascii="宋体" w:hAnsi="宋体" w:cs="宋体" w:eastAsia="宋体" w:hint="default"/>
                <w:sz w:val="18"/>
                <w:szCs w:val="18"/>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银行借款</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100,000,000.00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102,720,638.19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102,720,638.19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1,886,791.00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1,886,791.00</w:t>
            </w: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1,886,791.00</w:t>
            </w:r>
            <w:r>
              <w:rPr>
                <w:rFonts w:ascii="宋体"/>
                <w:sz w:val="18"/>
              </w:rPr>
              <w:t>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159,527,181.08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159,527,181.08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pacing w:val="-1"/>
                <w:sz w:val="18"/>
              </w:rPr>
              <w:t>159,527,181.08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183,333.33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183,333.33</w:t>
            </w: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183,333.33</w:t>
            </w:r>
            <w:r>
              <w:rPr>
                <w:rFonts w:ascii="宋体"/>
                <w:sz w:val="18"/>
              </w:rPr>
              <w:t>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79,789,115.80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79,789,115.80</w:t>
            </w: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79,789,115.80</w:t>
            </w:r>
            <w:r>
              <w:rPr>
                <w:rFonts w:ascii="宋体"/>
                <w:sz w:val="18"/>
              </w:rPr>
              <w:t>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341,386,421.21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344,107,059.40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344,107,059.40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62" w:lineRule="exact"/>
        <w:ind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510"/>
        <w:gridCol w:w="1714"/>
        <w:gridCol w:w="1714"/>
        <w:gridCol w:w="1714"/>
        <w:gridCol w:w="1491"/>
        <w:gridCol w:w="1488"/>
      </w:tblGrid>
      <w:tr>
        <w:trPr>
          <w:trHeight w:val="324" w:hRule="exact"/>
        </w:trPr>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510"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1"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未折现合同金额</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5"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r>
              <w:rPr>
                <w:rFonts w:ascii="宋体" w:hAnsi="宋体" w:cs="宋体" w:eastAsia="宋体" w:hint="default"/>
                <w:sz w:val="18"/>
                <w:szCs w:val="18"/>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银行借款</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6,000,000.00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6,100,858.46</w:t>
            </w: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6,100,858.46</w:t>
            </w:r>
            <w:r>
              <w:rPr>
                <w:rFonts w:ascii="宋体"/>
                <w:sz w:val="18"/>
              </w:rPr>
              <w:t>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300,000.00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300,000.00</w:t>
            </w: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300,000.00</w:t>
            </w:r>
            <w:r>
              <w:rPr>
                <w:rFonts w:ascii="宋体"/>
                <w:sz w:val="18"/>
              </w:rPr>
              <w:t>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107,473,365.89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107,473,365.89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107,473,365.89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9,045.62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9,045.62</w:t>
            </w: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9,045.62</w:t>
            </w:r>
            <w:r>
              <w:rPr>
                <w:rFonts w:ascii="宋体"/>
                <w:sz w:val="18"/>
              </w:rPr>
              <w:t>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309,750.01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309,750.01</w:t>
            </w: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pacing w:val="-1"/>
                <w:sz w:val="18"/>
              </w:rPr>
              <w:t>309,750.01</w:t>
            </w:r>
            <w:r>
              <w:rPr>
                <w:rFonts w:ascii="宋体"/>
                <w:sz w:val="18"/>
              </w:rPr>
              <w:t>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107,940,198.22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107,940,198.22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107,940,198.22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222,032,359.74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222,133,218.20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222,133,218.20 </w:t>
            </w:r>
          </w:p>
        </w:tc>
        <w:tc>
          <w:tcPr>
            <w:tcW w:w="14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8"/>
        <w:ind w:left="573" w:right="0" w:firstLine="9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31"/>
        <w:ind w:right="0"/>
        <w:jc w:val="left"/>
      </w:pPr>
      <w:r>
        <w:rPr/>
        <w:t>和外汇风险。</w:t>
      </w:r>
    </w:p>
    <w:p>
      <w:pPr>
        <w:pStyle w:val="BodyText"/>
        <w:spacing w:line="309" w:lineRule="auto" w:before="77"/>
        <w:ind w:left="573" w:right="35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利率风险 利率风险，是指金融工具的公允价值或未来现金流量因市场利率变动而发生波动的风险。本公司无重大利率风险。 </w:t>
      </w: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外汇风险</w:t>
      </w:r>
    </w:p>
    <w:p>
      <w:pPr>
        <w:spacing w:after="0" w:line="309"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0" w:firstLine="420"/>
        <w:jc w:val="left"/>
      </w:pPr>
      <w:r>
        <w:rPr/>
        <w:t>外汇风险，是指金融工具的公允价值或未来现金流量因外汇汇率变动而发生波动的风险。本公司于中国内地经营，且 主要活动以人民币计价。因此，本公司所承担的外汇变动市场风险不重大。</w:t>
      </w:r>
    </w:p>
    <w:p>
      <w:pPr>
        <w:pStyle w:val="BodyText"/>
        <w:spacing w:line="240" w:lineRule="auto" w:before="19"/>
        <w:ind w:left="573" w:right="0"/>
        <w:jc w:val="left"/>
      </w:pPr>
      <w:r>
        <w:rPr/>
        <w:t>本公司期末无外币货币性资产和负债。</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十一、关联方及关联交易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24.91%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24.91%</w:t>
            </w:r>
          </w:p>
        </w:tc>
      </w:tr>
    </w:tbl>
    <w:p>
      <w:pPr>
        <w:pStyle w:val="BodyText"/>
        <w:spacing w:line="360" w:lineRule="auto" w:before="49"/>
        <w:ind w:left="489" w:right="272" w:hanging="337"/>
        <w:jc w:val="left"/>
      </w:pPr>
      <w:r>
        <w:rPr/>
        <w:t>本企业的母公司情况的说明 葛航直接持有本公司</w:t>
      </w:r>
      <w:r>
        <w:rPr>
          <w:rFonts w:ascii="Times New Roman" w:hAnsi="Times New Roman" w:cs="Times New Roman" w:eastAsia="Times New Roman" w:hint="default"/>
        </w:rPr>
        <w:t>18.37%</w:t>
      </w:r>
      <w:r>
        <w:rPr/>
        <w:t>的股权；葛航持有浙江中宇科技风险投资有限公司</w:t>
      </w:r>
      <w:r>
        <w:rPr>
          <w:rFonts w:ascii="Times New Roman" w:hAnsi="Times New Roman" w:cs="Times New Roman" w:eastAsia="Times New Roman" w:hint="default"/>
        </w:rPr>
        <w:t>90%</w:t>
      </w:r>
      <w:r>
        <w:rPr/>
        <w:t>的股权，浙江中宇科技风险投资有</w:t>
      </w:r>
    </w:p>
    <w:p>
      <w:pPr>
        <w:pStyle w:val="BodyText"/>
        <w:spacing w:line="212" w:lineRule="exact"/>
        <w:ind w:right="0"/>
        <w:jc w:val="left"/>
      </w:pPr>
      <w:r>
        <w:rPr/>
        <w:t>限公司持有杭州阜康投资有限公司</w:t>
      </w:r>
      <w:r>
        <w:rPr>
          <w:rFonts w:ascii="Times New Roman" w:hAnsi="Times New Roman" w:cs="Times New Roman" w:eastAsia="Times New Roman" w:hint="default"/>
        </w:rPr>
        <w:t>69.1637%</w:t>
      </w:r>
      <w:r>
        <w:rPr/>
        <w:t>的股权，杭州阜康投资有限公司持有本公司</w:t>
      </w:r>
      <w:r>
        <w:rPr>
          <w:rFonts w:ascii="Times New Roman" w:hAnsi="Times New Roman" w:cs="Times New Roman" w:eastAsia="Times New Roman" w:hint="default"/>
        </w:rPr>
        <w:t>10.5%</w:t>
      </w:r>
      <w:r>
        <w:rPr/>
        <w:t>的股权，因此葛航直接和间</w:t>
      </w:r>
    </w:p>
    <w:p>
      <w:pPr>
        <w:pStyle w:val="BodyText"/>
        <w:spacing w:line="348" w:lineRule="auto" w:before="63"/>
        <w:ind w:right="7239"/>
        <w:jc w:val="left"/>
      </w:pPr>
      <w:r>
        <w:rPr/>
        <w:t>接持有公司合计</w:t>
      </w:r>
      <w:r>
        <w:rPr>
          <w:rFonts w:ascii="Times New Roman" w:hAnsi="Times New Roman" w:cs="Times New Roman" w:eastAsia="Times New Roman" w:hint="default"/>
        </w:rPr>
        <w:t>24.91%</w:t>
      </w:r>
      <w:r>
        <w:rPr/>
        <w:t>的股权。 本企业最终控制方是葛航。 其他说明：</w:t>
      </w:r>
    </w:p>
    <w:p>
      <w:pPr>
        <w:spacing w:line="240" w:lineRule="auto" w:before="12"/>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本企业子公司的情况详见附注在其他主体中的权益之说明。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1314"/>
        <w:jc w:val="left"/>
      </w:pPr>
      <w:r>
        <w:rPr/>
        <w:t>本企业重要的合营或联营企业详见附注在其他主体中的权益之说明。 本期与本公司发生关联方交易，或前期与本公司发生关联方交易形成余额的其他合营或联营企业情况如下：</w:t>
      </w: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浙江美康网新云健康科技股份有限公司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北京童康医疗信息技术有限公司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5"/>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广东中拓信息技术有限公司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月起为本公司因协议安排的其他关联方，</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月起为本公司的控股子公司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浙江建达科技股份有限公司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周建新</w:t>
            </w:r>
            <w:r>
              <w:rPr>
                <w:rFonts w:ascii="Times New Roman" w:hAnsi="Times New Roman" w:cs="Times New Roman" w:eastAsia="Times New Roman" w:hint="default"/>
                <w:sz w:val="18"/>
                <w:szCs w:val="18"/>
              </w:rPr>
              <w:t>(</w:t>
            </w:r>
            <w:r>
              <w:rPr>
                <w:rFonts w:ascii="宋体" w:hAnsi="宋体" w:cs="宋体" w:eastAsia="宋体" w:hint="default"/>
                <w:sz w:val="18"/>
                <w:szCs w:val="18"/>
              </w:rPr>
              <w:t>直接及间接持有本公司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r>
              <w:rPr>
                <w:rFonts w:ascii="Times New Roman" w:hAnsi="Times New Roman" w:cs="Times New Roman" w:eastAsia="Times New Roman" w:hint="default"/>
                <w:sz w:val="18"/>
                <w:szCs w:val="18"/>
              </w:rPr>
              <w:t>)</w:t>
            </w:r>
            <w:r>
              <w:rPr>
                <w:rFonts w:ascii="宋体" w:hAnsi="宋体" w:cs="宋体" w:eastAsia="宋体" w:hint="default"/>
                <w:sz w:val="18"/>
                <w:szCs w:val="18"/>
              </w:rPr>
              <w:t>控制的企业</w:t>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杭州博泰信息技术服务有限公司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原为周建新控制的企业，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月起为本公司的全资子公 司</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浙江中福健康管理有限公司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杭州中福投资管理有限公司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杭州爱葆云科技有限公司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杭州健保付网络科技有限公司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杭州隽宝科技有限公司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实际控制人控制的公司的联营企业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杭州生命海网络科技有限公司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杭州亿家健康管理有限公司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杭州灏赢投资管理合伙企业（有限合伙）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实际控制人为该公司重要合伙人之一</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39"/>
        <w:gridCol w:w="1455"/>
        <w:gridCol w:w="1454"/>
        <w:gridCol w:w="1707"/>
        <w:gridCol w:w="1709"/>
        <w:gridCol w:w="1706"/>
      </w:tblGrid>
      <w:tr>
        <w:trPr>
          <w:trHeight w:val="401"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北京童康医疗信息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软件咨询服务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5,285,272.78</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5,598,764.00</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广东中拓信息技术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硬件产品</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749,652.16</w:t>
            </w:r>
          </w:p>
        </w:tc>
      </w:tr>
      <w:tr>
        <w:trPr>
          <w:trHeight w:val="715"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广东中拓信息技术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953,584.91</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浙江建达科技股份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58"/>
              <w:jc w:val="left"/>
              <w:rPr>
                <w:rFonts w:ascii="宋体" w:hAnsi="宋体" w:cs="宋体" w:eastAsia="宋体" w:hint="default"/>
                <w:sz w:val="18"/>
                <w:szCs w:val="18"/>
              </w:rPr>
            </w:pPr>
            <w:r>
              <w:rPr>
                <w:rFonts w:ascii="宋体" w:hAnsi="宋体" w:cs="宋体" w:eastAsia="宋体" w:hint="default"/>
                <w:sz w:val="18"/>
                <w:szCs w:val="18"/>
              </w:rPr>
              <w:t>硬件产品、监控 维护服务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265,735.20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8"/>
        <w:gridCol w:w="2259"/>
        <w:gridCol w:w="2259"/>
        <w:gridCol w:w="2653"/>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浙江美康网新云健康科技股份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软件产品、技术开发服务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7,273,504.27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杭州博泰信息技术服务有限公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2,641,509.43</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浙江建达科技股份有限公司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运维服务、软件、硬件产</w:t>
            </w:r>
            <w:r>
              <w:rPr>
                <w:rFonts w:ascii="宋体" w:hAnsi="宋体" w:cs="宋体" w:eastAsia="宋体" w:hint="default"/>
                <w:w w:val="99"/>
                <w:sz w:val="18"/>
                <w:szCs w:val="18"/>
              </w:rPr>
              <w:t> </w:t>
            </w:r>
            <w:r>
              <w:rPr>
                <w:rFonts w:ascii="宋体" w:hAnsi="宋体" w:cs="宋体" w:eastAsia="宋体" w:hint="default"/>
                <w:sz w:val="18"/>
                <w:szCs w:val="18"/>
              </w:rPr>
              <w:t>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2" w:right="0"/>
              <w:jc w:val="left"/>
              <w:rPr>
                <w:rFonts w:ascii="Times New Roman" w:hAnsi="Times New Roman" w:cs="Times New Roman" w:eastAsia="Times New Roman" w:hint="default"/>
                <w:sz w:val="18"/>
                <w:szCs w:val="18"/>
              </w:rPr>
            </w:pPr>
            <w:r>
              <w:rPr>
                <w:rFonts w:ascii="Times New Roman"/>
                <w:sz w:val="18"/>
              </w:rPr>
              <w:t>2,659,219.15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21,967.53</w:t>
            </w:r>
          </w:p>
        </w:tc>
      </w:tr>
    </w:tbl>
    <w:p>
      <w:pPr>
        <w:pStyle w:val="BodyText"/>
        <w:spacing w:line="240" w:lineRule="auto" w:before="49"/>
        <w:ind w:right="0"/>
        <w:jc w:val="left"/>
      </w:pPr>
      <w:r>
        <w:rPr/>
        <w:t>购销商品、提供和接受劳务的关联交易说明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366"/>
        <w:gridCol w:w="1368"/>
        <w:gridCol w:w="1368"/>
        <w:gridCol w:w="1368"/>
        <w:gridCol w:w="1366"/>
        <w:gridCol w:w="135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0"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8"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pStyle w:val="BodyText"/>
        <w:spacing w:line="338" w:lineRule="auto" w:before="50"/>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6"/>
        <w:gridCol w:w="1368"/>
        <w:gridCol w:w="1368"/>
        <w:gridCol w:w="1368"/>
        <w:gridCol w:w="1366"/>
        <w:gridCol w:w="1357"/>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0"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8"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3"/>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杭州爱葆云科技有限公司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170,976.00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杭州健保付网络科技有限公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115,963.20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杭州隽宝科技有限公司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451,908.60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杭州生命海网络科技有限公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17,208.00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杭州亿家健康管理有限公司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894,223.20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杭州中福投资管理有限公司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44,604.00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浙江中福健康管理有限公司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本公司作为承租方：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5"/>
        <w:gridCol w:w="2392"/>
        <w:gridCol w:w="2380"/>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60" w:lineRule="auto" w:before="49"/>
        <w:ind w:left="573" w:right="1703" w:hanging="421"/>
        <w:jc w:val="left"/>
      </w:pPr>
      <w:r>
        <w:rPr/>
        <w:t>关联租赁情况说明 本期，公司向以上关联单位出租房屋建筑物的同时提供物业服务，收取相关物业费</w:t>
      </w:r>
      <w:r>
        <w:rPr>
          <w:rFonts w:ascii="Times New Roman" w:hAnsi="Times New Roman" w:cs="Times New Roman" w:eastAsia="Times New Roman" w:hint="default"/>
        </w:rPr>
        <w:t>197,096.83</w:t>
      </w:r>
      <w:r>
        <w:rPr/>
        <w:t>元。</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7"/>
        <w:gridCol w:w="1912"/>
        <w:gridCol w:w="1915"/>
        <w:gridCol w:w="190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7"/>
        <w:gridCol w:w="1912"/>
        <w:gridCol w:w="1915"/>
        <w:gridCol w:w="1903"/>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关联担保情况说明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3"/>
        <w:gridCol w:w="1916"/>
        <w:gridCol w:w="1915"/>
        <w:gridCol w:w="1913"/>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5"/>
        <w:gridCol w:w="2392"/>
        <w:gridCol w:w="2380"/>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4,276,700.00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3,534,000.00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44" w:firstLine="420"/>
        <w:jc w:val="both"/>
      </w:pPr>
      <w:r>
        <w:rPr>
          <w:rFonts w:ascii="Times New Roman" w:hAnsi="Times New Roman" w:cs="Times New Roman" w:eastAsia="Times New Roman" w:hint="default"/>
          <w:w w:val="99"/>
        </w:rPr>
        <w:t>(1)</w:t>
      </w:r>
      <w:r>
        <w:rPr>
          <w:rFonts w:ascii="Times New Roman" w:hAnsi="Times New Roman" w:cs="Times New Roman" w:eastAsia="Times New Roman" w:hint="default"/>
          <w:spacing w:val="29"/>
          <w:w w:val="99"/>
        </w:rPr>
        <w:t> </w:t>
      </w:r>
      <w:r>
        <w:rPr>
          <w:spacing w:val="-6"/>
          <w:w w:val="99"/>
        </w:rPr>
        <w:t>本期，公司获准向杭州鑫粟投资管理有限公司、杭州铜粟投资管理有限公司发行人民币普通股（</w:t>
      </w:r>
      <w:r>
        <w:rPr>
          <w:rFonts w:ascii="Times New Roman" w:hAnsi="Times New Roman" w:cs="Times New Roman" w:eastAsia="Times New Roman" w:hint="default"/>
          <w:spacing w:val="-6"/>
          <w:w w:val="99"/>
        </w:rPr>
        <w:t>A</w:t>
      </w:r>
      <w:r>
        <w:rPr>
          <w:spacing w:val="-6"/>
          <w:w w:val="99"/>
        </w:rPr>
        <w:t>股）股票</w:t>
      </w:r>
      <w:r>
        <w:rPr>
          <w:rFonts w:ascii="Times New Roman" w:hAnsi="Times New Roman" w:cs="Times New Roman" w:eastAsia="Times New Roman" w:hint="default"/>
          <w:spacing w:val="-6"/>
          <w:w w:val="99"/>
        </w:rPr>
        <w:t>29,872,999</w:t>
      </w:r>
      <w:r>
        <w:rPr>
          <w:rFonts w:ascii="Times New Roman" w:hAnsi="Times New Roman" w:cs="Times New Roman" w:eastAsia="Times New Roman" w:hint="default"/>
        </w:rPr>
        <w:t> </w:t>
      </w:r>
      <w:r>
        <w:rPr>
          <w:spacing w:val="6"/>
        </w:rPr>
        <w:t>股，向葛航、周建新发行人民币普通股（</w:t>
      </w:r>
      <w:r>
        <w:rPr>
          <w:rFonts w:ascii="Times New Roman" w:hAnsi="Times New Roman" w:cs="Times New Roman" w:eastAsia="Times New Roman" w:hint="default"/>
          <w:spacing w:val="6"/>
        </w:rPr>
        <w:t>A</w:t>
      </w:r>
      <w:r>
        <w:rPr>
          <w:spacing w:val="6"/>
        </w:rPr>
        <w:t>股）股票</w:t>
      </w:r>
      <w:r>
        <w:rPr>
          <w:rFonts w:ascii="Times New Roman" w:hAnsi="Times New Roman" w:cs="Times New Roman" w:eastAsia="Times New Roman" w:hint="default"/>
          <w:spacing w:val="6"/>
        </w:rPr>
        <w:t>2,080,264</w:t>
      </w:r>
      <w:r>
        <w:rPr>
          <w:spacing w:val="6"/>
        </w:rPr>
        <w:t>股，每股面值</w:t>
      </w:r>
      <w:r>
        <w:rPr>
          <w:rFonts w:ascii="Times New Roman" w:hAnsi="Times New Roman" w:cs="Times New Roman" w:eastAsia="Times New Roman" w:hint="default"/>
          <w:spacing w:val="6"/>
        </w:rPr>
        <w:t>1</w:t>
      </w:r>
      <w:r>
        <w:rPr>
          <w:spacing w:val="6"/>
        </w:rPr>
        <w:t>元，每股发行价格为人民币</w:t>
      </w:r>
      <w:r>
        <w:rPr>
          <w:rFonts w:ascii="Times New Roman" w:hAnsi="Times New Roman" w:cs="Times New Roman" w:eastAsia="Times New Roman" w:hint="default"/>
          <w:spacing w:val="6"/>
        </w:rPr>
        <w:t>39.37</w:t>
      </w:r>
      <w:r>
        <w:rPr>
          <w:spacing w:val="6"/>
        </w:rPr>
        <w:t>元，合计</w:t>
      </w:r>
      <w:r>
        <w:rPr>
          <w:spacing w:val="-80"/>
        </w:rPr>
        <w:t> </w:t>
      </w:r>
      <w:r>
        <w:rPr>
          <w:rFonts w:ascii="Times New Roman" w:hAnsi="Times New Roman" w:cs="Times New Roman" w:eastAsia="Times New Roman" w:hint="default"/>
        </w:rPr>
        <w:t>1,258,000,000.00</w:t>
      </w:r>
      <w:r>
        <w:rPr/>
        <w:t>元，用于收购杭州博泰信息技术服务有限公司</w:t>
      </w:r>
      <w:r>
        <w:rPr>
          <w:rFonts w:ascii="Times New Roman" w:hAnsi="Times New Roman" w:cs="Times New Roman" w:eastAsia="Times New Roman" w:hint="default"/>
        </w:rPr>
        <w:t>100%</w:t>
      </w:r>
      <w:r>
        <w:rPr/>
        <w:t>股权及支付相关发行费用。</w:t>
      </w:r>
    </w:p>
    <w:p>
      <w:pPr>
        <w:pStyle w:val="BodyText"/>
        <w:spacing w:line="240" w:lineRule="auto" w:before="13"/>
        <w:ind w:left="0" w:right="152"/>
        <w:jc w:val="right"/>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spacing w:val="-2"/>
        </w:rPr>
        <w:t>本期，公司与杭州灏赢投资管理合伙企业（有限合伙）以及其他投资者共同发起设立浙江大健康产业股权投资基金</w:t>
      </w:r>
    </w:p>
    <w:p>
      <w:pPr>
        <w:pStyle w:val="BodyText"/>
        <w:spacing w:line="300" w:lineRule="auto" w:before="63"/>
        <w:ind w:right="0"/>
        <w:jc w:val="left"/>
      </w:pPr>
      <w:r>
        <w:rPr>
          <w:spacing w:val="-9"/>
          <w:w w:val="100"/>
        </w:rPr>
        <w:t>（有限合伙）（以下简称</w:t>
      </w:r>
      <w:r>
        <w:rPr>
          <w:rFonts w:ascii="Times New Roman" w:hAnsi="Times New Roman" w:cs="Times New Roman" w:eastAsia="Times New Roman" w:hint="default"/>
          <w:spacing w:val="-9"/>
          <w:w w:val="100"/>
        </w:rPr>
        <w:t>“</w:t>
      </w:r>
      <w:r>
        <w:rPr>
          <w:spacing w:val="-9"/>
          <w:w w:val="100"/>
        </w:rPr>
        <w:t>大健康基金</w:t>
      </w:r>
      <w:r>
        <w:rPr>
          <w:rFonts w:ascii="Times New Roman" w:hAnsi="Times New Roman" w:cs="Times New Roman" w:eastAsia="Times New Roman" w:hint="default"/>
          <w:spacing w:val="-9"/>
          <w:w w:val="100"/>
        </w:rPr>
        <w:t>”</w:t>
      </w:r>
      <w:r>
        <w:rPr>
          <w:spacing w:val="-9"/>
          <w:w w:val="100"/>
        </w:rPr>
        <w:t>）。杭州灏赢投资管理合伙企业（有限合伙）为大健康基金普通合伙人，公司投资</w:t>
      </w:r>
      <w:r>
        <w:rPr>
          <w:rFonts w:ascii="Times New Roman" w:hAnsi="Times New Roman" w:cs="Times New Roman" w:eastAsia="Times New Roman" w:hint="default"/>
          <w:spacing w:val="-9"/>
          <w:w w:val="100"/>
        </w:rPr>
        <w:t>5,000.00</w:t>
      </w:r>
      <w:r>
        <w:rPr>
          <w:rFonts w:ascii="Times New Roman" w:hAnsi="Times New Roman" w:cs="Times New Roman" w:eastAsia="Times New Roman" w:hint="default"/>
          <w:spacing w:val="-5"/>
          <w:w w:val="100"/>
        </w:rPr>
        <w:t> </w:t>
      </w:r>
      <w:r>
        <w:rPr>
          <w:rFonts w:ascii="Times New Roman" w:hAnsi="Times New Roman" w:cs="Times New Roman" w:eastAsia="Times New Roman" w:hint="default"/>
          <w:spacing w:val="-5"/>
          <w:w w:val="100"/>
        </w:rPr>
      </w:r>
      <w:r>
        <w:rPr/>
        <w:t>万元作为大健康基金的有限合伙人。</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2"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2"/>
              <w:jc w:val="both"/>
              <w:rPr>
                <w:rFonts w:ascii="宋体" w:hAnsi="宋体" w:cs="宋体" w:eastAsia="宋体" w:hint="default"/>
                <w:sz w:val="18"/>
                <w:szCs w:val="18"/>
              </w:rPr>
            </w:pPr>
            <w:r>
              <w:rPr>
                <w:rFonts w:ascii="宋体" w:hAnsi="宋体" w:cs="宋体" w:eastAsia="宋体" w:hint="default"/>
                <w:sz w:val="18"/>
                <w:szCs w:val="18"/>
              </w:rPr>
              <w:t>浙江美康网新云健 康科技股份有限公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浙江建达科技股份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197,125.77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59,137.73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杭州亿家健康管理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938,934.36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46,946.72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北京童康医疗信息技术有限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1,170,248.21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杭州隽宝科技有限公司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73,000.62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浙江中福健康管理有限公司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7,812.00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杭州爱葆云科技有限公司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35,904.96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浙江建达科技股份有限公司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8,330,110.69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76" w:lineRule="auto" w:before="0"/>
        <w:ind w:left="152" w:right="7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7"/>
          <w:szCs w:val="7"/>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13,543,257.02</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33,060,599.80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21,980,312.00</w:t>
            </w:r>
          </w:p>
        </w:tc>
      </w:tr>
      <w:tr>
        <w:trPr>
          <w:trHeight w:val="715"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年授予的股票期权行权价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股，自授予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日起分四年行权，至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年结束。</w:t>
            </w:r>
          </w:p>
        </w:tc>
      </w:tr>
      <w:tr>
        <w:trPr>
          <w:trHeight w:val="196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0"/>
              <w:ind w:left="2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年度授予的限制性股票行权价格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股，自授予日起分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年解锁，至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年结束；</w:t>
            </w:r>
          </w:p>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年度授予的限制性股票行权价格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股自</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授予日起分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年解锁，至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年结束；</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3" w:right="110"/>
              <w:jc w:val="left"/>
              <w:rPr>
                <w:rFonts w:ascii="宋体" w:hAnsi="宋体" w:cs="宋体" w:eastAsia="宋体" w:hint="default"/>
                <w:sz w:val="18"/>
                <w:szCs w:val="18"/>
              </w:rPr>
            </w:pPr>
            <w:r>
              <w:rPr>
                <w:rFonts w:ascii="宋体" w:hAnsi="宋体" w:cs="宋体" w:eastAsia="宋体" w:hint="default"/>
                <w:sz w:val="18"/>
                <w:szCs w:val="18"/>
              </w:rPr>
              <w:t>授予的回购股票行权价格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股，自本期授予 日起立即可行权。</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133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4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、采用授予日股票收盘价减去组合期权的价值的方法确 定限制性股票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股票期权的公允价值；</w:t>
            </w:r>
            <w:r>
              <w:rPr>
                <w:rFonts w:ascii="Times New Roman" w:hAnsi="Times New Roman" w:cs="Times New Roman" w:eastAsia="Times New Roman" w:hint="default"/>
                <w:sz w:val="18"/>
                <w:szCs w:val="18"/>
              </w:rPr>
              <w:t>2</w:t>
            </w:r>
            <w:r>
              <w:rPr>
                <w:rFonts w:ascii="宋体" w:hAnsi="宋体" w:cs="宋体" w:eastAsia="宋体" w:hint="default"/>
                <w:sz w:val="18"/>
                <w:szCs w:val="18"/>
              </w:rPr>
              <w:t>、用于实施员工持 股计划的回购股票的授予日权益工具公允价值按授予日股 票收盘价。</w:t>
            </w:r>
          </w:p>
        </w:tc>
      </w:tr>
      <w:tr>
        <w:trPr>
          <w:trHeight w:val="165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股票期权，以获授限制性股票</w:t>
            </w:r>
            <w:r>
              <w:rPr>
                <w:rFonts w:ascii="Times New Roman" w:hAnsi="Times New Roman" w:cs="Times New Roman" w:eastAsia="Times New Roman" w:hint="default"/>
                <w:sz w:val="18"/>
                <w:szCs w:val="18"/>
              </w:rPr>
              <w:t>/</w:t>
            </w:r>
            <w:r>
              <w:rPr>
                <w:rFonts w:ascii="宋体" w:hAnsi="宋体" w:cs="宋体" w:eastAsia="宋体" w:hint="default"/>
                <w:sz w:val="18"/>
                <w:szCs w:val="18"/>
              </w:rPr>
              <w:t>股票期权额 度为基数，综合考虑每个资产负债表日可行权职工人数变 动情况、各个可行权年度公司业绩考核指标和激励对象个 人绩效考核情况确定；</w:t>
            </w:r>
            <w:r>
              <w:rPr>
                <w:rFonts w:ascii="Times New Roman" w:hAnsi="Times New Roman" w:cs="Times New Roman" w:eastAsia="Times New Roman" w:hint="default"/>
                <w:sz w:val="18"/>
                <w:szCs w:val="18"/>
              </w:rPr>
              <w:t>2</w:t>
            </w:r>
            <w:r>
              <w:rPr>
                <w:rFonts w:ascii="宋体" w:hAnsi="宋体" w:cs="宋体" w:eastAsia="宋体" w:hint="default"/>
                <w:sz w:val="18"/>
                <w:szCs w:val="18"/>
              </w:rPr>
              <w:t>、回购股票，以预计过户至员工 持股计划账户的股票数量确定。</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74,671,557.03</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22,452,860.18</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spacing w:line="376" w:lineRule="auto" w:before="107"/>
        <w:ind w:left="152" w:right="73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360" w:lineRule="auto" w:before="177"/>
        <w:ind w:left="573" w:right="218" w:hanging="421"/>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日，本公司对已设立及投资子公司尚未履行的出资义务共计</w:t>
      </w:r>
      <w:r>
        <w:rPr>
          <w:rFonts w:ascii="Times New Roman" w:hAnsi="Times New Roman" w:cs="Times New Roman" w:eastAsia="Times New Roman" w:hint="default"/>
        </w:rPr>
        <w:t>71,125,000.00</w:t>
      </w:r>
      <w:r>
        <w:rPr/>
        <w:t>元，其中：天津创津科技</w:t>
      </w:r>
    </w:p>
    <w:p>
      <w:pPr>
        <w:pStyle w:val="BodyText"/>
        <w:spacing w:line="212" w:lineRule="exact"/>
        <w:ind w:right="0"/>
        <w:jc w:val="left"/>
      </w:pPr>
      <w:r>
        <w:rPr/>
        <w:t>有限公司</w:t>
      </w:r>
      <w:r>
        <w:rPr>
          <w:rFonts w:ascii="Times New Roman" w:hAnsi="Times New Roman" w:cs="Times New Roman" w:eastAsia="Times New Roman" w:hint="default"/>
        </w:rPr>
        <w:t>5,975,000.00</w:t>
      </w:r>
      <w:r>
        <w:rPr/>
        <w:t>元、中山市杭创科技有限公司</w:t>
      </w:r>
      <w:r>
        <w:rPr>
          <w:rFonts w:ascii="Times New Roman" w:hAnsi="Times New Roman" w:cs="Times New Roman" w:eastAsia="Times New Roman" w:hint="default"/>
        </w:rPr>
        <w:t>18,350,000.00</w:t>
      </w:r>
      <w:r>
        <w:rPr/>
        <w:t>元、宁海杭创网络科技有限公司</w:t>
      </w:r>
      <w:r>
        <w:rPr>
          <w:rFonts w:ascii="Times New Roman" w:hAnsi="Times New Roman" w:cs="Times New Roman" w:eastAsia="Times New Roman" w:hint="default"/>
        </w:rPr>
        <w:t>10,000,000.00</w:t>
      </w:r>
      <w:r>
        <w:rPr/>
        <w:t>元、杭州梅</w:t>
      </w:r>
    </w:p>
    <w:p>
      <w:pPr>
        <w:pStyle w:val="BodyText"/>
        <w:spacing w:line="240" w:lineRule="auto" w:before="63"/>
        <w:ind w:right="0"/>
        <w:jc w:val="left"/>
      </w:pPr>
      <w:r>
        <w:rPr/>
        <w:t>清数码科技有限公司</w:t>
      </w:r>
      <w:r>
        <w:rPr>
          <w:rFonts w:ascii="Times New Roman" w:hAnsi="Times New Roman" w:cs="Times New Roman" w:eastAsia="Times New Roman" w:hint="default"/>
        </w:rPr>
        <w:t>19,000,000.00</w:t>
      </w:r>
      <w:r>
        <w:rPr/>
        <w:t>元、杭州鼎泰医康科技有限公司</w:t>
      </w:r>
      <w:r>
        <w:rPr>
          <w:rFonts w:ascii="Times New Roman" w:hAnsi="Times New Roman" w:cs="Times New Roman" w:eastAsia="Times New Roman" w:hint="default"/>
        </w:rPr>
        <w:t>10,000,000.00</w:t>
      </w:r>
      <w:r>
        <w:rPr/>
        <w:t>元、浙江医康数据科技研究院有限公司</w:t>
      </w:r>
    </w:p>
    <w:p>
      <w:pPr>
        <w:pStyle w:val="BodyText"/>
        <w:spacing w:line="240" w:lineRule="auto" w:before="63"/>
        <w:ind w:right="0"/>
        <w:jc w:val="left"/>
      </w:pPr>
      <w:r>
        <w:rPr>
          <w:rFonts w:ascii="Times New Roman" w:hAnsi="Times New Roman" w:cs="Times New Roman" w:eastAsia="Times New Roman" w:hint="default"/>
        </w:rPr>
        <w:t>7,800,000.00</w:t>
      </w:r>
      <w:r>
        <w:rPr/>
        <w:t>元。</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47"/>
        <w:ind w:left="152" w:right="6714" w:firstLine="0"/>
        <w:jc w:val="left"/>
        <w:rPr>
          <w:rFonts w:ascii="Microsoft JhengHei" w:hAnsi="Microsoft JhengHei" w:cs="Microsoft JhengHei" w:eastAsia="Microsoft JhengHei"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十四、资产负债表日后事项</w:t>
      </w:r>
      <w:r>
        <w:rPr>
          <w:rFonts w:ascii="Microsoft JhengHei" w:hAnsi="Microsoft JhengHei" w:cs="Microsoft JhengHei" w:eastAsia="Microsoft JhengHei" w:hint="default"/>
          <w:sz w:val="24"/>
          <w:szCs w:val="24"/>
        </w:rPr>
      </w:r>
    </w:p>
    <w:p>
      <w:pPr>
        <w:pStyle w:val="Heading3"/>
        <w:spacing w:line="240" w:lineRule="auto" w:before="168"/>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73"/>
        <w:gridCol w:w="4596"/>
      </w:tblGrid>
      <w:tr>
        <w:trPr>
          <w:trHeight w:val="401" w:hRule="exact"/>
        </w:trPr>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24,280,188.70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51" w:firstLine="420"/>
        <w:jc w:val="both"/>
      </w:pPr>
      <w:r>
        <w:rPr>
          <w:rFonts w:ascii="Times New Roman" w:hAnsi="Times New Roman" w:cs="Times New Roman" w:eastAsia="Times New Roman" w:hint="default"/>
        </w:rPr>
        <w:t>1. </w:t>
      </w:r>
      <w:r>
        <w:rPr>
          <w:spacing w:val="-4"/>
        </w:rPr>
        <w:t>根据公司六届五次董事会会议，公司拟以人民币</w:t>
      </w:r>
      <w:r>
        <w:rPr>
          <w:spacing w:val="10"/>
        </w:rPr>
        <w:t> </w:t>
      </w:r>
      <w:r>
        <w:rPr>
          <w:rFonts w:ascii="Times New Roman" w:hAnsi="Times New Roman" w:cs="Times New Roman" w:eastAsia="Times New Roman" w:hint="default"/>
        </w:rPr>
        <w:t>5,460.00</w:t>
      </w:r>
      <w:r>
        <w:rPr/>
        <w:t>万元的价格收购控股子公司杭州美诺泰科科技有限公司</w:t>
      </w:r>
      <w:r>
        <w:rPr>
          <w:rFonts w:ascii="Times New Roman" w:hAnsi="Times New Roman" w:cs="Times New Roman" w:eastAsia="Times New Roman" w:hint="default"/>
        </w:rPr>
        <w:t>(</w:t>
      </w:r>
      <w:r>
        <w:rPr/>
        <w:t>以 下简称美诺泰科</w:t>
      </w:r>
      <w:r>
        <w:rPr>
          <w:rFonts w:ascii="Times New Roman" w:hAnsi="Times New Roman" w:cs="Times New Roman" w:eastAsia="Times New Roman" w:hint="default"/>
        </w:rPr>
        <w:t>)</w:t>
      </w:r>
      <w:r>
        <w:rPr/>
        <w:t>剩余</w:t>
      </w:r>
      <w:r>
        <w:rPr>
          <w:rFonts w:ascii="Times New Roman" w:hAnsi="Times New Roman" w:cs="Times New Roman" w:eastAsia="Times New Roman" w:hint="default"/>
        </w:rPr>
        <w:t>49%</w:t>
      </w:r>
      <w:r>
        <w:rPr/>
        <w:t>的股权。收购完成后，公司将持有美诺泰科</w:t>
      </w:r>
      <w:r>
        <w:rPr>
          <w:rFonts w:ascii="Times New Roman" w:hAnsi="Times New Roman" w:cs="Times New Roman" w:eastAsia="Times New Roman" w:hint="default"/>
        </w:rPr>
        <w:t>100%</w:t>
      </w:r>
      <w:r>
        <w:rPr/>
        <w:t>股权。截至本财务报表批准报出日，美诺泰科已</w:t>
      </w:r>
      <w:r>
        <w:rPr>
          <w:spacing w:val="-85"/>
        </w:rPr>
        <w:t> </w:t>
      </w:r>
      <w:r>
        <w:rPr>
          <w:spacing w:val="-85"/>
        </w:rPr>
      </w:r>
      <w:r>
        <w:rPr/>
        <w:t>完成工商变更登记手续。</w:t>
      </w:r>
    </w:p>
    <w:p>
      <w:pPr>
        <w:pStyle w:val="BodyText"/>
        <w:spacing w:line="300" w:lineRule="auto" w:before="31"/>
        <w:ind w:right="148"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3"/>
        </w:rPr>
        <w:t>根据公司六届六次董事会会议，公司与浙江浙商产融控股有限公司、宁波新业涌金投资管理合伙企业（有限合伙）共</w:t>
      </w:r>
      <w:r>
        <w:rPr/>
        <w:t> </w:t>
      </w:r>
      <w:r>
        <w:rPr>
          <w:spacing w:val="-2"/>
        </w:rPr>
        <w:t>同投资设立舟山创融投资管理合伙企业（有限合伙）。创融基金投资规模为人民币</w:t>
      </w:r>
      <w:r>
        <w:rPr>
          <w:rFonts w:ascii="Times New Roman" w:hAnsi="Times New Roman" w:cs="Times New Roman" w:eastAsia="Times New Roman" w:hint="default"/>
          <w:spacing w:val="-2"/>
        </w:rPr>
        <w:t>30,100</w:t>
      </w:r>
      <w:r>
        <w:rPr>
          <w:spacing w:val="-2"/>
        </w:rPr>
        <w:t>万元，其中本公司出资人民币</w:t>
      </w:r>
      <w:r>
        <w:rPr>
          <w:rFonts w:ascii="Times New Roman" w:hAnsi="Times New Roman" w:cs="Times New Roman" w:eastAsia="Times New Roman" w:hint="default"/>
          <w:spacing w:val="-2"/>
        </w:rPr>
        <w:t>5,000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万元，浙商产融控股出资人民币</w:t>
      </w:r>
      <w:r>
        <w:rPr>
          <w:rFonts w:ascii="Times New Roman" w:hAnsi="Times New Roman" w:cs="Times New Roman" w:eastAsia="Times New Roman" w:hint="default"/>
        </w:rPr>
        <w:t>25,000</w:t>
      </w:r>
      <w:r>
        <w:rPr/>
        <w:t>万元，宁波新业出资人民币</w:t>
      </w:r>
      <w:r>
        <w:rPr>
          <w:rFonts w:ascii="Times New Roman" w:hAnsi="Times New Roman" w:cs="Times New Roman" w:eastAsia="Times New Roman" w:hint="default"/>
        </w:rPr>
        <w:t>100</w:t>
      </w:r>
      <w:r>
        <w:rPr/>
        <w:t>万元，创融基金存续期间为</w:t>
      </w:r>
      <w:r>
        <w:rPr>
          <w:rFonts w:ascii="Times New Roman" w:hAnsi="Times New Roman" w:cs="Times New Roman" w:eastAsia="Times New Roman" w:hint="default"/>
        </w:rPr>
        <w:t>10</w:t>
      </w:r>
      <w:r>
        <w:rPr/>
        <w:t>年。</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十五、其他重要事项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392"/>
        <w:gridCol w:w="2393"/>
        <w:gridCol w:w="2392"/>
        <w:gridCol w:w="2380"/>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153" w:firstLine="420"/>
        <w:jc w:val="both"/>
      </w:pPr>
      <w:r>
        <w:rPr/>
        <w:t>本公司主要业务包括医疗卫生信息化应用软件业务和基于信息技术的系统集成业务以及</w:t>
      </w:r>
      <w:r>
        <w:rPr>
          <w:rFonts w:ascii="Times New Roman" w:hAnsi="Times New Roman" w:cs="Times New Roman" w:eastAsia="Times New Roman" w:hint="default"/>
        </w:rPr>
        <w:t>IT</w:t>
      </w:r>
      <w:r>
        <w:rPr/>
        <w:t>运维服务业务，公司尚不能 </w:t>
      </w:r>
      <w:r>
        <w:rPr>
          <w:spacing w:val="-2"/>
        </w:rPr>
        <w:t>够准确划分直接归属于某一分部的经营资产和负债，故无报告分部。本公司按产品分类的主营业务收入及主营业务成本明细</w:t>
      </w:r>
      <w:r>
        <w:rPr>
          <w:spacing w:val="-64"/>
        </w:rPr>
        <w:t> </w:t>
      </w:r>
      <w:r>
        <w:rPr>
          <w:spacing w:val="-64"/>
        </w:rPr>
      </w:r>
      <w:r>
        <w:rPr/>
        <w:t>如下：</w:t>
      </w:r>
    </w:p>
    <w:tbl>
      <w:tblPr>
        <w:tblW w:w="0" w:type="auto"/>
        <w:jc w:val="left"/>
        <w:tblInd w:w="164" w:type="dxa"/>
        <w:tblLayout w:type="fixed"/>
        <w:tblCellMar>
          <w:top w:w="0" w:type="dxa"/>
          <w:left w:w="0" w:type="dxa"/>
          <w:bottom w:w="0" w:type="dxa"/>
          <w:right w:w="0" w:type="dxa"/>
        </w:tblCellMar>
        <w:tblLook w:val="01E0"/>
      </w:tblPr>
      <w:tblGrid>
        <w:gridCol w:w="3227"/>
        <w:gridCol w:w="2648"/>
        <w:gridCol w:w="2648"/>
      </w:tblGrid>
      <w:tr>
        <w:trPr>
          <w:trHeight w:val="34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8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78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0" w:right="0"/>
              <w:jc w:val="left"/>
              <w:rPr>
                <w:rFonts w:ascii="宋体" w:hAnsi="宋体" w:cs="宋体" w:eastAsia="宋体" w:hint="default"/>
                <w:sz w:val="18"/>
                <w:szCs w:val="18"/>
              </w:rPr>
            </w:pPr>
            <w:r>
              <w:rPr>
                <w:rFonts w:ascii="宋体" w:hAnsi="宋体" w:cs="宋体" w:eastAsia="宋体" w:hint="default"/>
                <w:sz w:val="18"/>
                <w:szCs w:val="18"/>
              </w:rPr>
              <w:t>医疗卫生信息化应用软件</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522,259,334.67</w:t>
            </w:r>
          </w:p>
        </w:tc>
        <w:tc>
          <w:tcPr>
            <w:tcW w:w="2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229,215,198.42</w:t>
            </w:r>
          </w:p>
        </w:tc>
      </w:tr>
      <w:tr>
        <w:trPr>
          <w:trHeight w:val="34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运维服务</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453,357,252.13</w:t>
            </w:r>
          </w:p>
        </w:tc>
        <w:tc>
          <w:tcPr>
            <w:tcW w:w="2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237,262,464.33</w:t>
            </w:r>
          </w:p>
        </w:tc>
      </w:tr>
      <w:tr>
        <w:trPr>
          <w:trHeight w:val="349"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20" w:right="0"/>
              <w:jc w:val="left"/>
              <w:rPr>
                <w:rFonts w:ascii="宋体" w:hAnsi="宋体" w:cs="宋体" w:eastAsia="宋体" w:hint="default"/>
                <w:sz w:val="18"/>
                <w:szCs w:val="18"/>
              </w:rPr>
            </w:pPr>
            <w:r>
              <w:rPr>
                <w:rFonts w:ascii="宋体" w:hAnsi="宋体" w:cs="宋体" w:eastAsia="宋体" w:hint="default"/>
                <w:sz w:val="18"/>
                <w:szCs w:val="18"/>
              </w:rPr>
              <w:t>计算机信息设备系统集成</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113,196,704.72</w:t>
            </w:r>
          </w:p>
        </w:tc>
        <w:tc>
          <w:tcPr>
            <w:tcW w:w="2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85,256,584.90</w:t>
            </w:r>
          </w:p>
        </w:tc>
      </w:tr>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0" w:right="0"/>
              <w:jc w:val="left"/>
              <w:rPr>
                <w:rFonts w:ascii="宋体" w:hAnsi="宋体" w:cs="宋体" w:eastAsia="宋体" w:hint="default"/>
                <w:sz w:val="18"/>
                <w:szCs w:val="18"/>
              </w:rPr>
            </w:pPr>
            <w:r>
              <w:rPr>
                <w:rFonts w:ascii="宋体" w:hAnsi="宋体" w:cs="宋体" w:eastAsia="宋体" w:hint="default"/>
                <w:sz w:val="18"/>
                <w:szCs w:val="18"/>
              </w:rPr>
              <w:t>智能化网络布线工程集成</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13,415,255.97</w:t>
            </w:r>
          </w:p>
        </w:tc>
        <w:tc>
          <w:tcPr>
            <w:tcW w:w="2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11,368,673.95</w:t>
            </w:r>
          </w:p>
        </w:tc>
      </w:tr>
      <w:tr>
        <w:trPr>
          <w:trHeight w:val="34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46,414,437.72</w:t>
            </w:r>
          </w:p>
        </w:tc>
        <w:tc>
          <w:tcPr>
            <w:tcW w:w="2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24,216,925.41</w:t>
            </w:r>
          </w:p>
        </w:tc>
      </w:tr>
      <w:tr>
        <w:trPr>
          <w:trHeight w:val="348"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1,148,642,985.21</w:t>
            </w:r>
          </w:p>
        </w:tc>
        <w:tc>
          <w:tcPr>
            <w:tcW w:w="26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587,319,847.01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4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3"/>
        </w:rPr>
        <w:t>根据公司六届二次董事会会议、</w:t>
      </w:r>
      <w:r>
        <w:rPr>
          <w:rFonts w:ascii="Times New Roman" w:hAnsi="Times New Roman" w:cs="Times New Roman" w:eastAsia="Times New Roman" w:hint="default"/>
          <w:spacing w:val="-3"/>
        </w:rPr>
        <w:t>2017</w:t>
      </w:r>
      <w:r>
        <w:rPr>
          <w:spacing w:val="-3"/>
        </w:rPr>
        <w:t>年第五次临时股东大会决议，公司拟非公开发行普通股（</w:t>
      </w:r>
      <w:r>
        <w:rPr>
          <w:rFonts w:ascii="Times New Roman" w:hAnsi="Times New Roman" w:cs="Times New Roman" w:eastAsia="Times New Roman" w:hint="default"/>
          <w:spacing w:val="-3"/>
        </w:rPr>
        <w:t>A</w:t>
      </w:r>
      <w:r>
        <w:rPr>
          <w:spacing w:val="-3"/>
        </w:rPr>
        <w:t>股）募集资金。本次</w:t>
      </w:r>
      <w:r>
        <w:rPr/>
        <w:t> </w:t>
      </w:r>
      <w:r>
        <w:rPr>
          <w:spacing w:val="-1"/>
        </w:rPr>
        <w:t>非公开发行的股票数量不超过</w:t>
      </w:r>
      <w:r>
        <w:rPr>
          <w:rFonts w:ascii="Times New Roman" w:hAnsi="Times New Roman" w:cs="Times New Roman" w:eastAsia="Times New Roman" w:hint="default"/>
          <w:spacing w:val="-1"/>
        </w:rPr>
        <w:t>3,600</w:t>
      </w:r>
      <w:r>
        <w:rPr>
          <w:spacing w:val="-1"/>
        </w:rPr>
        <w:t>万股，募集资金总额不超过</w:t>
      </w:r>
      <w:r>
        <w:rPr>
          <w:rFonts w:ascii="Times New Roman" w:hAnsi="Times New Roman" w:cs="Times New Roman" w:eastAsia="Times New Roman" w:hint="default"/>
          <w:spacing w:val="-1"/>
        </w:rPr>
        <w:t>93,387.36</w:t>
      </w:r>
      <w:r>
        <w:rPr>
          <w:spacing w:val="-1"/>
        </w:rPr>
        <w:t>万元。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日，公司收到中国证券监督管理</w:t>
      </w:r>
      <w:r>
        <w:rPr>
          <w:spacing w:val="-68"/>
        </w:rPr>
        <w:t> </w:t>
      </w:r>
      <w:r>
        <w:rPr>
          <w:spacing w:val="-68"/>
        </w:rPr>
      </w:r>
      <w:r>
        <w:rPr/>
        <w:t>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）出具的《中国证监会行政许可申请受理通知书》</w:t>
      </w:r>
      <w:r>
        <w:rPr>
          <w:rFonts w:ascii="Times New Roman" w:hAnsi="Times New Roman" w:cs="Times New Roman" w:eastAsia="Times New Roman" w:hint="default"/>
        </w:rPr>
        <w:t>(172187</w:t>
      </w:r>
      <w:r>
        <w:rPr/>
        <w:t>号</w:t>
      </w:r>
      <w:r>
        <w:rPr>
          <w:rFonts w:ascii="Times New Roman" w:hAnsi="Times New Roman" w:cs="Times New Roman" w:eastAsia="Times New Roman" w:hint="default"/>
        </w:rPr>
        <w:t>)</w:t>
      </w:r>
      <w:r>
        <w:rPr/>
        <w:t>。本次非公开发行股票方案尚 需中国证监会核准。</w:t>
      </w:r>
    </w:p>
    <w:p>
      <w:pPr>
        <w:pStyle w:val="BodyText"/>
        <w:spacing w:line="240" w:lineRule="auto" w:before="31"/>
        <w:ind w:left="0" w:right="152"/>
        <w:jc w:val="righ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4"/>
        </w:rPr>
        <w:t>2016</w:t>
      </w:r>
      <w:r>
        <w:rPr>
          <w:spacing w:val="4"/>
        </w:rPr>
        <w:t>年，根据股权转让协议，杭州博泰信息技术服务有限公司将其持有的上海心意答融讯电子股份有限公司股权</w:t>
      </w:r>
      <w:r>
        <w:rPr/>
      </w:r>
    </w:p>
    <w:p>
      <w:pPr>
        <w:pStyle w:val="BodyText"/>
        <w:spacing w:line="240" w:lineRule="auto" w:before="63"/>
        <w:ind w:right="0"/>
        <w:jc w:val="left"/>
      </w:pPr>
      <w:r>
        <w:rPr>
          <w:rFonts w:ascii="Times New Roman" w:hAnsi="Times New Roman" w:cs="Times New Roman" w:eastAsia="Times New Roman" w:hint="default"/>
        </w:rPr>
        <w:t>35,000,127.00</w:t>
      </w:r>
      <w:r>
        <w:rPr/>
        <w:t>元按账面价值转让给浙江建达科技股份有限公司，相关股权转让手续已于本期办妥。</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611"/>
        <w:gridCol w:w="775"/>
        <w:gridCol w:w="761"/>
        <w:gridCol w:w="763"/>
        <w:gridCol w:w="761"/>
        <w:gridCol w:w="790"/>
        <w:gridCol w:w="655"/>
        <w:gridCol w:w="761"/>
        <w:gridCol w:w="814"/>
        <w:gridCol w:w="932"/>
        <w:gridCol w:w="934"/>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376,485,</w:t>
            </w:r>
          </w:p>
          <w:p>
            <w:pPr>
              <w:pStyle w:val="TableParagraph"/>
              <w:spacing w:line="240" w:lineRule="auto" w:before="103"/>
              <w:ind w:left="216" w:right="0"/>
              <w:jc w:val="center"/>
              <w:rPr>
                <w:rFonts w:ascii="Times New Roman" w:hAnsi="Times New Roman" w:cs="Times New Roman" w:eastAsia="Times New Roman" w:hint="default"/>
                <w:sz w:val="18"/>
                <w:szCs w:val="18"/>
              </w:rPr>
            </w:pPr>
            <w:r>
              <w:rPr>
                <w:rFonts w:ascii="Times New Roman"/>
                <w:sz w:val="18"/>
              </w:rPr>
              <w:t>622.03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99.81%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58,351,9</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67.52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318,133,6</w:t>
            </w:r>
          </w:p>
          <w:p>
            <w:pPr>
              <w:pStyle w:val="TableParagraph"/>
              <w:spacing w:line="240" w:lineRule="auto" w:before="103"/>
              <w:ind w:left="352" w:right="0"/>
              <w:jc w:val="left"/>
              <w:rPr>
                <w:rFonts w:ascii="Times New Roman" w:hAnsi="Times New Roman" w:cs="Times New Roman" w:eastAsia="Times New Roman" w:hint="default"/>
                <w:sz w:val="18"/>
                <w:szCs w:val="18"/>
              </w:rPr>
            </w:pPr>
            <w:r>
              <w:rPr>
                <w:rFonts w:ascii="Times New Roman"/>
                <w:sz w:val="18"/>
              </w:rPr>
              <w:t>54.51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302,012</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,203.21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99.77%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43,322,07</w:t>
            </w:r>
          </w:p>
          <w:p>
            <w:pPr>
              <w:pStyle w:val="TableParagraph"/>
              <w:spacing w:line="240" w:lineRule="auto" w:before="103"/>
              <w:ind w:left="465" w:right="0"/>
              <w:jc w:val="left"/>
              <w:rPr>
                <w:rFonts w:ascii="Times New Roman" w:hAnsi="Times New Roman" w:cs="Times New Roman" w:eastAsia="Times New Roman" w:hint="default"/>
                <w:sz w:val="18"/>
                <w:szCs w:val="18"/>
              </w:rPr>
            </w:pPr>
            <w:r>
              <w:rPr>
                <w:rFonts w:ascii="Times New Roman"/>
                <w:sz w:val="18"/>
              </w:rPr>
              <w:t>7.56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14.34%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258,690,12</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5.65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2"/>
        <w:gridCol w:w="934"/>
      </w:tblGrid>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709,033.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709,033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709,033.6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377,194,</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655.68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59,061,0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01.17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318,133,6</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54.51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302,721</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,236.86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44,031,11</w:t>
            </w:r>
          </w:p>
          <w:p>
            <w:pPr>
              <w:pStyle w:val="TableParagraph"/>
              <w:spacing w:line="240" w:lineRule="auto" w:before="102"/>
              <w:ind w:left="465" w:right="0"/>
              <w:jc w:val="left"/>
              <w:rPr>
                <w:rFonts w:ascii="Times New Roman" w:hAnsi="Times New Roman" w:cs="Times New Roman" w:eastAsia="Times New Roman" w:hint="default"/>
                <w:sz w:val="18"/>
                <w:szCs w:val="18"/>
              </w:rPr>
            </w:pPr>
            <w:r>
              <w:rPr>
                <w:rFonts w:ascii="Times New Roman"/>
                <w:sz w:val="18"/>
              </w:rPr>
              <w:t>1.21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258,690,12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5.65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5"/>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88"/>
        <w:gridCol w:w="2301"/>
        <w:gridCol w:w="2391"/>
        <w:gridCol w:w="2389"/>
      </w:tblGrid>
      <w:tr>
        <w:trPr>
          <w:trHeight w:val="403"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234,266,255.16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11,713,312.76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234,266,255.16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11,713,312.76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68,637,551.47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13,727,510.29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37,762,891.55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11,328,867.47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28,473,293.71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14,236,646.86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7,345,630.14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7,345,630.14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376,485,622.03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58,351,967.52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15.50%</w:t>
            </w:r>
          </w:p>
        </w:tc>
      </w:tr>
    </w:tbl>
    <w:p>
      <w:pPr>
        <w:pStyle w:val="BodyText"/>
        <w:spacing w:line="360" w:lineRule="auto" w:before="49"/>
        <w:ind w:right="5454"/>
        <w:jc w:val="left"/>
      </w:pPr>
      <w:r>
        <w:rPr/>
        <w:t>确定该组合依据的说明： 组合中，采用余额百分比法计提坏账准备的应收账款：</w:t>
      </w:r>
    </w:p>
    <w:p>
      <w:pPr>
        <w:pStyle w:val="BodyText"/>
        <w:spacing w:line="340" w:lineRule="auto" w:before="2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38" w:lineRule="auto" w:before="44"/>
        <w:ind w:right="-13"/>
        <w:jc w:val="left"/>
      </w:pPr>
      <w:r>
        <w:rPr/>
        <w:t>本期计提坏账准备金额</w:t>
      </w:r>
      <w:r>
        <w:rPr>
          <w:spacing w:val="-46"/>
        </w:rPr>
        <w:t> </w:t>
      </w:r>
      <w:r>
        <w:rPr>
          <w:rFonts w:ascii="Times New Roman" w:hAnsi="Times New Roman" w:cs="Times New Roman" w:eastAsia="Times New Roman" w:hint="default"/>
        </w:rPr>
        <w:t>15,029,889.96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48" w:space="2281"/>
            <w:col w:w="112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88"/>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5"/>
        <w:gridCol w:w="4584"/>
      </w:tblGrid>
      <w:tr>
        <w:trPr>
          <w:trHeight w:val="403" w:hRule="exact"/>
        </w:trPr>
        <w:tc>
          <w:tcPr>
            <w:tcW w:w="4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71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应收账款核销说明：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174"/>
        <w:jc w:val="left"/>
      </w:pPr>
      <w:r>
        <w:rPr/>
        <w:t>期末余额前</w:t>
      </w:r>
      <w:r>
        <w:rPr>
          <w:rFonts w:ascii="Times New Roman" w:hAnsi="Times New Roman" w:cs="Times New Roman" w:eastAsia="Times New Roman" w:hint="default"/>
        </w:rPr>
        <w:t>5</w:t>
      </w:r>
      <w:r>
        <w:rPr/>
        <w:t>名的应收账款合计数为</w:t>
      </w:r>
      <w:r>
        <w:rPr>
          <w:rFonts w:ascii="Times New Roman" w:hAnsi="Times New Roman" w:cs="Times New Roman" w:eastAsia="Times New Roman" w:hint="default"/>
        </w:rPr>
        <w:t>53,010,850.00</w:t>
      </w:r>
      <w:r>
        <w:rPr/>
        <w:t>元，占应收账款期末余额合计数的比例为</w:t>
      </w:r>
      <w:r>
        <w:rPr>
          <w:rFonts w:ascii="Times New Roman" w:hAnsi="Times New Roman" w:cs="Times New Roman" w:eastAsia="Times New Roman" w:hint="default"/>
        </w:rPr>
        <w:t>14.05%</w:t>
      </w:r>
      <w:r>
        <w:rPr/>
        <w:t>，相应计提的坏账准备合 计数为</w:t>
      </w:r>
      <w:r>
        <w:rPr>
          <w:rFonts w:ascii="Times New Roman" w:hAnsi="Times New Roman" w:cs="Times New Roman" w:eastAsia="Times New Roman" w:hint="default"/>
        </w:rPr>
        <w:t>4,187,415.00</w:t>
      </w:r>
      <w:r>
        <w:rPr/>
        <w:t>元。</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623"/>
        <w:gridCol w:w="763"/>
        <w:gridCol w:w="761"/>
        <w:gridCol w:w="763"/>
        <w:gridCol w:w="761"/>
        <w:gridCol w:w="790"/>
        <w:gridCol w:w="655"/>
        <w:gridCol w:w="761"/>
        <w:gridCol w:w="814"/>
        <w:gridCol w:w="932"/>
        <w:gridCol w:w="934"/>
      </w:tblGrid>
      <w:tr>
        <w:trPr>
          <w:trHeight w:val="396"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7"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50,507,6</w:t>
            </w:r>
          </w:p>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06.48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10,317,2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11.03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40,190,39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5.45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52,399,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698.19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9,074,263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43,325,434.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434,972.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434,972.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434,972</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434,972.2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0"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50,942,5</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78.73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10,752,1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21.11%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40,190,39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5.45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52,834,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670.44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9,509,236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18.00%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43,325,434.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r>
      <w:tr>
        <w:trPr>
          <w:trHeight w:val="394"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0"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10"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482"/>
        <w:gridCol w:w="2307"/>
        <w:gridCol w:w="2391"/>
        <w:gridCol w:w="2389"/>
      </w:tblGrid>
      <w:tr>
        <w:trPr>
          <w:trHeight w:val="401"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21,276,560.59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1,063,828.03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21,276,560.59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1,063,828.03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16,406,071.62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3,281,214.32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6,954,279.77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2,086,283.93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3,969,619.50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1,984,809.75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1,901,075.00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1,901,075.00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50,507,606.48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10,317,211.03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20.43%</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1,242,947.16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88"/>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5"/>
        <w:gridCol w:w="4584"/>
      </w:tblGrid>
      <w:tr>
        <w:trPr>
          <w:trHeight w:val="403" w:hRule="exact"/>
        </w:trPr>
        <w:tc>
          <w:tcPr>
            <w:tcW w:w="4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716"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40,269,862.37</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45,854,587.59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3,652,247.75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3,989,798.89</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2,220,923.70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4,799,544.91</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2,590,283.96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50,942,578.73</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52,834,670.44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71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中国人民解放军第八 五医院</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894,800.00</w:t>
            </w: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中山市财政局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北京好望角视真科技 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7"/>
              <w:jc w:val="left"/>
              <w:rPr>
                <w:rFonts w:ascii="宋体" w:hAnsi="宋体" w:cs="宋体" w:eastAsia="宋体" w:hint="default"/>
                <w:sz w:val="18"/>
                <w:szCs w:val="18"/>
              </w:rPr>
            </w:pPr>
            <w:r>
              <w:rPr>
                <w:rFonts w:ascii="宋体" w:hAnsi="宋体" w:cs="宋体" w:eastAsia="宋体" w:hint="default"/>
                <w:sz w:val="18"/>
                <w:szCs w:val="18"/>
              </w:rPr>
              <w:t>长寿健康保险股份有 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w:t>
            </w:r>
          </w:p>
        </w:tc>
      </w:tr>
      <w:tr>
        <w:trPr>
          <w:trHeight w:val="165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江阴市财政局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300" w:lineRule="auto" w:before="60"/>
              <w:ind w:left="23" w:right="6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1,535,000.00</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w:t>
            </w:r>
            <w:r>
              <w:rPr>
                <w:rFonts w:ascii="宋体" w:hAnsi="宋体" w:cs="宋体" w:eastAsia="宋体" w:hint="default"/>
                <w:sz w:val="18"/>
                <w:szCs w:val="18"/>
              </w:rPr>
              <w:t>；</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420,000.00</w:t>
            </w:r>
            <w:r>
              <w:rPr>
                <w:rFonts w:ascii="宋体" w:hAnsi="宋体" w:cs="宋体" w:eastAsia="宋体" w:hint="default"/>
                <w:sz w:val="18"/>
                <w:szCs w:val="18"/>
              </w:rPr>
              <w:t>；</w:t>
            </w: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234,250.00</w:t>
            </w:r>
          </w:p>
        </w:tc>
      </w:tr>
      <w:tr>
        <w:trPr>
          <w:trHeight w:val="40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14,616,000.00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3,049,050.00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026"/>
        <w:gridCol w:w="1865"/>
        <w:gridCol w:w="1868"/>
        <w:gridCol w:w="1867"/>
        <w:gridCol w:w="1934"/>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70"/>
        <w:gridCol w:w="1367"/>
        <w:gridCol w:w="1366"/>
        <w:gridCol w:w="1368"/>
        <w:gridCol w:w="1368"/>
        <w:gridCol w:w="1366"/>
        <w:gridCol w:w="1368"/>
      </w:tblGrid>
      <w:tr>
        <w:trPr>
          <w:trHeight w:val="206" w:hRule="exact"/>
        </w:trPr>
        <w:tc>
          <w:tcPr>
            <w:tcW w:w="1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1"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1,453,045,883.93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1,453,045,883.93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153,266,951.13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153,266,951.13</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对联营、合营企</w:t>
            </w:r>
          </w:p>
        </w:tc>
        <w:tc>
          <w:tcPr>
            <w:tcW w:w="13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42,169,001.69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42,169,001.69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7,014,395.36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7,014,395.36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1,495,214,885.62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1,495,214,885.62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160,281,346.49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160,281,346.49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48"/>
        <w:gridCol w:w="1335"/>
        <w:gridCol w:w="1337"/>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杭州联旗科技有 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8,951,051.13</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8,951,051.13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苏州创业亿康信 息科技有限公司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上海创航软件有 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创业软件南京有 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新疆创什信息科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重庆创易康软件 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天津创津科技有 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杭州惟勤科技有 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2,540,900.00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2,540,900.00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广东中拓信息技 术有限公司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39,760,000.00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中山市蓝天电脑 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中山市杭创科技 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浙江创源环境科 技股份有限公司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28,500,000.00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杭州博泰信息技 术服务有限公司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杭州卓腾信息技 术有限公司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14,829,104.80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14,829,104.80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杭州合美物业管 理有限公司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杭州梅清数码科</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448"/>
        <w:gridCol w:w="1335"/>
        <w:gridCol w:w="1337"/>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杭州美诺泰科科 技有限公司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40,799,828.00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40,799,828.00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宁海杭创网络科 技有限公司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杭州鼎泰医康科 技有限公司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浙江医康数据科 技研究院有限公 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153,266,951.13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1,328,278,932.80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28,500,000.00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1,453,045,883.93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795"/>
        <w:gridCol w:w="799"/>
        <w:gridCol w:w="797"/>
        <w:gridCol w:w="797"/>
        <w:gridCol w:w="799"/>
        <w:gridCol w:w="797"/>
        <w:gridCol w:w="800"/>
        <w:gridCol w:w="797"/>
        <w:gridCol w:w="799"/>
        <w:gridCol w:w="797"/>
        <w:gridCol w:w="799"/>
        <w:gridCol w:w="797"/>
      </w:tblGrid>
      <w:tr>
        <w:trPr>
          <w:trHeight w:val="401" w:hRule="exact"/>
        </w:trPr>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5"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北京童康 医疗信息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3,231,930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3,476,564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浙江美康 网新云健 康科技股 份有限公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3,782,465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45" w:right="21"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857,086.7</w:t>
            </w:r>
          </w:p>
          <w:p>
            <w:pPr>
              <w:pStyle w:val="TableParagraph"/>
              <w:spacing w:line="240" w:lineRule="auto" w:before="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2,925,378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浙江创源 环境科技 股份有限 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5,204,940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2,062,117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35,767,05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7,014,395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4,592,488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2,062,117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42,169,00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7,014,395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28,500,00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4,592,488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2,062,117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42,169,00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610,457,973.54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301,138,471.00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503,991,940.71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257,612,219.44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4,166,950.43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1,091,793.67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188,648.47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132,080.16</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614,624,923.97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302,230,264.67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504,180,589.18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257,744,299.60</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4,592,488.67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384,589.22</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银行短期理财产品收益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233,424.66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4,825,913.33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384,589.22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十七、补充资料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3302"/>
        <w:gridCol w:w="3069"/>
        <w:gridCol w:w="3188"/>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359,795.05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183,842.01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9,025,781.87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1,161,069.00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-516,484.79</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1,159,239.42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41,169.12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9,013,594.60</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0"/>
        <w:ind w:right="23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2663"/>
        <w:gridCol w:w="3080"/>
        <w:gridCol w:w="1913"/>
        <w:gridCol w:w="1913"/>
      </w:tblGrid>
      <w:tr>
        <w:trPr>
          <w:trHeight w:val="204"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0.70</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0.66</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、其他</w:t>
      </w:r>
      <w:r>
        <w:rPr>
          <w:b w:val="0"/>
          <w:bCs w:val="0"/>
        </w:rPr>
      </w:r>
    </w:p>
    <w:p>
      <w:pPr>
        <w:spacing w:after="0" w:line="335" w:lineRule="exact"/>
        <w:jc w:val="left"/>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7"/>
        <w:ind w:left="3285" w:right="0"/>
        <w:jc w:val="left"/>
        <w:rPr>
          <w:b w:val="0"/>
          <w:bCs w:val="0"/>
        </w:rPr>
      </w:pPr>
      <w:bookmarkStart w:name="_bookmark10" w:id="11"/>
      <w:bookmarkEnd w:id="11"/>
      <w:r>
        <w:rPr>
          <w:b w:val="0"/>
          <w:bCs w:val="0"/>
        </w:rPr>
      </w:r>
      <w:r>
        <w:rPr/>
        <w:t>第十二节 </w:t>
      </w:r>
      <w:r>
        <w:rPr>
          <w:spacing w:val="8"/>
        </w:rPr>
        <w:t> </w:t>
      </w:r>
      <w:r>
        <w:rPr/>
        <w:t>备查文件目录</w:t>
      </w:r>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240" w:lineRule="auto"/>
        <w:ind w:right="0"/>
        <w:jc w:val="left"/>
      </w:pPr>
      <w:r>
        <w:rPr/>
        <w:t>公司</w:t>
      </w:r>
      <w:r>
        <w:rPr>
          <w:rFonts w:ascii="Times New Roman" w:hAnsi="Times New Roman" w:cs="Times New Roman" w:eastAsia="Times New Roman" w:hint="default"/>
        </w:rPr>
        <w:t>2017</w:t>
      </w:r>
      <w:r>
        <w:rPr/>
        <w:t>年度报告的备查文件包括：</w:t>
      </w:r>
    </w:p>
    <w:p>
      <w:pPr>
        <w:pStyle w:val="BodyText"/>
        <w:spacing w:line="240" w:lineRule="auto" w:before="63"/>
        <w:ind w:right="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2017</w:t>
      </w:r>
      <w:r>
        <w:rPr/>
        <w:t>年度报告全文的原件；</w:t>
      </w:r>
    </w:p>
    <w:p>
      <w:pPr>
        <w:pStyle w:val="BodyText"/>
        <w:spacing w:line="240" w:lineRule="auto" w:before="63"/>
        <w:ind w:right="0"/>
        <w:jc w:val="left"/>
      </w:pPr>
      <w:r>
        <w:rPr>
          <w:rFonts w:ascii="Times New Roman" w:hAnsi="Times New Roman" w:cs="Times New Roman" w:eastAsia="Times New Roman" w:hint="default"/>
        </w:rPr>
        <w:t>2</w:t>
      </w:r>
      <w:r>
        <w:rPr/>
        <w:t>、载有公司负责人、主管会计工作负责人、会计机构负责人签名并盖章的财务报表；</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、报告期内在中国证监会指定网站上公开披露过的所有文件的正本及公告原稿；</w:t>
      </w:r>
    </w:p>
    <w:p>
      <w:pPr>
        <w:pStyle w:val="BodyText"/>
        <w:spacing w:line="240" w:lineRule="auto" w:before="63"/>
        <w:ind w:right="0"/>
        <w:jc w:val="left"/>
      </w:pPr>
      <w:r>
        <w:rPr>
          <w:rFonts w:ascii="Times New Roman" w:hAnsi="Times New Roman" w:cs="Times New Roman" w:eastAsia="Times New Roman" w:hint="default"/>
        </w:rPr>
        <w:t>4</w:t>
      </w:r>
      <w:r>
        <w:rPr/>
        <w:t>、其他备查文件。</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979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79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9796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79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979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979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79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79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126</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79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979720" type="#_x0000_t202" filled="false" stroked="false">
          <v:textbox inset="0,0,0,0">
            <w:txbxContent>
              <w:p>
                <w:pPr>
                  <w:pStyle w:val="BodyText"/>
                  <w:spacing w:line="214" w:lineRule="exact"/>
                  <w:ind w:left="20" w:right="0"/>
                  <w:jc w:val="left"/>
                </w:pPr>
                <w:r>
                  <w:rPr/>
                  <w:t>创业软件股份有限公司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152"/>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714"/>
      <w:outlineLvl w:val="5"/>
    </w:pPr>
    <w:rPr>
      <w:rFonts w:ascii="Microsoft JhengHei" w:hAnsi="Microsoft JhengHei" w:eastAsia="Microsoft JhengHei"/>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bsoft.com.cn/" TargetMode="External"/><Relationship Id="rId10" Type="http://schemas.openxmlformats.org/officeDocument/2006/relationships/hyperlink" Target="mailto:bsoft@bsoft.com.cn" TargetMode="External"/><Relationship Id="rId11" Type="http://schemas.openxmlformats.org/officeDocument/2006/relationships/hyperlink" Target="mailto:huy@bsoft.com.cn" TargetMode="External"/><Relationship Id="rId12" Type="http://schemas.openxmlformats.org/officeDocument/2006/relationships/hyperlink" Target="mailto:xus@bsoft.com.cn" TargetMode="External"/><Relationship Id="rId13" Type="http://schemas.openxmlformats.org/officeDocument/2006/relationships/hyperlink" Target="http://www.cninfo.com.cn/"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hyperlink" Target="http://www.cninfo.co/"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创业软件股份有限公司</dc:creator>
  <dc:title>创业软件股份有限公司2017年年度报告全文</dc:title>
  <dcterms:created xsi:type="dcterms:W3CDTF">2020-05-03T00:50:31Z</dcterms:created>
  <dcterms:modified xsi:type="dcterms:W3CDTF">2020-05-03T00:50:31Z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2018-02-05T00:00:00Z</vt:filetime>
  </property>
  <property fmtid="{D5CDD505-2E9C-101B-9397-08002B2CF9AE}" pid="3" name="Creator">
    <vt:lpwstr>Microsoft® Word 2013</vt:lpwstr>
  </property>
  <property fmtid="{D5CDD505-2E9C-101B-9397-08002B2CF9AE}" pid="4" name="LastSaved">
    <vt:filetime>2020-05-02T00:00:00Z</vt:filetime>
  </property>
</Properties>
</file>